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B61D5">
      <w:pPr>
        <w:divId w:val="472261665"/>
        <w:rPr>
          <w:rFonts w:eastAsia="Times New Roman"/>
          <w:vanish/>
        </w:rPr>
      </w:pPr>
      <w:r>
        <w:rPr>
          <w:rFonts w:eastAsia="Times New Roman"/>
          <w:vanish/>
        </w:rPr>
        <w:t>TRACTOR SUPPLY CO /DE/000091636512/28117,282,0102019FYfalseP2YP7Y303513551027P1YP3Y26.426.425.127.627.026.01.62.51.72.53.01.94.54.54.44.54.54.47.37.37.27.37.37.21.41.61.31.41.61.3000000101000000009163652018-12-302019-12-28iso4217:USD0000916365</w:t>
      </w:r>
      <w:r>
        <w:rPr>
          <w:rFonts w:eastAsia="Times New Roman"/>
          <w:vanish/>
        </w:rPr>
        <w:t>2019-06-29xbrli:shares00009163652020-01-2500009163652019-05-0800009163652019-12-2800009163652017-12-312018-12-2900009163652017-01-012017-12-30iso4217:USDxbrli:shares00009163652018-12-290000916365us-gaap:CommonStockMember2016-12-310000916365us-gaap:Addition</w:t>
      </w:r>
      <w:r>
        <w:rPr>
          <w:rFonts w:eastAsia="Times New Roman"/>
          <w:vanish/>
        </w:rPr>
        <w:t>alPaidInCapitalMember2016-12-310000916365us-gaap:TreasuryStockMember2016-12-310000916365us-gaap:AccumulatedOtherComprehensiveIncomeMember2016-12-310000916365us-gaap:RetainedEarningsMember2016-12-3100009163652016-12-310000916365us-gaap:CommonStockMember2017</w:t>
      </w:r>
      <w:r>
        <w:rPr>
          <w:rFonts w:eastAsia="Times New Roman"/>
          <w:vanish/>
        </w:rPr>
        <w:t>-01-012017-12-300000916365us-gaap:AdditionalPaidInCapitalMember2017-01-012017-12-300000916365us-gaap:RestrictedStockUnitsRSUMember2017-01-012017-12-300000916365us-gaap:TreasuryStockMember2017-01-012017-12-300000916365us-gaap:RetainedEarningsMember2017-01-0</w:t>
      </w:r>
      <w:r>
        <w:rPr>
          <w:rFonts w:eastAsia="Times New Roman"/>
          <w:vanish/>
        </w:rPr>
        <w:t>12017-12-300000916365us-gaap:AccumulatedOtherComprehensiveIncomeMember2017-01-012017-12-300000916365us-gaap:CommonStockMember2017-12-300000916365us-gaap:AdditionalPaidInCapitalMember2017-12-300000916365us-gaap:TreasuryStockMember2017-12-300000916365us-gaap</w:t>
      </w:r>
      <w:r>
        <w:rPr>
          <w:rFonts w:eastAsia="Times New Roman"/>
          <w:vanish/>
        </w:rPr>
        <w:t>:AccumulatedOtherComprehensiveIncomeMember2017-12-300000916365us-gaap:RetainedEarningsMember2017-12-3000009163652017-12-300000916365us-gaap:CommonStockMember2017-12-312018-12-290000916365us-gaap:AdditionalPaidInCapitalMember2017-12-312018-12-290000916365us</w:t>
      </w:r>
      <w:r>
        <w:rPr>
          <w:rFonts w:eastAsia="Times New Roman"/>
          <w:vanish/>
        </w:rPr>
        <w:t>-gaap:RestrictedStockUnitsRSUMember2017-12-312018-12-290000916365us-gaap:TreasuryStockMember2017-12-312018-12-290000916365us-gaap:RetainedEarningsMember2017-12-312018-12-290000916365us-gaap:AccumulatedOtherComprehensiveIncomeMember2017-12-312018-12-2900009</w:t>
      </w:r>
      <w:r>
        <w:rPr>
          <w:rFonts w:eastAsia="Times New Roman"/>
          <w:vanish/>
        </w:rPr>
        <w:t>16365us-gaap:CommonStockMember2018-12-290000916365us-gaap:AdditionalPaidInCapitalMember2018-12-290000916365us-gaap:TreasuryStockMember2018-12-290000916365us-gaap:AccumulatedOtherComprehensiveIncomeMember2018-12-290000916365us-gaap:RetainedEarningsMember201</w:t>
      </w:r>
      <w:r>
        <w:rPr>
          <w:rFonts w:eastAsia="Times New Roman"/>
          <w:vanish/>
        </w:rPr>
        <w:t>8-12-290000916365us-gaap:CommonStockMember2018-12-302019-12-280000916365us-gaap:AdditionalPaidInCapitalMember2018-12-302019-12-280000916365us-gaap:RestrictedStockUnitsRSUMember2018-12-302019-12-280000916365us-gaap:TreasuryStockMember2018-12-302019-12-28000</w:t>
      </w:r>
      <w:r>
        <w:rPr>
          <w:rFonts w:eastAsia="Times New Roman"/>
          <w:vanish/>
        </w:rPr>
        <w:t>0916365us-gaap:RetainedEarningsMember2018-12-302019-12-280000916365us-gaap:AccumulatedOtherComprehensiveIncomeMember2018-12-302019-12-280000916365us-gaap:AccumulatedOtherComprehensiveIncomeMember2019-12-280000916365us-gaap:RetainedEarningsMember2019-12-280</w:t>
      </w:r>
      <w:r>
        <w:rPr>
          <w:rFonts w:eastAsia="Times New Roman"/>
          <w:vanish/>
        </w:rPr>
        <w:t>000916365us-gaap:CommonStockMember2019-12-280000916365us-gaap:AdditionalPaidInCapitalMember2019-12-280000916365us-gaap:TreasuryStockMember2019-12-28tsco:store0000916365srt:ParentCompanyMember2019-12-28tsco:state0000916365srt:SubsidiariesMember2019-12-28000</w:t>
      </w:r>
      <w:r>
        <w:rPr>
          <w:rFonts w:eastAsia="Times New Roman"/>
          <w:vanish/>
        </w:rPr>
        <w:t>0916365srt:NonGuarantorSubsidiariesMember2019-12-280000916365stpr:TX2018-12-302019-12-2800009163652018-12-292018-12-290000916365tsco:FranklinKyDcMember2018-12-302019-12-280000916365tsco:FranklinKyDcMember2019-12-280000916365tsco:MaconGaDcMember2018-12-3020</w:t>
      </w:r>
      <w:r>
        <w:rPr>
          <w:rFonts w:eastAsia="Times New Roman"/>
          <w:vanish/>
        </w:rPr>
        <w:t>19-12-280000916365tsco:MaconGaDcMember2019-12-280000916365tsco:BrentwoodTnSscMember2018-12-302019-12-280000916365tsco:BrentwoodTnSscMember2019-12-280000916365srt:MinimumMembertsco:ComputerSoftwareAndHardwareMember2018-12-302019-12-280000916365srt:MaximumMe</w:t>
      </w:r>
      <w:r>
        <w:rPr>
          <w:rFonts w:eastAsia="Times New Roman"/>
          <w:vanish/>
        </w:rPr>
        <w:t>mbertsco:ComputerSoftwareAndHardwareMember2018-12-302019-12-280000916365srt:MinimumMemberus-gaap:BuildingMember2018-12-302019-12-280000916365srt:MaximumMemberus-gaap:BuildingMember2018-12-302019-12-280000916365srt:MinimumMemberus-gaap:LeaseholdsAndLeasehol</w:t>
      </w:r>
      <w:r>
        <w:rPr>
          <w:rFonts w:eastAsia="Times New Roman"/>
          <w:vanish/>
        </w:rPr>
        <w:t>dImprovementsMember2018-12-302019-12-280000916365srt:MaximumMemberus-gaap:LeaseholdsAndLeaseholdImprovementsMember2018-12-302019-12-280000916365us-gaap:FurnitureAndFixturesMembersrt:MinimumMember2018-12-302019-12-280000916365srt:MaximumMemberus-gaap:Furnit</w:t>
      </w:r>
      <w:r>
        <w:rPr>
          <w:rFonts w:eastAsia="Times New Roman"/>
          <w:vanish/>
        </w:rPr>
        <w:t>ureAndFixturesMember2018-12-302019-12-280000916365us-gaap:EmployeeStockOptionMember2018-12-290000916365us-gaap:EmployeeStockOptionMember2018-12-302019-12-280000916365us-gaap:EmployeeStockOptionMember2019-12-280000916365us-gaap:EmployeeStockOptionMember2017</w:t>
      </w:r>
      <w:r>
        <w:rPr>
          <w:rFonts w:eastAsia="Times New Roman"/>
          <w:vanish/>
        </w:rPr>
        <w:t>-12-312018-12-290000916365us-gaap:EmployeeStockOptionMember2017-01-012017-12-300000916365us-gaap:RestrictedStockUnitsRSUMember2018-12-290000916365us-gaap:RestrictedStockUnitsRSUMember2019-12-280000916365us-gaap:PerformanceSharesMember2018-12-290000916365us</w:t>
      </w:r>
      <w:r>
        <w:rPr>
          <w:rFonts w:eastAsia="Times New Roman"/>
          <w:vanish/>
        </w:rPr>
        <w:t>-gaap:PerformanceSharesMember2018-12-302019-12-280000916365us-gaap:ShareBasedCompensationAwardTrancheOneMember2018-12-302019-12-280000916365us-gaap:PerformanceSharesMember2019-12-280000916365us-gaap:PerformanceSharesMember2017-12-312018-12-290000916365us-g</w:t>
      </w:r>
      <w:r>
        <w:rPr>
          <w:rFonts w:eastAsia="Times New Roman"/>
          <w:vanish/>
        </w:rPr>
        <w:t>aap:PerformanceSharesMember2017-01-012017-12-30xbrli:pure0000916365us-gaap:EmployeeStockMember2018-12-302019-12-280000916365us-gaap:EmployeeStockMember2017-12-312018-12-290000916365us-gaap:EmployeeStockMember2017-01-012017-12-300000916365srt:MaximumMemberu</w:t>
      </w:r>
      <w:r>
        <w:rPr>
          <w:rFonts w:eastAsia="Times New Roman"/>
          <w:vanish/>
        </w:rPr>
        <w:t>s-gaap:EmployeeStockMember2019-12-280000916365us-gaap:EmployeeStockMember2019-12-280000916365srt:MinimumMemberus-gaap:EmployeeStockOptionMember2018-12-302019-12-280000916365srt:MinimumMemberus-gaap:EmployeeStockOptionMember2017-12-312018-12-290000916365srt</w:t>
      </w:r>
      <w:r>
        <w:rPr>
          <w:rFonts w:eastAsia="Times New Roman"/>
          <w:vanish/>
        </w:rPr>
        <w:t>:MinimumMemberus-gaap:EmployeeStockOptionMember2017-01-012017-12-300000916365srt:MaximumMemberus-gaap:EmployeeStockOptionMember2018-12-302019-12-280000916365srt:MaximumMemberus-gaap:EmployeeStockOptionMember2017-12-312018-12-290000916365srt:MaximumMemberus</w:t>
      </w:r>
      <w:r>
        <w:rPr>
          <w:rFonts w:eastAsia="Times New Roman"/>
          <w:vanish/>
        </w:rPr>
        <w:t>-gaap:EmployeeStockOptionMember2017-01-012017-12-300000916365tsco:February2016TermLoanMember2019-12-280000916365tsco:February2016TermLoanMember2018-12-290000916365tsco:June2017TermLoanMember2019-12-280000916365tsco:June2017TermLoanMember2018-12-29000091636</w:t>
      </w:r>
      <w:r>
        <w:rPr>
          <w:rFonts w:eastAsia="Times New Roman"/>
          <w:vanish/>
        </w:rPr>
        <w:t>5tsco:A2016SeniorCreditFacilityMember2019-12-282019-12-280000916365tsco:A2016SeniorCreditFacilityMember2017-12-312018-12-290000916365us-gaap:SeniorNotesMember2019-12-282019-12-2800009163652019-12-282019-12-2800009163652017-08-142017-08-140000916365tsco:Feb</w:t>
      </w:r>
      <w:r>
        <w:rPr>
          <w:rFonts w:eastAsia="Times New Roman"/>
          <w:vanish/>
        </w:rPr>
        <w:t>ruary2016TermLoanMember2019-12-282019-12-280000916365tsco:June2017TermLoanMember2019-12-282019-12-280000916365tsco:DueinyearsoneandtwoFebruary2016TermLoanMember2019-12-282019-12-280000916365tsco:DueinyearsthreethroughfiveFebruary2016TermLoanMember2019-12-2</w:t>
      </w:r>
      <w:r>
        <w:rPr>
          <w:rFonts w:eastAsia="Times New Roman"/>
          <w:vanish/>
        </w:rPr>
        <w:t>82019-12-280000916365tsco:DueinyearsoneandtwoJune2017TermLoanMember2019-12-282019-12-280000916365tsco:DueinyearsthreethroughfiveJune2017TermLoanMemberMember2019-12-282019-12-280000916365us-gaap:BaseRateMember2019-12-280000916365us-gaap:LondonInterbankOffer</w:t>
      </w:r>
      <w:r>
        <w:rPr>
          <w:rFonts w:eastAsia="Times New Roman"/>
          <w:vanish/>
        </w:rPr>
        <w:t>edRateLIBORMember2019-12-280000916365srt:MinimumMember2018-12-302019-12-280000916365srt:MaximumMember2018-12-302019-12-280000916365tsco:June2017TermLoanMember2018-12-302019-12-280000916365tsco:NumberofFinancialCovenantsMember2019-12-282019-12-280000916365t</w:t>
      </w:r>
      <w:r>
        <w:rPr>
          <w:rFonts w:eastAsia="Times New Roman"/>
          <w:vanish/>
        </w:rPr>
        <w:t>sco:FixedChargeCoverageRatioMinimumRequirementMember2019-12-282019-12-280000916365tsco:LeverageRatioMaximumRequirementMember2019-12-282019-12-280000916365tsco:TermLoan1Member2016-03-312016-03-310000916365tsco:TermLoan1Member2019-12-282019-12-280000916365ts</w:t>
      </w:r>
      <w:r>
        <w:rPr>
          <w:rFonts w:eastAsia="Times New Roman"/>
          <w:vanish/>
        </w:rPr>
        <w:t>co:TermLoan1Member2016-03-310000916365tsco:TermLoan2Member2017-06-302017-06-300000916365tsco:TermLoan2Member2019-12-282019-12-280000916365tsco:TermLoan2Member2017-06-300000916365tsco:InterestRateSwapShortTermPortionMember2019-12-280000916365tsco:InterestRa</w:t>
      </w:r>
      <w:r>
        <w:rPr>
          <w:rFonts w:eastAsia="Times New Roman"/>
          <w:vanish/>
        </w:rPr>
        <w:t>teSwapShortTermPortionMember2018-12-290000916365tsco:InterestRateSwapLongTermPortionMember2019-12-280000916365tsco:InterestRateSwapLongTermPortionMember2018-12-290000916365tsco:InterestRateSwapLiabilityPortionMember2019-12-280000916365tsco:InterestRateSwap</w:t>
      </w:r>
      <w:r>
        <w:rPr>
          <w:rFonts w:eastAsia="Times New Roman"/>
          <w:vanish/>
        </w:rPr>
        <w:t>LiabilityPortionMember2018-12-290000916365tsco:BeginningBalanceMember2018-12-290000916365tsco:BeginningBalanceMember2017-12-300000916365tsco:OtherComprehensiveIncomeLossNetofTaxMember2018-12-302019-12-280000916365tsco:OtherComprehensiveIncomeLossNetofTaxMe</w:t>
      </w:r>
      <w:r>
        <w:rPr>
          <w:rFonts w:eastAsia="Times New Roman"/>
          <w:vanish/>
        </w:rPr>
        <w:t>mber2017-12-312018-12-290000916365srt:MinimumMemberus-gaap:BuildingMember2019-12-280000916365srt:MaximumMemberus-gaap:BuildingMember2019-12-2800009163652019-11-062019-11-0600009163652019-08-072019-08-0700009163652019-05-082019-05-0800009163652019-02-062019</w:t>
      </w:r>
      <w:r>
        <w:rPr>
          <w:rFonts w:eastAsia="Times New Roman"/>
          <w:vanish/>
        </w:rPr>
        <w:t>-02-0600009163652018-11-072018-11-0700009163652018-08-082018-08-0800009163652018-05-092018-05-0900009163652018-02-072018-02-070000916365us-gaap:SubsequentEventMember2020-02-052020-02-05tsco:segment0000916365tsco:LivestockAndPetMember2018-12-302019-12-28000</w:t>
      </w:r>
      <w:r>
        <w:rPr>
          <w:rFonts w:eastAsia="Times New Roman"/>
          <w:vanish/>
        </w:rPr>
        <w:t>0916365tsco:LivestockAndPetMember2017-12-312018-12-290000916365tsco:LivestockAndPetMember2017-01-012017-12-300000916365tsco:HardwareToolsAndTruckMember2018-12-302019-12-280000916365tsco:HardwareToolsAndTruckMember2017-12-312018-12-290000916365tsco:Hardware</w:t>
      </w:r>
      <w:r>
        <w:rPr>
          <w:rFonts w:eastAsia="Times New Roman"/>
          <w:vanish/>
        </w:rPr>
        <w:t>ToolsAndTruckMember2017-01-012017-12-300000916365tsco:SeasonalGiftAndToyProductsMember2018-12-302019-12-280000916365tsco:SeasonalGiftAndToyProductsMember2017-12-312018-12-290000916365tsco:SeasonalGiftAndToyProductsMember2017-01-012017-12-300000916365tsco:C</w:t>
      </w:r>
      <w:r>
        <w:rPr>
          <w:rFonts w:eastAsia="Times New Roman"/>
          <w:vanish/>
        </w:rPr>
        <w:t>lothingAndFootwareMember2018-12-302019-12-280000916365tsco:ClothingAndFootwareMember2017-12-312018-12-290000916365tsco:ClothingAndFootwareMember2017-01-012017-12-300000916365tsco:AgricultureMember2018-12-302019-12-280000916365tsco:AgricultureMember2017-12-</w:t>
      </w:r>
      <w:r>
        <w:rPr>
          <w:rFonts w:eastAsia="Times New Roman"/>
          <w:vanish/>
        </w:rPr>
        <w:t>312018-12-290000916365tsco:AgricultureMember2017-01-012017-12-300000916365tsco:TotalMember2018-12-302019-12-280000916365tsco:TotalMember2017-12-312018-12-290000916365tsco:TotalMember2017-01-012017-12-30</w:t>
      </w:r>
    </w:p>
    <w:p w:rsidR="00000000" w:rsidRDefault="00CB61D5">
      <w:pPr>
        <w:divId w:val="544294020"/>
        <w:rPr>
          <w:rFonts w:eastAsia="Times New Roman"/>
        </w:rPr>
      </w:pPr>
    </w:p>
    <w:p w:rsidR="00000000" w:rsidRDefault="00CB61D5">
      <w:pPr>
        <w:jc w:val="center"/>
        <w:rPr>
          <w:rFonts w:eastAsia="Times New Roman"/>
        </w:rPr>
      </w:pPr>
      <w:r>
        <w:rPr>
          <w:rFonts w:eastAsia="Times New Roman"/>
          <w:b/>
          <w:bCs/>
          <w:color w:val="000000"/>
          <w:sz w:val="20"/>
          <w:szCs w:val="20"/>
        </w:rPr>
        <w:t>UNITED STATE</w:t>
      </w:r>
      <w:r>
        <w:rPr>
          <w:rFonts w:eastAsia="Times New Roman"/>
          <w:b/>
          <w:bCs/>
          <w:color w:val="000000"/>
          <w:sz w:val="20"/>
          <w:szCs w:val="20"/>
        </w:rPr>
        <w:t>S</w:t>
      </w:r>
    </w:p>
    <w:p w:rsidR="00000000" w:rsidRDefault="00CB61D5">
      <w:pPr>
        <w:jc w:val="center"/>
        <w:rPr>
          <w:rFonts w:eastAsia="Times New Roman"/>
        </w:rPr>
      </w:pPr>
      <w:r>
        <w:rPr>
          <w:rFonts w:eastAsia="Times New Roman"/>
          <w:b/>
          <w:bCs/>
          <w:color w:val="000000"/>
          <w:sz w:val="20"/>
          <w:szCs w:val="20"/>
        </w:rPr>
        <w:t>SECURITIES AND EXCHANGE COMMISSIO</w:t>
      </w:r>
      <w:r>
        <w:rPr>
          <w:rFonts w:eastAsia="Times New Roman"/>
          <w:b/>
          <w:bCs/>
          <w:color w:val="000000"/>
          <w:sz w:val="20"/>
          <w:szCs w:val="20"/>
        </w:rPr>
        <w:t>N</w:t>
      </w:r>
    </w:p>
    <w:p w:rsidR="00000000" w:rsidRDefault="00CB61D5">
      <w:pPr>
        <w:jc w:val="center"/>
        <w:rPr>
          <w:rFonts w:eastAsia="Times New Roman"/>
        </w:rPr>
      </w:pPr>
      <w:r>
        <w:rPr>
          <w:rFonts w:eastAsia="Times New Roman"/>
          <w:b/>
          <w:bCs/>
          <w:color w:val="000000"/>
          <w:sz w:val="20"/>
          <w:szCs w:val="20"/>
        </w:rPr>
        <w:t>WA</w:t>
      </w:r>
      <w:r>
        <w:rPr>
          <w:rFonts w:eastAsia="Times New Roman"/>
          <w:b/>
          <w:bCs/>
          <w:color w:val="000000"/>
          <w:sz w:val="20"/>
          <w:szCs w:val="20"/>
        </w:rPr>
        <w:t>SHINGTON, D.C. 2054</w:t>
      </w:r>
      <w:r>
        <w:rPr>
          <w:rFonts w:eastAsia="Times New Roman"/>
          <w:b/>
          <w:bCs/>
          <w:color w:val="000000"/>
          <w:sz w:val="20"/>
          <w:szCs w:val="20"/>
        </w:rPr>
        <w:t>9</w:t>
      </w:r>
    </w:p>
    <w:p w:rsidR="00000000" w:rsidRDefault="00CB61D5">
      <w:pPr>
        <w:divId w:val="1378775282"/>
        <w:rPr>
          <w:rFonts w:eastAsia="Times New Roman"/>
        </w:rPr>
      </w:pPr>
    </w:p>
    <w:p w:rsidR="00000000" w:rsidRDefault="00CB61D5">
      <w:pPr>
        <w:jc w:val="center"/>
        <w:rPr>
          <w:rFonts w:eastAsia="Times New Roman"/>
        </w:rPr>
      </w:pPr>
      <w:r>
        <w:rPr>
          <w:rFonts w:eastAsia="Times New Roman"/>
          <w:b/>
          <w:bCs/>
          <w:color w:val="000000"/>
          <w:sz w:val="20"/>
          <w:szCs w:val="20"/>
        </w:rPr>
        <w:t>FORM 10-</w:t>
      </w:r>
      <w:r>
        <w:rPr>
          <w:rFonts w:eastAsia="Times New Roman"/>
          <w:b/>
          <w:bCs/>
          <w:color w:val="000000"/>
          <w:sz w:val="20"/>
          <w:szCs w:val="20"/>
        </w:rPr>
        <w:t>K</w:t>
      </w:r>
    </w:p>
    <w:p w:rsidR="00000000" w:rsidRDefault="00CB61D5">
      <w:pPr>
        <w:divId w:val="699668767"/>
        <w:rPr>
          <w:rFonts w:eastAsia="Times New Roman"/>
        </w:rPr>
      </w:pPr>
      <w:r>
        <w:rPr>
          <w:rFonts w:eastAsia="Times New Roman"/>
          <w:color w:val="000000"/>
          <w:sz w:val="16"/>
          <w:szCs w:val="16"/>
        </w:rPr>
        <w:t>(Mark One</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161"/>
        <w:gridCol w:w="83"/>
        <w:gridCol w:w="83"/>
        <w:gridCol w:w="7813"/>
        <w:gridCol w:w="83"/>
      </w:tblGrid>
      <w:tr w:rsidR="00000000">
        <w:trPr>
          <w:divId w:val="1105347853"/>
        </w:trPr>
        <w:tc>
          <w:tcPr>
            <w:tcW w:w="50" w:type="pct"/>
            <w:vAlign w:val="center"/>
            <w:hideMark/>
          </w:tcPr>
          <w:p w:rsidR="00000000" w:rsidRDefault="00CB61D5">
            <w:pPr>
              <w:rPr>
                <w:rFonts w:eastAsia="Times New Roman"/>
              </w:rPr>
            </w:pPr>
          </w:p>
        </w:tc>
        <w:tc>
          <w:tcPr>
            <w:tcW w:w="9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0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05347853"/>
        </w:trPr>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rPr>
              <w: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ANNUAL REPORT PURSUANT TO SECTION 13 OR 15(d) OF THE SECURITIES EXCHANGE ACT OF 193</w:t>
            </w:r>
            <w:r>
              <w:rPr>
                <w:rFonts w:eastAsia="Times New Roman"/>
                <w:color w:val="000000"/>
                <w:sz w:val="20"/>
                <w:szCs w:val="20"/>
              </w:rPr>
              <w:t>4</w:t>
            </w:r>
          </w:p>
        </w:tc>
      </w:tr>
    </w:tbl>
    <w:p w:rsidR="00000000" w:rsidRDefault="00CB61D5">
      <w:pPr>
        <w:jc w:val="center"/>
        <w:rPr>
          <w:rFonts w:eastAsia="Times New Roman"/>
        </w:rPr>
      </w:pPr>
      <w:r>
        <w:rPr>
          <w:rFonts w:eastAsia="Times New Roman"/>
          <w:color w:val="000000"/>
          <w:sz w:val="20"/>
          <w:szCs w:val="20"/>
        </w:rPr>
        <w:t>For the fiscal year ended December 28, 2019</w:t>
      </w:r>
      <w:r>
        <w:rPr>
          <w:rFonts w:eastAsia="Times New Roman"/>
          <w:color w:val="000000"/>
          <w:sz w:val="20"/>
          <w:szCs w:val="20"/>
        </w:rPr>
        <w:t xml:space="preserve"> </w:t>
      </w:r>
    </w:p>
    <w:p w:rsidR="00000000" w:rsidRDefault="00CB61D5">
      <w:pPr>
        <w:jc w:val="center"/>
        <w:rPr>
          <w:rFonts w:eastAsia="Times New Roman"/>
        </w:rPr>
      </w:pPr>
      <w:r>
        <w:rPr>
          <w:rFonts w:eastAsia="Times New Roman"/>
          <w:color w:val="000000"/>
          <w:sz w:val="20"/>
          <w:szCs w:val="20"/>
        </w:rPr>
        <w:t>o</w:t>
      </w:r>
      <w:r>
        <w:rPr>
          <w:rFonts w:eastAsia="Times New Roman"/>
          <w:color w:val="000000"/>
          <w:sz w:val="20"/>
          <w:szCs w:val="20"/>
        </w:rPr>
        <w:t>r</w:t>
      </w:r>
    </w:p>
    <w:tbl>
      <w:tblPr>
        <w:tblW w:w="5000" w:type="pct"/>
        <w:tblCellMar>
          <w:top w:w="15" w:type="dxa"/>
          <w:left w:w="15" w:type="dxa"/>
          <w:bottom w:w="15" w:type="dxa"/>
          <w:right w:w="15" w:type="dxa"/>
        </w:tblCellMar>
        <w:tblLook w:val="04A0" w:firstRow="1" w:lastRow="0" w:firstColumn="1" w:lastColumn="0" w:noHBand="0" w:noVBand="1"/>
      </w:tblPr>
      <w:tblGrid>
        <w:gridCol w:w="83"/>
        <w:gridCol w:w="161"/>
        <w:gridCol w:w="83"/>
        <w:gridCol w:w="83"/>
        <w:gridCol w:w="7813"/>
        <w:gridCol w:w="83"/>
      </w:tblGrid>
      <w:tr w:rsidR="00000000">
        <w:trPr>
          <w:divId w:val="1380401255"/>
        </w:trPr>
        <w:tc>
          <w:tcPr>
            <w:tcW w:w="50" w:type="pct"/>
            <w:vAlign w:val="center"/>
            <w:hideMark/>
          </w:tcPr>
          <w:p w:rsidR="00000000" w:rsidRDefault="00CB61D5">
            <w:pPr>
              <w:jc w:val="center"/>
              <w:rPr>
                <w:rFonts w:eastAsia="Times New Roman"/>
              </w:rPr>
            </w:pPr>
          </w:p>
        </w:tc>
        <w:tc>
          <w:tcPr>
            <w:tcW w:w="9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0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38040125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TRANSITION REPORT PURSUANT TO SECTION 13 OR 15(d) OF THE SECURITIES EXCHANGE ACT OF 193</w:t>
            </w:r>
            <w:r>
              <w:rPr>
                <w:rFonts w:eastAsia="Times New Roman"/>
                <w:color w:val="000000"/>
                <w:sz w:val="20"/>
                <w:szCs w:val="20"/>
              </w:rPr>
              <w:t>4</w:t>
            </w:r>
          </w:p>
        </w:tc>
      </w:tr>
    </w:tbl>
    <w:p w:rsidR="00000000" w:rsidRDefault="00CB61D5">
      <w:pPr>
        <w:jc w:val="center"/>
        <w:rPr>
          <w:rFonts w:eastAsia="Times New Roman"/>
        </w:rPr>
      </w:pPr>
      <w:r>
        <w:rPr>
          <w:rFonts w:eastAsia="Times New Roman"/>
          <w:color w:val="000000"/>
          <w:sz w:val="20"/>
          <w:szCs w:val="20"/>
        </w:rPr>
        <w:t>For the transition period from________to________</w:t>
      </w:r>
      <w:r>
        <w:rPr>
          <w:rFonts w:eastAsia="Times New Roman"/>
          <w:color w:val="000000"/>
          <w:sz w:val="20"/>
          <w:szCs w:val="20"/>
        </w:rPr>
        <w:t>.</w:t>
      </w:r>
    </w:p>
    <w:p w:rsidR="00000000" w:rsidRDefault="00CB61D5">
      <w:pPr>
        <w:jc w:val="center"/>
        <w:rPr>
          <w:rFonts w:eastAsia="Times New Roman"/>
        </w:rPr>
      </w:pPr>
      <w:r>
        <w:rPr>
          <w:rFonts w:eastAsia="Times New Roman"/>
          <w:color w:val="000000"/>
          <w:sz w:val="20"/>
          <w:szCs w:val="20"/>
        </w:rPr>
        <w:t>Commission file number</w:t>
      </w:r>
      <w:r>
        <w:rPr>
          <w:rFonts w:eastAsia="Times New Roman"/>
          <w:color w:val="000000"/>
          <w:sz w:val="20"/>
          <w:szCs w:val="20"/>
        </w:rPr>
        <w:t xml:space="preserve"> </w:t>
      </w:r>
      <w:r>
        <w:rPr>
          <w:rFonts w:eastAsia="Times New Roman"/>
          <w:color w:val="000000"/>
          <w:sz w:val="20"/>
          <w:szCs w:val="20"/>
          <w:u w:val="single"/>
        </w:rPr>
        <w:t>000-2331</w:t>
      </w:r>
      <w:r>
        <w:rPr>
          <w:rFonts w:eastAsia="Times New Roman"/>
          <w:color w:val="000000"/>
          <w:sz w:val="20"/>
          <w:szCs w:val="20"/>
          <w:u w:val="single"/>
        </w:rPr>
        <w:t>4</w:t>
      </w:r>
    </w:p>
    <w:p w:rsidR="00000000" w:rsidRDefault="00CB61D5">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5"/>
        <w:gridCol w:w="3942"/>
        <w:gridCol w:w="75"/>
        <w:gridCol w:w="36"/>
        <w:gridCol w:w="36"/>
        <w:gridCol w:w="36"/>
        <w:gridCol w:w="75"/>
        <w:gridCol w:w="3955"/>
        <w:gridCol w:w="76"/>
      </w:tblGrid>
      <w:tr w:rsidR="00000000">
        <w:trPr>
          <w:divId w:val="2094231931"/>
        </w:trPr>
        <w:tc>
          <w:tcPr>
            <w:tcW w:w="50" w:type="pct"/>
            <w:vAlign w:val="center"/>
            <w:hideMark/>
          </w:tcPr>
          <w:p w:rsidR="00000000" w:rsidRDefault="00CB61D5">
            <w:pPr>
              <w:jc w:val="center"/>
              <w:rPr>
                <w:rFonts w:eastAsia="Times New Roman"/>
              </w:rPr>
            </w:pPr>
          </w:p>
        </w:tc>
        <w:tc>
          <w:tcPr>
            <w:tcW w:w="23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38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0942319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Delawar</w:t>
            </w:r>
            <w:r>
              <w:rPr>
                <w:rFonts w:eastAsia="Times New Roman"/>
                <w:color w:val="000000"/>
                <w:sz w:val="16"/>
                <w:szCs w:val="16"/>
                <w:u w:val="single"/>
              </w:rPr>
              <w:t>e</w:t>
            </w:r>
          </w:p>
        </w:tc>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13-313973</w:t>
            </w:r>
            <w:r>
              <w:rPr>
                <w:rFonts w:eastAsia="Times New Roman"/>
                <w:color w:val="000000"/>
                <w:sz w:val="16"/>
                <w:szCs w:val="16"/>
                <w:u w:val="single"/>
              </w:rPr>
              <w:t>2</w:t>
            </w:r>
          </w:p>
        </w:tc>
      </w:tr>
      <w:tr w:rsidR="00000000">
        <w:trPr>
          <w:divId w:val="20942319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(State or Other Jurisdiction o</w:t>
            </w:r>
            <w:r>
              <w:rPr>
                <w:rFonts w:eastAsia="Times New Roman"/>
                <w:color w:val="000000"/>
                <w:sz w:val="16"/>
                <w:szCs w:val="16"/>
              </w:rPr>
              <w:t>f</w:t>
            </w:r>
          </w:p>
          <w:p w:rsidR="00000000" w:rsidRDefault="00CB61D5">
            <w:pPr>
              <w:jc w:val="center"/>
              <w:rPr>
                <w:rFonts w:eastAsia="Times New Roman"/>
              </w:rPr>
            </w:pPr>
            <w:r>
              <w:rPr>
                <w:rFonts w:eastAsia="Times New Roman"/>
                <w:color w:val="000000"/>
                <w:sz w:val="16"/>
                <w:szCs w:val="16"/>
              </w:rPr>
              <w:t>Incorporation or Organization</w:t>
            </w:r>
            <w:r>
              <w:rPr>
                <w:rFonts w:eastAsia="Times New Roman"/>
                <w:color w:val="000000"/>
                <w:sz w:val="16"/>
                <w:szCs w:val="16"/>
              </w:rPr>
              <w:t>)</w:t>
            </w:r>
          </w:p>
        </w:tc>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(I.R.S. Employer Identification No.</w:t>
            </w:r>
            <w:r>
              <w:rPr>
                <w:rFonts w:eastAsia="Times New Roman"/>
                <w:color w:val="000000"/>
                <w:sz w:val="16"/>
                <w:szCs w:val="16"/>
              </w:rPr>
              <w:t>)</w:t>
            </w:r>
          </w:p>
        </w:tc>
      </w:tr>
      <w:tr w:rsidR="00000000">
        <w:trPr>
          <w:divId w:val="2094231931"/>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r>
      <w:tr w:rsidR="00000000">
        <w:trPr>
          <w:divId w:val="20942319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5401 Virginia Way, Brentwood, Tennesse</w:t>
            </w:r>
            <w:r>
              <w:rPr>
                <w:rFonts w:eastAsia="Times New Roman"/>
                <w:color w:val="000000"/>
                <w:sz w:val="16"/>
                <w:szCs w:val="16"/>
                <w:u w:val="single"/>
              </w:rPr>
              <w:t>e</w:t>
            </w:r>
          </w:p>
        </w:tc>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3702</w:t>
            </w:r>
            <w:r>
              <w:rPr>
                <w:rFonts w:eastAsia="Times New Roman"/>
                <w:color w:val="000000"/>
                <w:sz w:val="16"/>
                <w:szCs w:val="16"/>
                <w:u w:val="single"/>
              </w:rPr>
              <w:t>7</w:t>
            </w:r>
          </w:p>
        </w:tc>
      </w:tr>
      <w:tr w:rsidR="00000000">
        <w:trPr>
          <w:divId w:val="20942319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(Address of Principal Executive Offices</w:t>
            </w:r>
            <w:r>
              <w:rPr>
                <w:rFonts w:eastAsia="Times New Roman"/>
                <w:color w:val="000000"/>
                <w:sz w:val="16"/>
                <w:szCs w:val="16"/>
              </w:rPr>
              <w:t>)</w:t>
            </w:r>
          </w:p>
        </w:tc>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(Zip Code</w:t>
            </w:r>
            <w:r>
              <w:rPr>
                <w:rFonts w:eastAsia="Times New Roman"/>
                <w:color w:val="000000"/>
                <w:sz w:val="16"/>
                <w:szCs w:val="16"/>
              </w:rPr>
              <w:t>)</w:t>
            </w:r>
          </w:p>
        </w:tc>
      </w:tr>
      <w:tr w:rsidR="00000000">
        <w:trPr>
          <w:divId w:val="2094231931"/>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r>
      <w:tr w:rsidR="00000000">
        <w:trPr>
          <w:divId w:val="20942319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Registrant’s Telephone Number, Including Area Code</w:t>
            </w:r>
            <w:r>
              <w:rPr>
                <w:rFonts w:eastAsia="Times New Roman"/>
                <w:color w:val="000000"/>
                <w:sz w:val="16"/>
                <w:szCs w:val="16"/>
              </w:rPr>
              <w:t>:</w:t>
            </w:r>
          </w:p>
        </w:tc>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(615) 440-400</w:t>
            </w:r>
            <w:r>
              <w:rPr>
                <w:rFonts w:eastAsia="Times New Roman"/>
                <w:color w:val="000000"/>
                <w:sz w:val="16"/>
                <w:szCs w:val="16"/>
                <w:u w:val="single"/>
              </w:rPr>
              <w:t>0</w:t>
            </w:r>
          </w:p>
        </w:tc>
      </w:tr>
    </w:tbl>
    <w:p w:rsidR="00000000" w:rsidRDefault="00CB61D5">
      <w:pPr>
        <w:jc w:val="center"/>
        <w:divId w:val="627930055"/>
        <w:rPr>
          <w:rFonts w:eastAsia="Times New Roman"/>
        </w:rPr>
      </w:pPr>
      <w:r>
        <w:rPr>
          <w:rFonts w:eastAsia="Times New Roman"/>
          <w:color w:val="000000"/>
          <w:sz w:val="16"/>
          <w:szCs w:val="16"/>
        </w:rPr>
        <w:t>Securities Registered Pursuant to Section 12(b) of the Act</w:t>
      </w:r>
      <w:r>
        <w:rPr>
          <w:rFonts w:eastAsia="Times New Roman"/>
          <w:color w:val="000000"/>
          <w:sz w:val="16"/>
          <w:szCs w:val="16"/>
        </w:rPr>
        <w:t>:</w:t>
      </w:r>
    </w:p>
    <w:tbl>
      <w:tblPr>
        <w:tblW w:w="4576" w:type="pct"/>
        <w:tblCellMar>
          <w:top w:w="15" w:type="dxa"/>
          <w:left w:w="15" w:type="dxa"/>
          <w:bottom w:w="15" w:type="dxa"/>
          <w:right w:w="15" w:type="dxa"/>
        </w:tblCellMar>
        <w:tblLook w:val="04A0" w:firstRow="1" w:lastRow="0" w:firstColumn="1" w:lastColumn="0" w:noHBand="0" w:noVBand="1"/>
      </w:tblPr>
      <w:tblGrid>
        <w:gridCol w:w="64"/>
        <w:gridCol w:w="3371"/>
        <w:gridCol w:w="64"/>
        <w:gridCol w:w="36"/>
        <w:gridCol w:w="36"/>
        <w:gridCol w:w="36"/>
        <w:gridCol w:w="60"/>
        <w:gridCol w:w="1037"/>
        <w:gridCol w:w="65"/>
        <w:gridCol w:w="36"/>
        <w:gridCol w:w="36"/>
        <w:gridCol w:w="36"/>
        <w:gridCol w:w="65"/>
        <w:gridCol w:w="2595"/>
        <w:gridCol w:w="65"/>
      </w:tblGrid>
      <w:tr w:rsidR="00000000">
        <w:trPr>
          <w:divId w:val="2134907231"/>
        </w:trPr>
        <w:tc>
          <w:tcPr>
            <w:tcW w:w="50" w:type="pct"/>
            <w:vAlign w:val="center"/>
            <w:hideMark/>
          </w:tcPr>
          <w:p w:rsidR="00000000" w:rsidRDefault="00CB61D5">
            <w:pPr>
              <w:jc w:val="center"/>
              <w:rPr>
                <w:rFonts w:eastAsia="Times New Roman"/>
              </w:rPr>
            </w:pPr>
          </w:p>
        </w:tc>
        <w:tc>
          <w:tcPr>
            <w:tcW w:w="222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9"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1"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71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1349072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Title of each clas</w:t>
            </w:r>
            <w:r>
              <w:rPr>
                <w:rFonts w:eastAsia="Times New Roman"/>
                <w:color w:val="000000"/>
                <w:sz w:val="16"/>
                <w:szCs w:val="16"/>
                <w:u w:val="single"/>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Trading Symbol(s</w:t>
            </w:r>
            <w:r>
              <w:rPr>
                <w:rFonts w:eastAsia="Times New Roman"/>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u w:val="single"/>
              </w:rPr>
              <w:t>Name of each exchange on which registere</w:t>
            </w:r>
            <w:r>
              <w:rPr>
                <w:rFonts w:eastAsia="Times New Roman"/>
                <w:color w:val="000000"/>
                <w:sz w:val="16"/>
                <w:szCs w:val="16"/>
                <w:u w:val="single"/>
              </w:rPr>
              <w:t>d</w:t>
            </w:r>
          </w:p>
        </w:tc>
      </w:tr>
      <w:tr w:rsidR="00000000">
        <w:trPr>
          <w:divId w:val="2134907231"/>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Common Stock, $.008 par valu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TSC</w:t>
            </w:r>
            <w:r>
              <w:rPr>
                <w:rFonts w:eastAsia="Times New Roman"/>
                <w:color w:val="000000"/>
                <w:sz w:val="16"/>
                <w:szCs w:val="16"/>
              </w:rPr>
              <w:t>O</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16"/>
                <w:szCs w:val="16"/>
              </w:rPr>
              <w:t>NASDAQ Global Select Marke</w:t>
            </w:r>
            <w:r>
              <w:rPr>
                <w:rFonts w:eastAsia="Times New Roman"/>
                <w:color w:val="000000"/>
                <w:sz w:val="16"/>
                <w:szCs w:val="16"/>
              </w:rPr>
              <w:t>t</w:t>
            </w:r>
          </w:p>
        </w:tc>
      </w:tr>
    </w:tbl>
    <w:p w:rsidR="00000000" w:rsidRDefault="00CB61D5">
      <w:pPr>
        <w:divId w:val="1752384605"/>
        <w:rPr>
          <w:rFonts w:eastAsia="Times New Roman"/>
        </w:rPr>
      </w:pPr>
    </w:p>
    <w:p w:rsidR="00000000" w:rsidRDefault="00CB61D5">
      <w:pPr>
        <w:divId w:val="988051347"/>
        <w:rPr>
          <w:rFonts w:eastAsia="Times New Roman"/>
        </w:rPr>
      </w:pPr>
      <w:r>
        <w:rPr>
          <w:rFonts w:eastAsia="Times New Roman"/>
          <w:color w:val="000000"/>
          <w:sz w:val="16"/>
          <w:szCs w:val="16"/>
        </w:rPr>
        <w:t>Securities Registered Pursuant to Section 12(g) of the Act: Non</w:t>
      </w:r>
      <w:r>
        <w:rPr>
          <w:rFonts w:eastAsia="Times New Roman"/>
          <w:color w:val="000000"/>
          <w:sz w:val="16"/>
          <w:szCs w:val="16"/>
        </w:rPr>
        <w:t>e</w:t>
      </w:r>
    </w:p>
    <w:tbl>
      <w:tblPr>
        <w:tblW w:w="3040" w:type="pct"/>
        <w:tblCellMar>
          <w:top w:w="15" w:type="dxa"/>
          <w:left w:w="15" w:type="dxa"/>
          <w:bottom w:w="15" w:type="dxa"/>
          <w:right w:w="15" w:type="dxa"/>
        </w:tblCellMar>
        <w:tblLook w:val="04A0" w:firstRow="1" w:lastRow="0" w:firstColumn="1" w:lastColumn="0" w:noHBand="0" w:noVBand="1"/>
      </w:tblPr>
      <w:tblGrid>
        <w:gridCol w:w="50"/>
        <w:gridCol w:w="2423"/>
        <w:gridCol w:w="51"/>
        <w:gridCol w:w="51"/>
        <w:gridCol w:w="2424"/>
        <w:gridCol w:w="51"/>
      </w:tblGrid>
      <w:tr w:rsidR="00000000">
        <w:trPr>
          <w:divId w:val="137962794"/>
        </w:trPr>
        <w:tc>
          <w:tcPr>
            <w:tcW w:w="50" w:type="pct"/>
            <w:vAlign w:val="center"/>
            <w:hideMark/>
          </w:tcPr>
          <w:p w:rsidR="00000000" w:rsidRDefault="00CB61D5">
            <w:pPr>
              <w:rPr>
                <w:rFonts w:eastAsia="Times New Roman"/>
              </w:rPr>
            </w:pPr>
          </w:p>
        </w:tc>
        <w:tc>
          <w:tcPr>
            <w:tcW w:w="24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4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37962794"/>
          <w:trHeight w:val="10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divId w:val="1604797519"/>
        <w:rPr>
          <w:rFonts w:eastAsia="Times New Roman"/>
        </w:rPr>
      </w:pPr>
      <w:r>
        <w:rPr>
          <w:rFonts w:eastAsia="Times New Roman"/>
          <w:color w:val="000000"/>
          <w:sz w:val="16"/>
          <w:szCs w:val="16"/>
        </w:rPr>
        <w:t>Indicate by check mark if the registrant is a well-known seasoned issuer, as defined in Rule 405 of the Securities Act</w:t>
      </w:r>
      <w:r>
        <w:rPr>
          <w:rFonts w:eastAsia="Times New Roman"/>
          <w:color w:val="000000"/>
          <w:sz w:val="16"/>
          <w:szCs w:val="16"/>
        </w:rPr>
        <w:t>.</w:t>
      </w:r>
    </w:p>
    <w:p w:rsidR="00000000" w:rsidRDefault="00CB61D5">
      <w:pPr>
        <w:jc w:val="center"/>
        <w:rPr>
          <w:rFonts w:eastAsia="Times New Roman"/>
        </w:rPr>
      </w:pPr>
      <w:r>
        <w:rPr>
          <w:rFonts w:eastAsia="Times New Roman"/>
          <w:color w:val="000000"/>
          <w:sz w:val="16"/>
          <w:szCs w:val="16"/>
        </w:rPr>
        <w:t>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divId w:val="530797922"/>
        <w:rPr>
          <w:rFonts w:eastAsia="Times New Roman"/>
        </w:rPr>
      </w:pPr>
      <w:r>
        <w:rPr>
          <w:rFonts w:eastAsia="Times New Roman"/>
          <w:color w:val="000000"/>
          <w:sz w:val="16"/>
          <w:szCs w:val="16"/>
        </w:rPr>
        <w:t>Indicate by check mark if the registrant is not required to file reports pursuant to Section 13 or Section 15(d) of the A</w:t>
      </w:r>
      <w:r>
        <w:rPr>
          <w:rFonts w:eastAsia="Times New Roman"/>
          <w:color w:val="000000"/>
          <w:sz w:val="16"/>
          <w:szCs w:val="16"/>
        </w:rPr>
        <w:t>ct</w:t>
      </w:r>
      <w:r>
        <w:rPr>
          <w:rFonts w:eastAsia="Times New Roman"/>
          <w:color w:val="000000"/>
          <w:sz w:val="16"/>
          <w:szCs w:val="16"/>
        </w:rPr>
        <w:t>.</w:t>
      </w:r>
    </w:p>
    <w:p w:rsidR="00000000" w:rsidRDefault="00CB61D5">
      <w:pPr>
        <w:jc w:val="center"/>
        <w:rPr>
          <w:rFonts w:eastAsia="Times New Roman"/>
        </w:rPr>
      </w:pPr>
      <w:r>
        <w:rPr>
          <w:rFonts w:eastAsia="Times New Roman"/>
          <w:color w:val="000000"/>
          <w:sz w:val="16"/>
          <w:szCs w:val="16"/>
        </w:rPr>
        <w:t>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w:t>
      </w:r>
      <w:r>
        <w:rPr>
          <w:rFonts w:eastAsia="Times New Roman"/>
          <w:color w:val="000000"/>
          <w:sz w:val="16"/>
          <w:szCs w:val="16"/>
        </w:rPr>
        <w:t xml:space="preserve"> required to file such reports), and (2) has been subject to such filing requirements for the past 90 days</w:t>
      </w:r>
      <w:r>
        <w:rPr>
          <w:rFonts w:eastAsia="Times New Roman"/>
          <w:color w:val="000000"/>
          <w:sz w:val="16"/>
          <w:szCs w:val="16"/>
        </w:rPr>
        <w:t>.</w:t>
      </w:r>
    </w:p>
    <w:p w:rsidR="00000000" w:rsidRDefault="00CB61D5">
      <w:pPr>
        <w:jc w:val="center"/>
        <w:rPr>
          <w:rFonts w:eastAsia="Times New Roman"/>
        </w:rPr>
      </w:pPr>
      <w:r>
        <w:rPr>
          <w:rFonts w:eastAsia="Times New Roman"/>
          <w:color w:val="000000"/>
          <w:sz w:val="16"/>
          <w:szCs w:val="16"/>
        </w:rPr>
        <w:t>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jc w:val="both"/>
        <w:rPr>
          <w:rFonts w:eastAsia="Times New Roman"/>
        </w:rPr>
      </w:pPr>
      <w:r>
        <w:rPr>
          <w:rFonts w:eastAsia="Times New Roman"/>
          <w:color w:val="000000"/>
          <w:sz w:val="16"/>
          <w:szCs w:val="16"/>
        </w:rPr>
        <w:t>Indicate by check mark whether the registrant has submitted electronically every Interactive Data File required to be submitted pursu</w:t>
      </w:r>
      <w:r>
        <w:rPr>
          <w:rFonts w:eastAsia="Times New Roman"/>
          <w:color w:val="000000"/>
          <w:sz w:val="16"/>
          <w:szCs w:val="16"/>
        </w:rPr>
        <w:t>ant to Rule 405 of Regulation S-T (§232.405 of this chapter) during the preceding 12 months (or for such shorter period that the registrant was required to submit such files)</w:t>
      </w:r>
      <w:r>
        <w:rPr>
          <w:rFonts w:eastAsia="Times New Roman"/>
          <w:color w:val="000000"/>
          <w:sz w:val="16"/>
          <w:szCs w:val="16"/>
        </w:rPr>
        <w:t>.</w:t>
      </w:r>
    </w:p>
    <w:p w:rsidR="00000000" w:rsidRDefault="00CB61D5">
      <w:pPr>
        <w:jc w:val="center"/>
        <w:rPr>
          <w:rFonts w:eastAsia="Times New Roman"/>
        </w:rPr>
      </w:pPr>
      <w:r>
        <w:rPr>
          <w:rFonts w:eastAsia="Times New Roman"/>
          <w:color w:val="000000"/>
          <w:sz w:val="16"/>
          <w:szCs w:val="16"/>
        </w:rPr>
        <w:t>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divId w:val="1031802530"/>
        <w:rPr>
          <w:rFonts w:eastAsia="Times New Roman"/>
        </w:rPr>
      </w:pPr>
    </w:p>
    <w:p w:rsidR="00000000" w:rsidRDefault="00CB61D5">
      <w:pPr>
        <w:jc w:val="both"/>
        <w:rPr>
          <w:rFonts w:eastAsia="Times New Roman"/>
        </w:rPr>
      </w:pPr>
      <w:r>
        <w:rPr>
          <w:rFonts w:eastAsia="Times New Roman"/>
          <w:color w:val="000000"/>
          <w:sz w:val="16"/>
          <w:szCs w:val="16"/>
        </w:rPr>
        <w:t>Indicate by check mark whether the registrant is a large accele</w:t>
      </w:r>
      <w:r>
        <w:rPr>
          <w:rFonts w:eastAsia="Times New Roman"/>
          <w:color w:val="000000"/>
          <w:sz w:val="16"/>
          <w:szCs w:val="16"/>
        </w:rPr>
        <w:t>rated filer, an accelerated filer, a non-accelerated filer, a smaller reporting company, or an emerging growth company.  See the definitions of “large accelerated filer,” “accelerated filer,” “smaller reporting company” and “emerging growth company” in Rul</w:t>
      </w:r>
      <w:r>
        <w:rPr>
          <w:rFonts w:eastAsia="Times New Roman"/>
          <w:color w:val="000000"/>
          <w:sz w:val="16"/>
          <w:szCs w:val="16"/>
        </w:rPr>
        <w:t>e 12b-2 of the Exchange Act:</w:t>
      </w:r>
      <w:r>
        <w:rPr>
          <w:rFonts w:eastAsia="Times New Roman"/>
          <w:color w:val="000000"/>
          <w:sz w:val="16"/>
          <w:szCs w:val="16"/>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83"/>
        <w:gridCol w:w="137"/>
        <w:gridCol w:w="83"/>
        <w:gridCol w:w="83"/>
        <w:gridCol w:w="1534"/>
        <w:gridCol w:w="83"/>
        <w:gridCol w:w="83"/>
        <w:gridCol w:w="3380"/>
        <w:gridCol w:w="83"/>
        <w:gridCol w:w="83"/>
        <w:gridCol w:w="1825"/>
        <w:gridCol w:w="83"/>
        <w:gridCol w:w="83"/>
        <w:gridCol w:w="575"/>
        <w:gridCol w:w="83"/>
      </w:tblGrid>
      <w:tr w:rsidR="00000000">
        <w:trPr>
          <w:divId w:val="1655600879"/>
        </w:trPr>
        <w:tc>
          <w:tcPr>
            <w:tcW w:w="50" w:type="pct"/>
            <w:vAlign w:val="center"/>
            <w:hideMark/>
          </w:tcPr>
          <w:p w:rsidR="00000000" w:rsidRDefault="00CB61D5">
            <w:pPr>
              <w:jc w:val="both"/>
              <w:rPr>
                <w:rFonts w:eastAsia="Times New Roman"/>
              </w:rPr>
            </w:pPr>
          </w:p>
        </w:tc>
        <w:tc>
          <w:tcPr>
            <w:tcW w:w="8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92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04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10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4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65560087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sz w:val="16"/>
                <w:szCs w:val="16"/>
              </w:rPr>
              <w:t>☐</w:t>
            </w:r>
          </w:p>
        </w:tc>
      </w:tr>
      <w:tr w:rsidR="00000000">
        <w:trPr>
          <w:divId w:val="165560087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Non-accelerated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sz w:val="16"/>
                <w:szCs w:val="16"/>
              </w:rPr>
              <w:t>☐</w:t>
            </w:r>
          </w:p>
        </w:tc>
      </w:tr>
      <w:tr w:rsidR="00000000">
        <w:trPr>
          <w:divId w:val="1655600879"/>
        </w:trPr>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16"/>
                <w:szCs w:val="16"/>
              </w:rPr>
              <w:t>Emerging growth compan</w:t>
            </w:r>
            <w:r>
              <w:rPr>
                <w:rFonts w:eastAsia="Times New Roman"/>
                <w:color w:val="000000"/>
                <w:sz w:val="16"/>
                <w:szCs w:val="16"/>
              </w:rPr>
              <w:t>y</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ascii="Wingdings" w:eastAsia="Times New Roman" w:hAnsi="Wingdings"/>
                <w:color w:val="000000"/>
                <w:sz w:val="16"/>
                <w:szCs w:val="16"/>
              </w:rPr>
              <w:t>☐</w:t>
            </w:r>
          </w:p>
        </w:tc>
      </w:tr>
    </w:tbl>
    <w:p w:rsidR="00000000" w:rsidRDefault="00CB61D5">
      <w:pPr>
        <w:divId w:val="137665539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16"/>
          <w:szCs w:val="16"/>
        </w:rPr>
        <w:t>I</w:t>
      </w:r>
      <w:r>
        <w:rPr>
          <w:rFonts w:eastAsia="Times New Roman"/>
          <w:color w:val="000000"/>
          <w:sz w:val="16"/>
          <w:szCs w:val="16"/>
        </w:rPr>
        <w:t>ndicate by check mark whether the registrant is a shell company (as defined in Rule 12b-2 of the Act.</w:t>
      </w:r>
      <w:r>
        <w:rPr>
          <w:rFonts w:eastAsia="Times New Roman"/>
          <w:color w:val="000000"/>
          <w:sz w:val="16"/>
          <w:szCs w:val="16"/>
        </w:rPr>
        <w:t>)</w:t>
      </w:r>
    </w:p>
    <w:p w:rsidR="00000000" w:rsidRDefault="00CB61D5">
      <w:pPr>
        <w:jc w:val="center"/>
        <w:rPr>
          <w:rFonts w:eastAsia="Times New Roman"/>
        </w:rPr>
      </w:pPr>
      <w:r>
        <w:rPr>
          <w:rFonts w:eastAsia="Times New Roman"/>
          <w:color w:val="000000"/>
          <w:sz w:val="16"/>
          <w:szCs w:val="16"/>
        </w:rPr>
        <w:t>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CB61D5">
      <w:pPr>
        <w:jc w:val="both"/>
        <w:rPr>
          <w:rFonts w:eastAsia="Times New Roman"/>
        </w:rPr>
      </w:pPr>
      <w:r>
        <w:rPr>
          <w:rFonts w:eastAsia="Times New Roman"/>
          <w:color w:val="000000"/>
          <w:sz w:val="16"/>
          <w:szCs w:val="16"/>
        </w:rPr>
        <w:t>The aggregate market value of the Common Stock held by non-affiliates of the registrant, based on the closing price of the Common Stock on</w:t>
      </w:r>
      <w:r>
        <w:rPr>
          <w:rFonts w:eastAsia="Times New Roman"/>
          <w:color w:val="000000"/>
          <w:sz w:val="16"/>
          <w:szCs w:val="16"/>
        </w:rPr>
        <w:t xml:space="preserve"> The NASDAQ Global Select Market on June 29, 2019, the last business day of the registrant’s most recently completed </w:t>
      </w:r>
      <w:r>
        <w:rPr>
          <w:rFonts w:eastAsia="Times New Roman"/>
          <w:color w:val="000000"/>
          <w:sz w:val="16"/>
          <w:szCs w:val="16"/>
        </w:rPr>
        <w:lastRenderedPageBreak/>
        <w:t>second fiscal quarter, was approximately $10.8 billion.  For purposes of this response, the registrant has assumed that its directors, exec</w:t>
      </w:r>
      <w:r>
        <w:rPr>
          <w:rFonts w:eastAsia="Times New Roman"/>
          <w:color w:val="000000"/>
          <w:sz w:val="16"/>
          <w:szCs w:val="16"/>
        </w:rPr>
        <w:t>utive officers, and beneficial owners of 5% or more of its Common Stock are affiliates of the registrant</w:t>
      </w:r>
      <w:r>
        <w:rPr>
          <w:rFonts w:eastAsia="Times New Roman"/>
          <w:color w:val="000000"/>
          <w:sz w:val="16"/>
          <w:szCs w:val="16"/>
        </w:rPr>
        <w:t>.</w:t>
      </w:r>
    </w:p>
    <w:p w:rsidR="00000000" w:rsidRDefault="00CB61D5">
      <w:pPr>
        <w:divId w:val="271788738"/>
        <w:rPr>
          <w:rFonts w:eastAsia="Times New Roman"/>
        </w:rPr>
      </w:pPr>
    </w:p>
    <w:p w:rsidR="00000000" w:rsidRDefault="00CB61D5">
      <w:pPr>
        <w:jc w:val="both"/>
        <w:rPr>
          <w:rFonts w:eastAsia="Times New Roman"/>
        </w:rPr>
      </w:pPr>
      <w:r>
        <w:rPr>
          <w:rFonts w:eastAsia="Times New Roman"/>
          <w:color w:val="000000"/>
          <w:sz w:val="16"/>
          <w:szCs w:val="16"/>
        </w:rPr>
        <w:t>Indicate the number of shares outstanding of each of the registrant’s classes of common stock as of the latest practicable date</w:t>
      </w:r>
      <w:r>
        <w:rPr>
          <w:rFonts w:eastAsia="Times New Roman"/>
          <w:color w:val="000000"/>
          <w:sz w:val="16"/>
          <w:szCs w:val="16"/>
        </w:rPr>
        <w:t>.</w:t>
      </w:r>
    </w:p>
    <w:tbl>
      <w:tblPr>
        <w:tblW w:w="4992" w:type="pct"/>
        <w:tblCellMar>
          <w:top w:w="15" w:type="dxa"/>
          <w:left w:w="15" w:type="dxa"/>
          <w:bottom w:w="15" w:type="dxa"/>
          <w:right w:w="15" w:type="dxa"/>
        </w:tblCellMar>
        <w:tblLook w:val="04A0" w:firstRow="1" w:lastRow="0" w:firstColumn="1" w:lastColumn="0" w:noHBand="0" w:noVBand="1"/>
      </w:tblPr>
      <w:tblGrid>
        <w:gridCol w:w="75"/>
        <w:gridCol w:w="5643"/>
        <w:gridCol w:w="75"/>
        <w:gridCol w:w="36"/>
        <w:gridCol w:w="36"/>
        <w:gridCol w:w="36"/>
        <w:gridCol w:w="74"/>
        <w:gridCol w:w="2243"/>
        <w:gridCol w:w="75"/>
      </w:tblGrid>
      <w:tr w:rsidR="00000000">
        <w:trPr>
          <w:divId w:val="475495431"/>
        </w:trPr>
        <w:tc>
          <w:tcPr>
            <w:tcW w:w="50" w:type="pct"/>
            <w:vAlign w:val="center"/>
            <w:hideMark/>
          </w:tcPr>
          <w:p w:rsidR="00000000" w:rsidRDefault="00CB61D5">
            <w:pPr>
              <w:jc w:val="both"/>
              <w:rPr>
                <w:rFonts w:eastAsia="Times New Roman"/>
              </w:rPr>
            </w:pPr>
          </w:p>
        </w:tc>
        <w:tc>
          <w:tcPr>
            <w:tcW w:w="34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35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475495431"/>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16"/>
                <w:szCs w:val="16"/>
              </w:rPr>
              <w:t>Clas</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16"/>
                <w:szCs w:val="16"/>
              </w:rPr>
              <w:t>Outstanding at January 25, 202</w:t>
            </w:r>
            <w:r>
              <w:rPr>
                <w:rFonts w:eastAsia="Times New Roman"/>
                <w:color w:val="000000"/>
                <w:sz w:val="16"/>
                <w:szCs w:val="16"/>
              </w:rPr>
              <w:t>0</w:t>
            </w:r>
          </w:p>
        </w:tc>
      </w:tr>
      <w:tr w:rsidR="00000000">
        <w:trPr>
          <w:divId w:val="475495431"/>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16"/>
                <w:szCs w:val="16"/>
              </w:rPr>
              <w:t>Common Stock, $.008 par valu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Borders>
              <w:top w:val="single" w:sz="18" w:space="0" w:color="000000"/>
            </w:tcBorders>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16"/>
                <w:szCs w:val="16"/>
              </w:rPr>
              <w:t>117,282,010</w:t>
            </w:r>
            <w:r>
              <w:rPr>
                <w:rFonts w:eastAsia="Times New Roman"/>
                <w:color w:val="000000"/>
                <w:sz w:val="16"/>
                <w:szCs w:val="16"/>
              </w:rPr>
              <w:t> </w:t>
            </w:r>
          </w:p>
        </w:tc>
        <w:tc>
          <w:tcPr>
            <w:tcW w:w="0" w:type="auto"/>
            <w:tcBorders>
              <w:top w:val="single" w:sz="1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6"/>
                <w:szCs w:val="16"/>
              </w:rPr>
              <w:t> </w:t>
            </w:r>
          </w:p>
        </w:tc>
      </w:tr>
    </w:tbl>
    <w:p w:rsidR="00000000" w:rsidRDefault="00CB61D5">
      <w:pPr>
        <w:divId w:val="921908728"/>
        <w:rPr>
          <w:rFonts w:eastAsia="Times New Roman"/>
        </w:rPr>
      </w:pPr>
      <w:r>
        <w:rPr>
          <w:rFonts w:eastAsia="Times New Roman"/>
          <w:b/>
          <w:bCs/>
          <w:color w:val="000000"/>
          <w:sz w:val="16"/>
          <w:szCs w:val="16"/>
        </w:rPr>
        <w:t>Documents Incorporated by Reference</w:t>
      </w:r>
      <w:r>
        <w:rPr>
          <w:rFonts w:eastAsia="Times New Roman"/>
          <w:b/>
          <w:bCs/>
          <w:color w:val="000000"/>
          <w:sz w:val="16"/>
          <w:szCs w:val="16"/>
        </w:rPr>
        <w:t>:</w:t>
      </w:r>
    </w:p>
    <w:p w:rsidR="00000000" w:rsidRDefault="00CB61D5">
      <w:pPr>
        <w:jc w:val="both"/>
        <w:rPr>
          <w:rFonts w:eastAsia="Times New Roman"/>
        </w:rPr>
      </w:pPr>
      <w:r>
        <w:rPr>
          <w:rFonts w:eastAsia="Times New Roman"/>
          <w:b/>
          <w:bCs/>
          <w:color w:val="000000"/>
          <w:sz w:val="16"/>
          <w:szCs w:val="16"/>
        </w:rPr>
        <w:t>Portions of the Registrant’</w:t>
      </w:r>
      <w:r>
        <w:rPr>
          <w:rFonts w:eastAsia="Times New Roman"/>
          <w:b/>
          <w:bCs/>
          <w:color w:val="000000"/>
          <w:sz w:val="16"/>
          <w:szCs w:val="16"/>
        </w:rPr>
        <w:t>s definitive Proxy Statement for its 2020 Annual Meeting of Stockholders are incorporated by reference into Part III hereof</w:t>
      </w:r>
      <w:r>
        <w:rPr>
          <w:rFonts w:eastAsia="Times New Roman"/>
          <w:b/>
          <w:bCs/>
          <w:color w:val="000000"/>
          <w:sz w:val="16"/>
          <w:szCs w:val="16"/>
        </w:rPr>
        <w:t>.</w:t>
      </w:r>
    </w:p>
    <w:p w:rsidR="00000000" w:rsidRDefault="00CB61D5">
      <w:pPr>
        <w:divId w:val="1941139033"/>
        <w:rPr>
          <w:rFonts w:eastAsia="Times New Roman"/>
        </w:rPr>
      </w:pPr>
    </w:p>
    <w:p w:rsidR="00000000" w:rsidRDefault="00CB61D5">
      <w:pPr>
        <w:divId w:val="1934629120"/>
        <w:rPr>
          <w:rFonts w:eastAsia="Times New Roman"/>
        </w:rPr>
      </w:pPr>
    </w:p>
    <w:p w:rsidR="00000000" w:rsidRDefault="00CB61D5">
      <w:pPr>
        <w:rPr>
          <w:rFonts w:eastAsia="Times New Roman"/>
        </w:rPr>
      </w:pPr>
      <w:r>
        <w:rPr>
          <w:rFonts w:eastAsia="Times New Roman"/>
        </w:rPr>
        <w:pict>
          <v:rect id="_x0000_i1026" style="width:0;height:1.5pt" o:hralign="center" o:hrstd="t" o:hr="t" fillcolor="#a0a0a0" stroked="f"/>
        </w:pict>
      </w:r>
    </w:p>
    <w:p w:rsidR="00000000" w:rsidRDefault="00CB61D5">
      <w:pPr>
        <w:divId w:val="73107477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7"/>
        <w:gridCol w:w="374"/>
        <w:gridCol w:w="77"/>
        <w:gridCol w:w="77"/>
        <w:gridCol w:w="5999"/>
        <w:gridCol w:w="76"/>
        <w:gridCol w:w="76"/>
        <w:gridCol w:w="821"/>
        <w:gridCol w:w="76"/>
        <w:gridCol w:w="214"/>
        <w:gridCol w:w="213"/>
        <w:gridCol w:w="213"/>
      </w:tblGrid>
      <w:tr w:rsidR="00000000">
        <w:trPr>
          <w:gridAfter w:val="3"/>
          <w:divId w:val="278681965"/>
        </w:trPr>
        <w:tc>
          <w:tcPr>
            <w:tcW w:w="50" w:type="pct"/>
            <w:vAlign w:val="center"/>
            <w:hideMark/>
          </w:tcPr>
          <w:p w:rsidR="00000000" w:rsidRDefault="00CB61D5">
            <w:pPr>
              <w:rPr>
                <w:rFonts w:eastAsia="Times New Roman"/>
              </w:rPr>
            </w:pPr>
          </w:p>
        </w:tc>
        <w:tc>
          <w:tcPr>
            <w:tcW w:w="24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91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78681965"/>
        </w:trPr>
        <w:tc>
          <w:tcPr>
            <w:tcW w:w="0" w:type="auto"/>
            <w:gridSpan w:val="6"/>
            <w:tcMar>
              <w:top w:w="30" w:type="dxa"/>
              <w:left w:w="20" w:type="dxa"/>
              <w:bottom w:w="30" w:type="dxa"/>
              <w:right w:w="20" w:type="dxa"/>
            </w:tcMar>
            <w:vAlign w:val="bottom"/>
            <w:hideMark/>
          </w:tcPr>
          <w:p w:rsidR="00000000" w:rsidRDefault="00CB61D5">
            <w:pPr>
              <w:divId w:val="1852447454"/>
              <w:rPr>
                <w:rFonts w:eastAsia="Times New Roman"/>
              </w:rPr>
            </w:pPr>
            <w:r>
              <w:rPr>
                <w:rFonts w:eastAsia="Times New Roman"/>
                <w:b/>
                <w:bCs/>
                <w:color w:val="000000"/>
                <w:sz w:val="20"/>
                <w:szCs w:val="20"/>
                <w:u w:val="single"/>
              </w:rPr>
              <w:t>Item no</w:t>
            </w:r>
            <w:r>
              <w:rPr>
                <w:rFonts w:eastAsia="Times New Roman"/>
                <w:b/>
                <w:bCs/>
                <w:color w:val="000000"/>
                <w:sz w:val="20"/>
                <w:szCs w:val="20"/>
                <w:u w:val="single"/>
              </w:rPr>
              <w:t>.</w:t>
            </w:r>
            <w:r>
              <w:rPr>
                <w:rFonts w:eastAsia="Times New Roman"/>
                <w:b/>
                <w:bCs/>
                <w:color w:val="000000"/>
                <w:sz w:val="20"/>
                <w:szCs w:val="20"/>
              </w:rPr>
              <w:t> </w:t>
            </w:r>
            <w:r>
              <w:rPr>
                <w:rFonts w:eastAsia="Times New Roman"/>
                <w:b/>
                <w:bCs/>
                <w:color w:val="000000"/>
                <w:sz w:val="20"/>
                <w:szCs w:val="20"/>
              </w:rPr>
              <w:t> </w:t>
            </w:r>
          </w:p>
        </w:tc>
        <w:tc>
          <w:tcPr>
            <w:tcW w:w="0" w:type="auto"/>
            <w:gridSpan w:val="3"/>
            <w:vAlign w:val="center"/>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 </w:t>
            </w:r>
            <w:r>
              <w:rPr>
                <w:rFonts w:eastAsia="Times New Roman"/>
                <w:b/>
                <w:bCs/>
                <w:color w:val="000000"/>
                <w:sz w:val="20"/>
                <w:szCs w:val="20"/>
              </w:rPr>
              <w:t>Form 10-K Report Pag</w:t>
            </w:r>
            <w:r>
              <w:rPr>
                <w:rFonts w:eastAsia="Times New Roman"/>
                <w:b/>
                <w:bCs/>
                <w:color w:val="000000"/>
                <w:sz w:val="20"/>
                <w:szCs w:val="20"/>
              </w:rPr>
              <w:t>e</w:t>
            </w:r>
          </w:p>
        </w:tc>
      </w:tr>
      <w:tr w:rsidR="00000000">
        <w:trPr>
          <w:divId w:val="278681965"/>
        </w:trPr>
        <w:tc>
          <w:tcPr>
            <w:tcW w:w="0" w:type="auto"/>
            <w:gridSpan w:val="6"/>
            <w:shd w:val="clear" w:color="auto" w:fill="CCEEFF"/>
            <w:tcMar>
              <w:top w:w="30" w:type="dxa"/>
              <w:left w:w="20" w:type="dxa"/>
              <w:bottom w:w="30" w:type="dxa"/>
              <w:right w:w="20" w:type="dxa"/>
            </w:tcMar>
            <w:vAlign w:val="bottom"/>
            <w:hideMark/>
          </w:tcPr>
          <w:p w:rsidR="00000000" w:rsidRDefault="00CB61D5">
            <w:pPr>
              <w:divId w:val="899750817"/>
              <w:rPr>
                <w:rFonts w:eastAsia="Times New Roman"/>
              </w:rPr>
            </w:pPr>
            <w:hyperlink w:anchor="i_0_10" w:history="1">
              <w:r>
                <w:rPr>
                  <w:rStyle w:val="a3"/>
                  <w:rFonts w:eastAsia="Times New Roman"/>
                  <w:sz w:val="20"/>
                  <w:szCs w:val="20"/>
                </w:rPr>
                <w:t>Forward-Looking Statements</w:t>
              </w:r>
            </w:hyperlink>
          </w:p>
        </w:tc>
        <w:tc>
          <w:tcPr>
            <w:tcW w:w="0" w:type="auto"/>
            <w:gridSpan w:val="3"/>
            <w:vAlign w:val="center"/>
            <w:hideMark/>
          </w:tcPr>
          <w:p w:rsidR="00000000" w:rsidRDefault="00CB61D5">
            <w:pP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0" w:history="1">
              <w:r>
                <w:rPr>
                  <w:rStyle w:val="a3"/>
                  <w:rFonts w:eastAsia="Times New Roman"/>
                  <w:sz w:val="20"/>
                  <w:szCs w:val="20"/>
                </w:rPr>
                <w:t>ii</w:t>
              </w:r>
            </w:hyperlink>
          </w:p>
        </w:tc>
      </w:tr>
      <w:tr w:rsidR="00000000">
        <w:trPr>
          <w:divId w:val="278681965"/>
          <w:trHeight w:val="300"/>
        </w:trPr>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6"/>
            <w:shd w:val="clear" w:color="auto" w:fill="CCEEFF"/>
            <w:tcMar>
              <w:top w:w="30" w:type="dxa"/>
              <w:left w:w="20" w:type="dxa"/>
              <w:bottom w:w="30" w:type="dxa"/>
              <w:right w:w="20" w:type="dxa"/>
            </w:tcMar>
            <w:vAlign w:val="bottom"/>
            <w:hideMark/>
          </w:tcPr>
          <w:p w:rsidR="00000000" w:rsidRDefault="00CB61D5">
            <w:pPr>
              <w:divId w:val="2141796602"/>
              <w:rPr>
                <w:rFonts w:eastAsia="Times New Roman"/>
              </w:rPr>
            </w:pPr>
            <w:hyperlink w:anchor="i_0_13" w:history="1">
              <w:r>
                <w:rPr>
                  <w:rStyle w:val="a3"/>
                  <w:rFonts w:eastAsia="Times New Roman"/>
                  <w:sz w:val="20"/>
                  <w:szCs w:val="20"/>
                </w:rPr>
                <w:t>PART I</w:t>
              </w:r>
            </w:hyperlink>
          </w:p>
        </w:tc>
        <w:tc>
          <w:tcPr>
            <w:tcW w:w="0" w:type="auto"/>
            <w:gridSpan w:val="3"/>
            <w:vAlign w:val="center"/>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3" w:history="1">
              <w:r>
                <w:rPr>
                  <w:rStyle w:val="a3"/>
                  <w:rFonts w:eastAsia="Times New Roman"/>
                  <w:sz w:val="20"/>
                  <w:szCs w:val="20"/>
                </w:rPr>
                <w:t>1</w:t>
              </w:r>
            </w:hyperlink>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764108644"/>
              <w:rPr>
                <w:rFonts w:eastAsia="Times New Roman"/>
              </w:rPr>
            </w:pPr>
            <w:hyperlink w:anchor="i_0_16" w:history="1">
              <w:r>
                <w:rPr>
                  <w:rStyle w:val="a3"/>
                  <w:rFonts w:eastAsia="Times New Roman"/>
                  <w:sz w:val="20"/>
                  <w:szCs w:val="20"/>
                </w:rPr>
                <w:t>1.</w:t>
              </w:r>
            </w:hyperlink>
          </w:p>
        </w:tc>
        <w:tc>
          <w:tcPr>
            <w:tcW w:w="0" w:type="auto"/>
            <w:gridSpan w:val="3"/>
            <w:tcMar>
              <w:top w:w="30" w:type="dxa"/>
              <w:left w:w="20" w:type="dxa"/>
              <w:bottom w:w="30" w:type="dxa"/>
              <w:right w:w="20" w:type="dxa"/>
            </w:tcMar>
            <w:vAlign w:val="bottom"/>
            <w:hideMark/>
          </w:tcPr>
          <w:p w:rsidR="00000000" w:rsidRDefault="00CB61D5">
            <w:pPr>
              <w:divId w:val="1715622003"/>
              <w:rPr>
                <w:rFonts w:eastAsia="Times New Roman"/>
              </w:rPr>
            </w:pPr>
            <w:hyperlink w:anchor="i_0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6" w:history="1">
              <w:r>
                <w:rPr>
                  <w:rStyle w:val="a3"/>
                  <w:rFonts w:eastAsia="Times New Roman"/>
                  <w:sz w:val="20"/>
                  <w:szCs w:val="20"/>
                </w:rPr>
                <w:t>1</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494101184"/>
              <w:rPr>
                <w:rFonts w:eastAsia="Times New Roman"/>
              </w:rPr>
            </w:pPr>
            <w:hyperlink w:anchor="i_0_19" w:history="1">
              <w:r>
                <w:rPr>
                  <w:rStyle w:val="a3"/>
                  <w:rFonts w:eastAsia="Times New Roman"/>
                  <w:sz w:val="20"/>
                  <w:szCs w:val="20"/>
                </w:rPr>
                <w:t>1A.</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151557574"/>
              <w:rPr>
                <w:rFonts w:eastAsia="Times New Roman"/>
              </w:rPr>
            </w:pPr>
            <w:hyperlink w:anchor="i_0_19"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9" w:history="1">
              <w:r>
                <w:rPr>
                  <w:rStyle w:val="a3"/>
                  <w:rFonts w:eastAsia="Times New Roman"/>
                  <w:sz w:val="20"/>
                  <w:szCs w:val="20"/>
                </w:rPr>
                <w:t>9</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416433737"/>
              <w:rPr>
                <w:rFonts w:eastAsia="Times New Roman"/>
              </w:rPr>
            </w:pPr>
            <w:hyperlink w:anchor="i_0_22" w:history="1">
              <w:r>
                <w:rPr>
                  <w:rStyle w:val="a3"/>
                  <w:rFonts w:eastAsia="Times New Roman"/>
                  <w:sz w:val="20"/>
                  <w:szCs w:val="20"/>
                </w:rPr>
                <w:t>1B.</w:t>
              </w:r>
            </w:hyperlink>
          </w:p>
        </w:tc>
        <w:tc>
          <w:tcPr>
            <w:tcW w:w="0" w:type="auto"/>
            <w:gridSpan w:val="3"/>
            <w:tcMar>
              <w:top w:w="30" w:type="dxa"/>
              <w:left w:w="20" w:type="dxa"/>
              <w:bottom w:w="30" w:type="dxa"/>
              <w:right w:w="20" w:type="dxa"/>
            </w:tcMar>
            <w:vAlign w:val="bottom"/>
            <w:hideMark/>
          </w:tcPr>
          <w:p w:rsidR="00000000" w:rsidRDefault="00CB61D5">
            <w:pPr>
              <w:divId w:val="1573546868"/>
              <w:rPr>
                <w:rFonts w:eastAsia="Times New Roman"/>
              </w:rPr>
            </w:pPr>
            <w:hyperlink w:anchor="i_0_22"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22" w:history="1">
              <w:r>
                <w:rPr>
                  <w:rStyle w:val="a3"/>
                  <w:rFonts w:eastAsia="Times New Roman"/>
                  <w:sz w:val="20"/>
                  <w:szCs w:val="20"/>
                </w:rPr>
                <w:t>17</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564214309"/>
              <w:rPr>
                <w:rFonts w:eastAsia="Times New Roman"/>
              </w:rPr>
            </w:pPr>
            <w:hyperlink w:anchor="i_0_25" w:history="1">
              <w:r>
                <w:rPr>
                  <w:rStyle w:val="a3"/>
                  <w:rFonts w:eastAsia="Times New Roman"/>
                  <w:sz w:val="20"/>
                  <w:szCs w:val="20"/>
                </w:rPr>
                <w:t>2.</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270286205"/>
              <w:rPr>
                <w:rFonts w:eastAsia="Times New Roman"/>
              </w:rPr>
            </w:pPr>
            <w:hyperlink w:anchor="i_0_25" w:history="1">
              <w:r>
                <w:rPr>
                  <w:rStyle w:val="a3"/>
                  <w:rFonts w:eastAsia="Times New Roman"/>
                  <w:sz w:val="20"/>
                  <w:szCs w:val="20"/>
                </w:rPr>
                <w:t>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25" w:history="1">
              <w:r>
                <w:rPr>
                  <w:rStyle w:val="a3"/>
                  <w:rFonts w:eastAsia="Times New Roman"/>
                  <w:sz w:val="20"/>
                  <w:szCs w:val="20"/>
                </w:rPr>
                <w:t>17</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804886716"/>
              <w:rPr>
                <w:rFonts w:eastAsia="Times New Roman"/>
              </w:rPr>
            </w:pPr>
            <w:hyperlink w:anchor="i_0_28" w:history="1">
              <w:r>
                <w:rPr>
                  <w:rStyle w:val="a3"/>
                  <w:rFonts w:eastAsia="Times New Roman"/>
                  <w:sz w:val="20"/>
                  <w:szCs w:val="20"/>
                </w:rPr>
                <w:t>3.</w:t>
              </w:r>
            </w:hyperlink>
          </w:p>
        </w:tc>
        <w:tc>
          <w:tcPr>
            <w:tcW w:w="0" w:type="auto"/>
            <w:gridSpan w:val="3"/>
            <w:tcMar>
              <w:top w:w="30" w:type="dxa"/>
              <w:left w:w="20" w:type="dxa"/>
              <w:bottom w:w="30" w:type="dxa"/>
              <w:right w:w="20" w:type="dxa"/>
            </w:tcMar>
            <w:vAlign w:val="bottom"/>
            <w:hideMark/>
          </w:tcPr>
          <w:p w:rsidR="00000000" w:rsidRDefault="00CB61D5">
            <w:pPr>
              <w:divId w:val="2053536537"/>
              <w:rPr>
                <w:rFonts w:eastAsia="Times New Roman"/>
              </w:rPr>
            </w:pPr>
            <w:hyperlink w:anchor="i_0_28"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28" w:history="1">
              <w:r>
                <w:rPr>
                  <w:rStyle w:val="a3"/>
                  <w:rFonts w:eastAsia="Times New Roman"/>
                  <w:sz w:val="20"/>
                  <w:szCs w:val="20"/>
                </w:rPr>
                <w:t>19</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604265388"/>
              <w:rPr>
                <w:rFonts w:eastAsia="Times New Roman"/>
              </w:rPr>
            </w:pPr>
            <w:hyperlink w:anchor="i_0_31" w:history="1">
              <w:r>
                <w:rPr>
                  <w:rStyle w:val="a3"/>
                  <w:rFonts w:eastAsia="Times New Roman"/>
                  <w:sz w:val="20"/>
                  <w:szCs w:val="20"/>
                </w:rPr>
                <w:t>4.</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856456506"/>
              <w:rPr>
                <w:rFonts w:eastAsia="Times New Roman"/>
              </w:rPr>
            </w:pPr>
            <w:hyperlink w:anchor="i_0_31" w:history="1">
              <w:r>
                <w:rPr>
                  <w:rStyle w:val="a3"/>
                  <w:rFonts w:eastAsia="Times New Roman"/>
                  <w:sz w:val="20"/>
                  <w:szCs w:val="20"/>
                </w:rPr>
                <w:t>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31" w:history="1">
              <w:r>
                <w:rPr>
                  <w:rStyle w:val="a3"/>
                  <w:rFonts w:eastAsia="Times New Roman"/>
                  <w:sz w:val="20"/>
                  <w:szCs w:val="20"/>
                </w:rPr>
                <w:t>19</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Height w:val="300"/>
        </w:trPr>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6"/>
            <w:shd w:val="clear" w:color="auto" w:fill="CCEEFF"/>
            <w:tcMar>
              <w:top w:w="30" w:type="dxa"/>
              <w:left w:w="20" w:type="dxa"/>
              <w:bottom w:w="30" w:type="dxa"/>
              <w:right w:w="20" w:type="dxa"/>
            </w:tcMar>
            <w:vAlign w:val="bottom"/>
            <w:hideMark/>
          </w:tcPr>
          <w:p w:rsidR="00000000" w:rsidRDefault="00CB61D5">
            <w:pPr>
              <w:divId w:val="407311321"/>
              <w:rPr>
                <w:rFonts w:eastAsia="Times New Roman"/>
              </w:rPr>
            </w:pPr>
            <w:hyperlink w:anchor="i_0_34" w:history="1">
              <w:r>
                <w:rPr>
                  <w:rStyle w:val="a3"/>
                  <w:rFonts w:eastAsia="Times New Roman"/>
                  <w:sz w:val="20"/>
                  <w:szCs w:val="20"/>
                </w:rPr>
                <w:t>PART II</w:t>
              </w:r>
            </w:hyperlink>
          </w:p>
        </w:tc>
        <w:tc>
          <w:tcPr>
            <w:tcW w:w="0" w:type="auto"/>
            <w:gridSpan w:val="3"/>
            <w:vAlign w:val="center"/>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34" w:history="1">
              <w:r>
                <w:rPr>
                  <w:rStyle w:val="a3"/>
                  <w:rFonts w:eastAsia="Times New Roman"/>
                  <w:sz w:val="20"/>
                  <w:szCs w:val="20"/>
                </w:rPr>
                <w:t>19</w:t>
              </w:r>
            </w:hyperlink>
          </w:p>
        </w:tc>
      </w:tr>
      <w:tr w:rsidR="00000000">
        <w:trPr>
          <w:divId w:val="278681965"/>
        </w:trPr>
        <w:tc>
          <w:tcPr>
            <w:tcW w:w="0" w:type="auto"/>
            <w:gridSpan w:val="3"/>
            <w:tcMar>
              <w:top w:w="30" w:type="dxa"/>
              <w:left w:w="20" w:type="dxa"/>
              <w:bottom w:w="30" w:type="dxa"/>
              <w:right w:w="20" w:type="dxa"/>
            </w:tcMar>
            <w:vAlign w:val="center"/>
            <w:hideMark/>
          </w:tcPr>
          <w:p w:rsidR="00000000" w:rsidRDefault="00CB61D5">
            <w:pPr>
              <w:divId w:val="2046250850"/>
              <w:rPr>
                <w:rFonts w:eastAsia="Times New Roman"/>
              </w:rPr>
            </w:pPr>
            <w:hyperlink w:anchor="i_0_37" w:history="1">
              <w:r>
                <w:rPr>
                  <w:rStyle w:val="a3"/>
                  <w:rFonts w:eastAsia="Times New Roman"/>
                  <w:sz w:val="20"/>
                  <w:szCs w:val="20"/>
                </w:rPr>
                <w:t>5.</w:t>
              </w:r>
            </w:hyperlink>
          </w:p>
        </w:tc>
        <w:tc>
          <w:tcPr>
            <w:tcW w:w="0" w:type="auto"/>
            <w:gridSpan w:val="3"/>
            <w:tcMar>
              <w:top w:w="30" w:type="dxa"/>
              <w:left w:w="20" w:type="dxa"/>
              <w:bottom w:w="30" w:type="dxa"/>
              <w:right w:w="20" w:type="dxa"/>
            </w:tcMar>
            <w:vAlign w:val="bottom"/>
            <w:hideMark/>
          </w:tcPr>
          <w:p w:rsidR="00000000" w:rsidRDefault="00CB61D5">
            <w:pPr>
              <w:divId w:val="1977950480"/>
              <w:rPr>
                <w:rFonts w:eastAsia="Times New Roman"/>
              </w:rPr>
            </w:pPr>
            <w:hyperlink w:anchor="i_0_37" w:history="1">
              <w:r>
                <w:rPr>
                  <w:rStyle w:val="a3"/>
                  <w:rFonts w:eastAsia="Times New Roman"/>
                  <w:sz w:val="20"/>
                  <w:szCs w:val="20"/>
                </w:rPr>
                <w:t>Market for Registrant’</w:t>
              </w:r>
              <w:r>
                <w:rPr>
                  <w:rStyle w:val="a3"/>
                  <w:rFonts w:eastAsia="Times New Roman"/>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37" w:history="1">
              <w:r>
                <w:rPr>
                  <w:rStyle w:val="a3"/>
                  <w:rFonts w:eastAsia="Times New Roman"/>
                  <w:sz w:val="20"/>
                  <w:szCs w:val="20"/>
                </w:rPr>
                <w:t>19</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859390022"/>
              <w:rPr>
                <w:rFonts w:eastAsia="Times New Roman"/>
              </w:rPr>
            </w:pPr>
            <w:hyperlink w:anchor="i_0_40" w:history="1">
              <w:r>
                <w:rPr>
                  <w:rStyle w:val="a3"/>
                  <w:rFonts w:eastAsia="Times New Roman"/>
                  <w:sz w:val="20"/>
                  <w:szCs w:val="20"/>
                </w:rPr>
                <w:t>6.</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736591118"/>
              <w:rPr>
                <w:rFonts w:eastAsia="Times New Roman"/>
              </w:rPr>
            </w:pPr>
            <w:hyperlink w:anchor="i_0_40" w:history="1">
              <w:r>
                <w:rPr>
                  <w:rStyle w:val="a3"/>
                  <w:rFonts w:eastAsia="Times New Roman"/>
                  <w:sz w:val="20"/>
                  <w:szCs w:val="20"/>
                </w:rPr>
                <w:t>Selected Financial Data</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40" w:history="1">
              <w:r>
                <w:rPr>
                  <w:rStyle w:val="a3"/>
                  <w:rFonts w:eastAsia="Times New Roman"/>
                  <w:sz w:val="20"/>
                  <w:szCs w:val="20"/>
                </w:rPr>
                <w:t>22</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041512829"/>
              <w:rPr>
                <w:rFonts w:eastAsia="Times New Roman"/>
              </w:rPr>
            </w:pPr>
            <w:hyperlink w:anchor="i_0_43" w:history="1">
              <w:r>
                <w:rPr>
                  <w:rStyle w:val="a3"/>
                  <w:rFonts w:eastAsia="Times New Roman"/>
                  <w:sz w:val="20"/>
                  <w:szCs w:val="20"/>
                </w:rPr>
                <w:t>7.</w:t>
              </w:r>
            </w:hyperlink>
          </w:p>
        </w:tc>
        <w:tc>
          <w:tcPr>
            <w:tcW w:w="0" w:type="auto"/>
            <w:gridSpan w:val="3"/>
            <w:tcMar>
              <w:top w:w="30" w:type="dxa"/>
              <w:left w:w="20" w:type="dxa"/>
              <w:bottom w:w="30" w:type="dxa"/>
              <w:right w:w="20" w:type="dxa"/>
            </w:tcMar>
            <w:vAlign w:val="bottom"/>
            <w:hideMark/>
          </w:tcPr>
          <w:p w:rsidR="00000000" w:rsidRDefault="00CB61D5">
            <w:pPr>
              <w:divId w:val="457526803"/>
              <w:rPr>
                <w:rFonts w:eastAsia="Times New Roman"/>
              </w:rPr>
            </w:pPr>
            <w:hyperlink w:anchor="i_0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43" w:history="1">
              <w:r>
                <w:rPr>
                  <w:rStyle w:val="a3"/>
                  <w:rFonts w:eastAsia="Times New Roman"/>
                  <w:sz w:val="20"/>
                  <w:szCs w:val="20"/>
                </w:rPr>
                <w:t>23</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434939216"/>
              <w:rPr>
                <w:rFonts w:eastAsia="Times New Roman"/>
              </w:rPr>
            </w:pPr>
            <w:hyperlink w:anchor="i_0_70" w:history="1">
              <w:r>
                <w:rPr>
                  <w:rStyle w:val="a3"/>
                  <w:rFonts w:eastAsia="Times New Roman"/>
                  <w:sz w:val="20"/>
                  <w:szCs w:val="20"/>
                </w:rPr>
                <w:t>7A.</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851331875"/>
              <w:rPr>
                <w:rFonts w:eastAsia="Times New Roman"/>
              </w:rPr>
            </w:pPr>
            <w:hyperlink w:anchor="i_0_70" w:history="1">
              <w:r>
                <w:rPr>
                  <w:rStyle w:val="a3"/>
                  <w:rFonts w:eastAsia="Times New Roman"/>
                  <w:sz w:val="20"/>
                  <w:szCs w:val="20"/>
                </w:rPr>
                <w:t>Quantitative and Qualitative Disclosures About 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70" w:history="1">
              <w:r>
                <w:rPr>
                  <w:rStyle w:val="a3"/>
                  <w:rFonts w:eastAsia="Times New Roman"/>
                  <w:sz w:val="20"/>
                  <w:szCs w:val="20"/>
                </w:rPr>
                <w:t>38</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612513980"/>
              <w:rPr>
                <w:rFonts w:eastAsia="Times New Roman"/>
              </w:rPr>
            </w:pPr>
            <w:hyperlink w:anchor="i_0_73"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CB61D5">
            <w:pPr>
              <w:divId w:val="1821068920"/>
              <w:rPr>
                <w:rFonts w:eastAsia="Times New Roman"/>
              </w:rPr>
            </w:pPr>
            <w:hyperlink w:anchor="i_0_73" w:history="1">
              <w:r>
                <w:rPr>
                  <w:rStyle w:val="a3"/>
                  <w:rFonts w:eastAsia="Times New Roman"/>
                  <w:sz w:val="20"/>
                  <w:szCs w:val="20"/>
                </w:rPr>
                <w:t>Financial Statements and Suppl</w:t>
              </w:r>
              <w:r>
                <w:rPr>
                  <w:rStyle w:val="a3"/>
                  <w:rFonts w:eastAsia="Times New Roman"/>
                  <w:sz w:val="20"/>
                  <w:szCs w:val="20"/>
                </w:rPr>
                <w:t>ementary Data</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73" w:history="1">
              <w:r>
                <w:rPr>
                  <w:rStyle w:val="a3"/>
                  <w:rFonts w:eastAsia="Times New Roman"/>
                  <w:sz w:val="20"/>
                  <w:szCs w:val="20"/>
                </w:rPr>
                <w:t>39</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785881476"/>
              <w:rPr>
                <w:rFonts w:eastAsia="Times New Roman"/>
              </w:rPr>
            </w:pPr>
            <w:hyperlink w:anchor="i_0_166" w:history="1">
              <w:r>
                <w:rPr>
                  <w:rStyle w:val="a3"/>
                  <w:rFonts w:eastAsia="Times New Roman"/>
                  <w:sz w:val="20"/>
                  <w:szCs w:val="20"/>
                </w:rPr>
                <w:t>9.</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922714411"/>
              <w:rPr>
                <w:rFonts w:eastAsia="Times New Roman"/>
              </w:rPr>
            </w:pPr>
            <w:hyperlink w:anchor="i_0_166"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66" w:history="1">
              <w:r>
                <w:rPr>
                  <w:rStyle w:val="a3"/>
                  <w:rFonts w:eastAsia="Times New Roman"/>
                  <w:sz w:val="20"/>
                  <w:szCs w:val="20"/>
                </w:rPr>
                <w:t>72</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277979907"/>
              <w:rPr>
                <w:rFonts w:eastAsia="Times New Roman"/>
              </w:rPr>
            </w:pPr>
            <w:hyperlink w:anchor="i_0_169" w:history="1">
              <w:r>
                <w:rPr>
                  <w:rStyle w:val="a3"/>
                  <w:rFonts w:eastAsia="Times New Roman"/>
                  <w:sz w:val="20"/>
                  <w:szCs w:val="20"/>
                </w:rPr>
                <w:t>9A.</w:t>
              </w:r>
            </w:hyperlink>
          </w:p>
        </w:tc>
        <w:tc>
          <w:tcPr>
            <w:tcW w:w="0" w:type="auto"/>
            <w:gridSpan w:val="3"/>
            <w:tcMar>
              <w:top w:w="30" w:type="dxa"/>
              <w:left w:w="20" w:type="dxa"/>
              <w:bottom w:w="30" w:type="dxa"/>
              <w:right w:w="20" w:type="dxa"/>
            </w:tcMar>
            <w:vAlign w:val="bottom"/>
            <w:hideMark/>
          </w:tcPr>
          <w:p w:rsidR="00000000" w:rsidRDefault="00CB61D5">
            <w:pPr>
              <w:divId w:val="873352356"/>
              <w:rPr>
                <w:rFonts w:eastAsia="Times New Roman"/>
              </w:rPr>
            </w:pPr>
            <w:hyperlink w:anchor="i_0_16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69" w:history="1">
              <w:r>
                <w:rPr>
                  <w:rStyle w:val="a3"/>
                  <w:rFonts w:eastAsia="Times New Roman"/>
                  <w:sz w:val="20"/>
                  <w:szCs w:val="20"/>
                </w:rPr>
                <w:t>72</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162235870"/>
              <w:rPr>
                <w:rFonts w:eastAsia="Times New Roman"/>
              </w:rPr>
            </w:pPr>
            <w:hyperlink w:anchor="i_0_172" w:history="1">
              <w:r>
                <w:rPr>
                  <w:rStyle w:val="a3"/>
                  <w:rFonts w:eastAsia="Times New Roman"/>
                  <w:sz w:val="20"/>
                  <w:szCs w:val="20"/>
                </w:rPr>
                <w:t>9B.</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378289531"/>
              <w:rPr>
                <w:rFonts w:eastAsia="Times New Roman"/>
              </w:rPr>
            </w:pPr>
            <w:hyperlink w:anchor="i_0_172"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72" w:history="1">
              <w:r>
                <w:rPr>
                  <w:rStyle w:val="a3"/>
                  <w:rFonts w:eastAsia="Times New Roman"/>
                  <w:sz w:val="20"/>
                  <w:szCs w:val="20"/>
                </w:rPr>
                <w:t>72</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Height w:val="300"/>
        </w:trPr>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6"/>
            <w:shd w:val="clear" w:color="auto" w:fill="CCEEFF"/>
            <w:tcMar>
              <w:top w:w="30" w:type="dxa"/>
              <w:left w:w="20" w:type="dxa"/>
              <w:bottom w:w="30" w:type="dxa"/>
              <w:right w:w="20" w:type="dxa"/>
            </w:tcMar>
            <w:vAlign w:val="bottom"/>
            <w:hideMark/>
          </w:tcPr>
          <w:p w:rsidR="00000000" w:rsidRDefault="00CB61D5">
            <w:pPr>
              <w:divId w:val="1019891134"/>
              <w:rPr>
                <w:rFonts w:eastAsia="Times New Roman"/>
              </w:rPr>
            </w:pPr>
            <w:hyperlink w:anchor="i_0_175" w:history="1">
              <w:r>
                <w:rPr>
                  <w:rStyle w:val="a3"/>
                  <w:rFonts w:eastAsia="Times New Roman"/>
                  <w:sz w:val="20"/>
                  <w:szCs w:val="20"/>
                </w:rPr>
                <w:t>PART III</w:t>
              </w:r>
            </w:hyperlink>
          </w:p>
        </w:tc>
        <w:tc>
          <w:tcPr>
            <w:tcW w:w="0" w:type="auto"/>
            <w:gridSpan w:val="3"/>
            <w:vAlign w:val="center"/>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75" w:history="1">
              <w:r>
                <w:rPr>
                  <w:rStyle w:val="a3"/>
                  <w:rFonts w:eastAsia="Times New Roman"/>
                  <w:sz w:val="20"/>
                  <w:szCs w:val="20"/>
                </w:rPr>
                <w:t>72</w:t>
              </w:r>
            </w:hyperlink>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76026964"/>
              <w:rPr>
                <w:rFonts w:eastAsia="Times New Roman"/>
              </w:rPr>
            </w:pPr>
            <w:hyperlink w:anchor="i_0_178" w:history="1">
              <w:r>
                <w:rPr>
                  <w:rStyle w:val="a3"/>
                  <w:rFonts w:eastAsia="Times New Roman"/>
                  <w:sz w:val="20"/>
                  <w:szCs w:val="20"/>
                </w:rPr>
                <w:t>10.</w:t>
              </w:r>
            </w:hyperlink>
          </w:p>
        </w:tc>
        <w:tc>
          <w:tcPr>
            <w:tcW w:w="0" w:type="auto"/>
            <w:gridSpan w:val="3"/>
            <w:tcMar>
              <w:top w:w="30" w:type="dxa"/>
              <w:left w:w="20" w:type="dxa"/>
              <w:bottom w:w="30" w:type="dxa"/>
              <w:right w:w="20" w:type="dxa"/>
            </w:tcMar>
            <w:vAlign w:val="bottom"/>
            <w:hideMark/>
          </w:tcPr>
          <w:p w:rsidR="00000000" w:rsidRDefault="00CB61D5">
            <w:pPr>
              <w:divId w:val="1892421014"/>
              <w:rPr>
                <w:rFonts w:eastAsia="Times New Roman"/>
              </w:rPr>
            </w:pPr>
            <w:hyperlink w:anchor="i_0_178"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78" w:history="1">
              <w:r>
                <w:rPr>
                  <w:rStyle w:val="a3"/>
                  <w:rFonts w:eastAsia="Times New Roman"/>
                  <w:sz w:val="20"/>
                  <w:szCs w:val="20"/>
                </w:rPr>
                <w:t>72</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156455254"/>
              <w:rPr>
                <w:rFonts w:eastAsia="Times New Roman"/>
              </w:rPr>
            </w:pPr>
            <w:hyperlink w:anchor="i_0_181" w:history="1">
              <w:r>
                <w:rPr>
                  <w:rStyle w:val="a3"/>
                  <w:rFonts w:eastAsia="Times New Roman"/>
                  <w:sz w:val="20"/>
                  <w:szCs w:val="20"/>
                </w:rPr>
                <w:t>11.</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824124617"/>
              <w:rPr>
                <w:rFonts w:eastAsia="Times New Roman"/>
              </w:rPr>
            </w:pPr>
            <w:hyperlink w:anchor="i_0_181"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81" w:history="1">
              <w:r>
                <w:rPr>
                  <w:rStyle w:val="a3"/>
                  <w:rFonts w:eastAsia="Times New Roman"/>
                  <w:sz w:val="20"/>
                  <w:szCs w:val="20"/>
                </w:rPr>
                <w:t>73</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107113503"/>
              <w:rPr>
                <w:rFonts w:eastAsia="Times New Roman"/>
              </w:rPr>
            </w:pPr>
            <w:hyperlink w:anchor="i_0_184" w:history="1">
              <w:r>
                <w:rPr>
                  <w:rStyle w:val="a3"/>
                  <w:rFonts w:eastAsia="Times New Roman"/>
                  <w:sz w:val="20"/>
                  <w:szCs w:val="20"/>
                </w:rPr>
                <w:t>12.</w:t>
              </w:r>
            </w:hyperlink>
          </w:p>
        </w:tc>
        <w:tc>
          <w:tcPr>
            <w:tcW w:w="0" w:type="auto"/>
            <w:gridSpan w:val="3"/>
            <w:tcMar>
              <w:top w:w="30" w:type="dxa"/>
              <w:left w:w="20" w:type="dxa"/>
              <w:bottom w:w="30" w:type="dxa"/>
              <w:right w:w="20" w:type="dxa"/>
            </w:tcMar>
            <w:vAlign w:val="bottom"/>
            <w:hideMark/>
          </w:tcPr>
          <w:p w:rsidR="00000000" w:rsidRDefault="00CB61D5">
            <w:pPr>
              <w:divId w:val="1717000597"/>
              <w:rPr>
                <w:rFonts w:eastAsia="Times New Roman"/>
              </w:rPr>
            </w:pPr>
            <w:hyperlink w:anchor="i_0_184"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84" w:history="1">
              <w:r>
                <w:rPr>
                  <w:rStyle w:val="a3"/>
                  <w:rFonts w:eastAsia="Times New Roman"/>
                  <w:sz w:val="20"/>
                  <w:szCs w:val="20"/>
                </w:rPr>
                <w:t>73</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588613378"/>
              <w:rPr>
                <w:rFonts w:eastAsia="Times New Roman"/>
              </w:rPr>
            </w:pPr>
            <w:hyperlink w:anchor="i_0_187" w:history="1">
              <w:r>
                <w:rPr>
                  <w:rStyle w:val="a3"/>
                  <w:rFonts w:eastAsia="Times New Roman"/>
                  <w:sz w:val="20"/>
                  <w:szCs w:val="20"/>
                </w:rPr>
                <w:t>13.</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646354351"/>
              <w:rPr>
                <w:rFonts w:eastAsia="Times New Roman"/>
              </w:rPr>
            </w:pPr>
            <w:hyperlink w:anchor="i_0_187"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87" w:history="1">
              <w:r>
                <w:rPr>
                  <w:rStyle w:val="a3"/>
                  <w:rFonts w:eastAsia="Times New Roman"/>
                  <w:sz w:val="20"/>
                  <w:szCs w:val="20"/>
                </w:rPr>
                <w:t>73</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1381514742"/>
              <w:rPr>
                <w:rFonts w:eastAsia="Times New Roman"/>
              </w:rPr>
            </w:pPr>
            <w:hyperlink w:anchor="i_0_190" w:history="1">
              <w:r>
                <w:rPr>
                  <w:rStyle w:val="a3"/>
                  <w:rFonts w:eastAsia="Times New Roman"/>
                  <w:sz w:val="20"/>
                  <w:szCs w:val="20"/>
                </w:rPr>
                <w:t>14.</w:t>
              </w:r>
            </w:hyperlink>
          </w:p>
        </w:tc>
        <w:tc>
          <w:tcPr>
            <w:tcW w:w="0" w:type="auto"/>
            <w:gridSpan w:val="3"/>
            <w:tcMar>
              <w:top w:w="30" w:type="dxa"/>
              <w:left w:w="20" w:type="dxa"/>
              <w:bottom w:w="30" w:type="dxa"/>
              <w:right w:w="20" w:type="dxa"/>
            </w:tcMar>
            <w:vAlign w:val="bottom"/>
            <w:hideMark/>
          </w:tcPr>
          <w:p w:rsidR="00000000" w:rsidRDefault="00CB61D5">
            <w:pPr>
              <w:divId w:val="764376707"/>
              <w:rPr>
                <w:rFonts w:eastAsia="Times New Roman"/>
              </w:rPr>
            </w:pPr>
            <w:hyperlink w:anchor="i_0_190"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90" w:history="1">
              <w:r>
                <w:rPr>
                  <w:rStyle w:val="a3"/>
                  <w:rFonts w:eastAsia="Times New Roman"/>
                  <w:sz w:val="20"/>
                  <w:szCs w:val="20"/>
                </w:rPr>
                <w:t>73</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Height w:val="30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6"/>
            <w:tcMar>
              <w:top w:w="30" w:type="dxa"/>
              <w:left w:w="20" w:type="dxa"/>
              <w:bottom w:w="30" w:type="dxa"/>
              <w:right w:w="20" w:type="dxa"/>
            </w:tcMar>
            <w:vAlign w:val="bottom"/>
            <w:hideMark/>
          </w:tcPr>
          <w:p w:rsidR="00000000" w:rsidRDefault="00CB61D5">
            <w:pPr>
              <w:divId w:val="476919740"/>
              <w:rPr>
                <w:rFonts w:eastAsia="Times New Roman"/>
              </w:rPr>
            </w:pPr>
            <w:hyperlink w:anchor="i_0_193" w:history="1">
              <w:r>
                <w:rPr>
                  <w:rStyle w:val="a3"/>
                  <w:rFonts w:eastAsia="Times New Roman"/>
                  <w:sz w:val="20"/>
                  <w:szCs w:val="20"/>
                </w:rPr>
                <w:t>PART IV</w:t>
              </w:r>
            </w:hyperlink>
          </w:p>
        </w:tc>
        <w:tc>
          <w:tcPr>
            <w:tcW w:w="0" w:type="auto"/>
            <w:gridSpan w:val="3"/>
            <w:vAlign w:val="center"/>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93" w:history="1">
              <w:r>
                <w:rPr>
                  <w:rStyle w:val="a3"/>
                  <w:rFonts w:eastAsia="Times New Roman"/>
                  <w:sz w:val="20"/>
                  <w:szCs w:val="20"/>
                </w:rPr>
                <w:t>74</w:t>
              </w:r>
            </w:hyperlink>
          </w:p>
        </w:tc>
      </w:tr>
      <w:tr w:rsidR="00000000">
        <w:trPr>
          <w:divId w:val="278681965"/>
        </w:trPr>
        <w:tc>
          <w:tcPr>
            <w:tcW w:w="0" w:type="auto"/>
            <w:gridSpan w:val="3"/>
            <w:shd w:val="clear" w:color="auto" w:fill="CCEEFF"/>
            <w:tcMar>
              <w:top w:w="30" w:type="dxa"/>
              <w:left w:w="20" w:type="dxa"/>
              <w:bottom w:w="30" w:type="dxa"/>
              <w:right w:w="20" w:type="dxa"/>
            </w:tcMar>
            <w:vAlign w:val="bottom"/>
            <w:hideMark/>
          </w:tcPr>
          <w:p w:rsidR="00000000" w:rsidRDefault="00CB61D5">
            <w:pPr>
              <w:divId w:val="1186870881"/>
              <w:rPr>
                <w:rFonts w:eastAsia="Times New Roman"/>
              </w:rPr>
            </w:pPr>
            <w:hyperlink w:anchor="i_0_196" w:history="1">
              <w:r>
                <w:rPr>
                  <w:rStyle w:val="a3"/>
                  <w:rFonts w:eastAsia="Times New Roman"/>
                  <w:sz w:val="20"/>
                  <w:szCs w:val="20"/>
                </w:rPr>
                <w:t>15.</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divId w:val="1202132167"/>
              <w:rPr>
                <w:rFonts w:eastAsia="Times New Roman"/>
              </w:rPr>
            </w:pPr>
            <w:hyperlink w:anchor="i_0_196" w:history="1">
              <w:r>
                <w:rPr>
                  <w:rStyle w:val="a3"/>
                  <w:rFonts w:eastAsia="Times New Roman"/>
                  <w:sz w:val="20"/>
                  <w:szCs w:val="20"/>
                </w:rPr>
                <w:t>Exhibits and Financial Statement Schedules</w:t>
              </w:r>
            </w:hyperlink>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hyperlink w:anchor="i_0_196" w:history="1">
              <w:r>
                <w:rPr>
                  <w:rStyle w:val="a3"/>
                  <w:rFonts w:eastAsia="Times New Roman"/>
                  <w:sz w:val="20"/>
                  <w:szCs w:val="20"/>
                </w:rPr>
                <w:t>74</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8681965"/>
        </w:trPr>
        <w:tc>
          <w:tcPr>
            <w:tcW w:w="0" w:type="auto"/>
            <w:gridSpan w:val="3"/>
            <w:tcMar>
              <w:top w:w="30" w:type="dxa"/>
              <w:left w:w="20" w:type="dxa"/>
              <w:bottom w:w="30" w:type="dxa"/>
              <w:right w:w="20" w:type="dxa"/>
            </w:tcMar>
            <w:vAlign w:val="bottom"/>
            <w:hideMark/>
          </w:tcPr>
          <w:p w:rsidR="00000000" w:rsidRDefault="00CB61D5">
            <w:pPr>
              <w:divId w:val="437876079"/>
              <w:rPr>
                <w:rFonts w:eastAsia="Times New Roman"/>
              </w:rPr>
            </w:pPr>
            <w:hyperlink w:anchor="i_0_199" w:history="1">
              <w:r>
                <w:rPr>
                  <w:rStyle w:val="a3"/>
                  <w:rFonts w:eastAsia="Times New Roman"/>
                  <w:sz w:val="20"/>
                  <w:szCs w:val="20"/>
                </w:rPr>
                <w:t>16.</w:t>
              </w:r>
            </w:hyperlink>
          </w:p>
        </w:tc>
        <w:tc>
          <w:tcPr>
            <w:tcW w:w="0" w:type="auto"/>
            <w:gridSpan w:val="3"/>
            <w:tcMar>
              <w:top w:w="30" w:type="dxa"/>
              <w:left w:w="20" w:type="dxa"/>
              <w:bottom w:w="30" w:type="dxa"/>
              <w:right w:w="20" w:type="dxa"/>
            </w:tcMar>
            <w:vAlign w:val="bottom"/>
            <w:hideMark/>
          </w:tcPr>
          <w:p w:rsidR="00000000" w:rsidRDefault="00CB61D5">
            <w:pPr>
              <w:divId w:val="1225221028"/>
              <w:rPr>
                <w:rFonts w:eastAsia="Times New Roman"/>
              </w:rPr>
            </w:pPr>
            <w:hyperlink w:anchor="i_0_199"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hyperlink w:anchor="i_0_199" w:history="1">
              <w:r>
                <w:rPr>
                  <w:rStyle w:val="a3"/>
                  <w:rFonts w:eastAsia="Times New Roman"/>
                  <w:sz w:val="20"/>
                  <w:szCs w:val="20"/>
                </w:rPr>
                <w:t>74</w:t>
              </w:r>
            </w:hyperlink>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355616600"/>
        <w:rPr>
          <w:rFonts w:eastAsia="Times New Roman"/>
        </w:rPr>
      </w:pPr>
    </w:p>
    <w:p w:rsidR="00000000" w:rsidRDefault="00CB61D5">
      <w:pPr>
        <w:jc w:val="center"/>
        <w:divId w:val="1907184179"/>
        <w:rPr>
          <w:rFonts w:eastAsia="Times New Roman"/>
        </w:rPr>
      </w:pPr>
      <w:r>
        <w:rPr>
          <w:rFonts w:eastAsia="Times New Roman"/>
          <w:color w:val="000000"/>
          <w:sz w:val="20"/>
          <w:szCs w:val="20"/>
        </w:rPr>
        <w:t>i</w:t>
      </w:r>
    </w:p>
    <w:p w:rsidR="00000000" w:rsidRDefault="00CB61D5">
      <w:pPr>
        <w:rPr>
          <w:rFonts w:eastAsia="Times New Roman"/>
        </w:rPr>
      </w:pPr>
      <w:r>
        <w:rPr>
          <w:rFonts w:eastAsia="Times New Roman"/>
        </w:rPr>
        <w:pict>
          <v:rect id="_x0000_i1027" style="width:0;height:1.5pt" o:hralign="center" o:hrstd="t" o:hr="t" fillcolor="#a0a0a0" stroked="f"/>
        </w:pict>
      </w:r>
    </w:p>
    <w:p w:rsidR="00000000" w:rsidRDefault="00CB61D5">
      <w:pPr>
        <w:divId w:val="219950788"/>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FORWARD-LOOKING STATEMENTS OR INFORMATIO</w:t>
      </w:r>
      <w:r>
        <w:rPr>
          <w:rFonts w:eastAsia="Times New Roman"/>
          <w:b/>
          <w:bCs/>
          <w:color w:val="000000"/>
          <w:sz w:val="20"/>
          <w:szCs w:val="20"/>
        </w:rPr>
        <w:t>N</w:t>
      </w:r>
    </w:p>
    <w:p w:rsidR="00000000" w:rsidRDefault="00CB61D5">
      <w:pPr>
        <w:divId w:val="1318991523"/>
        <w:rPr>
          <w:rFonts w:eastAsia="Times New Roman"/>
        </w:rPr>
      </w:pPr>
    </w:p>
    <w:p w:rsidR="00000000" w:rsidRDefault="00CB61D5">
      <w:pPr>
        <w:jc w:val="both"/>
        <w:rPr>
          <w:rFonts w:eastAsia="Times New Roman"/>
        </w:rPr>
      </w:pPr>
      <w:r>
        <w:rPr>
          <w:rFonts w:eastAsia="Times New Roman"/>
          <w:color w:val="000000"/>
          <w:sz w:val="20"/>
          <w:szCs w:val="20"/>
        </w:rPr>
        <w:t>This Form 10-K and statements included or incorporated by reference in this Form 10-K include certain historical and forward-looking informati</w:t>
      </w:r>
      <w:r>
        <w:rPr>
          <w:rFonts w:eastAsia="Times New Roman"/>
          <w:color w:val="000000"/>
          <w:sz w:val="20"/>
          <w:szCs w:val="20"/>
        </w:rPr>
        <w:t>on.  The forward-looking statements included are made pursuant to the safe harbor provisions of the Private Securities Litigation Reform Act of 1995 (the “Act”).  All statements, other than statements of historical facts, which address activities, events o</w:t>
      </w:r>
      <w:r>
        <w:rPr>
          <w:rFonts w:eastAsia="Times New Roman"/>
          <w:color w:val="000000"/>
          <w:sz w:val="20"/>
          <w:szCs w:val="20"/>
        </w:rPr>
        <w:t>r developments that we expect or anticipate will or may occur in the future, including such things as future capital expenditures (including their amount and nature), business strategy, expansion and growth of the business operations and other such matters</w:t>
      </w:r>
      <w:r>
        <w:rPr>
          <w:rFonts w:eastAsia="Times New Roman"/>
          <w:color w:val="000000"/>
          <w:sz w:val="20"/>
          <w:szCs w:val="20"/>
        </w:rPr>
        <w:t xml:space="preserve"> are forward-looking statements.  To take advantage of the safe harbor provided by the Act, we are identifying certain factors that could cause actual results to differ materially from those expressed in any forward-looking statements, whether oral or writ</w:t>
      </w:r>
      <w:r>
        <w:rPr>
          <w:rFonts w:eastAsia="Times New Roman"/>
          <w:color w:val="000000"/>
          <w:sz w:val="20"/>
          <w:szCs w:val="20"/>
        </w:rPr>
        <w:t xml:space="preserve">ten.  These factors include, without limitation, national, regional and local economic conditions affecting consumer spending, weather conditions, the seasonal nature of the business, the timing and acceptance of new products in the stores, the timing and </w:t>
      </w:r>
      <w:r>
        <w:rPr>
          <w:rFonts w:eastAsia="Times New Roman"/>
          <w:color w:val="000000"/>
          <w:sz w:val="20"/>
          <w:szCs w:val="20"/>
        </w:rPr>
        <w:t>mix of goods sold,  purchase price volatility (including inflationary and deflationary pressures), the ability to increase sales at existing stores, the failure to realize anticipated benefits of our investments in technology, infrastructure, and digital a</w:t>
      </w:r>
      <w:r>
        <w:rPr>
          <w:rFonts w:eastAsia="Times New Roman"/>
          <w:color w:val="000000"/>
          <w:sz w:val="20"/>
          <w:szCs w:val="20"/>
        </w:rPr>
        <w:t xml:space="preserve">nd omni-channel capabilities, the ability to manage growth and identify suitable locations, failure of an acquisition to produce anticipated results, the ability to successfully manage expenses and execute key gross margin enhancing initiatives, increases </w:t>
      </w:r>
      <w:r>
        <w:rPr>
          <w:rFonts w:eastAsia="Times New Roman"/>
          <w:color w:val="000000"/>
          <w:sz w:val="20"/>
          <w:szCs w:val="20"/>
        </w:rPr>
        <w:t>in fuel, carrier and other transportation costs, increases in wages due to competitive pressures or minimum wage laws and regulations, the availability of favorable credit sources, capital market conditions in general, the ability to open new stores in the</w:t>
      </w:r>
      <w:r>
        <w:rPr>
          <w:rFonts w:eastAsia="Times New Roman"/>
          <w:color w:val="000000"/>
          <w:sz w:val="20"/>
          <w:szCs w:val="20"/>
        </w:rPr>
        <w:t xml:space="preserve"> manner and number currently contemplated, the impact of new stores on the business, competition, including competition from online retailers, effective merchandising and marketing initiatives, the ability to retain vendors, reliance on foreign suppliers, </w:t>
      </w:r>
      <w:r>
        <w:rPr>
          <w:rFonts w:eastAsia="Times New Roman"/>
          <w:color w:val="000000"/>
          <w:sz w:val="20"/>
          <w:szCs w:val="20"/>
        </w:rPr>
        <w:t xml:space="preserve">the ability to attract, train and retain qualified employees, product liability and other claims, changes in federal, state or local regulations, potential judgments, fines, legal fees and other costs, breach of information systems or theft of employee or </w:t>
      </w:r>
      <w:r>
        <w:rPr>
          <w:rFonts w:eastAsia="Times New Roman"/>
          <w:color w:val="000000"/>
          <w:sz w:val="20"/>
          <w:szCs w:val="20"/>
        </w:rPr>
        <w:t>customer data, ongoing and potential future legal or regulatory proceedings, management of the Company’s information systems, failure to develop and implement new technologies, the failure of customer-facing technology systems, business disruption resultin</w:t>
      </w:r>
      <w:r>
        <w:rPr>
          <w:rFonts w:eastAsia="Times New Roman"/>
          <w:color w:val="000000"/>
          <w:sz w:val="20"/>
          <w:szCs w:val="20"/>
        </w:rPr>
        <w:t>g from a natural or other disaster or implementation of new technologies, including but not limited to, new supply chain technologies, effective tax rate changes, including expected effects of the Tax Cuts and Jobs Act, and results of examination by taxing</w:t>
      </w:r>
      <w:r>
        <w:rPr>
          <w:rFonts w:eastAsia="Times New Roman"/>
          <w:color w:val="000000"/>
          <w:sz w:val="20"/>
          <w:szCs w:val="20"/>
        </w:rPr>
        <w:t xml:space="preserve"> authorities, the imposition of tariffs on imported products or the disallowance of tax deductions on imported products, the ability to maintain an effective system of internal control over financial reporting, changes in accounting standards, assumptions </w:t>
      </w:r>
      <w:r>
        <w:rPr>
          <w:rFonts w:eastAsia="Times New Roman"/>
          <w:color w:val="000000"/>
          <w:sz w:val="20"/>
          <w:szCs w:val="20"/>
        </w:rPr>
        <w:t>and estimates, and those described in Item 1A. “Risk Factors.”  Forward-looking statements are based on currently available information and are based on our current expectations and projections about future events.  We undertake no obligation to release pu</w:t>
      </w:r>
      <w:r>
        <w:rPr>
          <w:rFonts w:eastAsia="Times New Roman"/>
          <w:color w:val="000000"/>
          <w:sz w:val="20"/>
          <w:szCs w:val="20"/>
        </w:rPr>
        <w:t>blicly any revisions to these forward-looking statements to reflect events or circumstances after the date hereof or to reflect the occurrence of unanticipated events</w:t>
      </w:r>
      <w:r>
        <w:rPr>
          <w:rFonts w:eastAsia="Times New Roman"/>
          <w:color w:val="000000"/>
          <w:sz w:val="20"/>
          <w:szCs w:val="20"/>
        </w:rPr>
        <w:t>.</w:t>
      </w:r>
    </w:p>
    <w:p w:rsidR="00000000" w:rsidRDefault="00CB61D5">
      <w:pPr>
        <w:jc w:val="center"/>
        <w:divId w:val="615256129"/>
        <w:rPr>
          <w:rFonts w:eastAsia="Times New Roman"/>
        </w:rPr>
      </w:pPr>
      <w:r>
        <w:rPr>
          <w:rFonts w:eastAsia="Times New Roman"/>
          <w:color w:val="000000"/>
          <w:sz w:val="20"/>
          <w:szCs w:val="20"/>
        </w:rPr>
        <w:t>i</w:t>
      </w:r>
      <w:r>
        <w:rPr>
          <w:rFonts w:eastAsia="Times New Roman"/>
          <w:color w:val="000000"/>
          <w:sz w:val="20"/>
          <w:szCs w:val="20"/>
        </w:rPr>
        <w:t>i</w:t>
      </w:r>
    </w:p>
    <w:p w:rsidR="00000000" w:rsidRDefault="00CB61D5">
      <w:pPr>
        <w:rPr>
          <w:rFonts w:eastAsia="Times New Roman"/>
        </w:rPr>
      </w:pPr>
      <w:r>
        <w:rPr>
          <w:rFonts w:eastAsia="Times New Roman"/>
        </w:rPr>
        <w:pict>
          <v:rect id="_x0000_i1028" style="width:0;height:1.5pt" o:hralign="center" o:hrstd="t" o:hr="t" fillcolor="#a0a0a0" stroked="f"/>
        </w:pict>
      </w:r>
    </w:p>
    <w:p w:rsidR="00000000" w:rsidRDefault="00CB61D5">
      <w:pPr>
        <w:divId w:val="1640187156"/>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 xml:space="preserve">PART </w:t>
      </w:r>
      <w:r>
        <w:rPr>
          <w:rFonts w:eastAsia="Times New Roman"/>
          <w:b/>
          <w:bCs/>
          <w:color w:val="000000"/>
          <w:sz w:val="20"/>
          <w:szCs w:val="20"/>
        </w:rPr>
        <w:t>I</w:t>
      </w:r>
    </w:p>
    <w:p w:rsidR="00000000" w:rsidRDefault="00CB61D5">
      <w:pPr>
        <w:divId w:val="78872048"/>
        <w:rPr>
          <w:rFonts w:eastAsia="Times New Roman"/>
        </w:rPr>
      </w:pPr>
    </w:p>
    <w:p w:rsidR="00000000" w:rsidRDefault="00CB61D5">
      <w:pPr>
        <w:ind w:hanging="1440"/>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1</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Busines</w:t>
      </w:r>
      <w:r>
        <w:rPr>
          <w:rFonts w:eastAsia="Times New Roman"/>
          <w:b/>
          <w:bCs/>
          <w:color w:val="000000"/>
          <w:sz w:val="20"/>
          <w:szCs w:val="20"/>
          <w:u w:val="single"/>
        </w:rPr>
        <w:t>s</w:t>
      </w:r>
    </w:p>
    <w:p w:rsidR="00000000" w:rsidRDefault="00CB61D5">
      <w:pPr>
        <w:divId w:val="530454286"/>
        <w:rPr>
          <w:rFonts w:eastAsia="Times New Roman"/>
        </w:rPr>
      </w:pPr>
    </w:p>
    <w:p w:rsidR="00000000" w:rsidRDefault="00CB61D5">
      <w:pPr>
        <w:jc w:val="both"/>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CB61D5">
      <w:pPr>
        <w:divId w:val="348331702"/>
        <w:rPr>
          <w:rFonts w:eastAsia="Times New Roman"/>
        </w:rPr>
      </w:pPr>
    </w:p>
    <w:p w:rsidR="00000000" w:rsidRDefault="00CB61D5">
      <w:pPr>
        <w:jc w:val="both"/>
        <w:rPr>
          <w:rFonts w:eastAsia="Times New Roman"/>
        </w:rPr>
      </w:pPr>
      <w:r>
        <w:rPr>
          <w:rFonts w:eastAsia="Times New Roman"/>
          <w:color w:val="000000"/>
          <w:sz w:val="20"/>
          <w:szCs w:val="20"/>
        </w:rPr>
        <w:t>Tractor Supply Company (the “Company” or “we” or “our” or “us”) is the largest rural lifestyle retailer in the United States (“U.S.”). The Company is focused on supplying the needs of recreational farmers, ranchers, and all t</w:t>
      </w:r>
      <w:r>
        <w:rPr>
          <w:rFonts w:eastAsia="Times New Roman"/>
          <w:color w:val="000000"/>
          <w:sz w:val="20"/>
          <w:szCs w:val="20"/>
        </w:rPr>
        <w:t xml:space="preserve">hose who enjoy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 well as tradesmen and small businesses.  We operate retail stores under the names</w:t>
      </w:r>
      <w:r>
        <w:rPr>
          <w:rFonts w:eastAsia="Times New Roman"/>
          <w:color w:val="000000"/>
          <w:sz w:val="20"/>
          <w:szCs w:val="20"/>
        </w:rPr>
        <w:t xml:space="preserve"> </w:t>
      </w:r>
      <w:r>
        <w:rPr>
          <w:rFonts w:eastAsia="Times New Roman"/>
          <w:i/>
          <w:iCs/>
          <w:color w:val="000000"/>
          <w:sz w:val="20"/>
          <w:szCs w:val="20"/>
        </w:rPr>
        <w:t>Tractor Supply Company, Del’s Feed &amp; Farm Supply</w:t>
      </w:r>
      <w:r>
        <w:rPr>
          <w:rFonts w:eastAsia="Times New Roman"/>
          <w:i/>
          <w:iCs/>
          <w:color w:val="000000"/>
          <w:sz w:val="20"/>
          <w:szCs w:val="20"/>
        </w:rPr>
        <w:t>,</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Petsense</w:t>
      </w:r>
      <w:r>
        <w:rPr>
          <w:rFonts w:eastAsia="Times New Roman"/>
          <w:i/>
          <w:iCs/>
          <w:color w:val="000000"/>
          <w:sz w:val="20"/>
          <w:szCs w:val="20"/>
        </w:rPr>
        <w:t xml:space="preserve"> </w:t>
      </w:r>
      <w:r>
        <w:rPr>
          <w:rFonts w:eastAsia="Times New Roman"/>
          <w:color w:val="000000"/>
          <w:sz w:val="20"/>
          <w:szCs w:val="20"/>
        </w:rPr>
        <w:t>and operate websi</w:t>
      </w:r>
      <w:r>
        <w:rPr>
          <w:rFonts w:eastAsia="Times New Roman"/>
          <w:color w:val="000000"/>
          <w:sz w:val="20"/>
          <w:szCs w:val="20"/>
        </w:rPr>
        <w:t>tes under the names</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xml:space="preserve"> an</w:t>
      </w:r>
      <w:r>
        <w:rPr>
          <w:rFonts w:eastAsia="Times New Roman"/>
          <w:color w:val="000000"/>
          <w:sz w:val="20"/>
          <w:szCs w:val="20"/>
        </w:rPr>
        <w:t>d</w:t>
      </w:r>
      <w:r>
        <w:rPr>
          <w:rFonts w:eastAsia="Times New Roman"/>
          <w:i/>
          <w:iCs/>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  Our stores are located primarily in towns outlying major metropolitan markets and in rural communities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has one reportable industry segment which is the retail sale of products that sup</w:t>
      </w:r>
      <w:r>
        <w:rPr>
          <w:rFonts w:eastAsia="Times New Roman"/>
          <w:color w:val="000000"/>
          <w:sz w:val="20"/>
          <w:szCs w:val="20"/>
        </w:rPr>
        <w:t xml:space="preserve">port the rural lifestyle. At December 28, 2019, we operated 2,024 retail stores in 49 states (1,844 Tractor Supply and Del’s retail stores and 180 Petsense retail stores). Our Tractor Supply stores typically range in size from 15,000 to 20,000 square feet </w:t>
      </w:r>
      <w:r>
        <w:rPr>
          <w:rFonts w:eastAsia="Times New Roman"/>
          <w:color w:val="000000"/>
          <w:sz w:val="20"/>
          <w:szCs w:val="20"/>
        </w:rPr>
        <w:t>of inside selling space, along with additional outside selling space, and our Petsense stores have approximately 5,500 square feet of inside selling space. For Tractor Supply retail locations, we use a standard design for most new built-to-suit locations t</w:t>
      </w:r>
      <w:r>
        <w:rPr>
          <w:rFonts w:eastAsia="Times New Roman"/>
          <w:color w:val="000000"/>
          <w:sz w:val="20"/>
          <w:szCs w:val="20"/>
        </w:rPr>
        <w:t xml:space="preserve">hat includes approximately 15,500 square feet of inside selling space. Our online selling websites are positioned to offer an extended assortment of products beyond those offered in-store and drive traffic into our stores through our buy online and pickup </w:t>
      </w:r>
      <w:r>
        <w:rPr>
          <w:rFonts w:eastAsia="Times New Roman"/>
          <w:color w:val="000000"/>
          <w:sz w:val="20"/>
          <w:szCs w:val="20"/>
        </w:rPr>
        <w:t>in-store and ship to store programs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Business Strateg</w:t>
      </w:r>
      <w:r>
        <w:rPr>
          <w:rFonts w:eastAsia="Times New Roman"/>
          <w:b/>
          <w:bCs/>
          <w:color w:val="000000"/>
          <w:sz w:val="20"/>
          <w:szCs w:val="20"/>
        </w:rPr>
        <w:t>y</w:t>
      </w:r>
    </w:p>
    <w:p w:rsidR="00000000" w:rsidRDefault="00CB61D5">
      <w:pPr>
        <w:divId w:val="709917105"/>
        <w:rPr>
          <w:rFonts w:eastAsia="Times New Roman"/>
        </w:rPr>
      </w:pPr>
    </w:p>
    <w:p w:rsidR="00000000" w:rsidRDefault="00CB61D5">
      <w:pPr>
        <w:jc w:val="both"/>
        <w:rPr>
          <w:rFonts w:eastAsia="Times New Roman"/>
        </w:rPr>
      </w:pPr>
      <w:r>
        <w:rPr>
          <w:rFonts w:eastAsia="Times New Roman"/>
          <w:color w:val="000000"/>
          <w:sz w:val="20"/>
          <w:szCs w:val="20"/>
        </w:rPr>
        <w:t>We believe our sales and earnings growth is the result of executing our business strategy, which includes the following key components</w:t>
      </w:r>
      <w:r>
        <w:rPr>
          <w:rFonts w:eastAsia="Times New Roman"/>
          <w:color w:val="000000"/>
          <w:sz w:val="20"/>
          <w:szCs w:val="20"/>
        </w:rPr>
        <w:t>:</w:t>
      </w:r>
    </w:p>
    <w:p w:rsidR="00000000" w:rsidRDefault="00CB61D5">
      <w:pPr>
        <w:jc w:val="both"/>
        <w:rPr>
          <w:rFonts w:eastAsia="Times New Roman"/>
        </w:rPr>
      </w:pPr>
      <w:r>
        <w:rPr>
          <w:rFonts w:eastAsia="Times New Roman"/>
          <w:color w:val="000000"/>
          <w:sz w:val="20"/>
          <w:szCs w:val="20"/>
        </w:rPr>
        <w:t> </w:t>
      </w:r>
    </w:p>
    <w:p w:rsidR="00000000" w:rsidRDefault="00CB61D5">
      <w:pPr>
        <w:jc w:val="both"/>
        <w:rPr>
          <w:rFonts w:eastAsia="Times New Roman"/>
        </w:rPr>
      </w:pPr>
      <w:r>
        <w:rPr>
          <w:rFonts w:eastAsia="Times New Roman"/>
          <w:i/>
          <w:iCs/>
          <w:color w:val="000000"/>
          <w:sz w:val="20"/>
          <w:szCs w:val="20"/>
        </w:rPr>
        <w:t>Market Nich</w:t>
      </w:r>
      <w:r>
        <w:rPr>
          <w:rFonts w:eastAsia="Times New Roman"/>
          <w:i/>
          <w:iCs/>
          <w:color w:val="000000"/>
          <w:sz w:val="20"/>
          <w:szCs w:val="20"/>
        </w:rPr>
        <w:t>e</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have identified a specialized market niche: supplying the lifestyle needs of recreational farmers, r</w:t>
      </w:r>
      <w:r>
        <w:rPr>
          <w:rFonts w:eastAsia="Times New Roman"/>
          <w:color w:val="000000"/>
          <w:sz w:val="20"/>
          <w:szCs w:val="20"/>
        </w:rPr>
        <w:t>anchers, and all those who enjoy living the rural lifestyle, as well as tradesmen and small businesses.  By focusing our product assortment on these core customers, we believe we are differentiated from general merchandise, home center, and other specialty</w:t>
      </w:r>
      <w:r>
        <w:rPr>
          <w:rFonts w:eastAsia="Times New Roman"/>
          <w:color w:val="000000"/>
          <w:sz w:val="20"/>
          <w:szCs w:val="20"/>
        </w:rPr>
        <w:t xml:space="preserve"> retailers. We cater to the rural lifestyle and often serve a market by being a trip consolidator for many basic maintenance needs for farm, ranch, and rural customers through convenient shopping options both in-store and online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Customer</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target c</w:t>
      </w:r>
      <w:r>
        <w:rPr>
          <w:rFonts w:eastAsia="Times New Roman"/>
          <w:color w:val="000000"/>
          <w:sz w:val="20"/>
          <w:szCs w:val="20"/>
        </w:rPr>
        <w:t>ustomers are home, land, pet, and livestock owners who generally have above average income and below average cost of living. We seek to serve a customer base that primarily lives in towns outlying major metropolitan markets and in rural communities. This c</w:t>
      </w:r>
      <w:r>
        <w:rPr>
          <w:rFonts w:eastAsia="Times New Roman"/>
          <w:color w:val="000000"/>
          <w:sz w:val="20"/>
          <w:szCs w:val="20"/>
        </w:rPr>
        <w:t>ustomer base includes recreational farmers, ranchers, and all those who enjoy living the rural lifestyle, as well as tradesmen and small businesses</w:t>
      </w:r>
      <w:r>
        <w:rPr>
          <w:rFonts w:eastAsia="Times New Roman"/>
          <w:color w:val="000000"/>
          <w:sz w:val="20"/>
          <w:szCs w:val="20"/>
        </w:rPr>
        <w:t>.</w:t>
      </w:r>
    </w:p>
    <w:p w:rsidR="00000000" w:rsidRDefault="00CB61D5">
      <w:pPr>
        <w:divId w:val="532379382"/>
        <w:rPr>
          <w:rFonts w:eastAsia="Times New Roman"/>
        </w:rPr>
      </w:pPr>
    </w:p>
    <w:p w:rsidR="00000000" w:rsidRDefault="00CB61D5">
      <w:pPr>
        <w:jc w:val="both"/>
        <w:rPr>
          <w:rFonts w:eastAsia="Times New Roman"/>
        </w:rPr>
      </w:pPr>
      <w:r>
        <w:rPr>
          <w:rFonts w:eastAsia="Times New Roman"/>
          <w:i/>
          <w:iCs/>
          <w:color w:val="000000"/>
          <w:sz w:val="20"/>
          <w:szCs w:val="20"/>
        </w:rPr>
        <w:t>Customer Servic</w:t>
      </w:r>
      <w:r>
        <w:rPr>
          <w:rFonts w:eastAsia="Times New Roman"/>
          <w:i/>
          <w:iCs/>
          <w:color w:val="000000"/>
          <w:sz w:val="20"/>
          <w:szCs w:val="20"/>
        </w:rPr>
        <w:t>e</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committed to providing our customers reliable product availability and a conven</w:t>
      </w:r>
      <w:r>
        <w:rPr>
          <w:rFonts w:eastAsia="Times New Roman"/>
          <w:color w:val="000000"/>
          <w:sz w:val="20"/>
          <w:szCs w:val="20"/>
        </w:rPr>
        <w:t>ient, customer-centric experience across shopping channels. In our stores, we believe the ability of our motivated, well-trained team members to provide friendly, responsive and seasoned advice helps our customers find the right products to satisfy their e</w:t>
      </w:r>
      <w:r>
        <w:rPr>
          <w:rFonts w:eastAsia="Times New Roman"/>
          <w:color w:val="000000"/>
          <w:sz w:val="20"/>
          <w:szCs w:val="20"/>
        </w:rPr>
        <w:t xml:space="preserve">veryday needs, as well as the specialty items needed to complete their rural lifestyle projects. We also engage with our customers through our e-commerce website </w:t>
      </w:r>
      <w:r>
        <w:rPr>
          <w:rFonts w:eastAsia="Times New Roman"/>
          <w:color w:val="000000"/>
          <w:sz w:val="20"/>
          <w:szCs w:val="20"/>
        </w:rPr>
        <w:t>(</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which provides the opportunity to allow customers to shop at anytime, any</w:t>
      </w:r>
      <w:r>
        <w:rPr>
          <w:rFonts w:eastAsia="Times New Roman"/>
          <w:color w:val="000000"/>
          <w:sz w:val="20"/>
          <w:szCs w:val="20"/>
        </w:rPr>
        <w:t>where, and in any way they choose, while delivering enhanced product information, research, and decision tools that support product selection and informational needs in specific subject areas.  Additionally, we maintain a Customer Solutions Center at our S</w:t>
      </w:r>
      <w:r>
        <w:rPr>
          <w:rFonts w:eastAsia="Times New Roman"/>
          <w:color w:val="000000"/>
          <w:sz w:val="20"/>
          <w:szCs w:val="20"/>
        </w:rPr>
        <w:t>tore Support Center located in Brentwood, Tennessee, to support our in-store and online customers, as well as our store team members. We believe this commitment to customer service promotes strong customer loyalty through personalized experiences and provi</w:t>
      </w:r>
      <w:r>
        <w:rPr>
          <w:rFonts w:eastAsia="Times New Roman"/>
          <w:color w:val="000000"/>
          <w:sz w:val="20"/>
          <w:szCs w:val="20"/>
        </w:rPr>
        <w:t>des convenience that our customers expect, which drives repeat shopping experiences.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784029232"/>
        <w:rPr>
          <w:rFonts w:eastAsia="Times New Roman"/>
        </w:rPr>
      </w:pPr>
      <w:r>
        <w:rPr>
          <w:rFonts w:eastAsia="Times New Roman"/>
          <w:color w:val="000000"/>
          <w:sz w:val="20"/>
          <w:szCs w:val="20"/>
        </w:rPr>
        <w:t>1</w:t>
      </w:r>
    </w:p>
    <w:p w:rsidR="00000000" w:rsidRDefault="00CB61D5">
      <w:pPr>
        <w:rPr>
          <w:rFonts w:eastAsia="Times New Roman"/>
        </w:rPr>
      </w:pPr>
      <w:r>
        <w:rPr>
          <w:rFonts w:eastAsia="Times New Roman"/>
        </w:rPr>
        <w:pict>
          <v:rect id="_x0000_i1029" style="width:0;height:1.5pt" o:hralign="center" o:hrstd="t" o:hr="t" fillcolor="#a0a0a0" stroked="f"/>
        </w:pict>
      </w:r>
    </w:p>
    <w:p w:rsidR="00000000" w:rsidRDefault="00CB61D5">
      <w:pPr>
        <w:divId w:val="60361617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We use a third-party provider to survey and measure our level of customer service.  This process allows customers to provide feedback on their shopping experience.  Based on the third-pa</w:t>
      </w:r>
      <w:r>
        <w:rPr>
          <w:rFonts w:eastAsia="Times New Roman"/>
          <w:color w:val="000000"/>
          <w:sz w:val="20"/>
          <w:szCs w:val="20"/>
        </w:rPr>
        <w:t>rty provider’s data, we believe our customer satisfaction scores are among the best-in-class.  We carefully evaluate the feedback we receive from our customers and implement improvements at both the Company and the individual store level based on that feed</w:t>
      </w:r>
      <w:r>
        <w:rPr>
          <w:rFonts w:eastAsia="Times New Roman"/>
          <w:color w:val="000000"/>
          <w:sz w:val="20"/>
          <w:szCs w:val="20"/>
        </w:rPr>
        <w:t>back</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Store Personnel and Trainin</w:t>
      </w:r>
      <w:r>
        <w:rPr>
          <w:rFonts w:eastAsia="Times New Roman"/>
          <w:i/>
          <w:iCs/>
          <w:color w:val="000000"/>
          <w:sz w:val="20"/>
          <w:szCs w:val="20"/>
        </w:rPr>
        <w:t>g</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seek to hire store team members who live and appreciate the</w:t>
      </w:r>
      <w:r>
        <w:rPr>
          <w:rFonts w:eastAsia="Times New Roman"/>
          <w:color w:val="000000"/>
          <w:sz w:val="20"/>
          <w:szCs w:val="20"/>
        </w:rPr>
        <w:t xml:space="preserve"> </w:t>
      </w:r>
      <w:r>
        <w:rPr>
          <w:rFonts w:eastAsia="Times New Roman"/>
          <w:i/>
          <w:iCs/>
          <w:color w:val="000000"/>
          <w:sz w:val="20"/>
          <w:szCs w:val="20"/>
        </w:rPr>
        <w:t>"Out Here</w:t>
      </w:r>
      <w:r>
        <w:rPr>
          <w:rFonts w:eastAsia="Times New Roman"/>
          <w:i/>
          <w:iCs/>
          <w:color w:val="000000"/>
          <w:sz w:val="20"/>
          <w:szCs w:val="20"/>
        </w:rPr>
        <w:t>"</w:t>
      </w:r>
      <w:r>
        <w:rPr>
          <w:rFonts w:eastAsia="Times New Roman"/>
          <w:color w:val="000000"/>
          <w:sz w:val="20"/>
          <w:szCs w:val="20"/>
        </w:rPr>
        <w:t xml:space="preserve"> lifestyle, including those with farming and ranching backgrounds, with particular emphasis on general maintenance, equine, and welding. We ende</w:t>
      </w:r>
      <w:r>
        <w:rPr>
          <w:rFonts w:eastAsia="Times New Roman"/>
          <w:color w:val="000000"/>
          <w:sz w:val="20"/>
          <w:szCs w:val="20"/>
        </w:rPr>
        <w:t>avor to staff our stores with courteous, highly motivated team members and devote considerable resources to training store team members, often in cooperation with our vendors.  Our training programs include</w:t>
      </w:r>
      <w:r>
        <w:rPr>
          <w:rFonts w:eastAsia="Times New Roman"/>
          <w:color w:val="000000"/>
          <w:sz w:val="20"/>
          <w:szCs w:val="20"/>
        </w:rPr>
        <w:t>:</w:t>
      </w:r>
    </w:p>
    <w:p w:rsidR="00000000" w:rsidRDefault="00CB61D5">
      <w:pPr>
        <w:jc w:val="both"/>
        <w:rPr>
          <w:rFonts w:eastAsia="Times New Roman"/>
        </w:rPr>
      </w:pPr>
    </w:p>
    <w:p w:rsidR="00000000" w:rsidRDefault="00CB61D5">
      <w:pPr>
        <w:ind w:hanging="360"/>
        <w:divId w:val="657660751"/>
        <w:rPr>
          <w:rFonts w:eastAsia="Times New Roman"/>
        </w:rPr>
      </w:pPr>
      <w:r>
        <w:rPr>
          <w:rFonts w:eastAsia="Times New Roman"/>
          <w:color w:val="000000"/>
          <w:sz w:val="20"/>
          <w:szCs w:val="20"/>
        </w:rPr>
        <w:t>•</w:t>
      </w:r>
      <w:r>
        <w:rPr>
          <w:rFonts w:eastAsia="Times New Roman"/>
          <w:color w:val="000000"/>
          <w:sz w:val="20"/>
          <w:szCs w:val="20"/>
        </w:rPr>
        <w:t>A thorough on-boarding process to prepare new</w:t>
      </w:r>
      <w:r>
        <w:rPr>
          <w:rFonts w:eastAsia="Times New Roman"/>
          <w:color w:val="000000"/>
          <w:sz w:val="20"/>
          <w:szCs w:val="20"/>
        </w:rPr>
        <w:t xml:space="preserve"> team members for their new role</w:t>
      </w:r>
      <w:r>
        <w:rPr>
          <w:rFonts w:eastAsia="Times New Roman"/>
          <w:color w:val="000000"/>
          <w:sz w:val="20"/>
          <w:szCs w:val="20"/>
        </w:rPr>
        <w:t>;</w:t>
      </w:r>
    </w:p>
    <w:p w:rsidR="00000000" w:rsidRDefault="00CB61D5">
      <w:pPr>
        <w:ind w:hanging="360"/>
        <w:divId w:val="704327499"/>
        <w:rPr>
          <w:rFonts w:eastAsia="Times New Roman"/>
        </w:rPr>
      </w:pPr>
      <w:r>
        <w:rPr>
          <w:rFonts w:eastAsia="Times New Roman"/>
          <w:color w:val="000000"/>
          <w:sz w:val="20"/>
          <w:szCs w:val="20"/>
        </w:rPr>
        <w:t>•</w:t>
      </w:r>
      <w:r>
        <w:rPr>
          <w:rFonts w:eastAsia="Times New Roman"/>
          <w:color w:val="000000"/>
          <w:sz w:val="20"/>
          <w:szCs w:val="20"/>
        </w:rPr>
        <w:t>Productive workplace environment training that is intended to educate team members on company policies and procedures covering topics such as harassment, discrimination, and retaliation</w:t>
      </w:r>
      <w:r>
        <w:rPr>
          <w:rFonts w:eastAsia="Times New Roman"/>
          <w:color w:val="000000"/>
          <w:sz w:val="20"/>
          <w:szCs w:val="20"/>
        </w:rPr>
        <w:t>;</w:t>
      </w:r>
    </w:p>
    <w:p w:rsidR="00000000" w:rsidRDefault="00CB61D5">
      <w:pPr>
        <w:ind w:hanging="360"/>
        <w:divId w:val="1399279524"/>
        <w:rPr>
          <w:rFonts w:eastAsia="Times New Roman"/>
        </w:rPr>
      </w:pPr>
      <w:r>
        <w:rPr>
          <w:rFonts w:eastAsia="Times New Roman"/>
          <w:color w:val="000000"/>
          <w:sz w:val="20"/>
          <w:szCs w:val="20"/>
        </w:rPr>
        <w:t>•</w:t>
      </w:r>
      <w:r>
        <w:rPr>
          <w:rFonts w:eastAsia="Times New Roman"/>
          <w:color w:val="000000"/>
          <w:sz w:val="20"/>
          <w:szCs w:val="20"/>
        </w:rPr>
        <w:t>New store opening training that p</w:t>
      </w:r>
      <w:r>
        <w:rPr>
          <w:rFonts w:eastAsia="Times New Roman"/>
          <w:color w:val="000000"/>
          <w:sz w:val="20"/>
          <w:szCs w:val="20"/>
        </w:rPr>
        <w:t>repares our store managers to open new stores to Company standards</w:t>
      </w:r>
      <w:r>
        <w:rPr>
          <w:rFonts w:eastAsia="Times New Roman"/>
          <w:color w:val="000000"/>
          <w:sz w:val="20"/>
          <w:szCs w:val="20"/>
        </w:rPr>
        <w:t>;</w:t>
      </w:r>
    </w:p>
    <w:p w:rsidR="00000000" w:rsidRDefault="00CB61D5">
      <w:pPr>
        <w:ind w:hanging="360"/>
        <w:divId w:val="1424758905"/>
        <w:rPr>
          <w:rFonts w:eastAsia="Times New Roman"/>
        </w:rPr>
      </w:pPr>
      <w:r>
        <w:rPr>
          <w:rFonts w:eastAsia="Times New Roman"/>
          <w:color w:val="000000"/>
          <w:sz w:val="20"/>
          <w:szCs w:val="20"/>
        </w:rPr>
        <w:t>•</w:t>
      </w:r>
      <w:r>
        <w:rPr>
          <w:rFonts w:eastAsia="Times New Roman"/>
          <w:color w:val="000000"/>
          <w:sz w:val="20"/>
          <w:szCs w:val="20"/>
        </w:rPr>
        <w:t>A management training program which covers all aspects of our store operations, delivering superior service, and managing the team member experience</w:t>
      </w:r>
      <w:r>
        <w:rPr>
          <w:rFonts w:eastAsia="Times New Roman"/>
          <w:color w:val="000000"/>
          <w:sz w:val="20"/>
          <w:szCs w:val="20"/>
        </w:rPr>
        <w:t>;</w:t>
      </w:r>
    </w:p>
    <w:p w:rsidR="00000000" w:rsidRDefault="00CB61D5">
      <w:pPr>
        <w:ind w:hanging="360"/>
        <w:divId w:val="1499686811"/>
        <w:rPr>
          <w:rFonts w:eastAsia="Times New Roman"/>
        </w:rPr>
      </w:pPr>
      <w:r>
        <w:rPr>
          <w:rFonts w:eastAsia="Times New Roman"/>
          <w:color w:val="000000"/>
          <w:sz w:val="20"/>
          <w:szCs w:val="20"/>
        </w:rPr>
        <w:t>•</w:t>
      </w:r>
      <w:r>
        <w:rPr>
          <w:rFonts w:eastAsia="Times New Roman"/>
          <w:color w:val="000000"/>
          <w:sz w:val="20"/>
          <w:szCs w:val="20"/>
        </w:rPr>
        <w:t>Structured training on customer serv</w:t>
      </w:r>
      <w:r>
        <w:rPr>
          <w:rFonts w:eastAsia="Times New Roman"/>
          <w:color w:val="000000"/>
          <w:sz w:val="20"/>
          <w:szCs w:val="20"/>
        </w:rPr>
        <w:t>ice and selling skills</w:t>
      </w:r>
      <w:r>
        <w:rPr>
          <w:rFonts w:eastAsia="Times New Roman"/>
          <w:color w:val="000000"/>
          <w:sz w:val="20"/>
          <w:szCs w:val="20"/>
        </w:rPr>
        <w:t>;</w:t>
      </w:r>
    </w:p>
    <w:p w:rsidR="00000000" w:rsidRDefault="00CB61D5">
      <w:pPr>
        <w:ind w:hanging="360"/>
        <w:divId w:val="1475177906"/>
        <w:rPr>
          <w:rFonts w:eastAsia="Times New Roman"/>
        </w:rPr>
      </w:pPr>
      <w:r>
        <w:rPr>
          <w:rFonts w:eastAsia="Times New Roman"/>
          <w:color w:val="000000"/>
          <w:sz w:val="20"/>
          <w:szCs w:val="20"/>
        </w:rPr>
        <w:t>•</w:t>
      </w:r>
      <w:r>
        <w:rPr>
          <w:rFonts w:eastAsia="Times New Roman"/>
          <w:color w:val="000000"/>
          <w:sz w:val="20"/>
          <w:szCs w:val="20"/>
        </w:rPr>
        <w:t>Online product knowledge training produced in conjunction with key vendors</w:t>
      </w:r>
      <w:r>
        <w:rPr>
          <w:rFonts w:eastAsia="Times New Roman"/>
          <w:color w:val="000000"/>
          <w:sz w:val="20"/>
          <w:szCs w:val="20"/>
        </w:rPr>
        <w:t>;</w:t>
      </w:r>
    </w:p>
    <w:p w:rsidR="00000000" w:rsidRDefault="00CB61D5">
      <w:pPr>
        <w:ind w:hanging="360"/>
        <w:divId w:val="1695886697"/>
        <w:rPr>
          <w:rFonts w:eastAsia="Times New Roman"/>
        </w:rPr>
      </w:pPr>
      <w:r>
        <w:rPr>
          <w:rFonts w:eastAsia="Times New Roman"/>
          <w:color w:val="000000"/>
          <w:sz w:val="20"/>
          <w:szCs w:val="20"/>
        </w:rPr>
        <w:t>•</w:t>
      </w:r>
      <w:r>
        <w:rPr>
          <w:rFonts w:eastAsia="Times New Roman"/>
          <w:color w:val="000000"/>
          <w:sz w:val="20"/>
          <w:szCs w:val="20"/>
        </w:rPr>
        <w:t>Leadership development programs that prepare leaders to expand their current contributions; an</w:t>
      </w:r>
      <w:r>
        <w:rPr>
          <w:rFonts w:eastAsia="Times New Roman"/>
          <w:color w:val="000000"/>
          <w:sz w:val="20"/>
          <w:szCs w:val="20"/>
        </w:rPr>
        <w:t>d</w:t>
      </w:r>
    </w:p>
    <w:p w:rsidR="00000000" w:rsidRDefault="00CB61D5">
      <w:pPr>
        <w:ind w:hanging="360"/>
        <w:divId w:val="656109977"/>
        <w:rPr>
          <w:rFonts w:eastAsia="Times New Roman"/>
        </w:rPr>
      </w:pPr>
      <w:r>
        <w:rPr>
          <w:rFonts w:eastAsia="Times New Roman"/>
          <w:color w:val="000000"/>
          <w:sz w:val="20"/>
          <w:szCs w:val="20"/>
        </w:rPr>
        <w:t>•</w:t>
      </w:r>
      <w:r>
        <w:rPr>
          <w:rFonts w:eastAsia="Times New Roman"/>
          <w:color w:val="000000"/>
          <w:sz w:val="20"/>
          <w:szCs w:val="20"/>
        </w:rPr>
        <w:t>An annual store manager meeting with vendor product prese</w:t>
      </w:r>
      <w:r>
        <w:rPr>
          <w:rFonts w:eastAsia="Times New Roman"/>
          <w:color w:val="000000"/>
          <w:sz w:val="20"/>
          <w:szCs w:val="20"/>
        </w:rPr>
        <w:t>ntations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Store Environmen</w:t>
      </w:r>
      <w:r>
        <w:rPr>
          <w:rFonts w:eastAsia="Times New Roman"/>
          <w:i/>
          <w:iCs/>
          <w:color w:val="000000"/>
          <w:sz w:val="20"/>
          <w:szCs w:val="20"/>
        </w:rPr>
        <w:t>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stores are designed and managed to make shopping an enjoyable experience and to maximize sales and operating efficiencies.  Stores are strategically arranged to provide an open environment for optimal product placement a</w:t>
      </w:r>
      <w:r>
        <w:rPr>
          <w:rFonts w:eastAsia="Times New Roman"/>
          <w:color w:val="000000"/>
          <w:sz w:val="20"/>
          <w:szCs w:val="20"/>
        </w:rPr>
        <w:t>nd visual display. In addition, these layouts allow for departmental space to be easily reallocated and visual displays to be changed for seasonal products and promotions. Display and product placement information is routinely sent to stores to ensure qual</w:t>
      </w:r>
      <w:r>
        <w:rPr>
          <w:rFonts w:eastAsia="Times New Roman"/>
          <w:color w:val="000000"/>
          <w:sz w:val="20"/>
          <w:szCs w:val="20"/>
        </w:rPr>
        <w:t>ity and uniformity among the stores.  Our store layouts and visual displays are designed to provide our customers a feeling of familiarity and convenience to enhance the shopping experience.  Informative signs are located in key product categories to conve</w:t>
      </w:r>
      <w:r>
        <w:rPr>
          <w:rFonts w:eastAsia="Times New Roman"/>
          <w:color w:val="000000"/>
          <w:sz w:val="20"/>
          <w:szCs w:val="20"/>
        </w:rPr>
        <w:t>niently assist customers with purchasing decisions and merchandise location.  These signs provide customers with a comparison of product qualities, clear pricing, useful information regarding product benefits, and suggestions for appropriate accessories. A</w:t>
      </w:r>
      <w:r>
        <w:rPr>
          <w:rFonts w:eastAsia="Times New Roman"/>
          <w:color w:val="000000"/>
          <w:sz w:val="20"/>
          <w:szCs w:val="20"/>
        </w:rPr>
        <w:t>lso, our store team members wear highly visible red vests, aprons, or smocks with nametags, and our customer service and checkout counters are conveniently located near the front of the store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Merchandising and Purchasin</w:t>
      </w:r>
      <w:r>
        <w:rPr>
          <w:rFonts w:eastAsia="Times New Roman"/>
          <w:i/>
          <w:iCs/>
          <w:color w:val="000000"/>
          <w:sz w:val="20"/>
          <w:szCs w:val="20"/>
        </w:rPr>
        <w:t>g</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offer an extensive assortment of products for all those seeking to enjoy the </w:t>
      </w:r>
      <w:r>
        <w:rPr>
          <w:rFonts w:eastAsia="Times New Roman"/>
          <w:color w:val="000000"/>
          <w:sz w:val="20"/>
          <w:szCs w:val="20"/>
        </w:rPr>
        <w:t>“</w:t>
      </w:r>
      <w:r>
        <w:rPr>
          <w:rFonts w:eastAsia="Times New Roman"/>
          <w:i/>
          <w:iCs/>
          <w:color w:val="000000"/>
          <w:sz w:val="20"/>
          <w:szCs w:val="20"/>
        </w:rPr>
        <w:t>Out Here</w:t>
      </w:r>
      <w:r>
        <w:rPr>
          <w:rFonts w:eastAsia="Times New Roman"/>
          <w:i/>
          <w:iCs/>
          <w:color w:val="000000"/>
          <w:sz w:val="20"/>
          <w:szCs w:val="20"/>
        </w:rPr>
        <w:t>”</w:t>
      </w:r>
      <w:r>
        <w:rPr>
          <w:rFonts w:eastAsia="Times New Roman"/>
          <w:color w:val="000000"/>
          <w:sz w:val="20"/>
          <w:szCs w:val="20"/>
        </w:rPr>
        <w:t xml:space="preserve"> lifestyle, as well as tradesmen and small businesses.  Our product assortment is tailored to meet the needs of our customers in various geographic markets.  Our full</w:t>
      </w:r>
      <w:r>
        <w:rPr>
          <w:rFonts w:eastAsia="Times New Roman"/>
          <w:color w:val="000000"/>
          <w:sz w:val="20"/>
          <w:szCs w:val="20"/>
        </w:rPr>
        <w:t xml:space="preserve"> line of product offerings includes a broad selection of high quality, reputable brand name and exclusive brand products and is supported by a strong in-stock inventory position with approximately 15,500 to 20,000 products per store as well as over 125,000</w:t>
      </w:r>
      <w:r>
        <w:rPr>
          <w:rFonts w:eastAsia="Times New Roman"/>
          <w:color w:val="000000"/>
          <w:sz w:val="20"/>
          <w:szCs w:val="20"/>
        </w:rPr>
        <w:t xml:space="preserve"> products online.  No single product accounted for more than 10% of our sales during fiscal 2019. Our comprehensive selection of merchandise is comprised of the following major product categories</w:t>
      </w:r>
      <w:r>
        <w:rPr>
          <w:rFonts w:eastAsia="Times New Roman"/>
          <w:color w:val="000000"/>
          <w:sz w:val="20"/>
          <w:szCs w:val="20"/>
        </w:rPr>
        <w:t>:</w:t>
      </w:r>
    </w:p>
    <w:p w:rsidR="00000000" w:rsidRDefault="00CB61D5">
      <w:pPr>
        <w:divId w:val="492330926"/>
        <w:rPr>
          <w:rFonts w:eastAsia="Times New Roman"/>
        </w:rPr>
      </w:pPr>
    </w:p>
    <w:p w:rsidR="00000000" w:rsidRDefault="00CB61D5">
      <w:pPr>
        <w:ind w:hanging="360"/>
        <w:divId w:val="1050694010"/>
        <w:rPr>
          <w:rFonts w:eastAsia="Times New Roman"/>
        </w:rPr>
      </w:pPr>
      <w:r>
        <w:rPr>
          <w:rFonts w:eastAsia="Times New Roman"/>
          <w:color w:val="000000"/>
          <w:sz w:val="20"/>
          <w:szCs w:val="20"/>
        </w:rPr>
        <w:t>•</w:t>
      </w:r>
      <w:r>
        <w:rPr>
          <w:rFonts w:eastAsia="Times New Roman"/>
          <w:color w:val="000000"/>
          <w:sz w:val="20"/>
          <w:szCs w:val="20"/>
        </w:rPr>
        <w:t>Equine, livestock, pet, and small animal products, inclu</w:t>
      </w:r>
      <w:r>
        <w:rPr>
          <w:rFonts w:eastAsia="Times New Roman"/>
          <w:color w:val="000000"/>
          <w:sz w:val="20"/>
          <w:szCs w:val="20"/>
        </w:rPr>
        <w:t>ding items necessary for their health, care, growth, and containment</w:t>
      </w:r>
      <w:r>
        <w:rPr>
          <w:rFonts w:eastAsia="Times New Roman"/>
          <w:color w:val="000000"/>
          <w:sz w:val="20"/>
          <w:szCs w:val="20"/>
        </w:rPr>
        <w:t>;</w:t>
      </w:r>
    </w:p>
    <w:p w:rsidR="00000000" w:rsidRDefault="00CB61D5">
      <w:pPr>
        <w:ind w:hanging="360"/>
        <w:divId w:val="1132677272"/>
        <w:rPr>
          <w:rFonts w:eastAsia="Times New Roman"/>
        </w:rPr>
      </w:pPr>
      <w:r>
        <w:rPr>
          <w:rFonts w:eastAsia="Times New Roman"/>
          <w:color w:val="000000"/>
          <w:sz w:val="20"/>
          <w:szCs w:val="20"/>
        </w:rPr>
        <w:t>•</w:t>
      </w:r>
      <w:r>
        <w:rPr>
          <w:rFonts w:eastAsia="Times New Roman"/>
          <w:color w:val="000000"/>
          <w:sz w:val="20"/>
          <w:szCs w:val="20"/>
        </w:rPr>
        <w:t>Hardware, truck, towing, and tool products</w:t>
      </w:r>
      <w:r>
        <w:rPr>
          <w:rFonts w:eastAsia="Times New Roman"/>
          <w:color w:val="000000"/>
          <w:sz w:val="20"/>
          <w:szCs w:val="20"/>
        </w:rPr>
        <w:t>;</w:t>
      </w:r>
    </w:p>
    <w:p w:rsidR="00000000" w:rsidRDefault="00CB61D5">
      <w:pPr>
        <w:ind w:hanging="360"/>
        <w:divId w:val="225073221"/>
        <w:rPr>
          <w:rFonts w:eastAsia="Times New Roman"/>
        </w:rPr>
      </w:pPr>
      <w:r>
        <w:rPr>
          <w:rFonts w:eastAsia="Times New Roman"/>
          <w:color w:val="000000"/>
          <w:sz w:val="20"/>
          <w:szCs w:val="20"/>
        </w:rPr>
        <w:t>•</w:t>
      </w:r>
      <w:r>
        <w:rPr>
          <w:rFonts w:eastAsia="Times New Roman"/>
          <w:color w:val="000000"/>
          <w:sz w:val="20"/>
          <w:szCs w:val="20"/>
        </w:rPr>
        <w:t>Seasonal products, including heating, lawn and garden items, power equipment, gifts, and toys</w:t>
      </w:r>
      <w:r>
        <w:rPr>
          <w:rFonts w:eastAsia="Times New Roman"/>
          <w:color w:val="000000"/>
          <w:sz w:val="20"/>
          <w:szCs w:val="20"/>
        </w:rPr>
        <w:t>;</w:t>
      </w:r>
    </w:p>
    <w:p w:rsidR="00000000" w:rsidRDefault="00CB61D5">
      <w:pPr>
        <w:ind w:hanging="360"/>
        <w:divId w:val="1970088894"/>
        <w:rPr>
          <w:rFonts w:eastAsia="Times New Roman"/>
        </w:rPr>
      </w:pPr>
      <w:r>
        <w:rPr>
          <w:rFonts w:eastAsia="Times New Roman"/>
          <w:color w:val="000000"/>
          <w:sz w:val="20"/>
          <w:szCs w:val="20"/>
        </w:rPr>
        <w:t>•</w:t>
      </w:r>
      <w:r>
        <w:rPr>
          <w:rFonts w:eastAsia="Times New Roman"/>
          <w:color w:val="000000"/>
          <w:sz w:val="20"/>
          <w:szCs w:val="20"/>
        </w:rPr>
        <w:t>Work/recreational clothing and footwear; an</w:t>
      </w:r>
      <w:r>
        <w:rPr>
          <w:rFonts w:eastAsia="Times New Roman"/>
          <w:color w:val="000000"/>
          <w:sz w:val="20"/>
          <w:szCs w:val="20"/>
        </w:rPr>
        <w:t>d</w:t>
      </w:r>
    </w:p>
    <w:p w:rsidR="00000000" w:rsidRDefault="00CB61D5">
      <w:pPr>
        <w:ind w:hanging="360"/>
        <w:divId w:val="610863297"/>
        <w:rPr>
          <w:rFonts w:eastAsia="Times New Roman"/>
        </w:rPr>
      </w:pPr>
      <w:r>
        <w:rPr>
          <w:rFonts w:eastAsia="Times New Roman"/>
          <w:color w:val="000000"/>
          <w:sz w:val="20"/>
          <w:szCs w:val="20"/>
        </w:rPr>
        <w:t>•</w:t>
      </w:r>
      <w:r>
        <w:rPr>
          <w:rFonts w:eastAsia="Times New Roman"/>
          <w:color w:val="000000"/>
          <w:sz w:val="20"/>
          <w:szCs w:val="20"/>
        </w:rPr>
        <w:t>Maintenance products for agricultural and rural use</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652249046"/>
        <w:rPr>
          <w:rFonts w:eastAsia="Times New Roman"/>
        </w:rPr>
      </w:pPr>
      <w:r>
        <w:rPr>
          <w:rFonts w:eastAsia="Times New Roman"/>
          <w:color w:val="000000"/>
          <w:sz w:val="20"/>
          <w:szCs w:val="20"/>
        </w:rPr>
        <w:t>2</w:t>
      </w:r>
    </w:p>
    <w:p w:rsidR="00000000" w:rsidRDefault="00CB61D5">
      <w:pPr>
        <w:rPr>
          <w:rFonts w:eastAsia="Times New Roman"/>
        </w:rPr>
      </w:pPr>
      <w:r>
        <w:rPr>
          <w:rFonts w:eastAsia="Times New Roman"/>
        </w:rPr>
        <w:pict>
          <v:rect id="_x0000_i1030" style="width:0;height:1.5pt" o:hralign="center" o:hrstd="t" o:hr="t" fillcolor="#a0a0a0" stroked="f"/>
        </w:pict>
      </w:r>
    </w:p>
    <w:p w:rsidR="00000000" w:rsidRDefault="00CB61D5">
      <w:pPr>
        <w:divId w:val="110785268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2019, 2018, and 2017</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538"/>
        <w:gridCol w:w="39"/>
        <w:gridCol w:w="37"/>
        <w:gridCol w:w="791"/>
        <w:gridCol w:w="203"/>
        <w:gridCol w:w="36"/>
        <w:gridCol w:w="36"/>
        <w:gridCol w:w="36"/>
        <w:gridCol w:w="37"/>
        <w:gridCol w:w="757"/>
        <w:gridCol w:w="203"/>
        <w:gridCol w:w="36"/>
        <w:gridCol w:w="36"/>
        <w:gridCol w:w="36"/>
        <w:gridCol w:w="37"/>
        <w:gridCol w:w="760"/>
        <w:gridCol w:w="203"/>
        <w:gridCol w:w="36"/>
        <w:gridCol w:w="36"/>
        <w:gridCol w:w="36"/>
        <w:gridCol w:w="36"/>
        <w:gridCol w:w="36"/>
        <w:gridCol w:w="36"/>
        <w:gridCol w:w="36"/>
        <w:gridCol w:w="36"/>
        <w:gridCol w:w="36"/>
        <w:gridCol w:w="36"/>
        <w:gridCol w:w="36"/>
        <w:gridCol w:w="36"/>
      </w:tblGrid>
      <w:tr w:rsidR="00000000">
        <w:trPr>
          <w:gridAfter w:val="12"/>
          <w:divId w:val="664867162"/>
          <w:jc w:val="center"/>
        </w:trPr>
        <w:tc>
          <w:tcPr>
            <w:tcW w:w="50" w:type="pct"/>
            <w:vAlign w:val="center"/>
            <w:hideMark/>
          </w:tcPr>
          <w:p w:rsidR="00000000" w:rsidRDefault="00CB61D5">
            <w:pPr>
              <w:jc w:val="both"/>
              <w:rPr>
                <w:rFonts w:eastAsia="Times New Roman"/>
              </w:rPr>
            </w:pPr>
          </w:p>
        </w:tc>
        <w:tc>
          <w:tcPr>
            <w:tcW w:w="291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lastRenderedPageBreak/>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64867162"/>
          <w:jc w:val="center"/>
        </w:trPr>
        <w:tc>
          <w:tcPr>
            <w:tcW w:w="0" w:type="auto"/>
            <w:gridSpan w:val="3"/>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buying team continuously reviews and updates our product assortment to respond to customer needs and to offer new, relevant products.  We are focused on providing key products that our customers use on a regular basis for their lifestyle and maintenanc</w:t>
      </w:r>
      <w:r>
        <w:rPr>
          <w:rFonts w:eastAsia="Times New Roman"/>
          <w:color w:val="000000"/>
          <w:sz w:val="20"/>
          <w:szCs w:val="20"/>
        </w:rPr>
        <w:t>e needs with emphasis on consumable, usable, and edible (“C.U.E.”) products.  Examples of C.U.E. product categories include, but are not limited to, livestock feed and bedding, pet food, lubricants, and various seasonal products, such as heating, pest cont</w:t>
      </w:r>
      <w:r>
        <w:rPr>
          <w:rFonts w:eastAsia="Times New Roman"/>
          <w:color w:val="000000"/>
          <w:sz w:val="20"/>
          <w:szCs w:val="20"/>
        </w:rPr>
        <w:t>rol, and twine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products are sourced through both domestic and international vendors, each of whom adhere to a code of conduct that guides our relationship.  Our business is not dependent upon any single vendor or particular group of vendors.  We purchase our products</w:t>
      </w:r>
      <w:r>
        <w:rPr>
          <w:rFonts w:eastAsia="Times New Roman"/>
          <w:color w:val="000000"/>
          <w:sz w:val="20"/>
          <w:szCs w:val="20"/>
        </w:rPr>
        <w:t xml:space="preserve"> from a group of approximately 975 vendors, with no one vendor representing more than 10% of our purchases during fiscal 2019.  Approximately 375 core vendors accounted for 90% of our merchandise purchases during fiscal 2019.  We have not experienced any s</w:t>
      </w:r>
      <w:r>
        <w:rPr>
          <w:rFonts w:eastAsia="Times New Roman"/>
          <w:color w:val="000000"/>
          <w:sz w:val="20"/>
          <w:szCs w:val="20"/>
        </w:rPr>
        <w:t>ignificant difficulty in obtaining satisfactory alternative sources of supply for our products, and we believe that adequate sources of supply exist at substantially similar costs for nearly all of our products.  We have no material long-term contractual c</w:t>
      </w:r>
      <w:r>
        <w:rPr>
          <w:rFonts w:eastAsia="Times New Roman"/>
          <w:color w:val="000000"/>
          <w:sz w:val="20"/>
          <w:szCs w:val="20"/>
        </w:rPr>
        <w:t>ommitments with any of our product vendors.</w:t>
      </w:r>
      <w:r>
        <w:rPr>
          <w:rFonts w:eastAsia="Times New Roman"/>
          <w:color w:val="000000"/>
          <w:sz w:val="20"/>
          <w:szCs w:val="20"/>
        </w:rPr>
        <w:t xml:space="preserve"> </w:t>
      </w:r>
    </w:p>
    <w:p w:rsidR="00000000" w:rsidRDefault="00CB61D5">
      <w:pPr>
        <w:divId w:val="1146702508"/>
        <w:rPr>
          <w:rFonts w:eastAsia="Times New Roman"/>
        </w:rPr>
      </w:pPr>
    </w:p>
    <w:p w:rsidR="00000000" w:rsidRDefault="00CB61D5">
      <w:pPr>
        <w:jc w:val="both"/>
        <w:rPr>
          <w:rFonts w:eastAsia="Times New Roman"/>
        </w:rPr>
      </w:pPr>
      <w:r>
        <w:rPr>
          <w:rFonts w:eastAsia="Times New Roman"/>
          <w:color w:val="000000"/>
          <w:sz w:val="20"/>
          <w:szCs w:val="20"/>
        </w:rPr>
        <w:t>Our buying teams focus on merchandise procurement, vendor line reviews, and testing of new products and programs.  We also employ a dedicated inventory management team that focuses exclusively on forecasting a</w:t>
      </w:r>
      <w:r>
        <w:rPr>
          <w:rFonts w:eastAsia="Times New Roman"/>
          <w:color w:val="000000"/>
          <w:sz w:val="20"/>
          <w:szCs w:val="20"/>
        </w:rPr>
        <w:t>nd inventory replenishment, a committed merchandise planning team that concentrates on assortment planning, and a specialized pricing team that seeks to optimize market-specific pricing for our products.  Through the combined efforts of these teams, we con</w:t>
      </w:r>
      <w:r>
        <w:rPr>
          <w:rFonts w:eastAsia="Times New Roman"/>
          <w:color w:val="000000"/>
          <w:sz w:val="20"/>
          <w:szCs w:val="20"/>
        </w:rPr>
        <w:t>tinue to focus on improving our overall inventory productivity and in-stock inventory position</w:t>
      </w:r>
      <w:r>
        <w:rPr>
          <w:rFonts w:eastAsia="Times New Roman"/>
          <w:color w:val="000000"/>
          <w:sz w:val="20"/>
          <w:szCs w:val="20"/>
        </w:rPr>
        <w:t>.</w:t>
      </w:r>
    </w:p>
    <w:p w:rsidR="00000000" w:rsidRDefault="00CB61D5">
      <w:pPr>
        <w:divId w:val="1044057005"/>
        <w:rPr>
          <w:rFonts w:eastAsia="Times New Roman"/>
        </w:rPr>
      </w:pPr>
    </w:p>
    <w:p w:rsidR="00000000" w:rsidRDefault="00CB61D5">
      <w:pPr>
        <w:jc w:val="both"/>
        <w:rPr>
          <w:rFonts w:eastAsia="Times New Roman"/>
        </w:rPr>
      </w:pPr>
      <w:r>
        <w:rPr>
          <w:rFonts w:eastAsia="Times New Roman"/>
          <w:i/>
          <w:iCs/>
          <w:color w:val="000000"/>
          <w:sz w:val="20"/>
          <w:szCs w:val="20"/>
        </w:rPr>
        <w:t>Intellectual Property</w:t>
      </w:r>
      <w:r>
        <w:rPr>
          <w:rFonts w:eastAsia="Times New Roman"/>
          <w:i/>
          <w:iCs/>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Our subsidiary, Tractor Supply Co. of Texas, LP (“TSCT”), owns registrations with the U.S. Patent and Trademark Office (“USPTO”) for </w:t>
      </w:r>
      <w:r>
        <w:rPr>
          <w:rFonts w:eastAsia="Times New Roman"/>
          <w:color w:val="000000"/>
          <w:sz w:val="20"/>
          <w:szCs w:val="20"/>
        </w:rPr>
        <w:t>various service marks including</w:t>
      </w:r>
      <w:r>
        <w:rPr>
          <w:rFonts w:eastAsia="Times New Roman"/>
          <w:color w:val="000000"/>
          <w:sz w:val="20"/>
          <w:szCs w:val="20"/>
        </w:rPr>
        <w:t xml:space="preserve"> </w:t>
      </w:r>
      <w:r>
        <w:rPr>
          <w:rFonts w:eastAsia="Times New Roman"/>
          <w:i/>
          <w:iCs/>
          <w:color w:val="000000"/>
          <w:sz w:val="20"/>
          <w:szCs w:val="20"/>
        </w:rPr>
        <w:t>TS</w:t>
      </w:r>
      <w:r>
        <w:rPr>
          <w:rFonts w:eastAsia="Times New Roman"/>
          <w:i/>
          <w:iCs/>
          <w:color w:val="000000"/>
          <w:sz w:val="20"/>
          <w:szCs w:val="20"/>
        </w:rPr>
        <w:t>C</w:t>
      </w:r>
      <w:r>
        <w:rPr>
          <w:rFonts w:eastAsia="Times New Roman"/>
          <w:color w:val="000000"/>
          <w:sz w:val="13"/>
          <w:szCs w:val="13"/>
          <w:vertAlign w:val="superscript"/>
        </w:rPr>
        <w:t>®</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Tractor Supply Co</w:t>
      </w:r>
      <w:r>
        <w:rPr>
          <w:rFonts w:eastAsia="Times New Roman"/>
          <w:i/>
          <w:iCs/>
          <w:color w:val="000000"/>
          <w:sz w:val="20"/>
          <w:szCs w:val="20"/>
        </w:rPr>
        <w:t>.</w:t>
      </w:r>
      <w:r>
        <w:rPr>
          <w:rFonts w:eastAsia="Times New Roman"/>
          <w:color w:val="000000"/>
          <w:sz w:val="13"/>
          <w:szCs w:val="13"/>
          <w:vertAlign w:val="superscript"/>
        </w:rPr>
        <w:t>®</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TSC Tractor Supply Co</w:t>
      </w:r>
      <w:r>
        <w:rPr>
          <w:rFonts w:eastAsia="Times New Roman"/>
          <w:i/>
          <w:iCs/>
          <w:color w:val="000000"/>
          <w:sz w:val="20"/>
          <w:szCs w:val="20"/>
        </w:rPr>
        <w:t>.</w:t>
      </w:r>
      <w:r>
        <w:rPr>
          <w:rFonts w:eastAsia="Times New Roman"/>
          <w:color w:val="000000"/>
          <w:sz w:val="13"/>
          <w:szCs w:val="13"/>
          <w:vertAlign w:val="superscript"/>
        </w:rPr>
        <w:t>®</w:t>
      </w:r>
      <w:r>
        <w:rPr>
          <w:rFonts w:eastAsia="Times New Roman"/>
          <w:color w:val="000000"/>
          <w:sz w:val="20"/>
          <w:szCs w:val="20"/>
        </w:rPr>
        <w:t>, and the trapezium design for retail services. We consider these service marks, and the accompanying goodwill and name recognition, to be valuable assets of our business. TS</w:t>
      </w:r>
      <w:r>
        <w:rPr>
          <w:rFonts w:eastAsia="Times New Roman"/>
          <w:color w:val="000000"/>
          <w:sz w:val="20"/>
          <w:szCs w:val="20"/>
        </w:rPr>
        <w:t>CT also owns several other service marks for retail services, some of which have been registered with the USPTO and some of which are the subject of applications for registration pending before the USPTO.</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addition to selling products that bear nation</w:t>
      </w:r>
      <w:r>
        <w:rPr>
          <w:rFonts w:eastAsia="Times New Roman"/>
          <w:color w:val="000000"/>
          <w:sz w:val="20"/>
          <w:szCs w:val="20"/>
        </w:rPr>
        <w:t xml:space="preserve">ally-known manufacturer brands, we also sell products manufactured for us under a number of exclusive brands that we consider to be important to our business. These exclusive brands are manufactured for us by a number of vendors and provide an alternative </w:t>
      </w:r>
      <w:r>
        <w:rPr>
          <w:rFonts w:eastAsia="Times New Roman"/>
          <w:color w:val="000000"/>
          <w:sz w:val="20"/>
          <w:szCs w:val="20"/>
        </w:rPr>
        <w:t>to the national brands, which helps provide value for our customers and positions us as a destination retailer.</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797261983"/>
        <w:rPr>
          <w:rFonts w:eastAsia="Times New Roman"/>
        </w:rPr>
      </w:pPr>
      <w:r>
        <w:rPr>
          <w:rFonts w:eastAsia="Times New Roman"/>
          <w:color w:val="000000"/>
          <w:sz w:val="20"/>
          <w:szCs w:val="20"/>
        </w:rPr>
        <w:t>3</w:t>
      </w:r>
    </w:p>
    <w:p w:rsidR="00000000" w:rsidRDefault="00CB61D5">
      <w:pPr>
        <w:rPr>
          <w:rFonts w:eastAsia="Times New Roman"/>
        </w:rPr>
      </w:pPr>
      <w:r>
        <w:rPr>
          <w:rFonts w:eastAsia="Times New Roman"/>
        </w:rPr>
        <w:pict>
          <v:rect id="_x0000_i1031" style="width:0;height:1.5pt" o:hralign="center" o:hrstd="t" o:hr="t" fillcolor="#a0a0a0" stroked="f"/>
        </w:pict>
      </w:r>
    </w:p>
    <w:p w:rsidR="00000000" w:rsidRDefault="00CB61D5">
      <w:pPr>
        <w:divId w:val="756438949"/>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Our exclusive brands represented approximately 31% of our total sale</w:t>
      </w:r>
      <w:r>
        <w:rPr>
          <w:rFonts w:eastAsia="Times New Roman"/>
          <w:color w:val="000000"/>
          <w:sz w:val="20"/>
          <w:szCs w:val="20"/>
        </w:rPr>
        <w:t>s in fiscal 2019 and 2018, respectively, and 32% of our total sales in fiscal 2017. Our exclusive brands include</w:t>
      </w:r>
      <w:r>
        <w:rPr>
          <w:rFonts w:eastAsia="Times New Roman"/>
          <w:color w:val="000000"/>
          <w:sz w:val="20"/>
          <w:szCs w:val="20"/>
        </w:rPr>
        <w:t>:</w:t>
      </w:r>
    </w:p>
    <w:p w:rsidR="00000000" w:rsidRDefault="00CB61D5">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6"/>
        <w:gridCol w:w="102"/>
        <w:gridCol w:w="36"/>
        <w:gridCol w:w="69"/>
        <w:gridCol w:w="3451"/>
        <w:gridCol w:w="69"/>
        <w:gridCol w:w="36"/>
        <w:gridCol w:w="102"/>
        <w:gridCol w:w="36"/>
        <w:gridCol w:w="69"/>
        <w:gridCol w:w="4230"/>
        <w:gridCol w:w="70"/>
      </w:tblGrid>
      <w:tr w:rsidR="00000000">
        <w:trPr>
          <w:divId w:val="1466463607"/>
          <w:jc w:val="center"/>
        </w:trPr>
        <w:tc>
          <w:tcPr>
            <w:tcW w:w="5" w:type="pct"/>
            <w:vAlign w:val="center"/>
            <w:hideMark/>
          </w:tcPr>
          <w:p w:rsidR="00000000" w:rsidRDefault="00CB61D5">
            <w:pPr>
              <w:jc w:val="both"/>
              <w:rPr>
                <w:rFonts w:eastAsia="Times New Roman"/>
              </w:rPr>
            </w:pPr>
          </w:p>
        </w:tc>
        <w:tc>
          <w:tcPr>
            <w:tcW w:w="7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08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7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5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66463607"/>
          <w:jc w:val="center"/>
        </w:trPr>
        <w:tc>
          <w:tcPr>
            <w:tcW w:w="0" w:type="auto"/>
            <w:gridSpan w:val="3"/>
            <w:shd w:val="clear" w:color="auto" w:fill="CCEEFF"/>
            <w:tcMar>
              <w:top w:w="30" w:type="dxa"/>
              <w:left w:w="20" w:type="dxa"/>
              <w:bottom w:w="30" w:type="dxa"/>
              <w:right w:w="20" w:type="dxa"/>
            </w:tcMar>
            <w:hideMark/>
          </w:tcPr>
          <w:p w:rsidR="00000000" w:rsidRDefault="00CB61D5">
            <w:pPr>
              <w:divId w:val="50426347"/>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2043549261"/>
              <w:rPr>
                <w:rFonts w:eastAsia="Times New Roman"/>
              </w:rPr>
            </w:pPr>
            <w:r>
              <w:rPr>
                <w:rFonts w:eastAsia="Times New Roman"/>
                <w:i/>
                <w:iCs/>
                <w:color w:val="000000"/>
                <w:sz w:val="20"/>
                <w:szCs w:val="20"/>
              </w:rPr>
              <w:t>4healt</w:t>
            </w:r>
            <w:r>
              <w:rPr>
                <w:rFonts w:eastAsia="Times New Roman"/>
                <w:i/>
                <w:iCs/>
                <w:color w:val="000000"/>
                <w:sz w:val="20"/>
                <w:szCs w:val="20"/>
              </w:rPr>
              <w:t>h</w:t>
            </w:r>
            <w:r>
              <w:rPr>
                <w:rFonts w:eastAsia="Times New Roman"/>
                <w:color w:val="000000"/>
                <w:sz w:val="13"/>
                <w:szCs w:val="13"/>
                <w:vertAlign w:val="superscript"/>
              </w:rPr>
              <w:t>®</w:t>
            </w:r>
            <w:r>
              <w:rPr>
                <w:rFonts w:eastAsia="Times New Roman"/>
                <w:color w:val="000000"/>
                <w:sz w:val="20"/>
                <w:szCs w:val="20"/>
              </w:rPr>
              <w:t xml:space="preserve"> (pet foods and supplies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141700164"/>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1135679737"/>
              <w:rPr>
                <w:rFonts w:eastAsia="Times New Roman"/>
              </w:rPr>
            </w:pPr>
            <w:r>
              <w:rPr>
                <w:rFonts w:eastAsia="Times New Roman"/>
                <w:i/>
                <w:iCs/>
                <w:color w:val="000000"/>
                <w:sz w:val="20"/>
                <w:szCs w:val="20"/>
              </w:rPr>
              <w:t>Producer’s Prid</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(livestock and horse feed and supplies</w:t>
            </w:r>
            <w:r>
              <w:rPr>
                <w:rFonts w:eastAsia="Times New Roman"/>
                <w:color w:val="000000"/>
                <w:sz w:val="20"/>
                <w:szCs w:val="20"/>
              </w:rPr>
              <w:t>)</w:t>
            </w:r>
          </w:p>
        </w:tc>
      </w:tr>
      <w:tr w:rsidR="00000000">
        <w:trPr>
          <w:divId w:val="1466463607"/>
          <w:jc w:val="center"/>
        </w:trPr>
        <w:tc>
          <w:tcPr>
            <w:tcW w:w="0" w:type="auto"/>
            <w:gridSpan w:val="3"/>
            <w:tcMar>
              <w:top w:w="30" w:type="dxa"/>
              <w:left w:w="20" w:type="dxa"/>
              <w:bottom w:w="30" w:type="dxa"/>
              <w:right w:w="20" w:type="dxa"/>
            </w:tcMar>
            <w:hideMark/>
          </w:tcPr>
          <w:p w:rsidR="00000000" w:rsidRDefault="00CB61D5">
            <w:pPr>
              <w:divId w:val="229120851"/>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288118417"/>
              <w:rPr>
                <w:rFonts w:eastAsia="Times New Roman"/>
              </w:rPr>
            </w:pPr>
            <w:r>
              <w:rPr>
                <w:rFonts w:eastAsia="Times New Roman"/>
                <w:i/>
                <w:iCs/>
                <w:color w:val="000000"/>
                <w:sz w:val="20"/>
                <w:szCs w:val="20"/>
              </w:rPr>
              <w:t>Bit &amp; Bridl</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(apparel and footwear</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1694459605"/>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741609901"/>
              <w:rPr>
                <w:rFonts w:eastAsia="Times New Roman"/>
              </w:rPr>
            </w:pPr>
            <w:r>
              <w:rPr>
                <w:rFonts w:eastAsia="Times New Roman"/>
                <w:i/>
                <w:iCs/>
                <w:color w:val="000000"/>
                <w:sz w:val="20"/>
                <w:szCs w:val="20"/>
              </w:rPr>
              <w:t>Red She</w:t>
            </w:r>
            <w:r>
              <w:rPr>
                <w:rFonts w:eastAsia="Times New Roman"/>
                <w:i/>
                <w:iCs/>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(gifts, collectibles, and outdoor furniture</w:t>
            </w:r>
            <w:r>
              <w:rPr>
                <w:rFonts w:eastAsia="Times New Roman"/>
                <w:color w:val="000000"/>
                <w:sz w:val="20"/>
                <w:szCs w:val="20"/>
              </w:rPr>
              <w:t>)</w:t>
            </w:r>
          </w:p>
        </w:tc>
      </w:tr>
      <w:tr w:rsidR="00000000">
        <w:trPr>
          <w:divId w:val="1466463607"/>
          <w:jc w:val="center"/>
        </w:trPr>
        <w:tc>
          <w:tcPr>
            <w:tcW w:w="0" w:type="auto"/>
            <w:gridSpan w:val="3"/>
            <w:shd w:val="clear" w:color="auto" w:fill="CCEEFF"/>
            <w:tcMar>
              <w:top w:w="30" w:type="dxa"/>
              <w:left w:w="20" w:type="dxa"/>
              <w:bottom w:w="30" w:type="dxa"/>
              <w:right w:w="20" w:type="dxa"/>
            </w:tcMar>
            <w:hideMark/>
          </w:tcPr>
          <w:p w:rsidR="00000000" w:rsidRDefault="00CB61D5">
            <w:pPr>
              <w:divId w:val="442000419"/>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876623386"/>
              <w:rPr>
                <w:rFonts w:eastAsia="Times New Roman"/>
              </w:rPr>
            </w:pPr>
            <w:r>
              <w:rPr>
                <w:rFonts w:eastAsia="Times New Roman"/>
                <w:i/>
                <w:iCs/>
                <w:color w:val="000000"/>
                <w:sz w:val="20"/>
                <w:szCs w:val="20"/>
              </w:rPr>
              <w:t>Blue Mountai</w:t>
            </w:r>
            <w:r>
              <w:rPr>
                <w:rFonts w:eastAsia="Times New Roman"/>
                <w:i/>
                <w:iCs/>
                <w:color w:val="000000"/>
                <w:sz w:val="20"/>
                <w:szCs w:val="20"/>
              </w:rPr>
              <w:t>n</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(apparel</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369963946"/>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415059078"/>
              <w:rPr>
                <w:rFonts w:eastAsia="Times New Roman"/>
              </w:rPr>
            </w:pPr>
            <w:r>
              <w:rPr>
                <w:rFonts w:eastAsia="Times New Roman"/>
                <w:i/>
                <w:iCs/>
                <w:color w:val="000000"/>
                <w:sz w:val="20"/>
                <w:szCs w:val="20"/>
              </w:rPr>
              <w:t>Redston</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(heating products</w:t>
            </w:r>
            <w:r>
              <w:rPr>
                <w:rFonts w:eastAsia="Times New Roman"/>
                <w:color w:val="000000"/>
                <w:sz w:val="20"/>
                <w:szCs w:val="20"/>
              </w:rPr>
              <w:t>)</w:t>
            </w:r>
          </w:p>
        </w:tc>
      </w:tr>
      <w:tr w:rsidR="00000000">
        <w:trPr>
          <w:divId w:val="1466463607"/>
          <w:jc w:val="center"/>
        </w:trPr>
        <w:tc>
          <w:tcPr>
            <w:tcW w:w="0" w:type="auto"/>
            <w:gridSpan w:val="3"/>
            <w:tcMar>
              <w:top w:w="30" w:type="dxa"/>
              <w:left w:w="20" w:type="dxa"/>
              <w:bottom w:w="30" w:type="dxa"/>
              <w:right w:w="20" w:type="dxa"/>
            </w:tcMar>
            <w:hideMark/>
          </w:tcPr>
          <w:p w:rsidR="00000000" w:rsidRDefault="00CB61D5">
            <w:pPr>
              <w:divId w:val="1108937486"/>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501626477"/>
              <w:rPr>
                <w:rFonts w:eastAsia="Times New Roman"/>
              </w:rPr>
            </w:pPr>
            <w:r>
              <w:rPr>
                <w:rFonts w:eastAsia="Times New Roman"/>
                <w:i/>
                <w:iCs/>
                <w:color w:val="000000"/>
                <w:sz w:val="20"/>
                <w:szCs w:val="20"/>
              </w:rPr>
              <w:t>C.E. Schmid</w:t>
            </w:r>
            <w:r>
              <w:rPr>
                <w:rFonts w:eastAsia="Times New Roman"/>
                <w:i/>
                <w:iCs/>
                <w:color w:val="000000"/>
                <w:sz w:val="20"/>
                <w:szCs w:val="20"/>
              </w:rPr>
              <w:t>t</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(apparel and footwear</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498467378"/>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134788491"/>
              <w:rPr>
                <w:rFonts w:eastAsia="Times New Roman"/>
              </w:rPr>
            </w:pPr>
            <w:r>
              <w:rPr>
                <w:rFonts w:eastAsia="Times New Roman"/>
                <w:i/>
                <w:iCs/>
                <w:color w:val="000000"/>
                <w:sz w:val="20"/>
                <w:szCs w:val="20"/>
              </w:rPr>
              <w:t>Retrieve</w:t>
            </w:r>
            <w:r>
              <w:rPr>
                <w:rFonts w:eastAsia="Times New Roman"/>
                <w:i/>
                <w:iCs/>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(pet foods and supplies</w:t>
            </w:r>
            <w:r>
              <w:rPr>
                <w:rFonts w:eastAsia="Times New Roman"/>
                <w:color w:val="000000"/>
                <w:sz w:val="20"/>
                <w:szCs w:val="20"/>
              </w:rPr>
              <w:t>)</w:t>
            </w:r>
          </w:p>
        </w:tc>
      </w:tr>
      <w:tr w:rsidR="00000000">
        <w:trPr>
          <w:divId w:val="1466463607"/>
          <w:jc w:val="center"/>
        </w:trPr>
        <w:tc>
          <w:tcPr>
            <w:tcW w:w="0" w:type="auto"/>
            <w:gridSpan w:val="3"/>
            <w:shd w:val="clear" w:color="auto" w:fill="CCEEFF"/>
            <w:tcMar>
              <w:top w:w="30" w:type="dxa"/>
              <w:left w:w="20" w:type="dxa"/>
              <w:bottom w:w="30" w:type="dxa"/>
              <w:right w:w="20" w:type="dxa"/>
            </w:tcMar>
            <w:hideMark/>
          </w:tcPr>
          <w:p w:rsidR="00000000" w:rsidRDefault="00CB61D5">
            <w:pPr>
              <w:divId w:val="748767977"/>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1672872358"/>
              <w:rPr>
                <w:rFonts w:eastAsia="Times New Roman"/>
              </w:rPr>
            </w:pPr>
            <w:r>
              <w:rPr>
                <w:rFonts w:eastAsia="Times New Roman"/>
                <w:i/>
                <w:iCs/>
                <w:color w:val="000000"/>
                <w:sz w:val="20"/>
                <w:szCs w:val="20"/>
              </w:rPr>
              <w:t>Countylin</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(livestock, farm and ranch equipment</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1087767275"/>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21975900"/>
              <w:rPr>
                <w:rFonts w:eastAsia="Times New Roman"/>
              </w:rPr>
            </w:pPr>
            <w:r>
              <w:rPr>
                <w:rFonts w:eastAsia="Times New Roman"/>
                <w:i/>
                <w:iCs/>
                <w:color w:val="000000"/>
                <w:sz w:val="20"/>
                <w:szCs w:val="20"/>
              </w:rPr>
              <w:t>Ridgecu</w:t>
            </w:r>
            <w:r>
              <w:rPr>
                <w:rFonts w:eastAsia="Times New Roman"/>
                <w:i/>
                <w:iCs/>
                <w:color w:val="000000"/>
                <w:sz w:val="20"/>
                <w:szCs w:val="20"/>
              </w:rPr>
              <w:t>t</w:t>
            </w:r>
            <w:r>
              <w:rPr>
                <w:rFonts w:eastAsia="Times New Roman"/>
                <w:color w:val="000000"/>
                <w:sz w:val="13"/>
                <w:szCs w:val="13"/>
                <w:vertAlign w:val="superscript"/>
              </w:rPr>
              <w:t>®</w:t>
            </w:r>
            <w:r>
              <w:rPr>
                <w:rFonts w:eastAsia="Times New Roman"/>
                <w:color w:val="000000"/>
                <w:sz w:val="20"/>
                <w:szCs w:val="20"/>
              </w:rPr>
              <w:t xml:space="preserve"> (apparel</w:t>
            </w:r>
            <w:r>
              <w:rPr>
                <w:rFonts w:eastAsia="Times New Roman"/>
                <w:color w:val="000000"/>
                <w:sz w:val="20"/>
                <w:szCs w:val="20"/>
              </w:rPr>
              <w:t>)</w:t>
            </w:r>
          </w:p>
        </w:tc>
      </w:tr>
      <w:tr w:rsidR="00000000">
        <w:trPr>
          <w:divId w:val="1466463607"/>
          <w:jc w:val="center"/>
        </w:trPr>
        <w:tc>
          <w:tcPr>
            <w:tcW w:w="0" w:type="auto"/>
            <w:gridSpan w:val="3"/>
            <w:tcMar>
              <w:top w:w="30" w:type="dxa"/>
              <w:left w:w="20" w:type="dxa"/>
              <w:bottom w:w="30" w:type="dxa"/>
              <w:right w:w="20" w:type="dxa"/>
            </w:tcMar>
            <w:hideMark/>
          </w:tcPr>
          <w:p w:rsidR="00000000" w:rsidRDefault="00CB61D5">
            <w:pPr>
              <w:divId w:val="425538586"/>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500777609"/>
              <w:rPr>
                <w:rFonts w:eastAsia="Times New Roman"/>
              </w:rPr>
            </w:pPr>
            <w:r>
              <w:rPr>
                <w:rFonts w:eastAsia="Times New Roman"/>
                <w:i/>
                <w:iCs/>
                <w:color w:val="000000"/>
                <w:sz w:val="20"/>
                <w:szCs w:val="20"/>
              </w:rPr>
              <w:t>Dumo</w:t>
            </w:r>
            <w:r>
              <w:rPr>
                <w:rFonts w:eastAsia="Times New Roman"/>
                <w:i/>
                <w:iCs/>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(livestock and horse feed and supplies</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1726559285"/>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702316102"/>
              <w:rPr>
                <w:rFonts w:eastAsia="Times New Roman"/>
              </w:rPr>
            </w:pPr>
            <w:r>
              <w:rPr>
                <w:rFonts w:eastAsia="Times New Roman"/>
                <w:i/>
                <w:iCs/>
                <w:color w:val="000000"/>
                <w:sz w:val="20"/>
                <w:szCs w:val="20"/>
              </w:rPr>
              <w:t>Royal Win</w:t>
            </w:r>
            <w:r>
              <w:rPr>
                <w:rFonts w:eastAsia="Times New Roman"/>
                <w:i/>
                <w:iCs/>
                <w:color w:val="000000"/>
                <w:sz w:val="20"/>
                <w:szCs w:val="20"/>
              </w:rPr>
              <w:t>g</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(bird feed and supplies</w:t>
            </w:r>
            <w:r>
              <w:rPr>
                <w:rFonts w:eastAsia="Times New Roman"/>
                <w:color w:val="000000"/>
                <w:sz w:val="20"/>
                <w:szCs w:val="20"/>
              </w:rPr>
              <w:t>)</w:t>
            </w:r>
          </w:p>
        </w:tc>
      </w:tr>
      <w:tr w:rsidR="00000000">
        <w:trPr>
          <w:divId w:val="1466463607"/>
          <w:jc w:val="center"/>
        </w:trPr>
        <w:tc>
          <w:tcPr>
            <w:tcW w:w="0" w:type="auto"/>
            <w:gridSpan w:val="3"/>
            <w:shd w:val="clear" w:color="auto" w:fill="CCEEFF"/>
            <w:tcMar>
              <w:top w:w="30" w:type="dxa"/>
              <w:left w:w="20" w:type="dxa"/>
              <w:bottom w:w="30" w:type="dxa"/>
              <w:right w:w="20" w:type="dxa"/>
            </w:tcMar>
            <w:hideMark/>
          </w:tcPr>
          <w:p w:rsidR="00000000" w:rsidRDefault="00CB61D5">
            <w:pPr>
              <w:divId w:val="1078940352"/>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925262751"/>
              <w:rPr>
                <w:rFonts w:eastAsia="Times New Roman"/>
              </w:rPr>
            </w:pPr>
            <w:r>
              <w:rPr>
                <w:rFonts w:eastAsia="Times New Roman"/>
                <w:i/>
                <w:iCs/>
                <w:color w:val="000000"/>
                <w:sz w:val="20"/>
                <w:szCs w:val="20"/>
              </w:rPr>
              <w:t>Groundwor</w:t>
            </w:r>
            <w:r>
              <w:rPr>
                <w:rFonts w:eastAsia="Times New Roman"/>
                <w:i/>
                <w:iCs/>
                <w:color w:val="000000"/>
                <w:sz w:val="20"/>
                <w:szCs w:val="20"/>
              </w:rPr>
              <w:t>k</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(lawn and garden supplies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2025008372"/>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296841167"/>
              <w:rPr>
                <w:rFonts w:eastAsia="Times New Roman"/>
              </w:rPr>
            </w:pPr>
            <w:r>
              <w:rPr>
                <w:rFonts w:eastAsia="Times New Roman"/>
                <w:i/>
                <w:iCs/>
                <w:color w:val="000000"/>
                <w:sz w:val="20"/>
                <w:szCs w:val="20"/>
              </w:rPr>
              <w:t>Travelle</w:t>
            </w:r>
            <w:r>
              <w:rPr>
                <w:rFonts w:eastAsia="Times New Roman"/>
                <w:i/>
                <w:iCs/>
                <w:color w:val="000000"/>
                <w:sz w:val="20"/>
                <w:szCs w:val="20"/>
              </w:rPr>
              <w:t>r</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(truck and automotive products</w:t>
            </w:r>
            <w:r>
              <w:rPr>
                <w:rFonts w:eastAsia="Times New Roman"/>
                <w:color w:val="000000"/>
                <w:sz w:val="20"/>
                <w:szCs w:val="20"/>
              </w:rPr>
              <w:t>)</w:t>
            </w:r>
          </w:p>
        </w:tc>
      </w:tr>
      <w:tr w:rsidR="00000000">
        <w:trPr>
          <w:divId w:val="1466463607"/>
          <w:jc w:val="center"/>
        </w:trPr>
        <w:tc>
          <w:tcPr>
            <w:tcW w:w="0" w:type="auto"/>
            <w:gridSpan w:val="3"/>
            <w:tcMar>
              <w:top w:w="30" w:type="dxa"/>
              <w:left w:w="20" w:type="dxa"/>
              <w:bottom w:w="30" w:type="dxa"/>
              <w:right w:w="20" w:type="dxa"/>
            </w:tcMar>
            <w:hideMark/>
          </w:tcPr>
          <w:p w:rsidR="00000000" w:rsidRDefault="00CB61D5">
            <w:pPr>
              <w:divId w:val="51974834"/>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364525924"/>
              <w:rPr>
                <w:rFonts w:eastAsia="Times New Roman"/>
              </w:rPr>
            </w:pPr>
            <w:r>
              <w:rPr>
                <w:rFonts w:eastAsia="Times New Roman"/>
                <w:i/>
                <w:iCs/>
                <w:color w:val="000000"/>
                <w:sz w:val="20"/>
                <w:szCs w:val="20"/>
              </w:rPr>
              <w:t>Huske</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(outdoor power equipment</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401685789"/>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551817647"/>
              <w:rPr>
                <w:rFonts w:eastAsia="Times New Roman"/>
              </w:rPr>
            </w:pPr>
            <w:r>
              <w:rPr>
                <w:rFonts w:eastAsia="Times New Roman"/>
                <w:i/>
                <w:iCs/>
                <w:color w:val="000000"/>
                <w:sz w:val="20"/>
                <w:szCs w:val="20"/>
              </w:rPr>
              <w:t>Treelin</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(hunting gear and accessories</w:t>
            </w:r>
            <w:r>
              <w:rPr>
                <w:rFonts w:eastAsia="Times New Roman"/>
                <w:color w:val="000000"/>
                <w:sz w:val="20"/>
                <w:szCs w:val="20"/>
              </w:rPr>
              <w:t>)</w:t>
            </w:r>
          </w:p>
        </w:tc>
      </w:tr>
      <w:tr w:rsidR="00000000">
        <w:trPr>
          <w:divId w:val="1466463607"/>
          <w:jc w:val="center"/>
        </w:trPr>
        <w:tc>
          <w:tcPr>
            <w:tcW w:w="0" w:type="auto"/>
            <w:gridSpan w:val="3"/>
            <w:shd w:val="clear" w:color="auto" w:fill="CCEEFF"/>
            <w:tcMar>
              <w:top w:w="30" w:type="dxa"/>
              <w:left w:w="20" w:type="dxa"/>
              <w:bottom w:w="30" w:type="dxa"/>
              <w:right w:w="20" w:type="dxa"/>
            </w:tcMar>
            <w:hideMark/>
          </w:tcPr>
          <w:p w:rsidR="00000000" w:rsidRDefault="00CB61D5">
            <w:pPr>
              <w:divId w:val="1914199067"/>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390883142"/>
              <w:rPr>
                <w:rFonts w:eastAsia="Times New Roman"/>
              </w:rPr>
            </w:pPr>
            <w:r>
              <w:rPr>
                <w:rFonts w:eastAsia="Times New Roman"/>
                <w:i/>
                <w:iCs/>
                <w:color w:val="000000"/>
                <w:sz w:val="20"/>
                <w:szCs w:val="20"/>
              </w:rPr>
              <w:t>JobSmar</w:t>
            </w:r>
            <w:r>
              <w:rPr>
                <w:rFonts w:eastAsia="Times New Roman"/>
                <w:i/>
                <w:iCs/>
                <w:color w:val="000000"/>
                <w:sz w:val="20"/>
                <w:szCs w:val="20"/>
              </w:rPr>
              <w:t>t</w:t>
            </w:r>
            <w:r>
              <w:rPr>
                <w:rFonts w:eastAsia="Times New Roman"/>
                <w:color w:val="000000"/>
                <w:sz w:val="13"/>
                <w:szCs w:val="13"/>
                <w:vertAlign w:val="superscript"/>
              </w:rPr>
              <w:t>®</w:t>
            </w:r>
            <w:r>
              <w:rPr>
                <w:rFonts w:eastAsia="Times New Roman"/>
                <w:color w:val="000000"/>
                <w:sz w:val="20"/>
                <w:szCs w:val="20"/>
              </w:rPr>
              <w:t xml:space="preserve"> (tools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553732744"/>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divId w:val="1742438150"/>
              <w:rPr>
                <w:rFonts w:eastAsia="Times New Roman"/>
              </w:rPr>
            </w:pPr>
            <w:r>
              <w:rPr>
                <w:rFonts w:eastAsia="Times New Roman"/>
                <w:i/>
                <w:iCs/>
                <w:color w:val="000000"/>
                <w:sz w:val="20"/>
                <w:szCs w:val="20"/>
              </w:rPr>
              <w:t>TSC Tractor Supply C</w:t>
            </w:r>
            <w:r>
              <w:rPr>
                <w:rFonts w:eastAsia="Times New Roman"/>
                <w:i/>
                <w:iCs/>
                <w:color w:val="000000"/>
                <w:sz w:val="20"/>
                <w:szCs w:val="20"/>
              </w:rPr>
              <w:t>o</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(trailers, truck tool boxes, and anima</w:t>
            </w:r>
            <w:r>
              <w:rPr>
                <w:rFonts w:eastAsia="Times New Roman"/>
                <w:color w:val="000000"/>
                <w:sz w:val="20"/>
                <w:szCs w:val="20"/>
              </w:rPr>
              <w:t>l</w:t>
            </w:r>
          </w:p>
        </w:tc>
      </w:tr>
      <w:tr w:rsidR="00000000">
        <w:trPr>
          <w:divId w:val="1466463607"/>
          <w:jc w:val="center"/>
        </w:trPr>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30" w:type="dxa"/>
              <w:left w:w="120" w:type="dxa"/>
              <w:bottom w:w="30" w:type="dxa"/>
              <w:right w:w="20" w:type="dxa"/>
            </w:tcMar>
            <w:hideMark/>
          </w:tcPr>
          <w:p w:rsidR="00000000" w:rsidRDefault="00CB61D5">
            <w:pPr>
              <w:rPr>
                <w:rFonts w:eastAsia="Times New Roman"/>
              </w:rPr>
            </w:pPr>
            <w:r>
              <w:rPr>
                <w:rFonts w:eastAsia="Times New Roman"/>
                <w:color w:val="000000"/>
                <w:sz w:val="20"/>
                <w:szCs w:val="20"/>
              </w:rPr>
              <w:t>bedding</w:t>
            </w:r>
            <w:r>
              <w:rPr>
                <w:rFonts w:eastAsia="Times New Roman"/>
                <w:color w:val="000000"/>
                <w:sz w:val="20"/>
                <w:szCs w:val="20"/>
              </w:rPr>
              <w:t>)</w:t>
            </w:r>
          </w:p>
        </w:tc>
      </w:tr>
      <w:tr w:rsidR="00000000">
        <w:trPr>
          <w:divId w:val="1466463607"/>
          <w:jc w:val="center"/>
        </w:trPr>
        <w:tc>
          <w:tcPr>
            <w:tcW w:w="0" w:type="auto"/>
            <w:gridSpan w:val="3"/>
            <w:tcMar>
              <w:top w:w="30" w:type="dxa"/>
              <w:left w:w="20" w:type="dxa"/>
              <w:bottom w:w="30" w:type="dxa"/>
              <w:right w:w="20" w:type="dxa"/>
            </w:tcMar>
            <w:hideMark/>
          </w:tcPr>
          <w:p w:rsidR="00000000" w:rsidRDefault="00CB61D5">
            <w:pPr>
              <w:divId w:val="668870829"/>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339353268"/>
              <w:rPr>
                <w:rFonts w:eastAsia="Times New Roman"/>
              </w:rPr>
            </w:pPr>
            <w:r>
              <w:rPr>
                <w:rFonts w:eastAsia="Times New Roman"/>
                <w:i/>
                <w:iCs/>
                <w:color w:val="000000"/>
                <w:sz w:val="20"/>
                <w:szCs w:val="20"/>
              </w:rPr>
              <w:t>Paws &amp; Claw</w:t>
            </w:r>
            <w:r>
              <w:rPr>
                <w:rFonts w:eastAsia="Times New Roman"/>
                <w:i/>
                <w:iCs/>
                <w:color w:val="000000"/>
                <w:sz w:val="20"/>
                <w:szCs w:val="20"/>
              </w:rPr>
              <w:t>s</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(pet foods and supplies</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1686711998"/>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CB61D5">
            <w:pPr>
              <w:divId w:val="1309433202"/>
              <w:rPr>
                <w:rFonts w:eastAsia="Times New Roman"/>
              </w:rPr>
            </w:pPr>
            <w:r>
              <w:rPr>
                <w:rFonts w:eastAsia="Times New Roman"/>
                <w:i/>
                <w:iCs/>
                <w:color w:val="000000"/>
                <w:sz w:val="20"/>
                <w:szCs w:val="20"/>
              </w:rPr>
              <w:t>Untame</w:t>
            </w:r>
            <w:r>
              <w:rPr>
                <w:rFonts w:eastAsia="Times New Roman"/>
                <w:i/>
                <w:iCs/>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(pet foods</w:t>
            </w:r>
            <w:r>
              <w:rPr>
                <w:rFonts w:eastAsia="Times New Roman"/>
                <w:color w:val="000000"/>
                <w:sz w:val="20"/>
                <w:szCs w:val="20"/>
              </w:rPr>
              <w:t>)</w:t>
            </w:r>
          </w:p>
          <w:p w:rsidR="00000000" w:rsidRDefault="00CB61D5">
            <w:pPr>
              <w:divId w:val="25066232"/>
              <w:rPr>
                <w:rFonts w:eastAsia="Times New Roman"/>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exclusive brands identified above have been registered as trademarks with the USPTO for certain products and are the subject of applications for registration pending before the USPTO for other products.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trademark and service mark registrations h</w:t>
      </w:r>
      <w:r>
        <w:rPr>
          <w:rFonts w:eastAsia="Times New Roman"/>
          <w:color w:val="000000"/>
          <w:sz w:val="20"/>
          <w:szCs w:val="20"/>
        </w:rPr>
        <w:t>ave various expiration dates; however, provided that we continue to use the marks and renew the registrations in a timely manner, the registrations are potentially perpetual in duration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believe our intellectual property, which includes the trademarks</w:t>
      </w:r>
      <w:r>
        <w:rPr>
          <w:rFonts w:eastAsia="Times New Roman"/>
          <w:color w:val="000000"/>
          <w:sz w:val="20"/>
          <w:szCs w:val="20"/>
        </w:rPr>
        <w:t xml:space="preserve"> and service marks identified above, together with certain trade names, domain names, patents, and copyrights, has significant value and is an important component of our merchandising and marketing strategies.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Distributio</w:t>
      </w:r>
      <w:r>
        <w:rPr>
          <w:rFonts w:eastAsia="Times New Roman"/>
          <w:i/>
          <w:iCs/>
          <w:color w:val="000000"/>
          <w:sz w:val="20"/>
          <w:szCs w:val="20"/>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currently operate a distribution facility network for supplying stores with merchandise and delivering product ordered through</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In fiscal 2019, our Tractor Supply stores received approximately 74% of merchandise through this network wh</w:t>
      </w:r>
      <w:r>
        <w:rPr>
          <w:rFonts w:eastAsia="Times New Roman"/>
          <w:color w:val="000000"/>
          <w:sz w:val="20"/>
          <w:szCs w:val="20"/>
        </w:rPr>
        <w:t>ile the remaining merchandise shipped directly from our vendors to our stores or customers. We believe this flow facilitates the prompt and efficient distribution of merchandise in order to enhance in-stock inventory positions, minimize freight expense, an</w:t>
      </w:r>
      <w:r>
        <w:rPr>
          <w:rFonts w:eastAsia="Times New Roman"/>
          <w:color w:val="000000"/>
          <w:sz w:val="20"/>
          <w:szCs w:val="20"/>
        </w:rPr>
        <w:t xml:space="preserve">d improve the inventory turn rate. Our distribution facilities, located in Arizona, Georgia, Indiana, Kentucky, Maryland, Nebraska, New York, Texas, and Washington represent a total distribution capacity of 6.1 million square feet. We also use third-party </w:t>
      </w:r>
      <w:r>
        <w:rPr>
          <w:rFonts w:eastAsia="Times New Roman"/>
          <w:color w:val="000000"/>
          <w:sz w:val="20"/>
          <w:szCs w:val="20"/>
        </w:rPr>
        <w:t>operated import centers and mixing centers which provide additional distribution capacity. In fiscal 2019, we completed and began shipping operations at our new northeast distribution center in Frankfort, New York</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select the locations of our distribu</w:t>
      </w:r>
      <w:r>
        <w:rPr>
          <w:rFonts w:eastAsia="Times New Roman"/>
          <w:color w:val="000000"/>
          <w:sz w:val="20"/>
          <w:szCs w:val="20"/>
        </w:rPr>
        <w:t>tion facilities in an effort to minimize logistical costs and optimize the distance from distribution facilities to our stores. Our distribution centers utilize warehouse and labor management tools that support the planning, control, and processing of inve</w:t>
      </w:r>
      <w:r>
        <w:rPr>
          <w:rFonts w:eastAsia="Times New Roman"/>
          <w:color w:val="000000"/>
          <w:sz w:val="20"/>
          <w:szCs w:val="20"/>
        </w:rPr>
        <w:t>ntory. We manage our inbound and outbound transportation activity in-house through the use of a transportation management system.  We utilize multiple common carriers for store and direct to customer deliveries. We manage our transportation costs through c</w:t>
      </w:r>
      <w:r>
        <w:rPr>
          <w:rFonts w:eastAsia="Times New Roman"/>
          <w:color w:val="000000"/>
          <w:sz w:val="20"/>
          <w:szCs w:val="20"/>
        </w:rPr>
        <w:t>arrier negotiations, monitoring of transportation routes, and scheduling of deliveries</w:t>
      </w:r>
      <w:r>
        <w:rPr>
          <w:rFonts w:eastAsia="Times New Roman"/>
          <w:color w:val="000000"/>
          <w:sz w:val="20"/>
          <w:szCs w:val="20"/>
        </w:rPr>
        <w:t>.</w:t>
      </w:r>
    </w:p>
    <w:p w:rsidR="00000000" w:rsidRDefault="00CB61D5">
      <w:pPr>
        <w:divId w:val="2101102229"/>
        <w:rPr>
          <w:rFonts w:eastAsia="Times New Roman"/>
        </w:rPr>
      </w:pPr>
    </w:p>
    <w:p w:rsidR="00000000" w:rsidRDefault="00CB61D5">
      <w:pPr>
        <w:jc w:val="both"/>
        <w:rPr>
          <w:rFonts w:eastAsia="Times New Roman"/>
        </w:rPr>
      </w:pPr>
      <w:r>
        <w:rPr>
          <w:rFonts w:eastAsia="Times New Roman"/>
          <w:i/>
          <w:iCs/>
          <w:color w:val="000000"/>
          <w:sz w:val="20"/>
          <w:szCs w:val="20"/>
        </w:rPr>
        <w:t>Marketin</w:t>
      </w:r>
      <w:r>
        <w:rPr>
          <w:rFonts w:eastAsia="Times New Roman"/>
          <w:i/>
          <w:iCs/>
          <w:color w:val="000000"/>
          <w:sz w:val="20"/>
          <w:szCs w:val="20"/>
        </w:rPr>
        <w:t>g</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utilize an “everyday value price” philosophy to consistently offer our products at competitive prices complemented by strategically planned promotions </w:t>
      </w:r>
      <w:r>
        <w:rPr>
          <w:rFonts w:eastAsia="Times New Roman"/>
          <w:color w:val="000000"/>
          <w:sz w:val="20"/>
          <w:szCs w:val="20"/>
        </w:rPr>
        <w:t>throughout the year. To drive store traffic and position ourselves as a destination retailer, we promote a broad selection of merchandise through various digital and social media initiatives, newspaper circulars, customer targeted direct mail, and direct e</w:t>
      </w:r>
      <w:r>
        <w:rPr>
          <w:rFonts w:eastAsia="Times New Roman"/>
          <w:color w:val="000000"/>
          <w:sz w:val="20"/>
          <w:szCs w:val="20"/>
        </w:rPr>
        <w:t>-mail, as well as limited television, radio, and other limited media channels.  In addition, our</w:t>
      </w:r>
      <w:r>
        <w:rPr>
          <w:rFonts w:eastAsia="Times New Roman"/>
          <w:color w:val="000000"/>
          <w:sz w:val="20"/>
          <w:szCs w:val="20"/>
        </w:rPr>
        <w:t xml:space="preserve"> </w:t>
      </w:r>
      <w:r>
        <w:rPr>
          <w:rFonts w:eastAsia="Times New Roman"/>
          <w:i/>
          <w:iCs/>
          <w:color w:val="000000"/>
          <w:sz w:val="20"/>
          <w:szCs w:val="20"/>
        </w:rPr>
        <w:t>Neighbor’s Clu</w:t>
      </w:r>
      <w:r>
        <w:rPr>
          <w:rFonts w:eastAsia="Times New Roman"/>
          <w:i/>
          <w:iCs/>
          <w:color w:val="000000"/>
          <w:sz w:val="20"/>
          <w:szCs w:val="20"/>
        </w:rPr>
        <w:t>b</w:t>
      </w:r>
      <w:r>
        <w:rPr>
          <w:rFonts w:eastAsia="Times New Roman"/>
          <w:color w:val="000000"/>
          <w:sz w:val="20"/>
          <w:szCs w:val="20"/>
        </w:rPr>
        <w:t xml:space="preserve"> loyalty program enhances our ability to create engagement with our best customers.</w:t>
      </w:r>
      <w:r>
        <w:rPr>
          <w:rFonts w:eastAsia="Times New Roman"/>
          <w:color w:val="000000"/>
          <w:sz w:val="20"/>
          <w:szCs w:val="20"/>
        </w:rPr>
        <w:t xml:space="preserve"> </w:t>
      </w:r>
      <w:r>
        <w:rPr>
          <w:rFonts w:eastAsia="Times New Roman"/>
          <w:color w:val="000000"/>
          <w:sz w:val="20"/>
          <w:szCs w:val="20"/>
        </w:rPr>
        <w:t>Vendors frequently support these specific programs by offeri</w:t>
      </w:r>
      <w:r>
        <w:rPr>
          <w:rFonts w:eastAsia="Times New Roman"/>
          <w:color w:val="000000"/>
          <w:sz w:val="20"/>
          <w:szCs w:val="20"/>
        </w:rPr>
        <w:t>ng temporary cost reductions and honoring coupons. Our vendors also provide assistance with product presentation and fixture design, brochures, support for in-store events, point-of-purchase materials for customer education, and product knowledge for our t</w:t>
      </w:r>
      <w:r>
        <w:rPr>
          <w:rFonts w:eastAsia="Times New Roman"/>
          <w:color w:val="000000"/>
          <w:sz w:val="20"/>
          <w:szCs w:val="20"/>
        </w:rPr>
        <w:t>eam members.</w:t>
      </w:r>
      <w:r>
        <w:rPr>
          <w:rFonts w:eastAsia="Times New Roman"/>
          <w:color w:val="000000"/>
          <w:sz w:val="20"/>
          <w:szCs w:val="20"/>
        </w:rPr>
        <w:t> </w:t>
      </w:r>
    </w:p>
    <w:p w:rsidR="00000000" w:rsidRDefault="00CB61D5">
      <w:pPr>
        <w:jc w:val="both"/>
        <w:rPr>
          <w:rFonts w:eastAsia="Times New Roman"/>
        </w:rPr>
      </w:pPr>
    </w:p>
    <w:p w:rsidR="00000000" w:rsidRDefault="00CB61D5">
      <w:pPr>
        <w:jc w:val="center"/>
        <w:divId w:val="1868981341"/>
        <w:rPr>
          <w:rFonts w:eastAsia="Times New Roman"/>
        </w:rPr>
      </w:pPr>
      <w:r>
        <w:rPr>
          <w:rFonts w:eastAsia="Times New Roman"/>
          <w:color w:val="000000"/>
          <w:sz w:val="20"/>
          <w:szCs w:val="20"/>
        </w:rPr>
        <w:t>4</w:t>
      </w:r>
    </w:p>
    <w:p w:rsidR="00000000" w:rsidRDefault="00CB61D5">
      <w:pPr>
        <w:rPr>
          <w:rFonts w:eastAsia="Times New Roman"/>
        </w:rPr>
      </w:pPr>
      <w:r>
        <w:rPr>
          <w:rFonts w:eastAsia="Times New Roman"/>
        </w:rPr>
        <w:pict>
          <v:rect id="_x0000_i1032" style="width:0;height:1.5pt" o:hralign="center" o:hrstd="t" o:hr="t" fillcolor="#a0a0a0" stroked="f"/>
        </w:pict>
      </w:r>
    </w:p>
    <w:p w:rsidR="00000000" w:rsidRDefault="00CB61D5">
      <w:pPr>
        <w:divId w:val="1770664813"/>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Omni-Channe</w:t>
      </w:r>
      <w:r>
        <w:rPr>
          <w:rFonts w:eastAsia="Times New Roman"/>
          <w:i/>
          <w:iCs/>
          <w:color w:val="000000"/>
          <w:sz w:val="20"/>
          <w:szCs w:val="20"/>
        </w:rPr>
        <w:t>l</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customer is our singular focus and our priority is ensuring they can engage with us in the most convenient manner for them whether in our stores, on </w:t>
      </w:r>
      <w:r>
        <w:rPr>
          <w:rFonts w:eastAsia="Times New Roman"/>
          <w:color w:val="000000"/>
          <w:sz w:val="20"/>
          <w:szCs w:val="20"/>
        </w:rPr>
        <w:t>our website, or via our Customer Solutions Center. Our goal is to be available anytime, anywhere, and in any way our customers choose to engage with our brand. We provide our customers the opportunity to shop in a manner that fits their lifestyle and is mo</w:t>
      </w:r>
      <w:r>
        <w:rPr>
          <w:rFonts w:eastAsia="Times New Roman"/>
          <w:color w:val="000000"/>
          <w:sz w:val="20"/>
          <w:szCs w:val="20"/>
        </w:rPr>
        <w:t>st convenient for them. Our focus is on delivering a comprehensive mobile experience while maintaining a straight-forward shopping experience to further offer the convenience our customers need. We offer a buy online and pick up in-store program which prov</w:t>
      </w:r>
      <w:r>
        <w:rPr>
          <w:rFonts w:eastAsia="Times New Roman"/>
          <w:color w:val="000000"/>
          <w:sz w:val="20"/>
          <w:szCs w:val="20"/>
        </w:rPr>
        <w:t>ides convenient access for customers to pick up merchandise from our store locations. Additionally, our online experience offers an expansive product assortment including a direct to consumer assortment extending our aisles beyond our store locations as we</w:t>
      </w:r>
      <w:r>
        <w:rPr>
          <w:rFonts w:eastAsia="Times New Roman"/>
          <w:color w:val="000000"/>
          <w:sz w:val="20"/>
          <w:szCs w:val="20"/>
        </w:rPr>
        <w:t xml:space="preserve">ll as convenient and useful content that is relevant to their lifestyle. We provide our customers the ability to have products shipped directly to our retail store locations or to their homes or offices. We use our distribution facility network to support </w:t>
      </w:r>
      <w:r>
        <w:rPr>
          <w:rFonts w:eastAsia="Times New Roman"/>
          <w:color w:val="000000"/>
          <w:sz w:val="20"/>
          <w:szCs w:val="20"/>
        </w:rPr>
        <w:t xml:space="preserve">our e-commerce activities. Our digital capabilities have further enhanced our in-store shopping and customer service experience, allowed us to engage with our customers anytime, anywhere, and in any way they choose, and expanded our target markets outside </w:t>
      </w:r>
      <w:r>
        <w:rPr>
          <w:rFonts w:eastAsia="Times New Roman"/>
          <w:color w:val="000000"/>
          <w:sz w:val="20"/>
          <w:szCs w:val="20"/>
        </w:rPr>
        <w:t>of our current retail store locations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Management and Team Member</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of December 28, 2019, we employed approximately 16,000 full-time and 16,000 part-time Tractor Supply team members. We typically employ additional part-time team members throughout th</w:t>
      </w:r>
      <w:r>
        <w:rPr>
          <w:rFonts w:eastAsia="Times New Roman"/>
          <w:color w:val="000000"/>
          <w:sz w:val="20"/>
          <w:szCs w:val="20"/>
        </w:rPr>
        <w:t>e year during high sales volume periods.  We are not party to any collective bargaining agreements</w:t>
      </w:r>
      <w:r>
        <w:rPr>
          <w:rFonts w:eastAsia="Times New Roman"/>
          <w:color w:val="000000"/>
          <w:sz w:val="20"/>
          <w:szCs w:val="20"/>
        </w:rPr>
        <w:t>.</w:t>
      </w:r>
    </w:p>
    <w:p w:rsidR="00000000" w:rsidRDefault="00CB61D5">
      <w:pPr>
        <w:divId w:val="2121758858"/>
        <w:rPr>
          <w:rFonts w:eastAsia="Times New Roman"/>
        </w:rPr>
      </w:pPr>
    </w:p>
    <w:p w:rsidR="00000000" w:rsidRDefault="00CB61D5">
      <w:pPr>
        <w:jc w:val="both"/>
        <w:rPr>
          <w:rFonts w:eastAsia="Times New Roman"/>
        </w:rPr>
      </w:pPr>
      <w:r>
        <w:rPr>
          <w:rFonts w:eastAsia="Times New Roman"/>
          <w:color w:val="000000"/>
          <w:sz w:val="20"/>
          <w:szCs w:val="20"/>
        </w:rPr>
        <w:t>Our store operations are organized into regions, each of which is led by a regional vice president. The region is further organized into districts, each o</w:t>
      </w:r>
      <w:r>
        <w:rPr>
          <w:rFonts w:eastAsia="Times New Roman"/>
          <w:color w:val="000000"/>
          <w:sz w:val="20"/>
          <w:szCs w:val="20"/>
        </w:rPr>
        <w:t>f which is led by a district manager.  We have two internal advisory boards, one comprised of store managers and the other comprised of district managers.  These groups bring a grassroots perspective to operational initiatives and generate chain-wide endor</w:t>
      </w:r>
      <w:r>
        <w:rPr>
          <w:rFonts w:eastAsia="Times New Roman"/>
          <w:color w:val="000000"/>
          <w:sz w:val="20"/>
          <w:szCs w:val="20"/>
        </w:rPr>
        <w:t>sement of proposed best-practice solutions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All of our team members participate in one of our various bonus incentive programs, which provide the opportunity to receive additional compensation based upon team and/or Company performance. In addition to bo</w:t>
      </w:r>
      <w:r>
        <w:rPr>
          <w:rFonts w:eastAsia="Times New Roman"/>
          <w:color w:val="000000"/>
          <w:sz w:val="20"/>
          <w:szCs w:val="20"/>
        </w:rPr>
        <w:t>nus incentive programs, we provide our eligible team members the opportunity to participate in an employee stock purchase plan and a 401(k) retirement savings plan. We also share in the cost of health insurance provided to eligible team members, and team m</w:t>
      </w:r>
      <w:r>
        <w:rPr>
          <w:rFonts w:eastAsia="Times New Roman"/>
          <w:color w:val="000000"/>
          <w:sz w:val="20"/>
          <w:szCs w:val="20"/>
        </w:rPr>
        <w:t>embers receive a discount on merchandise purchased from the Company</w:t>
      </w:r>
      <w:r>
        <w:rPr>
          <w:rFonts w:eastAsia="Times New Roman"/>
          <w:color w:val="000000"/>
          <w:sz w:val="20"/>
          <w:szCs w:val="20"/>
        </w:rPr>
        <w:t>.</w:t>
      </w:r>
    </w:p>
    <w:p w:rsidR="00000000" w:rsidRDefault="00CB61D5">
      <w:pPr>
        <w:divId w:val="2072842354"/>
        <w:rPr>
          <w:rFonts w:eastAsia="Times New Roman"/>
        </w:rPr>
      </w:pPr>
    </w:p>
    <w:p w:rsidR="00000000" w:rsidRDefault="00CB61D5">
      <w:pPr>
        <w:jc w:val="both"/>
        <w:rPr>
          <w:rFonts w:eastAsia="Times New Roman"/>
        </w:rPr>
      </w:pPr>
      <w:r>
        <w:rPr>
          <w:rFonts w:eastAsia="Times New Roman"/>
          <w:color w:val="000000"/>
          <w:sz w:val="20"/>
          <w:szCs w:val="20"/>
        </w:rPr>
        <w:t xml:space="preserve">We encourage a promote-from-within environment when internal resources permit.  </w:t>
      </w:r>
      <w:r>
        <w:rPr>
          <w:rFonts w:eastAsia="Times New Roman"/>
          <w:color w:val="000000"/>
          <w:sz w:val="20"/>
          <w:szCs w:val="20"/>
        </w:rPr>
        <w:t>We also provide internal leadership development programs designed to prepare our high-potential team members for greater responsibility. Our current team of district managers and store managers have an average tenure of approximately nine and six years, re</w:t>
      </w:r>
      <w:r>
        <w:rPr>
          <w:rFonts w:eastAsia="Times New Roman"/>
          <w:color w:val="000000"/>
          <w:sz w:val="20"/>
          <w:szCs w:val="20"/>
        </w:rPr>
        <w:t>spectively.  We believe internal promotions, coupled with the hiring of individuals with previous retail experience, will provide the management structure necessary to support our long-term strategic growth initiatives.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Continuous Improvemen</w:t>
      </w:r>
      <w:r>
        <w:rPr>
          <w:rFonts w:eastAsia="Times New Roman"/>
          <w:i/>
          <w:iCs/>
          <w:color w:val="000000"/>
          <w:sz w:val="20"/>
          <w:szCs w:val="20"/>
        </w:rPr>
        <w:t>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c</w:t>
      </w:r>
      <w:r>
        <w:rPr>
          <w:rFonts w:eastAsia="Times New Roman"/>
          <w:color w:val="000000"/>
          <w:sz w:val="20"/>
          <w:szCs w:val="20"/>
        </w:rPr>
        <w:t>ommitted to a continuous improvement program to drive change throughout our organization.  Using data analytics and team member engagement, we examine business processes and identify opportunities to reduce costs, drive innovation, and improve effectivenes</w:t>
      </w:r>
      <w:r>
        <w:rPr>
          <w:rFonts w:eastAsia="Times New Roman"/>
          <w:color w:val="000000"/>
          <w:sz w:val="20"/>
          <w:szCs w:val="20"/>
        </w:rPr>
        <w:t>s.  We have implemented numerous continuous improvement projects, with team members from multiple areas of our business, to evaluate key operations and implement process change. Team members are empowered and expected to challenge current paradigms and imp</w:t>
      </w:r>
      <w:r>
        <w:rPr>
          <w:rFonts w:eastAsia="Times New Roman"/>
          <w:color w:val="000000"/>
          <w:sz w:val="20"/>
          <w:szCs w:val="20"/>
        </w:rPr>
        <w:t>rove processes. Management encourages the participation of all team members in the decision-making process, regularly solicits input and suggestions from our team members, and incorporates suggestions into our improvement activities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Management Information and Control System</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have invested resources in management information and control systems to provide legendary customer service and to deliver the right products in the right place at the right time. This includes use of digital</w:t>
      </w:r>
      <w:r>
        <w:rPr>
          <w:rFonts w:eastAsia="Times New Roman"/>
          <w:color w:val="000000"/>
          <w:sz w:val="20"/>
          <w:szCs w:val="20"/>
        </w:rPr>
        <w:t xml:space="preserve"> technologies to integrate the customer experience in-store, online, and through our Customer Solutions Center, which offers customers the ability to shop anytime, anywhere, and in any way they choose. Our key platforms include</w:t>
      </w:r>
      <w:r>
        <w:rPr>
          <w:rFonts w:eastAsia="Times New Roman"/>
          <w:color w:val="000000"/>
          <w:sz w:val="20"/>
          <w:szCs w:val="20"/>
        </w:rPr>
        <w:t>:</w:t>
      </w:r>
    </w:p>
    <w:p w:rsidR="00000000" w:rsidRDefault="00CB61D5">
      <w:pPr>
        <w:jc w:val="both"/>
        <w:rPr>
          <w:rFonts w:eastAsia="Times New Roman"/>
        </w:rPr>
      </w:pPr>
    </w:p>
    <w:p w:rsidR="00000000" w:rsidRDefault="00CB61D5">
      <w:pPr>
        <w:ind w:hanging="360"/>
        <w:divId w:val="1815681401"/>
        <w:rPr>
          <w:rFonts w:eastAsia="Times New Roman"/>
        </w:rPr>
      </w:pPr>
      <w:r>
        <w:rPr>
          <w:rFonts w:eastAsia="Times New Roman"/>
          <w:color w:val="000000"/>
          <w:sz w:val="20"/>
          <w:szCs w:val="20"/>
        </w:rPr>
        <w:t>•</w:t>
      </w:r>
      <w:r>
        <w:rPr>
          <w:rFonts w:eastAsia="Times New Roman"/>
          <w:color w:val="000000"/>
          <w:sz w:val="20"/>
          <w:szCs w:val="20"/>
        </w:rPr>
        <w:t>Point-of-sale system</w:t>
      </w:r>
      <w:r>
        <w:rPr>
          <w:rFonts w:eastAsia="Times New Roman"/>
          <w:color w:val="000000"/>
          <w:sz w:val="20"/>
          <w:szCs w:val="20"/>
        </w:rPr>
        <w:t>;</w:t>
      </w:r>
    </w:p>
    <w:p w:rsidR="00000000" w:rsidRDefault="00CB61D5">
      <w:pPr>
        <w:ind w:hanging="360"/>
        <w:divId w:val="869994336"/>
        <w:rPr>
          <w:rFonts w:eastAsia="Times New Roman"/>
        </w:rPr>
      </w:pPr>
      <w:r>
        <w:rPr>
          <w:rFonts w:eastAsia="Times New Roman"/>
          <w:color w:val="000000"/>
          <w:sz w:val="20"/>
          <w:szCs w:val="20"/>
        </w:rPr>
        <w:t>•</w:t>
      </w:r>
      <w:r>
        <w:rPr>
          <w:rFonts w:eastAsia="Times New Roman"/>
          <w:color w:val="000000"/>
          <w:sz w:val="20"/>
          <w:szCs w:val="20"/>
        </w:rPr>
        <w:t>I</w:t>
      </w:r>
      <w:r>
        <w:rPr>
          <w:rFonts w:eastAsia="Times New Roman"/>
          <w:color w:val="000000"/>
          <w:sz w:val="20"/>
          <w:szCs w:val="20"/>
        </w:rPr>
        <w:t>n-store mobility</w:t>
      </w:r>
      <w:r>
        <w:rPr>
          <w:rFonts w:eastAsia="Times New Roman"/>
          <w:color w:val="000000"/>
          <w:sz w:val="20"/>
          <w:szCs w:val="20"/>
        </w:rPr>
        <w:t>;</w:t>
      </w:r>
    </w:p>
    <w:p w:rsidR="00000000" w:rsidRDefault="00CB61D5">
      <w:pPr>
        <w:ind w:hanging="360"/>
        <w:divId w:val="1779643920"/>
        <w:rPr>
          <w:rFonts w:eastAsia="Times New Roman"/>
        </w:rPr>
      </w:pPr>
      <w:r>
        <w:rPr>
          <w:rFonts w:eastAsia="Times New Roman"/>
          <w:color w:val="000000"/>
          <w:sz w:val="20"/>
          <w:szCs w:val="20"/>
        </w:rPr>
        <w:t>•</w:t>
      </w:r>
      <w:r>
        <w:rPr>
          <w:rFonts w:eastAsia="Times New Roman"/>
          <w:color w:val="000000"/>
          <w:sz w:val="20"/>
          <w:szCs w:val="20"/>
        </w:rPr>
        <w:t>E-commerce platform</w:t>
      </w:r>
      <w:r>
        <w:rPr>
          <w:rFonts w:eastAsia="Times New Roman"/>
          <w:color w:val="000000"/>
          <w:sz w:val="20"/>
          <w:szCs w:val="20"/>
        </w:rPr>
        <w:t>;</w:t>
      </w:r>
    </w:p>
    <w:p w:rsidR="00000000" w:rsidRDefault="00CB61D5">
      <w:pPr>
        <w:jc w:val="center"/>
        <w:divId w:val="758675288"/>
        <w:rPr>
          <w:rFonts w:eastAsia="Times New Roman"/>
        </w:rPr>
      </w:pPr>
      <w:r>
        <w:rPr>
          <w:rFonts w:eastAsia="Times New Roman"/>
          <w:color w:val="000000"/>
          <w:sz w:val="20"/>
          <w:szCs w:val="20"/>
        </w:rPr>
        <w:t>5</w:t>
      </w:r>
    </w:p>
    <w:p w:rsidR="00000000" w:rsidRDefault="00CB61D5">
      <w:pPr>
        <w:rPr>
          <w:rFonts w:eastAsia="Times New Roman"/>
        </w:rPr>
      </w:pPr>
      <w:r>
        <w:rPr>
          <w:rFonts w:eastAsia="Times New Roman"/>
        </w:rPr>
        <w:pict>
          <v:rect id="_x0000_i1033" style="width:0;height:1.5pt" o:hralign="center" o:hrstd="t" o:hr="t" fillcolor="#a0a0a0" stroked="f"/>
        </w:pict>
      </w:r>
    </w:p>
    <w:p w:rsidR="00000000" w:rsidRDefault="00CB61D5">
      <w:pPr>
        <w:divId w:val="1859272715"/>
        <w:rPr>
          <w:rFonts w:eastAsia="Times New Roman"/>
        </w:rPr>
      </w:pPr>
      <w:hyperlink w:anchor="i_0_7" w:history="1">
        <w:r>
          <w:rPr>
            <w:rStyle w:val="a3"/>
            <w:rFonts w:eastAsia="Times New Roman"/>
            <w:sz w:val="18"/>
            <w:szCs w:val="18"/>
          </w:rPr>
          <w:t>Index</w:t>
        </w:r>
      </w:hyperlink>
    </w:p>
    <w:p w:rsidR="00000000" w:rsidRDefault="00CB61D5">
      <w:pPr>
        <w:ind w:hanging="360"/>
        <w:divId w:val="1087506030"/>
        <w:rPr>
          <w:rFonts w:eastAsia="Times New Roman"/>
        </w:rPr>
      </w:pPr>
      <w:r>
        <w:rPr>
          <w:rFonts w:eastAsia="Times New Roman"/>
          <w:color w:val="000000"/>
          <w:sz w:val="20"/>
          <w:szCs w:val="20"/>
        </w:rPr>
        <w:t>•</w:t>
      </w:r>
      <w:r>
        <w:rPr>
          <w:rFonts w:eastAsia="Times New Roman"/>
          <w:color w:val="000000"/>
          <w:sz w:val="20"/>
          <w:szCs w:val="20"/>
        </w:rPr>
        <w:t>Replenishment and allocation systems</w:t>
      </w:r>
      <w:r>
        <w:rPr>
          <w:rFonts w:eastAsia="Times New Roman"/>
          <w:color w:val="000000"/>
          <w:sz w:val="20"/>
          <w:szCs w:val="20"/>
        </w:rPr>
        <w:t>;</w:t>
      </w:r>
    </w:p>
    <w:p w:rsidR="00000000" w:rsidRDefault="00CB61D5">
      <w:pPr>
        <w:ind w:hanging="360"/>
        <w:divId w:val="846136661"/>
        <w:rPr>
          <w:rFonts w:eastAsia="Times New Roman"/>
        </w:rPr>
      </w:pPr>
      <w:r>
        <w:rPr>
          <w:rFonts w:eastAsia="Times New Roman"/>
          <w:color w:val="000000"/>
          <w:sz w:val="20"/>
          <w:szCs w:val="20"/>
        </w:rPr>
        <w:t>•</w:t>
      </w:r>
      <w:r>
        <w:rPr>
          <w:rFonts w:eastAsia="Times New Roman"/>
          <w:color w:val="000000"/>
          <w:sz w:val="20"/>
          <w:szCs w:val="20"/>
        </w:rPr>
        <w:t>Merchandising presentation and inventory management tools</w:t>
      </w:r>
      <w:r>
        <w:rPr>
          <w:rFonts w:eastAsia="Times New Roman"/>
          <w:color w:val="000000"/>
          <w:sz w:val="20"/>
          <w:szCs w:val="20"/>
        </w:rPr>
        <w:t>;</w:t>
      </w:r>
    </w:p>
    <w:p w:rsidR="00000000" w:rsidRDefault="00CB61D5">
      <w:pPr>
        <w:ind w:hanging="360"/>
        <w:divId w:val="589388467"/>
        <w:rPr>
          <w:rFonts w:eastAsia="Times New Roman"/>
        </w:rPr>
      </w:pPr>
      <w:r>
        <w:rPr>
          <w:rFonts w:eastAsia="Times New Roman"/>
          <w:color w:val="000000"/>
          <w:sz w:val="20"/>
          <w:szCs w:val="20"/>
        </w:rPr>
        <w:t>•</w:t>
      </w:r>
      <w:r>
        <w:rPr>
          <w:rFonts w:eastAsia="Times New Roman"/>
          <w:color w:val="000000"/>
          <w:sz w:val="20"/>
          <w:szCs w:val="20"/>
        </w:rPr>
        <w:t>Warehouse and transportation management syst</w:t>
      </w:r>
      <w:r>
        <w:rPr>
          <w:rFonts w:eastAsia="Times New Roman"/>
          <w:color w:val="000000"/>
          <w:sz w:val="20"/>
          <w:szCs w:val="20"/>
        </w:rPr>
        <w:t>ems;</w:t>
      </w:r>
      <w:r>
        <w:rPr>
          <w:rFonts w:eastAsia="Times New Roman"/>
          <w:color w:val="000000"/>
          <w:sz w:val="20"/>
          <w:szCs w:val="20"/>
        </w:rPr>
        <w:t xml:space="preserve"> </w:t>
      </w:r>
    </w:p>
    <w:p w:rsidR="00000000" w:rsidRDefault="00CB61D5">
      <w:pPr>
        <w:ind w:hanging="360"/>
        <w:divId w:val="664553793"/>
        <w:rPr>
          <w:rFonts w:eastAsia="Times New Roman"/>
        </w:rPr>
      </w:pPr>
      <w:r>
        <w:rPr>
          <w:rFonts w:eastAsia="Times New Roman"/>
          <w:color w:val="000000"/>
          <w:sz w:val="20"/>
          <w:szCs w:val="20"/>
        </w:rPr>
        <w:t>•</w:t>
      </w:r>
      <w:r>
        <w:rPr>
          <w:rFonts w:eastAsia="Times New Roman"/>
          <w:color w:val="000000"/>
          <w:sz w:val="20"/>
          <w:szCs w:val="20"/>
        </w:rPr>
        <w:t>Labor management tools for stores and supply chain</w:t>
      </w:r>
      <w:r>
        <w:rPr>
          <w:rFonts w:eastAsia="Times New Roman"/>
          <w:color w:val="000000"/>
          <w:sz w:val="20"/>
          <w:szCs w:val="20"/>
        </w:rPr>
        <w:t>;</w:t>
      </w:r>
    </w:p>
    <w:p w:rsidR="00000000" w:rsidRDefault="00CB61D5">
      <w:pPr>
        <w:ind w:hanging="360"/>
        <w:divId w:val="1307708808"/>
        <w:rPr>
          <w:rFonts w:eastAsia="Times New Roman"/>
        </w:rPr>
      </w:pPr>
      <w:r>
        <w:rPr>
          <w:rFonts w:eastAsia="Times New Roman"/>
          <w:color w:val="000000"/>
          <w:sz w:val="20"/>
          <w:szCs w:val="20"/>
        </w:rPr>
        <w:t>•</w:t>
      </w:r>
      <w:r>
        <w:rPr>
          <w:rFonts w:eastAsia="Times New Roman"/>
          <w:color w:val="000000"/>
          <w:sz w:val="20"/>
          <w:szCs w:val="20"/>
        </w:rPr>
        <w:t>Price optimization system</w:t>
      </w:r>
      <w:r>
        <w:rPr>
          <w:rFonts w:eastAsia="Times New Roman"/>
          <w:color w:val="000000"/>
          <w:sz w:val="20"/>
          <w:szCs w:val="20"/>
        </w:rPr>
        <w:t>;</w:t>
      </w:r>
    </w:p>
    <w:p w:rsidR="00000000" w:rsidRDefault="00CB61D5">
      <w:pPr>
        <w:ind w:hanging="360"/>
        <w:divId w:val="644621657"/>
        <w:rPr>
          <w:rFonts w:eastAsia="Times New Roman"/>
        </w:rPr>
      </w:pPr>
      <w:r>
        <w:rPr>
          <w:rFonts w:eastAsia="Times New Roman"/>
          <w:color w:val="000000"/>
          <w:sz w:val="20"/>
          <w:szCs w:val="20"/>
        </w:rPr>
        <w:t>•</w:t>
      </w:r>
      <w:r>
        <w:rPr>
          <w:rFonts w:eastAsia="Times New Roman"/>
          <w:color w:val="000000"/>
          <w:sz w:val="20"/>
          <w:szCs w:val="20"/>
        </w:rPr>
        <w:t>Vendor purchase order control system</w:t>
      </w:r>
      <w:r>
        <w:rPr>
          <w:rFonts w:eastAsia="Times New Roman"/>
          <w:color w:val="000000"/>
          <w:sz w:val="20"/>
          <w:szCs w:val="20"/>
        </w:rPr>
        <w:t>;</w:t>
      </w:r>
    </w:p>
    <w:p w:rsidR="00000000" w:rsidRDefault="00CB61D5">
      <w:pPr>
        <w:ind w:hanging="360"/>
        <w:divId w:val="1734961621"/>
        <w:rPr>
          <w:rFonts w:eastAsia="Times New Roman"/>
        </w:rPr>
      </w:pPr>
      <w:r>
        <w:rPr>
          <w:rFonts w:eastAsia="Times New Roman"/>
          <w:color w:val="000000"/>
          <w:sz w:val="20"/>
          <w:szCs w:val="20"/>
        </w:rPr>
        <w:t>•</w:t>
      </w:r>
      <w:r>
        <w:rPr>
          <w:rFonts w:eastAsia="Times New Roman"/>
          <w:color w:val="000000"/>
          <w:sz w:val="20"/>
          <w:szCs w:val="20"/>
        </w:rPr>
        <w:t>Business intelligence and analytics tools; and</w:t>
      </w:r>
      <w:r>
        <w:rPr>
          <w:rFonts w:eastAsia="Times New Roman"/>
          <w:color w:val="000000"/>
          <w:sz w:val="20"/>
          <w:szCs w:val="20"/>
        </w:rPr>
        <w:t xml:space="preserve"> </w:t>
      </w:r>
    </w:p>
    <w:p w:rsidR="00000000" w:rsidRDefault="00CB61D5">
      <w:pPr>
        <w:ind w:hanging="360"/>
        <w:divId w:val="711617049"/>
        <w:rPr>
          <w:rFonts w:eastAsia="Times New Roman"/>
        </w:rPr>
      </w:pPr>
      <w:r>
        <w:rPr>
          <w:rFonts w:eastAsia="Times New Roman"/>
          <w:color w:val="000000"/>
          <w:sz w:val="20"/>
          <w:szCs w:val="20"/>
        </w:rPr>
        <w:t>•</w:t>
      </w:r>
      <w:r>
        <w:rPr>
          <w:rFonts w:eastAsia="Times New Roman"/>
          <w:color w:val="000000"/>
          <w:sz w:val="20"/>
          <w:szCs w:val="20"/>
        </w:rPr>
        <w:t>Customer loyalty system.</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These systems are integrated through an enterprise r</w:t>
      </w:r>
      <w:r>
        <w:rPr>
          <w:rFonts w:eastAsia="Times New Roman"/>
          <w:color w:val="000000"/>
          <w:sz w:val="20"/>
          <w:szCs w:val="20"/>
        </w:rPr>
        <w:t>esource planning (“ERP”) system. This ERP system tracks merchandise from initial order through ultimate sale and interfaces with our financial systems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continue to invest in technology to support store, online, and distribution facility expansion and </w:t>
      </w:r>
      <w:r>
        <w:rPr>
          <w:rFonts w:eastAsia="Times New Roman"/>
          <w:color w:val="000000"/>
          <w:sz w:val="20"/>
          <w:szCs w:val="20"/>
        </w:rPr>
        <w:t>our long-term strategic growth initiatives focused heavily on improving the customer experience across all channels. We also continue to evaluate and improve the functionality of our systems to maximize their effectiveness.  Such efforts include ongoing ha</w:t>
      </w:r>
      <w:r>
        <w:rPr>
          <w:rFonts w:eastAsia="Times New Roman"/>
          <w:color w:val="000000"/>
          <w:sz w:val="20"/>
          <w:szCs w:val="20"/>
        </w:rPr>
        <w:t>rdware and software evaluations, refreshes, and upgrades to support optimal software configurations, and application performance. We plan to continue to invest in information technology and implement efficiency-driving system enhancements. We will continue</w:t>
      </w:r>
      <w:r>
        <w:rPr>
          <w:rFonts w:eastAsia="Times New Roman"/>
          <w:color w:val="000000"/>
          <w:sz w:val="20"/>
          <w:szCs w:val="20"/>
        </w:rPr>
        <w:t xml:space="preserve"> to evaluate the use of technologies to improve productivity such as artificial intelligence, automation software, quantum computing, and other technologies. We also maintain and continue to strengthen the security of our information systems to help protec</w:t>
      </w:r>
      <w:r>
        <w:rPr>
          <w:rFonts w:eastAsia="Times New Roman"/>
          <w:color w:val="000000"/>
          <w:sz w:val="20"/>
          <w:szCs w:val="20"/>
        </w:rPr>
        <w:t>t and prevent unauthorized access to personal information of our customers, employees, vendors, and other confidential Company data as well as ensuring that we adhere to industry privacy laws and standards. Collectively, these efforts are directed toward i</w:t>
      </w:r>
      <w:r>
        <w:rPr>
          <w:rFonts w:eastAsia="Times New Roman"/>
          <w:color w:val="000000"/>
          <w:sz w:val="20"/>
          <w:szCs w:val="20"/>
        </w:rPr>
        <w:t>mproving business processes, maintaining secure, efficient, and stable systems, and enabling the continued growth and success of our business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Petsens</w:t>
      </w:r>
      <w:r>
        <w:rPr>
          <w:rFonts w:eastAsia="Times New Roman"/>
          <w:i/>
          <w:iCs/>
          <w:color w:val="000000"/>
          <w:sz w:val="20"/>
          <w:szCs w:val="20"/>
        </w:rPr>
        <w:t>e</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Petsense is a small-box pet specialty supply retailer focused on meeting the needs of pet owners, pr</w:t>
      </w:r>
      <w:r>
        <w:rPr>
          <w:rFonts w:eastAsia="Times New Roman"/>
          <w:color w:val="000000"/>
          <w:sz w:val="20"/>
          <w:szCs w:val="20"/>
        </w:rPr>
        <w:t>imarily in small and mid-sized communities, and offering a variety of pet products and services. At December 28, 2019, we operated a total of 180 Petsense stores in 26 states, with approximately 500 full-time and 1,000 part-time team members, and an e-comm</w:t>
      </w:r>
      <w:r>
        <w:rPr>
          <w:rFonts w:eastAsia="Times New Roman"/>
          <w:color w:val="000000"/>
          <w:sz w:val="20"/>
          <w:szCs w:val="20"/>
        </w:rPr>
        <w:t xml:space="preserve">erce website </w:t>
      </w:r>
      <w:r>
        <w:rPr>
          <w:rFonts w:eastAsia="Times New Roman"/>
          <w:color w:val="000000"/>
          <w:sz w:val="20"/>
          <w:szCs w:val="20"/>
        </w:rPr>
        <w:t>(</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 Petsense owns a registration trademark for its exclusive brand,</w:t>
      </w:r>
      <w:r>
        <w:rPr>
          <w:rFonts w:eastAsia="Times New Roman"/>
          <w:color w:val="000000"/>
          <w:sz w:val="20"/>
          <w:szCs w:val="20"/>
        </w:rPr>
        <w:t xml:space="preserve"> </w:t>
      </w:r>
      <w:r>
        <w:rPr>
          <w:rFonts w:eastAsia="Times New Roman"/>
          <w:i/>
          <w:iCs/>
          <w:color w:val="000000"/>
          <w:sz w:val="20"/>
          <w:szCs w:val="20"/>
        </w:rPr>
        <w:t>TrueSourc</w:t>
      </w:r>
      <w:r>
        <w:rPr>
          <w:rFonts w:eastAsia="Times New Roman"/>
          <w:i/>
          <w:iCs/>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pet food, and the Petsense name is registered with the USPTO</w:t>
      </w:r>
      <w:r>
        <w:rPr>
          <w:rFonts w:eastAsia="Times New Roman"/>
          <w:color w:val="000000"/>
          <w:sz w:val="20"/>
          <w:szCs w:val="20"/>
        </w:rPr>
        <w:t>.</w:t>
      </w:r>
    </w:p>
    <w:p w:rsidR="00000000" w:rsidRDefault="00CB61D5">
      <w:pPr>
        <w:divId w:val="2001151748"/>
        <w:rPr>
          <w:rFonts w:eastAsia="Times New Roman"/>
        </w:rPr>
      </w:pPr>
    </w:p>
    <w:p w:rsidR="00000000" w:rsidRDefault="00CB61D5">
      <w:pPr>
        <w:jc w:val="both"/>
        <w:rPr>
          <w:rFonts w:eastAsia="Times New Roman"/>
        </w:rPr>
      </w:pPr>
      <w:r>
        <w:rPr>
          <w:rFonts w:eastAsia="Times New Roman"/>
          <w:b/>
          <w:bCs/>
          <w:color w:val="000000"/>
          <w:sz w:val="20"/>
          <w:szCs w:val="20"/>
        </w:rPr>
        <w:t>Growth Strateg</w:t>
      </w:r>
      <w:r>
        <w:rPr>
          <w:rFonts w:eastAsia="Times New Roman"/>
          <w:b/>
          <w:bCs/>
          <w:color w:val="000000"/>
          <w:sz w:val="20"/>
          <w:szCs w:val="20"/>
        </w:rPr>
        <w:t>y</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Tractor Supply Company believes we can grow our business by being the most dependable supplier of relevant products and services for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creating customer loyalty through personalized experiences, and providing convenience that our cu</w:t>
      </w:r>
      <w:r>
        <w:rPr>
          <w:rFonts w:eastAsia="Times New Roman"/>
          <w:color w:val="000000"/>
          <w:sz w:val="20"/>
          <w:szCs w:val="20"/>
        </w:rPr>
        <w:t>stomers expect at anytime, anywhere, and in any way they choose.  Our long-term growth strategy is to: (1) drive profitable growth through new store openings and by expanding omni-channel capabilities, thus tying together our website product content, socia</w:t>
      </w:r>
      <w:r>
        <w:rPr>
          <w:rFonts w:eastAsia="Times New Roman"/>
          <w:color w:val="000000"/>
          <w:sz w:val="20"/>
          <w:szCs w:val="20"/>
        </w:rPr>
        <w:t>l media, digital, and online shopping experience, attracting new customers and driving loyalty, (2) build customer-centric engagement by leveraging analytics to deliver legendary customer service, seasoned advice, and personalized experiences, (3) offer re</w:t>
      </w:r>
      <w:r>
        <w:rPr>
          <w:rFonts w:eastAsia="Times New Roman"/>
          <w:color w:val="000000"/>
          <w:sz w:val="20"/>
          <w:szCs w:val="20"/>
        </w:rPr>
        <w:t>levant assortments and services across all channels through exclusive and national brands and continue to introduce new products and services through our test and learn strategy, (4) enhance our core and foundational capabilities by investing in infrastruc</w:t>
      </w:r>
      <w:r>
        <w:rPr>
          <w:rFonts w:eastAsia="Times New Roman"/>
          <w:color w:val="000000"/>
          <w:sz w:val="20"/>
          <w:szCs w:val="20"/>
        </w:rPr>
        <w:t>ture and process improvements which will support growth, scale, and agility while improving the customer experience, and (5) expand through selective acquisitions, as such opportunities arise, to add complementary businesses and to enhance penetration into</w:t>
      </w:r>
      <w:r>
        <w:rPr>
          <w:rFonts w:eastAsia="Times New Roman"/>
          <w:color w:val="000000"/>
          <w:sz w:val="20"/>
          <w:szCs w:val="20"/>
        </w:rPr>
        <w:t xml:space="preserve"> new and existing markets to supplement organic growth. </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Achieving this strategy will require a foundational focus on: (1) organizing, optimizing, and empowering our team members for growth by developing skills, talent, and leadership across the organiz</w:t>
      </w:r>
      <w:r>
        <w:rPr>
          <w:rFonts w:eastAsia="Times New Roman"/>
          <w:color w:val="000000"/>
          <w:sz w:val="20"/>
          <w:szCs w:val="20"/>
        </w:rPr>
        <w:t>ation, and (2) implementing operational efficiency initiatives, including leverage of technology and automation, to align our cost structure to support new business capabilities for margin improvement and cost reductions.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Over the past five years, we ha</w:t>
      </w:r>
      <w:r>
        <w:rPr>
          <w:rFonts w:eastAsia="Times New Roman"/>
          <w:color w:val="000000"/>
          <w:sz w:val="20"/>
          <w:szCs w:val="20"/>
        </w:rPr>
        <w:t>ve experienced considerable sales growth, resulting in a compounded annual growth rate of approximately 7.9%. We plan to open approximately 80 new Tractor Supply and 10 to 15 new Petsense stores in fiscal 2020, a selling square footage increase of approxim</w:t>
      </w:r>
      <w:r>
        <w:rPr>
          <w:rFonts w:eastAsia="Times New Roman"/>
          <w:color w:val="000000"/>
          <w:sz w:val="20"/>
          <w:szCs w:val="20"/>
        </w:rPr>
        <w:t>ately 4.5%.  In fiscal 2019, we opened 80 new Tractor Supply stores and 8 new Petsense stores. In fiscal 2018, we opened 80 new Tractor Supply stores and 18 new Petsense stores. This represents a selling square footage increase of approximately 4.3% during</w:t>
      </w:r>
      <w:r>
        <w:rPr>
          <w:rFonts w:eastAsia="Times New Roman"/>
          <w:color w:val="000000"/>
          <w:sz w:val="20"/>
          <w:szCs w:val="20"/>
        </w:rPr>
        <w:t xml:space="preserve"> fiscal 2019 and 4.9% during fiscal 2018.</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369992387"/>
        <w:rPr>
          <w:rFonts w:eastAsia="Times New Roman"/>
        </w:rPr>
      </w:pPr>
      <w:r>
        <w:rPr>
          <w:rFonts w:eastAsia="Times New Roman"/>
          <w:color w:val="000000"/>
          <w:sz w:val="20"/>
          <w:szCs w:val="20"/>
        </w:rPr>
        <w:t>6</w:t>
      </w:r>
    </w:p>
    <w:p w:rsidR="00000000" w:rsidRDefault="00CB61D5">
      <w:pPr>
        <w:rPr>
          <w:rFonts w:eastAsia="Times New Roman"/>
        </w:rPr>
      </w:pPr>
      <w:r>
        <w:rPr>
          <w:rFonts w:eastAsia="Times New Roman"/>
        </w:rPr>
        <w:pict>
          <v:rect id="_x0000_i1034" style="width:0;height:1.5pt" o:hralign="center" o:hrstd="t" o:hr="t" fillcolor="#a0a0a0" stroked="f"/>
        </w:pict>
      </w:r>
    </w:p>
    <w:p w:rsidR="00000000" w:rsidRDefault="00CB61D5">
      <w:pPr>
        <w:divId w:val="198338194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At December 28, 2019, we operated 2,024 retail stores in 49 states (1,844 Tractor Supply and Del’s retail stores and 180 Petsense retail s</w:t>
      </w:r>
      <w:r>
        <w:rPr>
          <w:rFonts w:eastAsia="Times New Roman"/>
          <w:color w:val="000000"/>
          <w:sz w:val="20"/>
          <w:szCs w:val="20"/>
        </w:rPr>
        <w:t xml:space="preserve">tores). Given the size of the communities that we target, we believe that there is ample opportunity for new store growth in many existing and new markets. We have developed a proven method for selecting store sites and have identified over 600 additional </w:t>
      </w:r>
      <w:r>
        <w:rPr>
          <w:rFonts w:eastAsia="Times New Roman"/>
          <w:color w:val="000000"/>
          <w:sz w:val="20"/>
          <w:szCs w:val="20"/>
        </w:rPr>
        <w:t>markets for new Tractor Supply stores. We also believe that there is opportunity for up to 1,000 Petsense stores. Approximately 55% of our stores are in freestanding buildings and 45% are located in strip shopping centers.  We lease approximately 94% of ou</w:t>
      </w:r>
      <w:r>
        <w:rPr>
          <w:rFonts w:eastAsia="Times New Roman"/>
          <w:color w:val="000000"/>
          <w:sz w:val="20"/>
          <w:szCs w:val="20"/>
        </w:rPr>
        <w:t>r stores and own the remaining 6%</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Competitio</w:t>
      </w:r>
      <w:r>
        <w:rPr>
          <w:rFonts w:eastAsia="Times New Roman"/>
          <w:b/>
          <w:bCs/>
          <w:color w:val="000000"/>
          <w:sz w:val="20"/>
          <w:szCs w:val="20"/>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operate in a competitive retail industry. The principal competitive factors include location of stores, fulfillment options, price, quality of merchandise, in-stock inventory consistency, merchandise as</w:t>
      </w:r>
      <w:r>
        <w:rPr>
          <w:rFonts w:eastAsia="Times New Roman"/>
          <w:color w:val="000000"/>
          <w:sz w:val="20"/>
          <w:szCs w:val="20"/>
        </w:rPr>
        <w:t>sortment and presentation, product knowledge, online competitors, and customer service. We compete with general merchandise retailers, home center retailers, pet retailers, specialty and discount retailers, independently owned retail farm and ranch stores,</w:t>
      </w:r>
      <w:r>
        <w:rPr>
          <w:rFonts w:eastAsia="Times New Roman"/>
          <w:color w:val="000000"/>
          <w:sz w:val="20"/>
          <w:szCs w:val="20"/>
        </w:rPr>
        <w:t xml:space="preserve"> numerous privately-held regional farm store chains and farm cooperatives, as well as internet-based retailers.  However, we believe we successfully differentiate ourselves from many of these retailers by focusing on our specialized market niche for custom</w:t>
      </w:r>
      <w:r>
        <w:rPr>
          <w:rFonts w:eastAsia="Times New Roman"/>
          <w:color w:val="000000"/>
          <w:sz w:val="20"/>
          <w:szCs w:val="20"/>
        </w:rPr>
        <w:t>ers living the rural lifestyle. See further discussion of competition in 1A. “Risk Factors” of this Annual Report on Form 10-K</w:t>
      </w:r>
      <w:r>
        <w:rPr>
          <w:rFonts w:eastAsia="Times New Roman"/>
          <w:color w:val="000000"/>
          <w:sz w:val="20"/>
          <w:szCs w:val="20"/>
        </w:rPr>
        <w:t>.</w:t>
      </w:r>
    </w:p>
    <w:p w:rsidR="00000000" w:rsidRDefault="00CB61D5">
      <w:pPr>
        <w:divId w:val="884681075"/>
        <w:rPr>
          <w:rFonts w:eastAsia="Times New Roman"/>
        </w:rPr>
      </w:pPr>
    </w:p>
    <w:p w:rsidR="00000000" w:rsidRDefault="00CB61D5">
      <w:pPr>
        <w:divId w:val="942346060"/>
        <w:rPr>
          <w:rFonts w:eastAsia="Times New Roman"/>
        </w:rPr>
      </w:pPr>
      <w:r>
        <w:rPr>
          <w:rFonts w:eastAsia="Times New Roman"/>
          <w:b/>
          <w:bCs/>
          <w:color w:val="000000"/>
          <w:sz w:val="20"/>
          <w:szCs w:val="20"/>
        </w:rPr>
        <w:t>Seasonality and Weathe</w:t>
      </w:r>
      <w:r>
        <w:rPr>
          <w:rFonts w:eastAsia="Times New Roman"/>
          <w:b/>
          <w:bCs/>
          <w:color w:val="000000"/>
          <w:sz w:val="20"/>
          <w:szCs w:val="20"/>
        </w:rPr>
        <w:t>r</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business is seasonal.  Historically, our sales and profits are the highest in the second and fou</w:t>
      </w:r>
      <w:r>
        <w:rPr>
          <w:rFonts w:eastAsia="Times New Roman"/>
          <w:color w:val="000000"/>
          <w:sz w:val="20"/>
          <w:szCs w:val="20"/>
        </w:rPr>
        <w:t xml:space="preserve">rth fiscal quarters due to the sale of seasonal products. We experience our highest inventory and accounts payable balances during our first fiscal quarter for purchases of seasonal products to support the higher sales volume of the spring selling season, </w:t>
      </w:r>
      <w:r>
        <w:rPr>
          <w:rFonts w:eastAsia="Times New Roman"/>
          <w:color w:val="000000"/>
          <w:sz w:val="20"/>
          <w:szCs w:val="20"/>
        </w:rPr>
        <w:t>and again during our third fiscal quarter to support the higher sales volume of the cold-weather selling season. We believe that our business can be more accurately assessed by focusing on the performance of the halves, not the quarters, due to the fact th</w:t>
      </w:r>
      <w:r>
        <w:rPr>
          <w:rFonts w:eastAsia="Times New Roman"/>
          <w:color w:val="000000"/>
          <w:sz w:val="20"/>
          <w:szCs w:val="20"/>
        </w:rPr>
        <w:t>at different weather patterns from year-to-year can shift the timing of sales and profits between quarters, particularly between the first and second fiscal quarters and the third and fourth fiscal quarters.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Historically, weather conditions, including u</w:t>
      </w:r>
      <w:r>
        <w:rPr>
          <w:rFonts w:eastAsia="Times New Roman"/>
          <w:color w:val="000000"/>
          <w:sz w:val="20"/>
          <w:szCs w:val="20"/>
        </w:rPr>
        <w:t>nseasonably warm weather in the fall and winter months and unseasonably cool weather in the spring and summer months, have affected the timing and volume of our sales and results of operations. In addition, extreme weather conditions, including snow and ic</w:t>
      </w:r>
      <w:r>
        <w:rPr>
          <w:rFonts w:eastAsia="Times New Roman"/>
          <w:color w:val="000000"/>
          <w:sz w:val="20"/>
          <w:szCs w:val="20"/>
        </w:rPr>
        <w:t>e storms, flood and wind damage, hurricanes, tornadoes, extreme rain, and droughts have impacted operating results both negatively and positively, depending on the severity and length of these conditions. Our strategy is to manage product flow and adjust m</w:t>
      </w:r>
      <w:r>
        <w:rPr>
          <w:rFonts w:eastAsia="Times New Roman"/>
          <w:color w:val="000000"/>
          <w:sz w:val="20"/>
          <w:szCs w:val="20"/>
        </w:rPr>
        <w:t>erchandise assortments and depth of inventory to capitalize on seasonal demand trends.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Stewardship and Compliance with Environmental Matter</w:t>
      </w:r>
      <w:r>
        <w:rPr>
          <w:rFonts w:eastAsia="Times New Roman"/>
          <w:b/>
          <w:bCs/>
          <w:color w:val="000000"/>
          <w:sz w:val="20"/>
          <w:szCs w:val="20"/>
        </w:rPr>
        <w:t>s</w:t>
      </w:r>
    </w:p>
    <w:p w:rsidR="00000000" w:rsidRDefault="00CB61D5">
      <w:pPr>
        <w:divId w:val="1956867135"/>
        <w:rPr>
          <w:rFonts w:eastAsia="Times New Roman"/>
        </w:rPr>
      </w:pPr>
    </w:p>
    <w:p w:rsidR="00000000" w:rsidRDefault="00CB61D5">
      <w:pPr>
        <w:jc w:val="both"/>
        <w:rPr>
          <w:rFonts w:eastAsia="Times New Roman"/>
        </w:rPr>
      </w:pPr>
      <w:r>
        <w:rPr>
          <w:rFonts w:eastAsia="Times New Roman"/>
          <w:color w:val="000000"/>
          <w:sz w:val="20"/>
          <w:szCs w:val="20"/>
        </w:rPr>
        <w:t>Our operations are subject to numerous federal, state, and local laws and regulations, enacted or adopted, reg</w:t>
      </w:r>
      <w:r>
        <w:rPr>
          <w:rFonts w:eastAsia="Times New Roman"/>
          <w:color w:val="000000"/>
          <w:sz w:val="20"/>
          <w:szCs w:val="20"/>
        </w:rPr>
        <w:t>ulating the discharge of materials into the environment or otherwise relating to the protection of the environment.  We are committed to complying with all applicable environmental laws and regulations.  We are also committed to becoming a more environment</w:t>
      </w:r>
      <w:r>
        <w:rPr>
          <w:rFonts w:eastAsia="Times New Roman"/>
          <w:color w:val="000000"/>
          <w:sz w:val="20"/>
          <w:szCs w:val="20"/>
        </w:rPr>
        <w:t>ally sustainable company.  This commitment is demonstrated through our Stewardship Program, which is our environmental sustainability program.  Through this program, the Company has implemented a number of initiatives designed to reduce our impact on the e</w:t>
      </w:r>
      <w:r>
        <w:rPr>
          <w:rFonts w:eastAsia="Times New Roman"/>
          <w:color w:val="000000"/>
          <w:sz w:val="20"/>
          <w:szCs w:val="20"/>
        </w:rPr>
        <w:t>nvironment.  These initiatives include the installation of energy management systems, LED lighting, high efficiency heating/air conditioning systems, and recycling programs in our stores, distribution facilities, and Store Support Center. Our Store Support</w:t>
      </w:r>
      <w:r>
        <w:rPr>
          <w:rFonts w:eastAsia="Times New Roman"/>
          <w:color w:val="000000"/>
          <w:sz w:val="20"/>
          <w:szCs w:val="20"/>
        </w:rPr>
        <w:t xml:space="preserve"> Center and our distribution centers in Casa Grande, Arizona, and Frankfort, New York, are LEED (Leadership in Energy and Environmental Design) Silver certified for environmentally sustainable design, construction, and operation.  We also installed solar a</w:t>
      </w:r>
      <w:r>
        <w:rPr>
          <w:rFonts w:eastAsia="Times New Roman"/>
          <w:color w:val="000000"/>
          <w:sz w:val="20"/>
          <w:szCs w:val="20"/>
        </w:rPr>
        <w:t>rrays at the Store Support Center in Brentwood, Tennessee, and our Tractor Supply store in Hendersonville, Tennessee.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December 2018, we announced a goal to reduce carbon emissions from our facilities by 25% by 2025 from our 2015 baseline as part of the Company's Stewardship Program</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Additional information can be found in our annual sustainability report on our websit</w:t>
      </w:r>
      <w:r>
        <w:rPr>
          <w:rFonts w:eastAsia="Times New Roman"/>
          <w:color w:val="000000"/>
          <w:sz w:val="20"/>
          <w:szCs w:val="20"/>
        </w:rPr>
        <w:t>e</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464882046"/>
        <w:rPr>
          <w:rFonts w:eastAsia="Times New Roman"/>
        </w:rPr>
      </w:pPr>
      <w:r>
        <w:rPr>
          <w:rFonts w:eastAsia="Times New Roman"/>
          <w:color w:val="000000"/>
          <w:sz w:val="20"/>
          <w:szCs w:val="20"/>
        </w:rPr>
        <w:t>7</w:t>
      </w:r>
    </w:p>
    <w:p w:rsidR="00000000" w:rsidRDefault="00CB61D5">
      <w:pPr>
        <w:rPr>
          <w:rFonts w:eastAsia="Times New Roman"/>
        </w:rPr>
      </w:pPr>
      <w:r>
        <w:rPr>
          <w:rFonts w:eastAsia="Times New Roman"/>
        </w:rPr>
        <w:pict>
          <v:rect id="_x0000_i1035" style="width:0;height:1.5pt" o:hralign="center" o:hrstd="t" o:hr="t" fillcolor="#a0a0a0" stroked="f"/>
        </w:pict>
      </w:r>
    </w:p>
    <w:p w:rsidR="00000000" w:rsidRDefault="00CB61D5">
      <w:pPr>
        <w:divId w:val="1862473719"/>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Information about our Executive Officer</w:t>
      </w:r>
      <w:r>
        <w:rPr>
          <w:rFonts w:eastAsia="Times New Roman"/>
          <w:b/>
          <w:b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Pursuant to General Instruction G(3) of Form 10-K, the following list is included in Part I of this Report in lieu of being included in</w:t>
      </w:r>
      <w:r>
        <w:rPr>
          <w:rFonts w:eastAsia="Times New Roman"/>
          <w:color w:val="000000"/>
          <w:sz w:val="20"/>
          <w:szCs w:val="20"/>
        </w:rPr>
        <w:t xml:space="preserve"> the Proxy Statement for the Annual Meeting of Stockholders to be held on May 7, 2020</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is a list of the names and ages of all executive officers of the registrant, indicating all positions and offices with the registrant held by each such p</w:t>
      </w:r>
      <w:r>
        <w:rPr>
          <w:rFonts w:eastAsia="Times New Roman"/>
          <w:color w:val="000000"/>
          <w:sz w:val="20"/>
          <w:szCs w:val="20"/>
        </w:rPr>
        <w:t>erson and each person’s principal occupations and employment during at least the past five years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1570"/>
        <w:gridCol w:w="83"/>
        <w:gridCol w:w="83"/>
        <w:gridCol w:w="5505"/>
        <w:gridCol w:w="83"/>
        <w:gridCol w:w="83"/>
        <w:gridCol w:w="733"/>
        <w:gridCol w:w="83"/>
      </w:tblGrid>
      <w:tr w:rsidR="00000000">
        <w:trPr>
          <w:divId w:val="1357000258"/>
        </w:trPr>
        <w:tc>
          <w:tcPr>
            <w:tcW w:w="50" w:type="pct"/>
            <w:vAlign w:val="center"/>
            <w:hideMark/>
          </w:tcPr>
          <w:p w:rsidR="00000000" w:rsidRDefault="00CB61D5">
            <w:pPr>
              <w:jc w:val="both"/>
              <w:rPr>
                <w:rFonts w:eastAsia="Times New Roman"/>
              </w:rPr>
            </w:pPr>
          </w:p>
        </w:tc>
        <w:tc>
          <w:tcPr>
            <w:tcW w:w="9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31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4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357000258"/>
        </w:trPr>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b/>
                <w:bCs/>
                <w:color w:val="000000"/>
                <w:sz w:val="20"/>
                <w:szCs w:val="20"/>
              </w:rPr>
              <w:t>Nam</w:t>
            </w:r>
            <w:r>
              <w:rPr>
                <w:rFonts w:eastAsia="Times New Roman"/>
                <w:b/>
                <w:bCs/>
                <w:color w:val="000000"/>
                <w:sz w:val="20"/>
                <w:szCs w:val="20"/>
              </w:rPr>
              <w:t>e</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b/>
                <w:bCs/>
                <w:color w:val="000000"/>
                <w:sz w:val="20"/>
                <w:szCs w:val="20"/>
              </w:rPr>
              <w:t>Positio</w:t>
            </w:r>
            <w:r>
              <w:rPr>
                <w:rFonts w:eastAsia="Times New Roman"/>
                <w:b/>
                <w:bCs/>
                <w:color w:val="000000"/>
                <w:sz w:val="20"/>
                <w:szCs w:val="20"/>
              </w:rPr>
              <w:t>n</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b/>
                <w:bCs/>
                <w:color w:val="000000"/>
                <w:sz w:val="20"/>
                <w:szCs w:val="20"/>
              </w:rPr>
              <w:t>Ag</w:t>
            </w:r>
            <w:r>
              <w:rPr>
                <w:rFonts w:eastAsia="Times New Roman"/>
                <w:b/>
                <w:bCs/>
                <w:color w:val="000000"/>
                <w:sz w:val="20"/>
                <w:szCs w:val="20"/>
              </w:rPr>
              <w:t>e</w:t>
            </w:r>
          </w:p>
        </w:tc>
      </w:tr>
      <w:tr w:rsidR="00000000">
        <w:trPr>
          <w:divId w:val="135700025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Harry A. Lawton, II</w:t>
            </w:r>
            <w:r>
              <w:rPr>
                <w:rFonts w:eastAsia="Times New Roman"/>
                <w:color w:val="000000"/>
                <w:sz w:val="20"/>
                <w:szCs w:val="20"/>
              </w:rPr>
              <w:t>I</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President and Chief Executive Office</w:t>
            </w:r>
            <w:r>
              <w:rPr>
                <w:rFonts w:eastAsia="Times New Roman"/>
                <w:color w:val="000000"/>
                <w:sz w:val="20"/>
                <w:szCs w:val="20"/>
              </w:rPr>
              <w:t>r</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5</w:t>
            </w:r>
          </w:p>
        </w:tc>
      </w:tr>
      <w:tr w:rsidR="00000000">
        <w:trPr>
          <w:divId w:val="1357000258"/>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Kurt D. Barto</w:t>
            </w:r>
            <w:r>
              <w:rPr>
                <w:rFonts w:eastAsia="Times New Roman"/>
                <w:color w:val="000000"/>
                <w:sz w:val="20"/>
                <w:szCs w:val="20"/>
              </w:rPr>
              <w:t>n</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Executive Vice President – Chief Financial Officer and Treasure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8</w:t>
            </w:r>
          </w:p>
        </w:tc>
      </w:tr>
      <w:tr w:rsidR="00000000">
        <w:trPr>
          <w:divId w:val="1357000258"/>
        </w:trPr>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Benjamin F. Parrish, Jr</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Executive Vice President – General Counsel and Corporate Secretar</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6</w:t>
            </w:r>
            <w:r>
              <w:rPr>
                <w:rFonts w:eastAsia="Times New Roman"/>
                <w:color w:val="000000"/>
                <w:sz w:val="20"/>
                <w:szCs w:val="20"/>
              </w:rPr>
              <w:t>3</w:t>
            </w:r>
          </w:p>
        </w:tc>
      </w:tr>
      <w:tr w:rsidR="00000000">
        <w:trPr>
          <w:divId w:val="1357000258"/>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Robert D. Mill</w:t>
            </w:r>
            <w:r>
              <w:rPr>
                <w:rFonts w:eastAsia="Times New Roman"/>
                <w:color w:val="000000"/>
                <w:sz w:val="20"/>
                <w:szCs w:val="20"/>
              </w:rPr>
              <w:t>s</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Technology, Digital Commerce and Strategy Office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7</w:t>
            </w:r>
          </w:p>
        </w:tc>
      </w:tr>
      <w:tr w:rsidR="00000000">
        <w:trPr>
          <w:divId w:val="1357000258"/>
        </w:trPr>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John P. Ordu</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Executive Vice President – Chief Stores Office</w:t>
            </w:r>
            <w:r>
              <w:rPr>
                <w:rFonts w:eastAsia="Times New Roman"/>
                <w:color w:val="000000"/>
                <w:sz w:val="20"/>
                <w:szCs w:val="20"/>
              </w:rPr>
              <w:t>r</w:t>
            </w:r>
          </w:p>
        </w:tc>
        <w:tc>
          <w:tcPr>
            <w:tcW w:w="0" w:type="auto"/>
            <w:gridSpan w:val="3"/>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4</w:t>
            </w:r>
          </w:p>
        </w:tc>
      </w:tr>
      <w:tr w:rsidR="00000000">
        <w:trPr>
          <w:divId w:val="1357000258"/>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Jonathan S. Este</w:t>
            </w:r>
            <w:r>
              <w:rPr>
                <w:rFonts w:eastAsia="Times New Roman"/>
                <w:color w:val="000000"/>
                <w:sz w:val="20"/>
                <w:szCs w:val="20"/>
              </w:rPr>
              <w:t>p</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Executive Vice President – Chief Merchandising Office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0</w:t>
            </w:r>
          </w:p>
        </w:tc>
      </w:tr>
      <w:tr w:rsidR="00000000">
        <w:trPr>
          <w:divId w:val="1357000258"/>
        </w:trPr>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Christi C. Korzekw</w:t>
            </w:r>
            <w:r>
              <w:rPr>
                <w:rFonts w:eastAsia="Times New Roman"/>
                <w:color w:val="000000"/>
                <w:sz w:val="20"/>
                <w:szCs w:val="20"/>
              </w:rPr>
              <w:t>a</w:t>
            </w:r>
          </w:p>
        </w:tc>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Senior Vice President – Marketin</w:t>
            </w:r>
            <w:r>
              <w:rPr>
                <w:rFonts w:eastAsia="Times New Roman"/>
                <w:color w:val="000000"/>
                <w:sz w:val="20"/>
                <w:szCs w:val="20"/>
              </w:rPr>
              <w:t>g</w:t>
            </w:r>
          </w:p>
        </w:tc>
        <w:tc>
          <w:tcPr>
            <w:tcW w:w="0" w:type="auto"/>
            <w:gridSpan w:val="3"/>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5</w:t>
            </w:r>
            <w:r>
              <w:rPr>
                <w:rFonts w:eastAsia="Times New Roman"/>
                <w:color w:val="000000"/>
                <w:sz w:val="20"/>
                <w:szCs w:val="20"/>
              </w:rPr>
              <w:t>4</w:t>
            </w:r>
          </w:p>
        </w:tc>
      </w:tr>
      <w:tr w:rsidR="00000000">
        <w:trPr>
          <w:divId w:val="1357000258"/>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Colin W. Yanke</w:t>
            </w:r>
            <w:r>
              <w:rPr>
                <w:rFonts w:eastAsia="Times New Roman"/>
                <w:color w:val="000000"/>
                <w:sz w:val="20"/>
                <w:szCs w:val="20"/>
              </w:rPr>
              <w:t>e</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Executive Vice President – Chief Supply Chain Office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2</w:t>
            </w:r>
          </w:p>
        </w:tc>
      </w:tr>
    </w:tbl>
    <w:p w:rsidR="00000000" w:rsidRDefault="00CB61D5">
      <w:pPr>
        <w:jc w:val="both"/>
        <w:rPr>
          <w:rFonts w:eastAsia="Times New Roman"/>
        </w:rPr>
      </w:pPr>
    </w:p>
    <w:p w:rsidR="00000000" w:rsidRDefault="00CB61D5">
      <w:pPr>
        <w:divId w:val="1033919184"/>
        <w:rPr>
          <w:rFonts w:eastAsia="Times New Roman"/>
        </w:rPr>
      </w:pPr>
      <w:r>
        <w:rPr>
          <w:rFonts w:eastAsia="Times New Roman"/>
          <w:color w:val="000000"/>
          <w:sz w:val="20"/>
          <w:szCs w:val="20"/>
        </w:rPr>
        <w:t>Harry A. Lawton, III was appointed as President and Chief Executive Officer on January 13, 2020. Mr. Lawton served as President of Macy's, Inc. from September 2017 to December 2019. Prior to that time, Mr. Lawton served as Senior Vice President, North Amer</w:t>
      </w:r>
      <w:r>
        <w:rPr>
          <w:rFonts w:eastAsia="Times New Roman"/>
          <w:color w:val="000000"/>
          <w:sz w:val="20"/>
          <w:szCs w:val="20"/>
        </w:rPr>
        <w:t>ica at eBay, Inc. since May 2015. Mr. Lawton previously held a number of leadership positions at Home Depot, Inc. from 2005 to 2015, including Senior Vice President of Merchandising and head of Home Depot's online business. Since January 2019, Mr. Lawton h</w:t>
      </w:r>
      <w:r>
        <w:rPr>
          <w:rFonts w:eastAsia="Times New Roman"/>
          <w:color w:val="000000"/>
          <w:sz w:val="20"/>
          <w:szCs w:val="20"/>
        </w:rPr>
        <w:t>as served as a director of Sealed Air Corporation and previously served as a director of Buffalo Wild Wings, Inc. from October 2016 to February 2018</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Kurt D. Barton was promoted to Executive Vice President – Chief Financial Officer and Treasurer in Febru</w:t>
      </w:r>
      <w:r>
        <w:rPr>
          <w:rFonts w:eastAsia="Times New Roman"/>
          <w:color w:val="000000"/>
          <w:sz w:val="20"/>
          <w:szCs w:val="20"/>
        </w:rPr>
        <w:t>ary 2019, after having served as Senior Vice President – Chief Financial Officer and Treasurer since March 2017. Prior to that time, Mr. Barton served as Senior Vice President – Controller of the Company since February 2016.  Mr. Barton previously served a</w:t>
      </w:r>
      <w:r>
        <w:rPr>
          <w:rFonts w:eastAsia="Times New Roman"/>
          <w:color w:val="000000"/>
          <w:sz w:val="20"/>
          <w:szCs w:val="20"/>
        </w:rPr>
        <w:t>s Vice President – Controller from February 2009, after having served as Director, Internal Audit from July 2002 to February 2009. Mr. Barton has served in various other leadership roles in accounting since he joined the Company in 1999. Mr. Barton, a Cert</w:t>
      </w:r>
      <w:r>
        <w:rPr>
          <w:rFonts w:eastAsia="Times New Roman"/>
          <w:color w:val="000000"/>
          <w:sz w:val="20"/>
          <w:szCs w:val="20"/>
        </w:rPr>
        <w:t>ified Public Accountant, began his career in public accounting in 1993, spending six years at Ernst &amp; Young, LLP</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Benjamin F. Parrish, Jr. has served as Executive Vice President – General Counsel and Corporate Secretary of the Company since February 2016</w:t>
      </w:r>
      <w:r>
        <w:rPr>
          <w:rFonts w:eastAsia="Times New Roman"/>
          <w:color w:val="000000"/>
          <w:sz w:val="20"/>
          <w:szCs w:val="20"/>
        </w:rPr>
        <w:t>, after having served as Senior Vice President – General Counsel and Corporate Secretary of the Company since October 2010.  Mr. Parrish previously served as Executive Vice President and General Counsel of MV Transportation, Inc. from September 2008, until</w:t>
      </w:r>
      <w:r>
        <w:rPr>
          <w:rFonts w:eastAsia="Times New Roman"/>
          <w:color w:val="000000"/>
          <w:sz w:val="20"/>
          <w:szCs w:val="20"/>
        </w:rPr>
        <w:t xml:space="preserve"> he joined the Company.  Mr. Parrish served as Senior Vice President and General Counsel of Central Parking Corporation from 1998 to 2008</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Robert D. Mills has served as Executive Vice President – Chief Technology, Digital Commerce and Strategy Officer si</w:t>
      </w:r>
      <w:r>
        <w:rPr>
          <w:rFonts w:eastAsia="Times New Roman"/>
          <w:color w:val="000000"/>
          <w:sz w:val="20"/>
          <w:szCs w:val="20"/>
        </w:rPr>
        <w:t xml:space="preserve">nce August 2018, prior to which he served as Senior Vice President – Chief Information Officer since February 2014. Mr. Mills previously served as Chief Information Officer for Ulta Beauty from October 2011, until he joined the Company. From 2005 to 2011, </w:t>
      </w:r>
      <w:r>
        <w:rPr>
          <w:rFonts w:eastAsia="Times New Roman"/>
          <w:color w:val="000000"/>
          <w:sz w:val="20"/>
          <w:szCs w:val="20"/>
        </w:rPr>
        <w:t xml:space="preserve">Mr. Mills was Vice President, Chief Information Officer for the online business unit at Sears Holdings Corporation where he began as an Information Technology Customer Relationship Leader in 2001. Prior to 2001, Mr. Mills held roles at Allstate Insurance, </w:t>
      </w:r>
      <w:r>
        <w:rPr>
          <w:rFonts w:eastAsia="Times New Roman"/>
          <w:color w:val="000000"/>
          <w:sz w:val="20"/>
          <w:szCs w:val="20"/>
        </w:rPr>
        <w:t>Rockwell International Telecommunications Division, and Household Finance Corporation. Since March 2018, Mr. Mills has served as a director of B&amp;G Foods, Inc</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John P. Ordus was promoted to Executive Vice President - Chief Stores Officer in February 2020,</w:t>
      </w:r>
      <w:r>
        <w:rPr>
          <w:rFonts w:eastAsia="Times New Roman"/>
          <w:color w:val="000000"/>
          <w:sz w:val="20"/>
          <w:szCs w:val="20"/>
        </w:rPr>
        <w:t xml:space="preserve"> after having served as Senior Vice President - Store Operations since August 2015. Prior to that time, Mr. Ordus served the Company as Regional Vice President from June 2010 and as a Regional Director for the Company since September 2008. Mr. Ordus joined</w:t>
      </w:r>
      <w:r>
        <w:rPr>
          <w:rFonts w:eastAsia="Times New Roman"/>
          <w:color w:val="000000"/>
          <w:sz w:val="20"/>
          <w:szCs w:val="20"/>
        </w:rPr>
        <w:t xml:space="preserve"> the Company as a District Manager in February 2002 after the acquisition of Quality Farm and Fleet with which Mr. Ordus held roles since January 1988</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Jonathan S. Estep was promoted to Executive Vice President - Chief Merchandising Officer in February 2020, after having served as the Senior Vice President, General Merchandising since April 2017. Prior to that time, Mr. Estep served the Company as a Vice </w:t>
      </w:r>
      <w:r>
        <w:rPr>
          <w:rFonts w:eastAsia="Times New Roman"/>
          <w:color w:val="000000"/>
          <w:sz w:val="20"/>
          <w:szCs w:val="20"/>
        </w:rPr>
        <w:t>President, Divisional Merchandise Manager from February 2014. Mr. Estep also previously served in various other leadership roles in merchandising since he re-joined the Company in January 2008.</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884364048"/>
        <w:rPr>
          <w:rFonts w:eastAsia="Times New Roman"/>
        </w:rPr>
      </w:pPr>
      <w:r>
        <w:rPr>
          <w:rFonts w:eastAsia="Times New Roman"/>
          <w:color w:val="000000"/>
          <w:sz w:val="20"/>
          <w:szCs w:val="20"/>
        </w:rPr>
        <w:t>8</w:t>
      </w:r>
    </w:p>
    <w:p w:rsidR="00000000" w:rsidRDefault="00CB61D5">
      <w:pPr>
        <w:rPr>
          <w:rFonts w:eastAsia="Times New Roman"/>
        </w:rPr>
      </w:pPr>
      <w:r>
        <w:rPr>
          <w:rFonts w:eastAsia="Times New Roman"/>
        </w:rPr>
        <w:pict>
          <v:rect id="_x0000_i1036" style="width:0;height:1.5pt" o:hralign="center" o:hrstd="t" o:hr="t" fillcolor="#a0a0a0" stroked="f"/>
        </w:pict>
      </w:r>
    </w:p>
    <w:p w:rsidR="00000000" w:rsidRDefault="00CB61D5">
      <w:pPr>
        <w:divId w:val="134821485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 xml:space="preserve">Christi C. Korzekwa has served as Senior Vice President, Marketing since February 2015, having previously served as Vice President, Marketing since she joined the Company in February 2012. Prior to joining the Company, Ms. Korzekwa served as </w:t>
      </w:r>
      <w:r>
        <w:rPr>
          <w:rFonts w:eastAsia="Times New Roman"/>
          <w:color w:val="000000"/>
          <w:sz w:val="20"/>
          <w:szCs w:val="20"/>
        </w:rPr>
        <w:t>Senior Vice President, Director of Client Services for Blue Sky Agency. She worked for Home Depot, Inc. from 2004 to 2011 in roles of increasing importance in marketing and advertising, most recently as Senior Director, Marketing. Before joining Home Depot</w:t>
      </w:r>
      <w:r>
        <w:rPr>
          <w:rFonts w:eastAsia="Times New Roman"/>
          <w:color w:val="000000"/>
          <w:sz w:val="20"/>
          <w:szCs w:val="20"/>
        </w:rPr>
        <w:t>, Ms. Korzekwa spent 17 years with TM Advertising, most recently serving as their Senior Vice President, Global Media Director</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Colin W. Yankee was promoted to Executive Vice President - Chief Supply Chain Officer in February 2020, after having served as</w:t>
      </w:r>
      <w:r>
        <w:rPr>
          <w:rFonts w:eastAsia="Times New Roman"/>
          <w:color w:val="000000"/>
          <w:sz w:val="20"/>
          <w:szCs w:val="20"/>
        </w:rPr>
        <w:t xml:space="preserve"> Senior Vice President, Supply Chain since November 2015 when he joined the Company. Mr. Yankee was previously Vice President of Logistics for Neiman Marcus from 2013 to 2015. Prior to that time, Mr. Yankee held various leadership roles in logistics and su</w:t>
      </w:r>
      <w:r>
        <w:rPr>
          <w:rFonts w:eastAsia="Times New Roman"/>
          <w:color w:val="000000"/>
          <w:sz w:val="20"/>
          <w:szCs w:val="20"/>
        </w:rPr>
        <w:t>pply chain with the Target Corporation since 2004. He began his career as a Cavalry Officer, Captain in the United States Army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Additional Informatio</w:t>
      </w:r>
      <w:r>
        <w:rPr>
          <w:rFonts w:eastAsia="Times New Roman"/>
          <w:b/>
          <w:bCs/>
          <w:color w:val="000000"/>
          <w:sz w:val="20"/>
          <w:szCs w:val="20"/>
        </w:rPr>
        <w:t>n</w:t>
      </w:r>
    </w:p>
    <w:p w:rsidR="00000000" w:rsidRDefault="00CB61D5">
      <w:pPr>
        <w:divId w:val="2133941776"/>
        <w:rPr>
          <w:rFonts w:eastAsia="Times New Roman"/>
        </w:rPr>
      </w:pPr>
    </w:p>
    <w:p w:rsidR="00000000" w:rsidRDefault="00CB61D5">
      <w:pPr>
        <w:jc w:val="both"/>
        <w:rPr>
          <w:rFonts w:eastAsia="Times New Roman"/>
        </w:rPr>
      </w:pPr>
      <w:r>
        <w:rPr>
          <w:rFonts w:eastAsia="Times New Roman"/>
          <w:color w:val="000000"/>
          <w:sz w:val="20"/>
          <w:szCs w:val="20"/>
        </w:rPr>
        <w:t>We file reports with the Securities and Exchange Commission (“SEC”), including Annual Reports on Form</w:t>
      </w:r>
      <w:r>
        <w:rPr>
          <w:rFonts w:eastAsia="Times New Roman"/>
          <w:color w:val="000000"/>
          <w:sz w:val="20"/>
          <w:szCs w:val="20"/>
        </w:rPr>
        <w:t xml:space="preserve"> 10-K, quarterly reports on Form 10-Q, current reports on Form 8-K and other reports as required. We are an electronic filer and the SEC maintains an Internet website at</w:t>
      </w:r>
      <w:r>
        <w:rPr>
          <w:rFonts w:eastAsia="Times New Roman"/>
          <w:color w:val="000000"/>
          <w:sz w:val="20"/>
          <w:szCs w:val="20"/>
        </w:rPr>
        <w:t xml:space="preserve"> </w:t>
      </w:r>
      <w:r>
        <w:rPr>
          <w:rFonts w:eastAsia="Times New Roman"/>
          <w:i/>
          <w:iCs/>
          <w:color w:val="000000"/>
          <w:sz w:val="20"/>
          <w:szCs w:val="20"/>
          <w:u w:val="single"/>
        </w:rPr>
        <w:t>sec.go</w:t>
      </w:r>
      <w:r>
        <w:rPr>
          <w:rFonts w:eastAsia="Times New Roman"/>
          <w:i/>
          <w:iCs/>
          <w:color w:val="000000"/>
          <w:sz w:val="20"/>
          <w:szCs w:val="20"/>
          <w:u w:val="single"/>
        </w:rPr>
        <w:t>v</w:t>
      </w:r>
      <w:r>
        <w:rPr>
          <w:rFonts w:eastAsia="Times New Roman"/>
          <w:color w:val="000000"/>
          <w:sz w:val="20"/>
          <w:szCs w:val="20"/>
        </w:rPr>
        <w:t xml:space="preserve"> that contains the reports, proxy and information statements, and other informa</w:t>
      </w:r>
      <w:r>
        <w:rPr>
          <w:rFonts w:eastAsia="Times New Roman"/>
          <w:color w:val="000000"/>
          <w:sz w:val="20"/>
          <w:szCs w:val="20"/>
        </w:rPr>
        <w:t>tion we file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make available, free of charge through our Internet website,</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our Annual Report on Form 10-K, quarterly reports on Form 10-Q, current reports on Form 8-K, and all amendments to those reports as soon as reasonably practi</w:t>
      </w:r>
      <w:r>
        <w:rPr>
          <w:rFonts w:eastAsia="Times New Roman"/>
          <w:color w:val="000000"/>
          <w:sz w:val="20"/>
          <w:szCs w:val="20"/>
        </w:rPr>
        <w:t>cable after such material is electronically filed with or furnished to the SEC.  The information provided on our website is not part of this report, and is therefore not incorporated by reference unless such information is otherwise specifically referenced</w:t>
      </w:r>
      <w:r>
        <w:rPr>
          <w:rFonts w:eastAsia="Times New Roman"/>
          <w:color w:val="000000"/>
          <w:sz w:val="20"/>
          <w:szCs w:val="20"/>
        </w:rPr>
        <w:t xml:space="preserve"> elsewhere in this report</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A</w:t>
      </w:r>
      <w:r>
        <w:rPr>
          <w:rFonts w:eastAsia="Times New Roman"/>
          <w:b/>
          <w:bCs/>
          <w:color w:val="000000"/>
          <w:sz w:val="20"/>
          <w:szCs w:val="20"/>
        </w:rPr>
        <w:t>.</w:t>
      </w:r>
      <w:r>
        <w:rPr>
          <w:rFonts w:eastAsia="Times New Roman"/>
          <w:b/>
          <w:bCs/>
          <w:color w:val="000000"/>
          <w:sz w:val="20"/>
          <w:szCs w:val="20"/>
        </w:rPr>
        <w:t> </w:t>
      </w:r>
      <w:r>
        <w:rPr>
          <w:rFonts w:eastAsia="Times New Roman"/>
          <w:b/>
          <w:bCs/>
          <w:color w:val="000000"/>
          <w:sz w:val="20"/>
          <w:szCs w:val="20"/>
          <w:u w:val="single"/>
        </w:rPr>
        <w:t>Risk Factor</w:t>
      </w:r>
      <w:r>
        <w:rPr>
          <w:rFonts w:eastAsia="Times New Roman"/>
          <w:b/>
          <w:bCs/>
          <w:color w:val="000000"/>
          <w:sz w:val="20"/>
          <w:szCs w:val="20"/>
          <w:u w:val="single"/>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business faces many risks. Those risks of which we are currently aware and deem to be material are described below.  If any of the events or circumstances described in the following risk factors occu</w:t>
      </w:r>
      <w:r>
        <w:rPr>
          <w:rFonts w:eastAsia="Times New Roman"/>
          <w:color w:val="000000"/>
          <w:sz w:val="20"/>
          <w:szCs w:val="20"/>
        </w:rPr>
        <w:t>r, our business, financial condition or results of operations may significantly suffer, and the trading price of our common stock could decline.  These risk factors should be read in conjunction with the other information in this Form 10-K</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General econo</w:t>
      </w:r>
      <w:r>
        <w:rPr>
          <w:rFonts w:eastAsia="Times New Roman"/>
          <w:i/>
          <w:iCs/>
          <w:color w:val="000000"/>
          <w:sz w:val="20"/>
          <w:szCs w:val="20"/>
        </w:rPr>
        <w:t>mic conditions may adversely affect our financial performance</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results of operations may be sensitive to changes in overall economic conditions that impact consumer spending, including discretionary spending. A weakening of economic conditions affect</w:t>
      </w:r>
      <w:r>
        <w:rPr>
          <w:rFonts w:eastAsia="Times New Roman"/>
          <w:color w:val="000000"/>
          <w:sz w:val="20"/>
          <w:szCs w:val="20"/>
        </w:rPr>
        <w:t>ing disposable consumer income such as lower employment levels, uncertainty or changes in business or political conditions, higher interest rates, higher tax rates, higher fuel and energy costs, higher labor and healthcare costs, the impact of natural disa</w:t>
      </w:r>
      <w:r>
        <w:rPr>
          <w:rFonts w:eastAsia="Times New Roman"/>
          <w:color w:val="000000"/>
          <w:sz w:val="20"/>
          <w:szCs w:val="20"/>
        </w:rPr>
        <w:t>sters or acts of terrorism, general health epidemics, and other matters could reduce consumer spending or cause consumers to shift their spending to competitors. A general reduction in the level of discretionary spending, shifts in consumer discretionary s</w:t>
      </w:r>
      <w:r>
        <w:rPr>
          <w:rFonts w:eastAsia="Times New Roman"/>
          <w:color w:val="000000"/>
          <w:sz w:val="20"/>
          <w:szCs w:val="20"/>
        </w:rPr>
        <w:t>pending to our competitors or shifts in discretionary spending to less profitable products sold by us could result in lower net sales, slower inventory turnover, greater markdowns on inventory, and a reduction in profitability due to lower margins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Failu</w:t>
      </w:r>
      <w:r>
        <w:rPr>
          <w:rFonts w:eastAsia="Times New Roman"/>
          <w:i/>
          <w:iCs/>
          <w:color w:val="000000"/>
          <w:sz w:val="20"/>
          <w:szCs w:val="20"/>
        </w:rPr>
        <w:t>re to protect our reputation could have a material adverse effect on our brand name or any of our exclusive brands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Our success depends in part on the value and strength of the Tractor Supply name, including our exclusive brands. The Tractor Supply name </w:t>
      </w:r>
      <w:r>
        <w:rPr>
          <w:rFonts w:eastAsia="Times New Roman"/>
          <w:color w:val="000000"/>
          <w:sz w:val="20"/>
          <w:szCs w:val="20"/>
        </w:rPr>
        <w:t>is integral to our business, as well as to the implementation of our strategies for expanding our business. Maintaining, promoting, and positioning our brand will depend largely on the success of our marketing and merchandising efforts and our ability to p</w:t>
      </w:r>
      <w:r>
        <w:rPr>
          <w:rFonts w:eastAsia="Times New Roman"/>
          <w:color w:val="000000"/>
          <w:sz w:val="20"/>
          <w:szCs w:val="20"/>
        </w:rPr>
        <w:t>rovide high quality merchandise and a consistent, high quality customer experience. Our brand could be adversely affected if we fail to achieve these objectives or if our public image or reputation were to be tarnished by negative publicity. Failure to com</w:t>
      </w:r>
      <w:r>
        <w:rPr>
          <w:rFonts w:eastAsia="Times New Roman"/>
          <w:color w:val="000000"/>
          <w:sz w:val="20"/>
          <w:szCs w:val="20"/>
        </w:rPr>
        <w:t>ply or accusation of failure to comply with ethical, social, product, labor, data privacy, and environmental standards could also jeopardize our reputation and potentially lead to various adverse consumer actions. Any of these events could result in decrea</w:t>
      </w:r>
      <w:r>
        <w:rPr>
          <w:rFonts w:eastAsia="Times New Roman"/>
          <w:color w:val="000000"/>
          <w:sz w:val="20"/>
          <w:szCs w:val="20"/>
        </w:rPr>
        <w:t>sed revenue or otherwise adversely affect our business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972172327"/>
        <w:rPr>
          <w:rFonts w:eastAsia="Times New Roman"/>
        </w:rPr>
      </w:pPr>
      <w:r>
        <w:rPr>
          <w:rFonts w:eastAsia="Times New Roman"/>
          <w:color w:val="000000"/>
          <w:sz w:val="20"/>
          <w:szCs w:val="20"/>
        </w:rPr>
        <w:t>9</w:t>
      </w:r>
    </w:p>
    <w:p w:rsidR="00000000" w:rsidRDefault="00CB61D5">
      <w:pPr>
        <w:rPr>
          <w:rFonts w:eastAsia="Times New Roman"/>
        </w:rPr>
      </w:pPr>
      <w:r>
        <w:rPr>
          <w:rFonts w:eastAsia="Times New Roman"/>
        </w:rPr>
        <w:pict>
          <v:rect id="_x0000_i1037" style="width:0;height:1.5pt" o:hralign="center" o:hrstd="t" o:hr="t" fillcolor="#a0a0a0" stroked="f"/>
        </w:pict>
      </w:r>
    </w:p>
    <w:p w:rsidR="00000000" w:rsidRDefault="00CB61D5">
      <w:pPr>
        <w:divId w:val="303000760"/>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We may be unable to increase sales at our existing stores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experience fluctuations in our comparable store sales at our existing stores, defined as sales in stores which have been open for at least twelve months.  Various factors affect the comparable store sales at our existing stores, including, among others,</w:t>
      </w:r>
      <w:r>
        <w:rPr>
          <w:rFonts w:eastAsia="Times New Roman"/>
          <w:color w:val="000000"/>
          <w:sz w:val="20"/>
          <w:szCs w:val="20"/>
        </w:rPr>
        <w:t xml:space="preserve"> the general retail sales environment, our ability to efficiently source and distribute products, changes in our merchandise assortment, competition, proximity of our locations to one another or to the locations of other competing retailers, increased pres</w:t>
      </w:r>
      <w:r>
        <w:rPr>
          <w:rFonts w:eastAsia="Times New Roman"/>
          <w:color w:val="000000"/>
          <w:sz w:val="20"/>
          <w:szCs w:val="20"/>
        </w:rPr>
        <w:t xml:space="preserve">ence of online retailers, current economic conditions, customer satisfaction with our products, retail pricing, the timing of promotional events, the release of new merchandise, the success of marketing programs, and weather conditions.  These factors may </w:t>
      </w:r>
      <w:r>
        <w:rPr>
          <w:rFonts w:eastAsia="Times New Roman"/>
          <w:color w:val="000000"/>
          <w:sz w:val="20"/>
          <w:szCs w:val="20"/>
        </w:rPr>
        <w:t>cause the comparable store sales results at our existing stores to differ materially from prior periods and from expectations.  Past comparable store sales are not an indication of future results, and there can be no assurance that our comparable store sal</w:t>
      </w:r>
      <w:r>
        <w:rPr>
          <w:rFonts w:eastAsia="Times New Roman"/>
          <w:color w:val="000000"/>
          <w:sz w:val="20"/>
          <w:szCs w:val="20"/>
        </w:rPr>
        <w:t>es will not decrease in the future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Purchase price volatility, including inflationary and deflationary pressures, may adversely affect our financial performance</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Although we cannot determine the full effect of inflation and deflation on our operations,</w:t>
      </w:r>
      <w:r>
        <w:rPr>
          <w:rFonts w:eastAsia="Times New Roman"/>
          <w:color w:val="000000"/>
          <w:sz w:val="20"/>
          <w:szCs w:val="20"/>
        </w:rPr>
        <w:t xml:space="preserve"> we believe our sales and results of operations are affected by both.  We are subject to market risk with respect to the pricing of certain products and services, which include, among other items, grain, corn, steel, petroleum, cotton, and other commoditie</w:t>
      </w:r>
      <w:r>
        <w:rPr>
          <w:rFonts w:eastAsia="Times New Roman"/>
          <w:color w:val="000000"/>
          <w:sz w:val="20"/>
          <w:szCs w:val="20"/>
        </w:rPr>
        <w:t xml:space="preserve">s, as well as duties, tariffs, diesel fuel, and transportation services.  Therefore, we may experience both inflationary and deflationary pressure on product cost, which may impact consumer demand and, as a result, sales and gross margin.  Our strategy is </w:t>
      </w:r>
      <w:r>
        <w:rPr>
          <w:rFonts w:eastAsia="Times New Roman"/>
          <w:color w:val="000000"/>
          <w:sz w:val="20"/>
          <w:szCs w:val="20"/>
        </w:rPr>
        <w:t>to reduce or mitigate the effects of purchase price volatility principally by taking advantage of vendor incentive programs, economies of scale from increased volume of purchases, adjusting retail prices, and selectively buying from the most competitive ve</w:t>
      </w:r>
      <w:r>
        <w:rPr>
          <w:rFonts w:eastAsia="Times New Roman"/>
          <w:color w:val="000000"/>
          <w:sz w:val="20"/>
          <w:szCs w:val="20"/>
        </w:rPr>
        <w:t>ndors while maintaining product quality.  Should our strategy to mitigate purchase price volatility not be effective, our financial performance could be adversely impacted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Weather conditions may have a significant impact on our financial results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Weat</w:t>
      </w:r>
      <w:r>
        <w:rPr>
          <w:rFonts w:eastAsia="Times New Roman"/>
          <w:color w:val="000000"/>
          <w:sz w:val="20"/>
          <w:szCs w:val="20"/>
        </w:rPr>
        <w:t>her conditions affect the demand for, and in some cases the supply of, products, which in turn has an impact on prices.  Historically, weather conditions, including unseasonably warm weather in the fall and winter months and unseasonably cool weather in th</w:t>
      </w:r>
      <w:r>
        <w:rPr>
          <w:rFonts w:eastAsia="Times New Roman"/>
          <w:color w:val="000000"/>
          <w:sz w:val="20"/>
          <w:szCs w:val="20"/>
        </w:rPr>
        <w:t>e spring and summer months, have affected the timing and volume of our sales and results of operations. In addition, extreme weather conditions, including snow and ice storms, flood and wind damage, hurricanes, tornadoes, extreme rain, and droughts, have i</w:t>
      </w:r>
      <w:r>
        <w:rPr>
          <w:rFonts w:eastAsia="Times New Roman"/>
          <w:color w:val="000000"/>
          <w:sz w:val="20"/>
          <w:szCs w:val="20"/>
        </w:rPr>
        <w:t>mpacted operating results. While extreme weather conditions can positively impact our operating results by increasing demand in affected locations for products needed to cope with the weather condition and its effects, they can also negatively affect our b</w:t>
      </w:r>
      <w:r>
        <w:rPr>
          <w:rFonts w:eastAsia="Times New Roman"/>
          <w:color w:val="000000"/>
          <w:sz w:val="20"/>
          <w:szCs w:val="20"/>
        </w:rPr>
        <w:t xml:space="preserve">usiness depending on the severity and length of these conditions, as a result of store closings, damage to our stores or merchandise, or the inability of customers to shop at our stores due to weather conditions. Our strategy is to manage product flow and </w:t>
      </w:r>
      <w:r>
        <w:rPr>
          <w:rFonts w:eastAsia="Times New Roman"/>
          <w:color w:val="000000"/>
          <w:sz w:val="20"/>
          <w:szCs w:val="20"/>
        </w:rPr>
        <w:t>adjust merchandise assortments and depth of inventory to capitalize on seasonal demand trends. Should such a strategy not be effective, the weather may have a material adverse effect on our financial condition and results of operations.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Our merchandisin</w:t>
      </w:r>
      <w:r>
        <w:rPr>
          <w:rFonts w:eastAsia="Times New Roman"/>
          <w:i/>
          <w:iCs/>
          <w:color w:val="000000"/>
          <w:sz w:val="20"/>
          <w:szCs w:val="20"/>
        </w:rPr>
        <w:t>g and marketing initiatives may not provide expected results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believe our past performance has been based on, and future success will depend upon, in part, the ability to develop and execute merchandising initiatives with effective marketing programs.</w:t>
      </w:r>
      <w:r>
        <w:rPr>
          <w:rFonts w:eastAsia="Times New Roman"/>
          <w:color w:val="000000"/>
          <w:sz w:val="20"/>
          <w:szCs w:val="20"/>
        </w:rPr>
        <w:t>  These merchandising initiatives and marketing programs may not deliver expected results, and there is no assurance that we will correctly identify and respond in a timely manner to evolving trends and consumer preferences and expectations. Further, adver</w:t>
      </w:r>
      <w:r>
        <w:rPr>
          <w:rFonts w:eastAsia="Times New Roman"/>
          <w:color w:val="000000"/>
          <w:sz w:val="20"/>
          <w:szCs w:val="20"/>
        </w:rPr>
        <w:t>se publicity about our merchandise products, whether valid or not, may discourage consumers from buying the products we offer. If we misjudge the market or our marketing programs are not successful, we may overstock unpopular products and be forced to take</w:t>
      </w:r>
      <w:r>
        <w:rPr>
          <w:rFonts w:eastAsia="Times New Roman"/>
          <w:color w:val="000000"/>
          <w:sz w:val="20"/>
          <w:szCs w:val="20"/>
        </w:rPr>
        <w:t xml:space="preserve"> inventory impairment or retail price reductions that have a material adverse effect on our profitability. Failure to execute and promote such initiatives in a timely manner could harm our ability to grow the business and could have a material adverse effe</w:t>
      </w:r>
      <w:r>
        <w:rPr>
          <w:rFonts w:eastAsia="Times New Roman"/>
          <w:color w:val="000000"/>
          <w:sz w:val="20"/>
          <w:szCs w:val="20"/>
        </w:rPr>
        <w:t>ct on our results of operations and financial condition.  Shortages of key merchandise could also have a material adverse effect on our financial condition and results of operations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Capital required for growth may not be available</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construction or</w:t>
      </w:r>
      <w:r>
        <w:rPr>
          <w:rFonts w:eastAsia="Times New Roman"/>
          <w:color w:val="000000"/>
          <w:sz w:val="20"/>
          <w:szCs w:val="20"/>
        </w:rPr>
        <w:t xml:space="preserve"> acquisition of new stores, store support center facilities, distribution facilities, or other facilities, the remodeling and renovation of existing facilities, and investments in information technology require significant amounts of capital. In the past, </w:t>
      </w:r>
      <w:r>
        <w:rPr>
          <w:rFonts w:eastAsia="Times New Roman"/>
          <w:color w:val="000000"/>
          <w:sz w:val="20"/>
          <w:szCs w:val="20"/>
        </w:rPr>
        <w:t>our growth has been funded through internally generated cash flow and bank borrowings.  Our failure to generate expected cash flow could impair our growth. In addition, disruptions to the capital and credit markets could adversely affect the ability of the</w:t>
      </w:r>
      <w:r>
        <w:rPr>
          <w:rFonts w:eastAsia="Times New Roman"/>
          <w:color w:val="000000"/>
          <w:sz w:val="20"/>
          <w:szCs w:val="20"/>
        </w:rPr>
        <w:t xml:space="preserve"> banks to meet their commitments.  Our access to funds under our debt facilities is dependent on the</w:t>
      </w:r>
      <w:r>
        <w:rPr>
          <w:rFonts w:eastAsia="Times New Roman"/>
          <w:color w:val="000000"/>
          <w:sz w:val="20"/>
          <w:szCs w:val="20"/>
        </w:rPr>
        <w:t xml:space="preserve"> </w:t>
      </w:r>
    </w:p>
    <w:p w:rsidR="00000000" w:rsidRDefault="00CB61D5">
      <w:pPr>
        <w:jc w:val="center"/>
        <w:divId w:val="1858422110"/>
        <w:rPr>
          <w:rFonts w:eastAsia="Times New Roman"/>
        </w:rPr>
      </w:pPr>
      <w:r>
        <w:rPr>
          <w:rFonts w:eastAsia="Times New Roman"/>
          <w:color w:val="000000"/>
          <w:sz w:val="20"/>
          <w:szCs w:val="20"/>
        </w:rPr>
        <w:t>1</w:t>
      </w:r>
      <w:r>
        <w:rPr>
          <w:rFonts w:eastAsia="Times New Roman"/>
          <w:color w:val="000000"/>
          <w:sz w:val="20"/>
          <w:szCs w:val="20"/>
        </w:rPr>
        <w:t>0</w:t>
      </w:r>
    </w:p>
    <w:p w:rsidR="00000000" w:rsidRDefault="00CB61D5">
      <w:pPr>
        <w:rPr>
          <w:rFonts w:eastAsia="Times New Roman"/>
        </w:rPr>
      </w:pPr>
      <w:r>
        <w:rPr>
          <w:rFonts w:eastAsia="Times New Roman"/>
        </w:rPr>
        <w:pict>
          <v:rect id="_x0000_i1038" style="width:0;height:1.5pt" o:hralign="center" o:hrstd="t" o:hr="t" fillcolor="#a0a0a0" stroked="f"/>
        </w:pict>
      </w:r>
    </w:p>
    <w:p w:rsidR="00000000" w:rsidRDefault="00CB61D5">
      <w:pPr>
        <w:divId w:val="1377970377"/>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ability of the banks that are parties to the facility to meet their funding comm</w:t>
      </w:r>
      <w:r>
        <w:rPr>
          <w:rFonts w:eastAsia="Times New Roman"/>
          <w:color w:val="000000"/>
          <w:sz w:val="20"/>
          <w:szCs w:val="20"/>
        </w:rPr>
        <w:t>itments.  Those banks may not be able to meet their funding commitments to us if they experience shortages of capital and liquidity or if they experience excessive volumes of borrowing requests within a short period of time.  In addition, tight lending pra</w:t>
      </w:r>
      <w:r>
        <w:rPr>
          <w:rFonts w:eastAsia="Times New Roman"/>
          <w:color w:val="000000"/>
          <w:sz w:val="20"/>
          <w:szCs w:val="20"/>
        </w:rPr>
        <w:t>ctices may make it difficult for our real estate developers to obtain financing under acceptable loan terms and conditions.  Unfavorable lending conditions could impact the timing of our store openings and materially adversely affect our ability to open ne</w:t>
      </w:r>
      <w:r>
        <w:rPr>
          <w:rFonts w:eastAsia="Times New Roman"/>
          <w:color w:val="000000"/>
          <w:sz w:val="20"/>
          <w:szCs w:val="20"/>
        </w:rPr>
        <w:t>w stores in desirable locations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Longer-term disruptions in the capital and credit markets as a result of uncertainty, changing or increased regulation, reduced funding alternatives, or failures of significant financial institutions could adversely affec</w:t>
      </w:r>
      <w:r>
        <w:rPr>
          <w:rFonts w:eastAsia="Times New Roman"/>
          <w:color w:val="000000"/>
          <w:sz w:val="20"/>
          <w:szCs w:val="20"/>
        </w:rPr>
        <w:t>t our access to liquidity needed for our business.  Any disruption could require us to take measures to conserve cash until the markets stabilize or until alternative credit arrangements or other funding for our business needs can be arranged.  Such measur</w:t>
      </w:r>
      <w:r>
        <w:rPr>
          <w:rFonts w:eastAsia="Times New Roman"/>
          <w:color w:val="000000"/>
          <w:sz w:val="20"/>
          <w:szCs w:val="20"/>
        </w:rPr>
        <w:t>es could include deferring capital expenditures and reducing or eliminating future share repurchases, cash dividends, or other discretionary uses of cash</w:t>
      </w:r>
      <w:r>
        <w:rPr>
          <w:rFonts w:eastAsia="Times New Roman"/>
          <w:color w:val="000000"/>
          <w:sz w:val="20"/>
          <w:szCs w:val="20"/>
        </w:rPr>
        <w:t>.</w:t>
      </w:r>
    </w:p>
    <w:p w:rsidR="00000000" w:rsidRDefault="00CB61D5">
      <w:pPr>
        <w:jc w:val="both"/>
        <w:rPr>
          <w:rFonts w:eastAsia="Times New Roman"/>
        </w:rPr>
      </w:pPr>
    </w:p>
    <w:p w:rsidR="00000000" w:rsidRDefault="00CB61D5">
      <w:pPr>
        <w:divId w:val="1394281336"/>
        <w:rPr>
          <w:rFonts w:eastAsia="Times New Roman"/>
        </w:rPr>
      </w:pPr>
      <w:r>
        <w:rPr>
          <w:rFonts w:eastAsia="Times New Roman"/>
          <w:i/>
          <w:iCs/>
          <w:color w:val="000000"/>
          <w:sz w:val="20"/>
          <w:szCs w:val="20"/>
        </w:rPr>
        <w:t>Failure to open and manage new stores in the number and manner currently contemplated could adversely affect our financia</w:t>
      </w:r>
      <w:r>
        <w:rPr>
          <w:rFonts w:eastAsia="Times New Roman"/>
          <w:i/>
          <w:iCs/>
          <w:color w:val="000000"/>
          <w:sz w:val="20"/>
          <w:szCs w:val="20"/>
        </w:rPr>
        <w:t>l</w:t>
      </w:r>
    </w:p>
    <w:p w:rsidR="00000000" w:rsidRDefault="00CB61D5">
      <w:pPr>
        <w:divId w:val="2098136205"/>
        <w:rPr>
          <w:rFonts w:eastAsia="Times New Roman"/>
        </w:rPr>
      </w:pPr>
      <w:r>
        <w:rPr>
          <w:rFonts w:eastAsia="Times New Roman"/>
          <w:i/>
          <w:iCs/>
          <w:color w:val="000000"/>
          <w:sz w:val="20"/>
          <w:szCs w:val="20"/>
        </w:rPr>
        <w:t>performance</w:t>
      </w:r>
      <w:r>
        <w:rPr>
          <w:rFonts w:eastAsia="Times New Roman"/>
          <w:i/>
          <w:iCs/>
          <w:color w:val="000000"/>
          <w:sz w:val="20"/>
          <w:szCs w:val="20"/>
        </w:rPr>
        <w:t>.</w:t>
      </w:r>
    </w:p>
    <w:p w:rsidR="00000000" w:rsidRDefault="00CB61D5">
      <w:pPr>
        <w:divId w:val="552927861"/>
        <w:rPr>
          <w:rFonts w:eastAsia="Times New Roman"/>
        </w:rPr>
      </w:pPr>
    </w:p>
    <w:p w:rsidR="00000000" w:rsidRDefault="00CB61D5">
      <w:pPr>
        <w:jc w:val="both"/>
        <w:rPr>
          <w:rFonts w:eastAsia="Times New Roman"/>
        </w:rPr>
      </w:pPr>
      <w:r>
        <w:rPr>
          <w:rFonts w:eastAsia="Times New Roman"/>
          <w:color w:val="000000"/>
          <w:sz w:val="20"/>
          <w:szCs w:val="20"/>
        </w:rPr>
        <w:t>An integral part of our business strategy includes the expansion of our store base through new store openings. This ex</w:t>
      </w:r>
      <w:r>
        <w:rPr>
          <w:rFonts w:eastAsia="Times New Roman"/>
          <w:color w:val="000000"/>
          <w:sz w:val="20"/>
          <w:szCs w:val="20"/>
        </w:rPr>
        <w:t>pansion strategy is dependent on our ability to find suitable locations, and we face competition from many retailers and other businesses for such sites. If we are unable to implement this strategy, our ability to increase our sales, profitability, and cas</w:t>
      </w:r>
      <w:r>
        <w:rPr>
          <w:rFonts w:eastAsia="Times New Roman"/>
          <w:color w:val="000000"/>
          <w:sz w:val="20"/>
          <w:szCs w:val="20"/>
        </w:rPr>
        <w:t>h flow could be impaired significantly. To the extent that we are unable to open new stores in the manner we anticipate (due to, among other reasons, site approval or unforeseen delays in construction), our sales growth may be impeded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we execute this</w:t>
      </w:r>
      <w:r>
        <w:rPr>
          <w:rFonts w:eastAsia="Times New Roman"/>
          <w:color w:val="000000"/>
          <w:sz w:val="20"/>
          <w:szCs w:val="20"/>
        </w:rPr>
        <w:t xml:space="preserve"> expansion strategy, we may also experience managerial or operational challenges which may prevent any expected increase in sales, profitability, or cash flow. Our ability to manage our planned expansion depends on the adequacy of our existing information </w:t>
      </w:r>
      <w:r>
        <w:rPr>
          <w:rFonts w:eastAsia="Times New Roman"/>
          <w:color w:val="000000"/>
          <w:sz w:val="20"/>
          <w:szCs w:val="20"/>
        </w:rPr>
        <w:t xml:space="preserve">systems, the efficiency and expansion of our distribution systems, the adequacy of the hiring and training process for new personnel (especially store managers), the effectiveness of our controls and procedures, and the ability to identify customer demand </w:t>
      </w:r>
      <w:r>
        <w:rPr>
          <w:rFonts w:eastAsia="Times New Roman"/>
          <w:color w:val="000000"/>
          <w:sz w:val="20"/>
          <w:szCs w:val="20"/>
        </w:rPr>
        <w:t>and build market awareness in different geographic areas. There can be no assurance that we will be able to achieve our planned expansion, that the new stores will be effectively integrated into our existing operations or that such stores will be profitabl</w:t>
      </w:r>
      <w:r>
        <w:rPr>
          <w:rFonts w:eastAsia="Times New Roman"/>
          <w:color w:val="000000"/>
          <w:sz w:val="20"/>
          <w:szCs w:val="20"/>
        </w:rPr>
        <w:t>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Although we have a rigorous real estate site selection and approval process, there can be no assurance that our new store openings will be successful or result in incremental sales and profitability for the Company. New stores build their sales volume</w:t>
      </w:r>
      <w:r>
        <w:rPr>
          <w:rFonts w:eastAsia="Times New Roman"/>
          <w:color w:val="000000"/>
          <w:sz w:val="20"/>
          <w:szCs w:val="20"/>
        </w:rPr>
        <w:t>s and refine their merchandise selection over time and, as a result, generally have lower gross margins and higher operating expenses as a percentage of net sales than our more mature stores. As we continue to open new stores, there may be a negative impac</w:t>
      </w:r>
      <w:r>
        <w:rPr>
          <w:rFonts w:eastAsia="Times New Roman"/>
          <w:color w:val="000000"/>
          <w:sz w:val="20"/>
          <w:szCs w:val="20"/>
        </w:rPr>
        <w:t>t on our results from a lower contribution margin of these new stores until their sales levels ramp to chain average, if at all, as well as from the impact of related pre-opening costs. Additionally, new stores can also impact the sales and contribution ma</w:t>
      </w:r>
      <w:r>
        <w:rPr>
          <w:rFonts w:eastAsia="Times New Roman"/>
          <w:color w:val="000000"/>
          <w:sz w:val="20"/>
          <w:szCs w:val="20"/>
        </w:rPr>
        <w:t>rgins of existing stores located in close proximity.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Our failure to attract and retain qualified team members, increases in wage, and labor costs, and changes in laws and other labor issues could adversely affect our financial performance</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ability</w:t>
      </w:r>
      <w:r>
        <w:rPr>
          <w:rFonts w:eastAsia="Times New Roman"/>
          <w:color w:val="000000"/>
          <w:sz w:val="20"/>
          <w:szCs w:val="20"/>
        </w:rPr>
        <w:t xml:space="preserve"> to maintain and continue expanding operations depends on our ability to attract and retain a large and growing number of qualified team members.  Our ability to meet labor needs while controlling wage and related labor costs is subject to numerous externa</w:t>
      </w:r>
      <w:r>
        <w:rPr>
          <w:rFonts w:eastAsia="Times New Roman"/>
          <w:color w:val="000000"/>
          <w:sz w:val="20"/>
          <w:szCs w:val="20"/>
        </w:rPr>
        <w:t>l factors, including the availability of a sufficient number of qualified persons in the work force, unemployment levels, prevailing wage rates, increases in legally required minimum wage rates, changing demographics, health and other insurance costs, chan</w:t>
      </w:r>
      <w:r>
        <w:rPr>
          <w:rFonts w:eastAsia="Times New Roman"/>
          <w:color w:val="000000"/>
          <w:sz w:val="20"/>
          <w:szCs w:val="20"/>
        </w:rPr>
        <w:t>ges in employment legislation and the potential for changes in local labor practices or union activities.  If we are unable to locate, attract or retain qualified personnel, or if costs of labor or related costs increase significantly, our financial perfor</w:t>
      </w:r>
      <w:r>
        <w:rPr>
          <w:rFonts w:eastAsia="Times New Roman"/>
          <w:color w:val="000000"/>
          <w:sz w:val="20"/>
          <w:szCs w:val="20"/>
        </w:rPr>
        <w:t>mance could be adversely affected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subject to federal, state, and local laws governing employment practices and working conditions.  These laws cover wage and hour practices, labor relations, paid and family leave, workplace safety and immigration</w:t>
      </w:r>
      <w:r>
        <w:rPr>
          <w:rFonts w:eastAsia="Times New Roman"/>
          <w:color w:val="000000"/>
          <w:sz w:val="20"/>
          <w:szCs w:val="20"/>
        </w:rPr>
        <w:t xml:space="preserve">, among others.  The laws and regulations being passed at the state and local level create unique challenges for a multi-state employer.  We must continue to monitor and adapt our employment practices to comply with these various laws and regulations.  If </w:t>
      </w:r>
      <w:r>
        <w:rPr>
          <w:rFonts w:eastAsia="Times New Roman"/>
          <w:color w:val="000000"/>
          <w:sz w:val="20"/>
          <w:szCs w:val="20"/>
        </w:rPr>
        <w:t>our costs of labor or related costs increase significantly as new or revised labor laws, rules or regulations or healthcare laws are adopted or implemented, our financial performance could be adversely affected</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249458083"/>
        <w:rPr>
          <w:rFonts w:eastAsia="Times New Roman"/>
        </w:rPr>
      </w:pPr>
      <w:r>
        <w:rPr>
          <w:rFonts w:eastAsia="Times New Roman"/>
          <w:color w:val="000000"/>
          <w:sz w:val="20"/>
          <w:szCs w:val="20"/>
        </w:rPr>
        <w:t>1</w:t>
      </w:r>
      <w:r>
        <w:rPr>
          <w:rFonts w:eastAsia="Times New Roman"/>
          <w:color w:val="000000"/>
          <w:sz w:val="20"/>
          <w:szCs w:val="20"/>
        </w:rPr>
        <w:t>1</w:t>
      </w:r>
    </w:p>
    <w:p w:rsidR="00000000" w:rsidRDefault="00CB61D5">
      <w:pPr>
        <w:rPr>
          <w:rFonts w:eastAsia="Times New Roman"/>
        </w:rPr>
      </w:pPr>
      <w:r>
        <w:rPr>
          <w:rFonts w:eastAsia="Times New Roman"/>
        </w:rPr>
        <w:pict>
          <v:rect id="_x0000_i1039" style="width:0;height:1.5pt" o:hralign="center" o:hrstd="t" o:hr="t" fillcolor="#a0a0a0" stroked="f"/>
        </w:pict>
      </w:r>
    </w:p>
    <w:p w:rsidR="00000000" w:rsidRDefault="00CB61D5">
      <w:pPr>
        <w:divId w:val="43258630"/>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The loss of current members of our senior management team and other key team members or the failure to successfully manage an executive officer transition may adversely affect our operating results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Our success depends in </w:t>
      </w:r>
      <w:r>
        <w:rPr>
          <w:rFonts w:eastAsia="Times New Roman"/>
          <w:color w:val="000000"/>
          <w:sz w:val="20"/>
          <w:szCs w:val="20"/>
        </w:rPr>
        <w:t>large part on the continued availability and service of our executive officers, senior management, and other key team members. Competition for senior management and key team members in our industry is strong and we may not be able to retain our key team me</w:t>
      </w:r>
      <w:r>
        <w:rPr>
          <w:rFonts w:eastAsia="Times New Roman"/>
          <w:color w:val="000000"/>
          <w:sz w:val="20"/>
          <w:szCs w:val="20"/>
        </w:rPr>
        <w:t>mbers or attract new qualified team members.  We must continue to recruit, retain, and motivate management and other team members sufficiently, both to maintain our current business and to execute our long-term strategic growth initiatives. The loss of any</w:t>
      </w:r>
      <w:r>
        <w:rPr>
          <w:rFonts w:eastAsia="Times New Roman"/>
          <w:color w:val="000000"/>
          <w:sz w:val="20"/>
          <w:szCs w:val="20"/>
        </w:rPr>
        <w:t xml:space="preserve"> of our executive officers or other key senior management without sufficient advance notice could prevent or delay the implementation and completion of our strategic initiatives or divert management’s attention to seeking qualified replacements. Additional</w:t>
      </w:r>
      <w:r>
        <w:rPr>
          <w:rFonts w:eastAsia="Times New Roman"/>
          <w:color w:val="000000"/>
          <w:sz w:val="20"/>
          <w:szCs w:val="20"/>
        </w:rPr>
        <w:t>ly, any failure by us to manage a successful leadership transition of an executive officer and to timely identify a qualified permanent replacement could harm our business and have a material adverse effect on our results of operations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may pursue str</w:t>
      </w:r>
      <w:r>
        <w:rPr>
          <w:rFonts w:eastAsia="Times New Roman"/>
          <w:i/>
          <w:iCs/>
          <w:color w:val="000000"/>
          <w:sz w:val="20"/>
          <w:szCs w:val="20"/>
        </w:rPr>
        <w:t>ategic acquisitions and the failure of an acquisition to produce the anticipated results or the inability to fully integrate the acquired companies could have an adverse impact on our business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may, from time to time, acquire businesses we believe to </w:t>
      </w:r>
      <w:r>
        <w:rPr>
          <w:rFonts w:eastAsia="Times New Roman"/>
          <w:color w:val="000000"/>
          <w:sz w:val="20"/>
          <w:szCs w:val="20"/>
        </w:rPr>
        <w:t>be complementary to our business. The success of an acquisition is based on our ability to make accurate assumptions regarding the valuation, operations, growth potential, integration, and other factors relating to the target business. Acquisitions may res</w:t>
      </w:r>
      <w:r>
        <w:rPr>
          <w:rFonts w:eastAsia="Times New Roman"/>
          <w:color w:val="000000"/>
          <w:sz w:val="20"/>
          <w:szCs w:val="20"/>
        </w:rPr>
        <w:t>ult in difficulties in assimilating acquired companies and may result in the diversion of our capital and our management’s attention from other business issues and opportunities. We may not be able to successfully integrate an organization that we acquire,</w:t>
      </w:r>
      <w:r>
        <w:rPr>
          <w:rFonts w:eastAsia="Times New Roman"/>
          <w:color w:val="000000"/>
          <w:sz w:val="20"/>
          <w:szCs w:val="20"/>
        </w:rPr>
        <w:t xml:space="preserve"> including their personnel, financial systems, distribution, operations, and general operating procedures. If we fail to successfully integrate acquisitions, we could experience increased costs associated with operating inefficiencies which could have an a</w:t>
      </w:r>
      <w:r>
        <w:rPr>
          <w:rFonts w:eastAsia="Times New Roman"/>
          <w:color w:val="000000"/>
          <w:sz w:val="20"/>
          <w:szCs w:val="20"/>
        </w:rPr>
        <w:t>dverse effect on our financial results. Also, while we employ several different methodologies to assess potential business opportunities, the new businesses may not meet our expectations and, therefore, adversely affect our financial performance.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Competition may hinder our ability to execute our business strategy and adversely affect our operations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operate in the highly competitive retail merchandise sector with numerous competitors. These competitors include general merchandise retailers, home center retailers, specialty and discount retailers, independently-owned retail farm and ranch stores, nu</w:t>
      </w:r>
      <w:r>
        <w:rPr>
          <w:rFonts w:eastAsia="Times New Roman"/>
          <w:color w:val="000000"/>
          <w:sz w:val="20"/>
          <w:szCs w:val="20"/>
        </w:rPr>
        <w:t>merous privately-held regional farm store chains, and farm cooperatives, as well as internet-based retailers. We compete for customers, merchandise, real estate locations, and employees. This competitive environment subjects us to various other risks, incl</w:t>
      </w:r>
      <w:r>
        <w:rPr>
          <w:rFonts w:eastAsia="Times New Roman"/>
          <w:color w:val="000000"/>
          <w:sz w:val="20"/>
          <w:szCs w:val="20"/>
        </w:rPr>
        <w:t>uding the inability to continue our store and sales growth and to provide attractive merchandise to our customers at competitive prices that allow us to maintain our profitability. Our failure to compete effectively in this environment could adversely impa</w:t>
      </w:r>
      <w:r>
        <w:rPr>
          <w:rFonts w:eastAsia="Times New Roman"/>
          <w:color w:val="000000"/>
          <w:sz w:val="20"/>
          <w:szCs w:val="20"/>
        </w:rPr>
        <w:t>ct our financial performance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face risks from our use of service providers or other third-parties whom we rely upon for conducting our business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is dependent upon numerous service providers and other third-parties to conduct our business</w:t>
      </w:r>
      <w:r>
        <w:rPr>
          <w:rFonts w:eastAsia="Times New Roman"/>
          <w:color w:val="000000"/>
          <w:sz w:val="20"/>
          <w:szCs w:val="20"/>
        </w:rPr>
        <w:t>. While the Company selects these third-party vendors carefully, it does not control their actions. Any failure of these third-parties to provide the expected or agreed-upon level of service in a timely manner for any reason could adversely affect the Comp</w:t>
      </w:r>
      <w:r>
        <w:rPr>
          <w:rFonts w:eastAsia="Times New Roman"/>
          <w:color w:val="000000"/>
          <w:sz w:val="20"/>
          <w:szCs w:val="20"/>
        </w:rPr>
        <w:t>any’s ability to deliver products and services to its customers and otherwise conduct its business. Further, our reputation or brand could be adversely impacted by the actions of these third-parties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face risks associated with vendors from whom our pr</w:t>
      </w:r>
      <w:r>
        <w:rPr>
          <w:rFonts w:eastAsia="Times New Roman"/>
          <w:i/>
          <w:iCs/>
          <w:color w:val="000000"/>
          <w:sz w:val="20"/>
          <w:szCs w:val="20"/>
        </w:rPr>
        <w:t>oducts are sourced</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products we sell are sourced from a variety of domestic and international vendors.  We have agreements with our vendors in which the vendors agree to comply with applicable laws, including labor and environmental laws, and to inde</w:t>
      </w:r>
      <w:r>
        <w:rPr>
          <w:rFonts w:eastAsia="Times New Roman"/>
          <w:color w:val="000000"/>
          <w:sz w:val="20"/>
          <w:szCs w:val="20"/>
        </w:rPr>
        <w:t>mnify us against certain liabilities and costs.  Our ability to recover liabilities and costs under these vendor agreements is dependent upon the financial condition and integrity of the vendors. We rely on long-term relationships with our suppliers but ha</w:t>
      </w:r>
      <w:r>
        <w:rPr>
          <w:rFonts w:eastAsia="Times New Roman"/>
          <w:color w:val="000000"/>
          <w:sz w:val="20"/>
          <w:szCs w:val="20"/>
        </w:rPr>
        <w:t>ve no significant long-term contracts with such suppliers.  Our future success will depend in large measure upon our ability to maintain our existing supplier relationships or to develop new ones.  This reliance exposes us to the risk of inadequate and unt</w:t>
      </w:r>
      <w:r>
        <w:rPr>
          <w:rFonts w:eastAsia="Times New Roman"/>
          <w:color w:val="000000"/>
          <w:sz w:val="20"/>
          <w:szCs w:val="20"/>
        </w:rPr>
        <w:t>imely supplies of various products due to political, economic, social, health (including, but not limited to, the recent COVID-19 coronavirus outbreak originating in China), or environmental conditions, transportation delays, or changes in laws and regulat</w:t>
      </w:r>
      <w:r>
        <w:rPr>
          <w:rFonts w:eastAsia="Times New Roman"/>
          <w:color w:val="000000"/>
          <w:sz w:val="20"/>
          <w:szCs w:val="20"/>
        </w:rPr>
        <w:t>ions affecting distribution.  Our vendors may be forced to reduce their production, shut down their operations or file for bankruptcy protection, which could make it difficult for us to serve the market’s needs and could have a material adverse effect on o</w:t>
      </w:r>
      <w:r>
        <w:rPr>
          <w:rFonts w:eastAsia="Times New Roman"/>
          <w:color w:val="000000"/>
          <w:sz w:val="20"/>
          <w:szCs w:val="20"/>
        </w:rPr>
        <w:t>ur business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347368638"/>
        <w:rPr>
          <w:rFonts w:eastAsia="Times New Roman"/>
        </w:rPr>
      </w:pPr>
      <w:r>
        <w:rPr>
          <w:rFonts w:eastAsia="Times New Roman"/>
          <w:color w:val="000000"/>
          <w:sz w:val="20"/>
          <w:szCs w:val="20"/>
        </w:rPr>
        <w:t>1</w:t>
      </w:r>
      <w:r>
        <w:rPr>
          <w:rFonts w:eastAsia="Times New Roman"/>
          <w:color w:val="000000"/>
          <w:sz w:val="20"/>
          <w:szCs w:val="20"/>
        </w:rPr>
        <w:t>2</w:t>
      </w:r>
    </w:p>
    <w:p w:rsidR="00000000" w:rsidRDefault="00CB61D5">
      <w:pPr>
        <w:rPr>
          <w:rFonts w:eastAsia="Times New Roman"/>
        </w:rPr>
      </w:pPr>
      <w:r>
        <w:rPr>
          <w:rFonts w:eastAsia="Times New Roman"/>
        </w:rPr>
        <w:pict>
          <v:rect id="_x0000_i1040" style="width:0;height:1.5pt" o:hralign="center" o:hrstd="t" o:hr="t" fillcolor="#a0a0a0" stroked="f"/>
        </w:pict>
      </w:r>
    </w:p>
    <w:p w:rsidR="00000000" w:rsidRDefault="00CB61D5">
      <w:pPr>
        <w:divId w:val="849836476"/>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While the Company selects these third-party vendors carefully, it does not control their actions or the components or manufacturer of their products. Any problems cause</w:t>
      </w:r>
      <w:r>
        <w:rPr>
          <w:rFonts w:eastAsia="Times New Roman"/>
          <w:color w:val="000000"/>
          <w:sz w:val="20"/>
          <w:szCs w:val="20"/>
        </w:rPr>
        <w:t xml:space="preserve">d by these third-parties, or issues associated with their products, including customer or governmental complaints, breakdowns or other disruptions in communication services provided by a vendor, failure of a vendor to handle current or higher volumes, and </w:t>
      </w:r>
      <w:r>
        <w:rPr>
          <w:rFonts w:eastAsia="Times New Roman"/>
          <w:color w:val="000000"/>
          <w:sz w:val="20"/>
          <w:szCs w:val="20"/>
        </w:rPr>
        <w:t>cyber attacks or security breaches at a vendor could subject the Company to litigation and adversely affect the Company’s ability to deliver products and services to its customers and have a material adverse effect on our results of operations and financia</w:t>
      </w:r>
      <w:r>
        <w:rPr>
          <w:rFonts w:eastAsia="Times New Roman"/>
          <w:color w:val="000000"/>
          <w:sz w:val="20"/>
          <w:szCs w:val="20"/>
        </w:rPr>
        <w:t>l condition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rely on foreign manufacturers for various products that we sell.  In addition, many of our domestic suppliers purchase a portion of their products from foreign sources.  As an importer, our business is subject to the risks generally assoc</w:t>
      </w:r>
      <w:r>
        <w:rPr>
          <w:rFonts w:eastAsia="Times New Roman"/>
          <w:color w:val="000000"/>
          <w:sz w:val="20"/>
          <w:szCs w:val="20"/>
        </w:rPr>
        <w:t>iated with doing business internationally, such as domestic and foreign governmental regulations, economic disruptions, global or regional health epidemics, delays in shipments, transportation capacity and costs, currency exchange rates, and changes in pol</w:t>
      </w:r>
      <w:r>
        <w:rPr>
          <w:rFonts w:eastAsia="Times New Roman"/>
          <w:color w:val="000000"/>
          <w:sz w:val="20"/>
          <w:szCs w:val="20"/>
        </w:rPr>
        <w:t>itical or economic conditions in countries from which we purchase products.  If any such factors were to render the conduct of business in particular countries undesirable or impractical or if additional U.S. quotas, duties, tariffs, taxes, or other charge</w:t>
      </w:r>
      <w:r>
        <w:rPr>
          <w:rFonts w:eastAsia="Times New Roman"/>
          <w:color w:val="000000"/>
          <w:sz w:val="20"/>
          <w:szCs w:val="20"/>
        </w:rPr>
        <w:t>s or restrictions were imposed upon the importation of our products in the future, our financial condition and results of operations could be materially adversely affected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current political landscape in the U.S. has introduced greater uncertainty wi</w:t>
      </w:r>
      <w:r>
        <w:rPr>
          <w:rFonts w:eastAsia="Times New Roman"/>
          <w:color w:val="000000"/>
          <w:sz w:val="20"/>
          <w:szCs w:val="20"/>
        </w:rPr>
        <w:t>th respect to tax and trade policies, tariffs and regulations affecting trade between the U.S. and other countries. We source a portion of our merchandise from manufacturers located outside the U.S., primarily in Asia and Central America. Major development</w:t>
      </w:r>
      <w:r>
        <w:rPr>
          <w:rFonts w:eastAsia="Times New Roman"/>
          <w:color w:val="000000"/>
          <w:sz w:val="20"/>
          <w:szCs w:val="20"/>
        </w:rPr>
        <w:t>s in tax policy or trade relations, such as the disallowance of tax deductions for imported merchandise or the imposition of tariffs on imported products, could have a material adverse effect on our business, results of operations, and financial condition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rely on manufacturers located in foreign countries, including China, for merchandise. Additionally, a portion of our domestically purchased merchandise is manufactured abroad. Our business may be materially adversely affected by risks associated with</w:t>
      </w:r>
      <w:r>
        <w:rPr>
          <w:rFonts w:eastAsia="Times New Roman"/>
          <w:i/>
          <w:iCs/>
          <w:color w:val="000000"/>
          <w:sz w:val="20"/>
          <w:szCs w:val="20"/>
        </w:rPr>
        <w:t xml:space="preserve"> international trade, including the impact of tariffs (imposed and potential) by the U.S. with respect to certain consumer goods imported from China</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source a portion of our merchandise from manufacturers located outside the U.S., primarily in Asia an</w:t>
      </w:r>
      <w:r>
        <w:rPr>
          <w:rFonts w:eastAsia="Times New Roman"/>
          <w:color w:val="000000"/>
          <w:sz w:val="20"/>
          <w:szCs w:val="20"/>
        </w:rPr>
        <w:t>d Central America, and many of our domestic vendors have a global supply chain. The U.S. has imposed tariffs on certain products imported into the U.S. from China and could propose additional tariffs. The imposition of tariffs on imported products has incr</w:t>
      </w:r>
      <w:r>
        <w:rPr>
          <w:rFonts w:eastAsia="Times New Roman"/>
          <w:color w:val="000000"/>
          <w:sz w:val="20"/>
          <w:szCs w:val="20"/>
        </w:rPr>
        <w:t>eased our costs and could result in reduced sales and profits. In addition, the imposition of tariffs by the U.S. has resulted in the adoption of tariffs by China on U.S. exports and could result in the adoption of tariffs by other countries as well. A res</w:t>
      </w:r>
      <w:r>
        <w:rPr>
          <w:rFonts w:eastAsia="Times New Roman"/>
          <w:color w:val="000000"/>
          <w:sz w:val="20"/>
          <w:szCs w:val="20"/>
        </w:rPr>
        <w:t xml:space="preserve">ulting trade war could have a significant adverse effect on world trade and the world economy. Further, the imposition of tariffs or other changes in world trade could have an impact on certain U.S. industries and consumers and could negatively impact the </w:t>
      </w:r>
      <w:r>
        <w:rPr>
          <w:rFonts w:eastAsia="Times New Roman"/>
          <w:color w:val="000000"/>
          <w:sz w:val="20"/>
          <w:szCs w:val="20"/>
        </w:rPr>
        <w:t>consumer demand for products that we sell</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continue to evaluate the impact of the effective and potential tariffs on our supply chain, costs, sales, and profitability as well as our strategies to mitigate any negative impact, including negotiating wit</w:t>
      </w:r>
      <w:r>
        <w:rPr>
          <w:rFonts w:eastAsia="Times New Roman"/>
          <w:color w:val="000000"/>
          <w:sz w:val="20"/>
          <w:szCs w:val="20"/>
        </w:rPr>
        <w:t>h our vendors, seeking alternative sourcing options, and adjusting retail selling prices. Given the uncertainty regarding the scope and duration of the current and potential tariffs, as well as the potential for additional trade actions by the U.S. or othe</w:t>
      </w:r>
      <w:r>
        <w:rPr>
          <w:rFonts w:eastAsia="Times New Roman"/>
          <w:color w:val="000000"/>
          <w:sz w:val="20"/>
          <w:szCs w:val="20"/>
        </w:rPr>
        <w:t xml:space="preserve">r countries, the impact on our business, results of operations, and financial condition is uncertain but could be significant. Thus, we can provide no assurance that any strategies we implement to mitigate the impact of such tariffs or other trade actions </w:t>
      </w:r>
      <w:r>
        <w:rPr>
          <w:rFonts w:eastAsia="Times New Roman"/>
          <w:color w:val="000000"/>
          <w:sz w:val="20"/>
          <w:szCs w:val="20"/>
        </w:rPr>
        <w:t>will be successful in whole or in part in mitigating the impact of any current or future tariffs. To the extent that our supply chain, costs, sales, or profitability are negatively affected by the tariffs or other trade actions, our business, financial con</w:t>
      </w:r>
      <w:r>
        <w:rPr>
          <w:rFonts w:eastAsia="Times New Roman"/>
          <w:color w:val="000000"/>
          <w:sz w:val="20"/>
          <w:szCs w:val="20"/>
        </w:rPr>
        <w:t>dition, and results of operations may be materially adversely affected</w:t>
      </w:r>
      <w:r>
        <w:rPr>
          <w:rFonts w:eastAsia="Times New Roman"/>
          <w:color w:val="000000"/>
          <w:sz w:val="20"/>
          <w:szCs w:val="20"/>
        </w:rPr>
        <w:t>.</w:t>
      </w:r>
    </w:p>
    <w:p w:rsidR="00000000" w:rsidRDefault="00CB61D5">
      <w:pPr>
        <w:divId w:val="1789003311"/>
        <w:rPr>
          <w:rFonts w:eastAsia="Times New Roman"/>
        </w:rPr>
      </w:pPr>
    </w:p>
    <w:p w:rsidR="00000000" w:rsidRDefault="00CB61D5">
      <w:pPr>
        <w:jc w:val="both"/>
        <w:rPr>
          <w:rFonts w:eastAsia="Times New Roman"/>
        </w:rPr>
      </w:pPr>
      <w:r>
        <w:rPr>
          <w:rFonts w:eastAsia="Times New Roman"/>
          <w:i/>
          <w:iCs/>
          <w:color w:val="000000"/>
          <w:sz w:val="20"/>
          <w:szCs w:val="20"/>
        </w:rPr>
        <w:t>A significant disruption to our distribution network or to the timely receipt of inventory could adversely impact sales or increase our transportation costs, which would decrease our</w:t>
      </w:r>
      <w:r>
        <w:rPr>
          <w:rFonts w:eastAsia="Times New Roman"/>
          <w:i/>
          <w:iCs/>
          <w:color w:val="000000"/>
          <w:sz w:val="20"/>
          <w:szCs w:val="20"/>
        </w:rPr>
        <w:t xml:space="preserve"> profits.</w:t>
      </w:r>
      <w:r>
        <w:rPr>
          <w:rFonts w:eastAsia="Times New Roman"/>
          <w:i/>
          <w:iCs/>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rely on our distribution and transportation network to provide goods to our stores in a timely and cost-effective manner through deliveries to our distribution facilities from vendors and then from the distribution facilities or direct ship</w:t>
      </w:r>
      <w:r>
        <w:rPr>
          <w:rFonts w:eastAsia="Times New Roman"/>
          <w:color w:val="000000"/>
          <w:sz w:val="20"/>
          <w:szCs w:val="20"/>
        </w:rPr>
        <w:t xml:space="preserve"> vendors to our stores by various means of transportation, including shipments by sea, air, rail, and truck. Any disruption, unanticipated expense, or operational failure related to this process could negatively affect our operations. For example, unexpect</w:t>
      </w:r>
      <w:r>
        <w:rPr>
          <w:rFonts w:eastAsia="Times New Roman"/>
          <w:color w:val="000000"/>
          <w:sz w:val="20"/>
          <w:szCs w:val="20"/>
        </w:rPr>
        <w:t>ed delivery delays (including delays due to weather, fuel shortages, work stoppages, global or regional health epidemics, or other reasons) or increases in transportation costs (including increased fuel costs or a decrease in transportation capacity for ov</w:t>
      </w:r>
      <w:r>
        <w:rPr>
          <w:rFonts w:eastAsia="Times New Roman"/>
          <w:color w:val="000000"/>
          <w:sz w:val="20"/>
          <w:szCs w:val="20"/>
        </w:rPr>
        <w:t>erseas shipments) could significantly decrease our ability to provide adequate products for sale, or products at a desired price, resulting in lower sales and profitability. In addition, labor shortages or work stoppages in the transportation industry or l</w:t>
      </w:r>
      <w:r>
        <w:rPr>
          <w:rFonts w:eastAsia="Times New Roman"/>
          <w:color w:val="000000"/>
          <w:sz w:val="20"/>
          <w:szCs w:val="20"/>
        </w:rPr>
        <w:t>ong-term disruptions to the national and international transportation infrastructure that lead to delays or interruptions of deliveries could</w:t>
      </w:r>
      <w:r>
        <w:rPr>
          <w:rFonts w:eastAsia="Times New Roman"/>
          <w:color w:val="000000"/>
          <w:sz w:val="20"/>
          <w:szCs w:val="20"/>
        </w:rPr>
        <w:t xml:space="preserve"> </w:t>
      </w:r>
    </w:p>
    <w:p w:rsidR="00000000" w:rsidRDefault="00CB61D5">
      <w:pPr>
        <w:jc w:val="center"/>
        <w:divId w:val="1164934138"/>
        <w:rPr>
          <w:rFonts w:eastAsia="Times New Roman"/>
        </w:rPr>
      </w:pPr>
      <w:r>
        <w:rPr>
          <w:rFonts w:eastAsia="Times New Roman"/>
          <w:color w:val="000000"/>
          <w:sz w:val="20"/>
          <w:szCs w:val="20"/>
        </w:rPr>
        <w:t>1</w:t>
      </w:r>
      <w:r>
        <w:rPr>
          <w:rFonts w:eastAsia="Times New Roman"/>
          <w:color w:val="000000"/>
          <w:sz w:val="20"/>
          <w:szCs w:val="20"/>
        </w:rPr>
        <w:t>3</w:t>
      </w:r>
    </w:p>
    <w:p w:rsidR="00000000" w:rsidRDefault="00CB61D5">
      <w:pPr>
        <w:rPr>
          <w:rFonts w:eastAsia="Times New Roman"/>
        </w:rPr>
      </w:pPr>
      <w:r>
        <w:rPr>
          <w:rFonts w:eastAsia="Times New Roman"/>
        </w:rPr>
        <w:pict>
          <v:rect id="_x0000_i1041" style="width:0;height:1.5pt" o:hralign="center" o:hrstd="t" o:hr="t" fillcolor="#a0a0a0" stroked="f"/>
        </w:pict>
      </w:r>
    </w:p>
    <w:p w:rsidR="00000000" w:rsidRDefault="00CB61D5">
      <w:pPr>
        <w:divId w:val="75493431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negatively affect our business. Also, a fire, tornado, or other disaster at one of our distribution facilities could disrupt our timely receiving, processing, and shipment of merchandise</w:t>
      </w:r>
      <w:r>
        <w:rPr>
          <w:rFonts w:eastAsia="Times New Roman"/>
          <w:color w:val="000000"/>
          <w:sz w:val="20"/>
          <w:szCs w:val="20"/>
        </w:rPr>
        <w:t xml:space="preserve"> to our stores which could adversely affect our business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The implementation of our supply chain initiatives could disrupt our operations in the near term, and these initiatives might not provide the anticipated benefits or might fail</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maintain a ne</w:t>
      </w:r>
      <w:r>
        <w:rPr>
          <w:rFonts w:eastAsia="Times New Roman"/>
          <w:color w:val="000000"/>
          <w:sz w:val="20"/>
          <w:szCs w:val="20"/>
        </w:rPr>
        <w:t xml:space="preserve">twork of distribution facilities and have plans to build new distribution facilities and expand existing facilities to support our long-term strategic growth initiatives. Delays in opening new or expanded distribution facilities could adversely affect our </w:t>
      </w:r>
      <w:r>
        <w:rPr>
          <w:rFonts w:eastAsia="Times New Roman"/>
          <w:color w:val="000000"/>
          <w:sz w:val="20"/>
          <w:szCs w:val="20"/>
        </w:rPr>
        <w:t>future operations by slowing store growth or negatively impacting our fulfillment capabilities, which may in turn reduce revenue growth. In addition, distribution-related construction or expansion projects entail risks which could cause delays and cost ove</w:t>
      </w:r>
      <w:r>
        <w:rPr>
          <w:rFonts w:eastAsia="Times New Roman"/>
          <w:color w:val="000000"/>
          <w:sz w:val="20"/>
          <w:szCs w:val="20"/>
        </w:rPr>
        <w:t>rruns, such as: shortages of materials; shortages of skilled labor or work stoppages; unforeseen construction, scheduling, engineering, environmental, or geological problems; weather interference; fires or other casualty losses; and unanticipated cost incr</w:t>
      </w:r>
      <w:r>
        <w:rPr>
          <w:rFonts w:eastAsia="Times New Roman"/>
          <w:color w:val="000000"/>
          <w:sz w:val="20"/>
          <w:szCs w:val="20"/>
        </w:rPr>
        <w:t>eases. The completion date and ultimate cost of future projects could differ significantly from initial expectations due to construction-related or other reasons. We cannot guarantee that all projects will be completed on time or within established budgets</w:t>
      </w:r>
      <w:r>
        <w:rPr>
          <w:rFonts w:eastAsia="Times New Roman"/>
          <w:color w:val="000000"/>
          <w:sz w:val="20"/>
          <w:szCs w:val="20"/>
        </w:rPr>
        <w:t>.</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continue to make significant technology investments in our supply chain. These initiatives are designed to streamline our distribution process so that we can optimize the delivery of goods and services to our stores, distribution facilities, and cu</w:t>
      </w:r>
      <w:r>
        <w:rPr>
          <w:rFonts w:eastAsia="Times New Roman"/>
          <w:color w:val="000000"/>
          <w:sz w:val="20"/>
          <w:szCs w:val="20"/>
        </w:rPr>
        <w:t>stomers in a timely manner and at a reasonable cost. The cost and potential problems and interruptions associated with the implementation of these initiatives, including those associated with managing third-party service providers and employing new web-bas</w:t>
      </w:r>
      <w:r>
        <w:rPr>
          <w:rFonts w:eastAsia="Times New Roman"/>
          <w:color w:val="000000"/>
          <w:sz w:val="20"/>
          <w:szCs w:val="20"/>
        </w:rPr>
        <w:t>ed tools and services, could disrupt or reduce the efficiency of our operations in the near term. In addition, our improved supply chain technology might not provide the anticipated benefits, it might take longer than expected to realize the anticipated be</w:t>
      </w:r>
      <w:r>
        <w:rPr>
          <w:rFonts w:eastAsia="Times New Roman"/>
          <w:color w:val="000000"/>
          <w:sz w:val="20"/>
          <w:szCs w:val="20"/>
        </w:rPr>
        <w:t>nefits, or the initiatives might fail altogether</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are subject to personal injury, workers’ compensation, product liability, discrimination, harassment, wrongful termination, and other claims in the ordinary course of business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Our business involves </w:t>
      </w:r>
      <w:r>
        <w:rPr>
          <w:rFonts w:eastAsia="Times New Roman"/>
          <w:color w:val="000000"/>
          <w:sz w:val="20"/>
          <w:szCs w:val="20"/>
        </w:rPr>
        <w:t>a risk of personal injury, workers’ compensation, product liability, discrimination, harassment, wrongful termination, and other claims in the ordinary course of business.  Product liability claims from customers and product recalls for merchandise alleged</w:t>
      </w:r>
      <w:r>
        <w:rPr>
          <w:rFonts w:eastAsia="Times New Roman"/>
          <w:color w:val="000000"/>
          <w:sz w:val="20"/>
          <w:szCs w:val="20"/>
        </w:rPr>
        <w:t xml:space="preserve"> to be defective or harmful could lead to the disposal or write-off of merchandise inventories, the incurrence of fines or penalties, and damage to our reputation. We maintain general liability and workers’ compensation insurance with a self-insured retent</w:t>
      </w:r>
      <w:r>
        <w:rPr>
          <w:rFonts w:eastAsia="Times New Roman"/>
          <w:color w:val="000000"/>
          <w:sz w:val="20"/>
          <w:szCs w:val="20"/>
        </w:rPr>
        <w:t>ion for each policy type and a deductible for each occurrence.  We also maintain umbrella limits above the primary general liability and product liability coverage.  In many cases, we have indemnification rights against the manufacturers of the products an</w:t>
      </w:r>
      <w:r>
        <w:rPr>
          <w:rFonts w:eastAsia="Times New Roman"/>
          <w:color w:val="000000"/>
          <w:sz w:val="20"/>
          <w:szCs w:val="20"/>
        </w:rPr>
        <w:t>d their products liability insurance, as well as the property owners of our leased buildings.  Our ability to recover costs and damages under such insurance or indemnification arrangements is subject to the financial viability of the insurers, manufacturer</w:t>
      </w:r>
      <w:r>
        <w:rPr>
          <w:rFonts w:eastAsia="Times New Roman"/>
          <w:color w:val="000000"/>
          <w:sz w:val="20"/>
          <w:szCs w:val="20"/>
        </w:rPr>
        <w:t>s, and landlords and the specific allegations of a claim.  No assurance can be given that our insurance coverage or the manufacturers’ or landlords’ indemnity will be available or sufficient in any claims brought against us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Additionally, we are subject </w:t>
      </w:r>
      <w:r>
        <w:rPr>
          <w:rFonts w:eastAsia="Times New Roman"/>
          <w:color w:val="000000"/>
          <w:sz w:val="20"/>
          <w:szCs w:val="20"/>
        </w:rPr>
        <w:t>to U.S. federal, state, and local employment laws that expose us to potential liability if we are determined to have violated such employment laws, including but not limited to, laws pertaining to minimum wage rates, overtime pay, discrimination, harassmen</w:t>
      </w:r>
      <w:r>
        <w:rPr>
          <w:rFonts w:eastAsia="Times New Roman"/>
          <w:color w:val="000000"/>
          <w:sz w:val="20"/>
          <w:szCs w:val="20"/>
        </w:rPr>
        <w:t>t, and wrongful termination. Compliance with these laws, including the remediation of any alleged violation, may have a material adverse effect on our business or results of operations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Failure to maintain an effective system of internal control over fin</w:t>
      </w:r>
      <w:r>
        <w:rPr>
          <w:rFonts w:eastAsia="Times New Roman"/>
          <w:i/>
          <w:iCs/>
          <w:color w:val="000000"/>
          <w:sz w:val="20"/>
          <w:szCs w:val="20"/>
        </w:rPr>
        <w:t>ancial reporting could materially impact our business and results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Company’s management is responsible for establishing and maintaining adequate internal control over financial reporting. An internal control system, no matter how well designed and op</w:t>
      </w:r>
      <w:r>
        <w:rPr>
          <w:rFonts w:eastAsia="Times New Roman"/>
          <w:color w:val="000000"/>
          <w:sz w:val="20"/>
          <w:szCs w:val="20"/>
        </w:rPr>
        <w:t>erated, can provide only reasonable, not absolute, assurance that the objectives of the control system are met. Further, the design of a control system must reflect the fact that there are resource constraints, and the benefits of controls must be consider</w:t>
      </w:r>
      <w:r>
        <w:rPr>
          <w:rFonts w:eastAsia="Times New Roman"/>
          <w:color w:val="000000"/>
          <w:sz w:val="20"/>
          <w:szCs w:val="20"/>
        </w:rPr>
        <w:t>ed relative to their costs. Because of the inherent limitations in all internal control systems, internal control over financial reporting may not prevent or detect misstatements. Any failure to maintain an effective system of internal control over financi</w:t>
      </w:r>
      <w:r>
        <w:rPr>
          <w:rFonts w:eastAsia="Times New Roman"/>
          <w:color w:val="000000"/>
          <w:sz w:val="20"/>
          <w:szCs w:val="20"/>
        </w:rPr>
        <w:t>al reporting could limit our ability to report our financial results accurately and timely or to detect and prevent fraud, and could expose us to litigation or adversely affect the market price of our common stock</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743598017"/>
        <w:rPr>
          <w:rFonts w:eastAsia="Times New Roman"/>
        </w:rPr>
      </w:pPr>
      <w:r>
        <w:rPr>
          <w:rFonts w:eastAsia="Times New Roman"/>
          <w:color w:val="000000"/>
          <w:sz w:val="20"/>
          <w:szCs w:val="20"/>
        </w:rPr>
        <w:t>1</w:t>
      </w:r>
      <w:r>
        <w:rPr>
          <w:rFonts w:eastAsia="Times New Roman"/>
          <w:color w:val="000000"/>
          <w:sz w:val="20"/>
          <w:szCs w:val="20"/>
        </w:rPr>
        <w:t>4</w:t>
      </w:r>
    </w:p>
    <w:p w:rsidR="00000000" w:rsidRDefault="00CB61D5">
      <w:pPr>
        <w:rPr>
          <w:rFonts w:eastAsia="Times New Roman"/>
        </w:rPr>
      </w:pPr>
      <w:r>
        <w:rPr>
          <w:rFonts w:eastAsia="Times New Roman"/>
        </w:rPr>
        <w:pict>
          <v:rect id="_x0000_i1042" style="width:0;height:1.5pt" o:hralign="center" o:hrstd="t" o:hr="t" fillcolor="#a0a0a0" stroked="f"/>
        </w:pict>
      </w:r>
    </w:p>
    <w:p w:rsidR="00000000" w:rsidRDefault="00CB61D5">
      <w:pPr>
        <w:divId w:val="930167600"/>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 xml:space="preserve">Any failure to maintain the security of the information relating to our business, customers, employees, and vendors that we hold, whether as a result of cybersecurity attacks or otherwise, could damage our reputation with </w:t>
      </w:r>
      <w:r>
        <w:rPr>
          <w:rFonts w:eastAsia="Times New Roman"/>
          <w:i/>
          <w:iCs/>
          <w:color w:val="000000"/>
          <w:sz w:val="20"/>
          <w:szCs w:val="20"/>
        </w:rPr>
        <w:t>customers, employees, and vendors, could cause us to incur substantial additional costs and to become subject to litigation, and could materially affect our operating results, financial condition, and liquidity.</w:t>
      </w:r>
      <w:r>
        <w:rPr>
          <w:rFonts w:eastAsia="Times New Roman"/>
          <w:i/>
          <w:iCs/>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depend on information systems and tech</w:t>
      </w:r>
      <w:r>
        <w:rPr>
          <w:rFonts w:eastAsia="Times New Roman"/>
          <w:color w:val="000000"/>
          <w:sz w:val="20"/>
          <w:szCs w:val="20"/>
        </w:rPr>
        <w:t>nology, some of which are managed or provided by third-parties, for many activities important to our business. As do most retailers, we receive and store in our information systems certain personal and other sensitive information about our business, custom</w:t>
      </w:r>
      <w:r>
        <w:rPr>
          <w:rFonts w:eastAsia="Times New Roman"/>
          <w:color w:val="000000"/>
          <w:sz w:val="20"/>
          <w:szCs w:val="20"/>
        </w:rPr>
        <w:t>ers, employees, and vendors. Additionally, we also receive and process information permitting cashless payments as part of our in-store and online operations at</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some of which depend upon the secure transmission of confidential informatio</w:t>
      </w:r>
      <w:r>
        <w:rPr>
          <w:rFonts w:eastAsia="Times New Roman"/>
          <w:color w:val="000000"/>
          <w:sz w:val="20"/>
          <w:szCs w:val="20"/>
        </w:rPr>
        <w:t>n over public networks. The information that we receive and store makes us subject to cybersecurity attacks, cyber incidents and privacy regulations, which are occurring more frequently, are constantly evolving in nature, are becoming more sophisticated, a</w:t>
      </w:r>
      <w:r>
        <w:rPr>
          <w:rFonts w:eastAsia="Times New Roman"/>
          <w:color w:val="000000"/>
          <w:sz w:val="20"/>
          <w:szCs w:val="20"/>
        </w:rPr>
        <w:t>nd are being made by groups and individuals with a wide range of expertise and motives. We are the target of attempted cyber and other security threats and continuously monitor our information technology networks and infrastructure in an effort to prevent,</w:t>
      </w:r>
      <w:r>
        <w:rPr>
          <w:rFonts w:eastAsia="Times New Roman"/>
          <w:color w:val="000000"/>
          <w:sz w:val="20"/>
          <w:szCs w:val="20"/>
        </w:rPr>
        <w:t xml:space="preserve"> detect, address and mitigate the risk of unauthorized access, misuse, computer viruses and other events that could have a security impact. However, these security measures cannot provide absolute assurance or guarantee that we will be successful in preven</w:t>
      </w:r>
      <w:r>
        <w:rPr>
          <w:rFonts w:eastAsia="Times New Roman"/>
          <w:color w:val="000000"/>
          <w:sz w:val="20"/>
          <w:szCs w:val="20"/>
        </w:rPr>
        <w:t xml:space="preserve">ting, detecting, or responding to every such breach or disruption and/or preventing the misuse of confidential information of our business, customers, employees, or vendors. Similar risks exist with respect to the third-party vendors that we rely upon for </w:t>
      </w:r>
      <w:r>
        <w:rPr>
          <w:rFonts w:eastAsia="Times New Roman"/>
          <w:color w:val="000000"/>
          <w:sz w:val="20"/>
          <w:szCs w:val="20"/>
        </w:rPr>
        <w:t>aspects of our information technology support services and administrative functions, even if the attack or breach does not directly impact our systems or information.</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 compromise of our information security and privacy controls, or those of businesses and vendors with whom we interact, which results in confidential information being accessed, obtained, damaged, or used by unauthorized or improper parties; loss or unava</w:t>
      </w:r>
      <w:r>
        <w:rPr>
          <w:rFonts w:eastAsia="Times New Roman"/>
          <w:color w:val="000000"/>
          <w:sz w:val="20"/>
          <w:szCs w:val="20"/>
        </w:rPr>
        <w:t>ilability of data; disruptions to our business activities; or any other outcome stemming from a cybersecurity incident could materially adversely affect our reputation with our customers, team members, and vendors, as well as our operations, results of ope</w:t>
      </w:r>
      <w:r>
        <w:rPr>
          <w:rFonts w:eastAsia="Times New Roman"/>
          <w:color w:val="000000"/>
          <w:sz w:val="20"/>
          <w:szCs w:val="20"/>
        </w:rPr>
        <w:t>rations, financial condition, and liquidity, and could result in significant legal and financial exposure beyond the scope or limits of insurance coverage. Moreover, a security breach could require that we expend significant additional resources to respond</w:t>
      </w:r>
      <w:r>
        <w:rPr>
          <w:rFonts w:eastAsia="Times New Roman"/>
          <w:color w:val="000000"/>
          <w:sz w:val="20"/>
          <w:szCs w:val="20"/>
        </w:rPr>
        <w:t xml:space="preserve"> to the attack or breach and could result in a disruption of our operations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addition, states and the federal government are increasingly enacting laws and regulations relating to privacy, data breaches, and theft of employee and customer data.  These</w:t>
      </w:r>
      <w:r>
        <w:rPr>
          <w:rFonts w:eastAsia="Times New Roman"/>
          <w:color w:val="000000"/>
          <w:sz w:val="20"/>
          <w:szCs w:val="20"/>
        </w:rPr>
        <w:t xml:space="preserve"> laws will likely increase the costs of doing business and, if we fail to comply with these laws and regulations, to implement appropriate safeguards, or to detect and provide prompt notice of unauthorized access as required by some of these new laws, we c</w:t>
      </w:r>
      <w:r>
        <w:rPr>
          <w:rFonts w:eastAsia="Times New Roman"/>
          <w:color w:val="000000"/>
          <w:sz w:val="20"/>
          <w:szCs w:val="20"/>
        </w:rPr>
        <w:t>ould be subject to potential claims for damages and other remedies, which could harm our business.</w:t>
      </w:r>
      <w:r>
        <w:rPr>
          <w:rFonts w:eastAsia="Times New Roman"/>
          <w:color w:val="000000"/>
          <w:sz w:val="20"/>
          <w:szCs w:val="20"/>
        </w:rPr>
        <w:t xml:space="preserve"> </w:t>
      </w:r>
    </w:p>
    <w:p w:rsidR="00000000" w:rsidRDefault="00CB61D5">
      <w:pPr>
        <w:divId w:val="415786279"/>
        <w:rPr>
          <w:rFonts w:eastAsia="Times New Roman"/>
        </w:rPr>
      </w:pPr>
    </w:p>
    <w:p w:rsidR="00000000" w:rsidRDefault="00CB61D5">
      <w:pPr>
        <w:jc w:val="both"/>
        <w:rPr>
          <w:rFonts w:eastAsia="Times New Roman"/>
        </w:rPr>
      </w:pPr>
      <w:r>
        <w:rPr>
          <w:rFonts w:eastAsia="Times New Roman"/>
          <w:i/>
          <w:iCs/>
          <w:color w:val="000000"/>
          <w:sz w:val="20"/>
          <w:szCs w:val="20"/>
        </w:rPr>
        <w:t>We are subject to payments-related risks that could increase our operating costs, expose us to fraud, subject us to potential liability, and potentially d</w:t>
      </w:r>
      <w:r>
        <w:rPr>
          <w:rFonts w:eastAsia="Times New Roman"/>
          <w:i/>
          <w:iCs/>
          <w:color w:val="000000"/>
          <w:sz w:val="20"/>
          <w:szCs w:val="20"/>
        </w:rPr>
        <w:t>isrupt our business</w:t>
      </w:r>
      <w:r>
        <w:rPr>
          <w:rFonts w:eastAsia="Times New Roman"/>
          <w:i/>
          <w:iCs/>
          <w:color w:val="000000"/>
          <w:sz w:val="20"/>
          <w:szCs w:val="20"/>
        </w:rPr>
        <w:t>.</w:t>
      </w:r>
    </w:p>
    <w:p w:rsidR="00000000" w:rsidRDefault="00CB61D5">
      <w:pPr>
        <w:divId w:val="1037856467"/>
        <w:rPr>
          <w:rFonts w:eastAsia="Times New Roman"/>
        </w:rPr>
      </w:pPr>
    </w:p>
    <w:p w:rsidR="00000000" w:rsidRDefault="00CB61D5">
      <w:pPr>
        <w:jc w:val="both"/>
        <w:rPr>
          <w:rFonts w:eastAsia="Times New Roman"/>
        </w:rPr>
      </w:pPr>
      <w:r>
        <w:rPr>
          <w:rFonts w:eastAsia="Times New Roman"/>
          <w:color w:val="000000"/>
          <w:sz w:val="20"/>
          <w:szCs w:val="20"/>
        </w:rPr>
        <w:t>We accept payments using a variety of methods, including credit cards, debit cards, credit accounts, our private label and co-branded credit cards, gift cards, direct debit from a customer’s bank account, consumer invoicing, and phys</w:t>
      </w:r>
      <w:r>
        <w:rPr>
          <w:rFonts w:eastAsia="Times New Roman"/>
          <w:color w:val="000000"/>
          <w:sz w:val="20"/>
          <w:szCs w:val="20"/>
        </w:rPr>
        <w:t>ical bank checks, and we may offer different payment options over time. These payment options subject us to many compliance requirements, including, but not limited to, compliance with payment card association operating rules, including data security rules</w:t>
      </w:r>
      <w:r>
        <w:rPr>
          <w:rFonts w:eastAsia="Times New Roman"/>
          <w:color w:val="000000"/>
          <w:sz w:val="20"/>
          <w:szCs w:val="20"/>
        </w:rPr>
        <w:t>, certification requirements, rules governing electronic funds transfers, and Payment Card Industry Data Security Standards. They also subject us to potential fraud by criminal elements seeking to discover and take advantage of security vulnerabilities tha</w:t>
      </w:r>
      <w:r>
        <w:rPr>
          <w:rFonts w:eastAsia="Times New Roman"/>
          <w:color w:val="000000"/>
          <w:sz w:val="20"/>
          <w:szCs w:val="20"/>
        </w:rPr>
        <w:t xml:space="preserve">t may exist in some of these payment systems. For certain payment methods, including credit and debit cards, we pay interchange and other fees, which may increase over time and raise our operating costs and lower profitability. We rely on third parties to </w:t>
      </w:r>
      <w:r>
        <w:rPr>
          <w:rFonts w:eastAsia="Times New Roman"/>
          <w:color w:val="000000"/>
          <w:sz w:val="20"/>
          <w:szCs w:val="20"/>
        </w:rPr>
        <w:t>provide payment processing services, including the processing of credit cards, debit cards, electronic checks, gift cards and promotional financing, and it could disrupt our business if these companies become unwilling or unable to provide these services t</w:t>
      </w:r>
      <w:r>
        <w:rPr>
          <w:rFonts w:eastAsia="Times New Roman"/>
          <w:color w:val="000000"/>
          <w:sz w:val="20"/>
          <w:szCs w:val="20"/>
        </w:rPr>
        <w:t>o us. If we fail to comply with these rules or requirements, adequately encrypt payment transaction data, or if our data security systems are breached or compromised, we may be liable for card issuing banks’ costs, subject to fines and higher transaction f</w:t>
      </w:r>
      <w:r>
        <w:rPr>
          <w:rFonts w:eastAsia="Times New Roman"/>
          <w:color w:val="000000"/>
          <w:sz w:val="20"/>
          <w:szCs w:val="20"/>
        </w:rPr>
        <w:t>ees, and lose our ability to accept credit and debit card payments from our customers, process electronic funds transfers, or facilitate other types of online payments, and our business and operating results could be adversely affected</w:t>
      </w:r>
      <w:r>
        <w:rPr>
          <w:rFonts w:eastAsia="Times New Roman"/>
          <w:color w:val="000000"/>
          <w:sz w:val="20"/>
          <w:szCs w:val="20"/>
        </w:rPr>
        <w:t>.</w:t>
      </w:r>
    </w:p>
    <w:p w:rsidR="00000000" w:rsidRDefault="00CB61D5">
      <w:pPr>
        <w:divId w:val="1132796041"/>
        <w:rPr>
          <w:rFonts w:eastAsia="Times New Roman"/>
        </w:rPr>
      </w:pPr>
    </w:p>
    <w:p w:rsidR="00000000" w:rsidRDefault="00CB61D5">
      <w:pPr>
        <w:jc w:val="both"/>
        <w:rPr>
          <w:rFonts w:eastAsia="Times New Roman"/>
        </w:rPr>
      </w:pPr>
      <w:r>
        <w:rPr>
          <w:rFonts w:eastAsia="Times New Roman"/>
          <w:i/>
          <w:iCs/>
          <w:color w:val="000000"/>
          <w:sz w:val="20"/>
          <w:szCs w:val="20"/>
        </w:rPr>
        <w:t xml:space="preserve">Our business and </w:t>
      </w:r>
      <w:r>
        <w:rPr>
          <w:rFonts w:eastAsia="Times New Roman"/>
          <w:i/>
          <w:iCs/>
          <w:color w:val="000000"/>
          <w:sz w:val="20"/>
          <w:szCs w:val="20"/>
        </w:rPr>
        <w:t>operations could suffer material losses in the event of system interruptions or failures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information technology systems, some of which are dependent on services managed or provided by third-parties, serve an important role in the operation and admin</w:t>
      </w:r>
      <w:r>
        <w:rPr>
          <w:rFonts w:eastAsia="Times New Roman"/>
          <w:color w:val="000000"/>
          <w:sz w:val="20"/>
          <w:szCs w:val="20"/>
        </w:rPr>
        <w:t>istration of our business. These systems are vulnerable to damages from any number of sources, including, but not limited to, human error, cybersecurity attacks, computer viruses, unauthorized access, fire, flood, power outages, telecommunication failures,</w:t>
      </w:r>
      <w:r>
        <w:rPr>
          <w:rFonts w:eastAsia="Times New Roman"/>
          <w:color w:val="000000"/>
          <w:sz w:val="20"/>
          <w:szCs w:val="20"/>
        </w:rPr>
        <w:t xml:space="preserve"> facility or equipment damage, natural disasters, terrorism, and war.  In addition, we</w:t>
      </w:r>
      <w:r>
        <w:rPr>
          <w:rFonts w:eastAsia="Times New Roman"/>
          <w:color w:val="000000"/>
          <w:sz w:val="20"/>
          <w:szCs w:val="20"/>
        </w:rPr>
        <w:t xml:space="preserve"> </w:t>
      </w:r>
    </w:p>
    <w:p w:rsidR="00000000" w:rsidRDefault="00CB61D5">
      <w:pPr>
        <w:jc w:val="center"/>
        <w:divId w:val="1193301163"/>
        <w:rPr>
          <w:rFonts w:eastAsia="Times New Roman"/>
        </w:rPr>
      </w:pPr>
      <w:r>
        <w:rPr>
          <w:rFonts w:eastAsia="Times New Roman"/>
          <w:color w:val="000000"/>
          <w:sz w:val="20"/>
          <w:szCs w:val="20"/>
        </w:rPr>
        <w:t>1</w:t>
      </w:r>
      <w:r>
        <w:rPr>
          <w:rFonts w:eastAsia="Times New Roman"/>
          <w:color w:val="000000"/>
          <w:sz w:val="20"/>
          <w:szCs w:val="20"/>
        </w:rPr>
        <w:t>5</w:t>
      </w:r>
    </w:p>
    <w:p w:rsidR="00000000" w:rsidRDefault="00CB61D5">
      <w:pPr>
        <w:rPr>
          <w:rFonts w:eastAsia="Times New Roman"/>
        </w:rPr>
      </w:pPr>
      <w:r>
        <w:rPr>
          <w:rFonts w:eastAsia="Times New Roman"/>
        </w:rPr>
        <w:pict>
          <v:rect id="_x0000_i1043" style="width:0;height:1.5pt" o:hralign="center" o:hrstd="t" o:hr="t" fillcolor="#a0a0a0" stroked="f"/>
        </w:pict>
      </w:r>
    </w:p>
    <w:p w:rsidR="00000000" w:rsidRDefault="00CB61D5">
      <w:pPr>
        <w:divId w:val="130917152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 xml:space="preserve">continually make investments in technology to implement new processes and systems, as well as </w:t>
      </w:r>
      <w:r>
        <w:rPr>
          <w:rFonts w:eastAsia="Times New Roman"/>
          <w:color w:val="000000"/>
          <w:sz w:val="20"/>
          <w:szCs w:val="20"/>
        </w:rPr>
        <w:t xml:space="preserve">to maintain and update our existing processes and systems. Implementing process and system changes increases the risk of disruption. If our information technology systems are interrupted or fail and our redundant systems or recovery plans are not adequate </w:t>
      </w:r>
      <w:r>
        <w:rPr>
          <w:rFonts w:eastAsia="Times New Roman"/>
          <w:color w:val="000000"/>
          <w:sz w:val="20"/>
          <w:szCs w:val="20"/>
        </w:rPr>
        <w:t>to address such interruptions or failures on a timely basis, our revenues and profits could be reduced and the reputation of our brand and our business could be materially adversely affected.  Additionally, remediation of any problems with our systems coul</w:t>
      </w:r>
      <w:r>
        <w:rPr>
          <w:rFonts w:eastAsia="Times New Roman"/>
          <w:color w:val="000000"/>
          <w:sz w:val="20"/>
          <w:szCs w:val="20"/>
        </w:rPr>
        <w:t>d result in significant, unplanned expenses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Customer-facing technology systems are an important part of our sales and marketing strategy and the failure of those systems to perform effectively and reliably could keep us from delivering positive customer</w:t>
      </w:r>
      <w:r>
        <w:rPr>
          <w:rFonts w:eastAsia="Times New Roman"/>
          <w:i/>
          <w:iCs/>
          <w:color w:val="000000"/>
          <w:sz w:val="20"/>
          <w:szCs w:val="20"/>
        </w:rPr>
        <w:t xml:space="preserve"> experiences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Through our continued information technology enhancements, we are able to provide an improved overall shopping environment and an omni-channel experience that empowers our customers to shop and interact with us from computers, tablets, smar</w:t>
      </w:r>
      <w:r>
        <w:rPr>
          <w:rFonts w:eastAsia="Times New Roman"/>
          <w:color w:val="000000"/>
          <w:sz w:val="20"/>
          <w:szCs w:val="20"/>
        </w:rPr>
        <w:t>t phones, and other mobile communication devices. We use our website,</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both as a sales channel for our products and as a method of providing product, project, and other relevant information to our customers to drive both in-store and onli</w:t>
      </w:r>
      <w:r>
        <w:rPr>
          <w:rFonts w:eastAsia="Times New Roman"/>
          <w:color w:val="000000"/>
          <w:sz w:val="20"/>
          <w:szCs w:val="20"/>
        </w:rPr>
        <w:t>ne sales. Omni-channel retailing is continually evolving and expanding, and we must effectively respond to changing customer expectations and new developments. Disruptions, failures, or other performance issues with these customer-facing technology systems</w:t>
      </w:r>
      <w:r>
        <w:rPr>
          <w:rFonts w:eastAsia="Times New Roman"/>
          <w:color w:val="000000"/>
          <w:sz w:val="20"/>
          <w:szCs w:val="20"/>
        </w:rPr>
        <w:t xml:space="preserve"> could impair the benefits that they provide to our in-store and online business and negatively affect our relationship with our customers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If we are unable to maintain or upgrade our management information systems and software programs or if we are unab</w:t>
      </w:r>
      <w:r>
        <w:rPr>
          <w:rFonts w:eastAsia="Times New Roman"/>
          <w:i/>
          <w:iCs/>
          <w:color w:val="000000"/>
          <w:sz w:val="20"/>
          <w:szCs w:val="20"/>
        </w:rPr>
        <w:t>le to convert to alternate systems in an efficient and timely manner, our operations may be disrupted or become less efficient and our long-term strategic growth initiatives may not be successful</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depend on management information systems for many aspe</w:t>
      </w:r>
      <w:r>
        <w:rPr>
          <w:rFonts w:eastAsia="Times New Roman"/>
          <w:color w:val="000000"/>
          <w:sz w:val="20"/>
          <w:szCs w:val="20"/>
        </w:rPr>
        <w:t>cts of our business.  We rely on certain software vendors to maintain and periodically upgrade many of these systems so that we can continue to support our business. We could be materially adversely affected if we experienced a disruption or data loss rela</w:t>
      </w:r>
      <w:r>
        <w:rPr>
          <w:rFonts w:eastAsia="Times New Roman"/>
          <w:color w:val="000000"/>
          <w:sz w:val="20"/>
          <w:szCs w:val="20"/>
        </w:rPr>
        <w:t>ting to our management information systems and are unable to recover timely. We could also be adversely impacted if we are unable to improve, upgrade, maintain, and expand our management information systems, particularly in light of the contemplated contin</w:t>
      </w:r>
      <w:r>
        <w:rPr>
          <w:rFonts w:eastAsia="Times New Roman"/>
          <w:color w:val="000000"/>
          <w:sz w:val="20"/>
          <w:szCs w:val="20"/>
        </w:rPr>
        <w:t>ued store growth</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success of our long-term strategic growth initiatives designed to increase our sales and improve margin are dependent in varying degrees on the timely delivery and the functionality of information technology systems to support them.</w:t>
      </w:r>
      <w:r>
        <w:rPr>
          <w:rFonts w:eastAsia="Times New Roman"/>
          <w:color w:val="000000"/>
          <w:sz w:val="20"/>
          <w:szCs w:val="20"/>
        </w:rPr>
        <w:t>  Extended delays or cost overruns in securing, developing, and otherwise implementing technology solutions to support the long-term strategic growth initiatives would delay and possibly even prevent us from realizing the projected benefits of those initia</w:t>
      </w:r>
      <w:r>
        <w:rPr>
          <w:rFonts w:eastAsia="Times New Roman"/>
          <w:color w:val="000000"/>
          <w:sz w:val="20"/>
          <w:szCs w:val="20"/>
        </w:rPr>
        <w:t>tives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 cannot provide any guaranty of future dividend payments or that we will continue to repurchase our common stock pursuant to our stock repurchase program.</w:t>
      </w:r>
      <w:r>
        <w:rPr>
          <w:rFonts w:eastAsia="Times New Roman"/>
          <w:i/>
          <w:iCs/>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Although our Board of Directors has indicated an intention to pay future quarterly cash dividends on our common stock, any determination to pay or increase cash dividends on our common stock in the future will be based primarily upon our financial conditio</w:t>
      </w:r>
      <w:r>
        <w:rPr>
          <w:rFonts w:eastAsia="Times New Roman"/>
          <w:color w:val="000000"/>
          <w:sz w:val="20"/>
          <w:szCs w:val="20"/>
        </w:rPr>
        <w:t>n, results of operations, business requirements, and our Board of Directors’ continuing determination that the declaration of dividends is in the best interests of our stockholders and is in compliance with all laws and agreements applicable to the dividen</w:t>
      </w:r>
      <w:r>
        <w:rPr>
          <w:rFonts w:eastAsia="Times New Roman"/>
          <w:color w:val="000000"/>
          <w:sz w:val="20"/>
          <w:szCs w:val="20"/>
        </w:rPr>
        <w:t>d. Furthermore, although our Board of Directors has authorized a share repurchase program of up to $4.5 billion, we may discontinue this program at any time or significantly reduce repurchases under the program.</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The market price for our common stock mig</w:t>
      </w:r>
      <w:r>
        <w:rPr>
          <w:rFonts w:eastAsia="Times New Roman"/>
          <w:i/>
          <w:iCs/>
          <w:color w:val="000000"/>
          <w:sz w:val="20"/>
          <w:szCs w:val="20"/>
        </w:rPr>
        <w:t>ht be volatile and could result in a decline in value.</w:t>
      </w:r>
      <w:r>
        <w:rPr>
          <w:rFonts w:eastAsia="Times New Roman"/>
          <w:i/>
          <w:iCs/>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price at which our common stock trades may be volatile and could be subject to significant fluctuations in response to our operating results, general trends and prospects for the retail industry</w:t>
      </w:r>
      <w:r>
        <w:rPr>
          <w:rFonts w:eastAsia="Times New Roman"/>
          <w:color w:val="000000"/>
          <w:sz w:val="20"/>
          <w:szCs w:val="20"/>
        </w:rPr>
        <w:t>, announcements by our competitors, analyst recommendations, our ability to meet or exceed analysts’ or investors’ expectations, the condition of the financial markets, and other factors. The Company’s stock price is dependent in part on the multiple of ea</w:t>
      </w:r>
      <w:r>
        <w:rPr>
          <w:rFonts w:eastAsia="Times New Roman"/>
          <w:color w:val="000000"/>
          <w:sz w:val="20"/>
          <w:szCs w:val="20"/>
        </w:rPr>
        <w:t>rnings that investors are willing to pay. That multiple is in part dependent on investors’ perception of the Company’s future earnings growth prospects. If investors’ perception of the Company’s earnings growth prospects change, the Company’s earnings mult</w:t>
      </w:r>
      <w:r>
        <w:rPr>
          <w:rFonts w:eastAsia="Times New Roman"/>
          <w:color w:val="000000"/>
          <w:sz w:val="20"/>
          <w:szCs w:val="20"/>
        </w:rPr>
        <w:t>iple may decline and its stock price could be adversely affected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addition, the stock market has at times experienced extreme price and volume fluctuations that often have been unrelated or disproportionate to the operating performance of companies. T</w:t>
      </w:r>
      <w:r>
        <w:rPr>
          <w:rFonts w:eastAsia="Times New Roman"/>
          <w:color w:val="000000"/>
          <w:sz w:val="20"/>
          <w:szCs w:val="20"/>
        </w:rPr>
        <w:t>hese fluctuations, as well as general economic and market conditions, may adversely affect the market price of our common stock notwithstanding our actual operating performance.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72259548"/>
        <w:rPr>
          <w:rFonts w:eastAsia="Times New Roman"/>
        </w:rPr>
      </w:pPr>
      <w:r>
        <w:rPr>
          <w:rFonts w:eastAsia="Times New Roman"/>
          <w:color w:val="000000"/>
          <w:sz w:val="20"/>
          <w:szCs w:val="20"/>
        </w:rPr>
        <w:t>1</w:t>
      </w:r>
      <w:r>
        <w:rPr>
          <w:rFonts w:eastAsia="Times New Roman"/>
          <w:color w:val="000000"/>
          <w:sz w:val="20"/>
          <w:szCs w:val="20"/>
        </w:rPr>
        <w:t>6</w:t>
      </w:r>
    </w:p>
    <w:p w:rsidR="00000000" w:rsidRDefault="00CB61D5">
      <w:pPr>
        <w:rPr>
          <w:rFonts w:eastAsia="Times New Roman"/>
        </w:rPr>
      </w:pPr>
      <w:r>
        <w:rPr>
          <w:rFonts w:eastAsia="Times New Roman"/>
        </w:rPr>
        <w:pict>
          <v:rect id="_x0000_i1044" style="width:0;height:1.5pt" o:hralign="center" o:hrstd="t" o:hr="t" fillcolor="#a0a0a0" stroked="f"/>
        </w:pict>
      </w:r>
    </w:p>
    <w:p w:rsidR="00000000" w:rsidRDefault="00CB61D5">
      <w:pPr>
        <w:divId w:val="137692386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Our business could be negatively impacted as a result of federal, state, local, or foreign laws and regulations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subject to numerous federal, state, local, and foreign laws and governmental regulations including t</w:t>
      </w:r>
      <w:r>
        <w:rPr>
          <w:rFonts w:eastAsia="Times New Roman"/>
          <w:color w:val="000000"/>
          <w:sz w:val="20"/>
          <w:szCs w:val="20"/>
        </w:rPr>
        <w:t>hose relating to environmental protection, personal injury, intellectual property, consumer product safety, building, land use and zoning requirements, workplace regulations, wage and hour, privacy and information security, and employment law matters.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w:t>
      </w:r>
      <w:r>
        <w:rPr>
          <w:rFonts w:eastAsia="Times New Roman"/>
          <w:color w:val="000000"/>
          <w:sz w:val="20"/>
          <w:szCs w:val="20"/>
        </w:rPr>
        <w:t>ur operations, including our outsourced exclusive brand manufacturing partners, are subject to regulation by the Occupational Safety and Health Administration (“OSHA”), the Food and Drug Administration (the “FDA”), the Department of Agriculture (the “USDA”</w:t>
      </w:r>
      <w:r>
        <w:rPr>
          <w:rFonts w:eastAsia="Times New Roman"/>
          <w:color w:val="000000"/>
          <w:sz w:val="20"/>
          <w:szCs w:val="20"/>
        </w:rPr>
        <w:t>) and by various other federal, state, local and foreign authorities regarding the processing, packaging, storage, distribution, advertising, labeling and export of our products, including food safety standards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If we fail to comply with existing or futu</w:t>
      </w:r>
      <w:r>
        <w:rPr>
          <w:rFonts w:eastAsia="Times New Roman"/>
          <w:color w:val="000000"/>
          <w:sz w:val="20"/>
          <w:szCs w:val="20"/>
        </w:rPr>
        <w:t>re laws or regulations, or if these laws or regulations are violated by importers, manufacturers or distributors, we may be subject to governmental or judicial fines or sanctions, while incurring substantial legal fees and costs. In addition, our capital e</w:t>
      </w:r>
      <w:r>
        <w:rPr>
          <w:rFonts w:eastAsia="Times New Roman"/>
          <w:color w:val="000000"/>
          <w:sz w:val="20"/>
          <w:szCs w:val="20"/>
        </w:rPr>
        <w:t>xpenditures could increase due to remediation measures that may be required if we are found to be noncompliant with any existing or future laws or regulations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also subject to the Foreign Corrupt Practices Act (the “FCPA”), which prohibits U.S. co</w:t>
      </w:r>
      <w:r>
        <w:rPr>
          <w:rFonts w:eastAsia="Times New Roman"/>
          <w:color w:val="000000"/>
          <w:sz w:val="20"/>
          <w:szCs w:val="20"/>
        </w:rPr>
        <w:t>mpanies and their intermediaries from making improper payments to foreign officials for the purposes of obtaining or retaining business, and the anti-bribery laws of other jurisdictions. Failure to comply with the FCPA and similar laws could subject us to,</w:t>
      </w:r>
      <w:r>
        <w:rPr>
          <w:rFonts w:eastAsia="Times New Roman"/>
          <w:color w:val="000000"/>
          <w:sz w:val="20"/>
          <w:szCs w:val="20"/>
        </w:rPr>
        <w:t xml:space="preserve"> among other things, penalties and legal expenses that could harm our reputation and have a material adverse effect on our business, financial condition, and results of operations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Potential noncompliance with environmental regulations could materially i</w:t>
      </w:r>
      <w:r>
        <w:rPr>
          <w:rFonts w:eastAsia="Times New Roman"/>
          <w:i/>
          <w:iCs/>
          <w:color w:val="000000"/>
          <w:sz w:val="20"/>
          <w:szCs w:val="20"/>
        </w:rPr>
        <w:t>mpact our results of operations or financial condition</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business is subject to various federal, state, and local laws, regulations, and other requirements pertaining to protection of the environment and public health, including, for example, regulati</w:t>
      </w:r>
      <w:r>
        <w:rPr>
          <w:rFonts w:eastAsia="Times New Roman"/>
          <w:color w:val="000000"/>
          <w:sz w:val="20"/>
          <w:szCs w:val="20"/>
        </w:rPr>
        <w:t>ons governing the management of waste materials and waste waters.  Governmental agencies on the federal, state, and local levels have, in recent years, increasingly focused on the retail sector’s compliance with such laws and regulations, and have at times</w:t>
      </w:r>
      <w:r>
        <w:rPr>
          <w:rFonts w:eastAsia="Times New Roman"/>
          <w:color w:val="000000"/>
          <w:sz w:val="20"/>
          <w:szCs w:val="20"/>
        </w:rPr>
        <w:t xml:space="preserve"> pursued enforcement activities.  We periodically receive information requests and notices of potential noncompliance with environmental laws and regulations from governmental agencies, which are addressed on a case-by-case basis with the relevant agency. </w:t>
      </w:r>
      <w:r>
        <w:rPr>
          <w:rFonts w:eastAsia="Times New Roman"/>
          <w:color w:val="000000"/>
          <w:sz w:val="20"/>
          <w:szCs w:val="20"/>
        </w:rPr>
        <w:t>Any of these events could have a material adverse effect on our results of operations or financial condition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Effective tax rate changes and results of examinations by taxing authorities could materially impact our results</w:t>
      </w:r>
      <w:r>
        <w:rPr>
          <w:rFonts w:eastAsia="Times New Roman"/>
          <w:i/>
          <w:i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future effective tax rat</w:t>
      </w:r>
      <w:r>
        <w:rPr>
          <w:rFonts w:eastAsia="Times New Roman"/>
          <w:color w:val="000000"/>
          <w:sz w:val="20"/>
          <w:szCs w:val="20"/>
        </w:rPr>
        <w:t>es could be adversely affected by legislative tax reform, changes in statutory rates or changes in tax laws, or interpretations thereof. Additionally, our future effective tax rates could be adversely affected by the earnings mix being lower than historica</w:t>
      </w:r>
      <w:r>
        <w:rPr>
          <w:rFonts w:eastAsia="Times New Roman"/>
          <w:color w:val="000000"/>
          <w:sz w:val="20"/>
          <w:szCs w:val="20"/>
        </w:rPr>
        <w:t>l results in states where we have lower statutory rates and higher than historical results in states where we have higher statutory rates or by changes in the measurement of our deferred tax assets and liabilities.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subject to periodic audits and examinations by the Internal Revenue Service (“IRS”), as well as state and local taxing authorities. Like many retailers, a portion of our sales are to tax-exempt customers. The business activities of our customers and</w:t>
      </w:r>
      <w:r>
        <w:rPr>
          <w:rFonts w:eastAsia="Times New Roman"/>
          <w:color w:val="000000"/>
          <w:sz w:val="20"/>
          <w:szCs w:val="20"/>
        </w:rPr>
        <w:t xml:space="preserve"> the intended use of the unique products sold by us create a challenging and complex compliance environment.  These circumstances create risk that we could be challenged as to the propriety of our sales tax compliance. Our results could be materially impac</w:t>
      </w:r>
      <w:r>
        <w:rPr>
          <w:rFonts w:eastAsia="Times New Roman"/>
          <w:color w:val="000000"/>
          <w:sz w:val="20"/>
          <w:szCs w:val="20"/>
        </w:rPr>
        <w:t>ted by the determinations and expenses related to these and other proceedings by the IRS and other state and local taxing authorities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B</w:t>
      </w:r>
      <w:r>
        <w:rPr>
          <w:rFonts w:eastAsia="Times New Roman"/>
          <w:b/>
          <w:bCs/>
          <w:color w:val="000000"/>
          <w:sz w:val="20"/>
          <w:szCs w:val="20"/>
        </w:rPr>
        <w:t>.</w:t>
      </w:r>
      <w:r>
        <w:rPr>
          <w:rFonts w:eastAsia="Times New Roman"/>
          <w:b/>
          <w:bCs/>
          <w:color w:val="000000"/>
          <w:sz w:val="20"/>
          <w:szCs w:val="20"/>
        </w:rPr>
        <w:t> </w:t>
      </w:r>
      <w:r>
        <w:rPr>
          <w:rFonts w:eastAsia="Times New Roman"/>
          <w:b/>
          <w:bCs/>
          <w:color w:val="000000"/>
          <w:sz w:val="20"/>
          <w:szCs w:val="20"/>
          <w:u w:val="single"/>
        </w:rPr>
        <w:t>Unresolved Staff Comment</w:t>
      </w:r>
      <w:r>
        <w:rPr>
          <w:rFonts w:eastAsia="Times New Roman"/>
          <w:b/>
          <w:bCs/>
          <w:color w:val="000000"/>
          <w:sz w:val="20"/>
          <w:szCs w:val="20"/>
          <w:u w:val="single"/>
        </w:rPr>
        <w:t>s</w:t>
      </w:r>
    </w:p>
    <w:p w:rsidR="00000000" w:rsidRDefault="00CB61D5">
      <w:pPr>
        <w:divId w:val="904800150"/>
        <w:rPr>
          <w:rFonts w:eastAsia="Times New Roman"/>
        </w:rPr>
      </w:pPr>
    </w:p>
    <w:p w:rsidR="00000000" w:rsidRDefault="00CB61D5">
      <w:pPr>
        <w:jc w:val="both"/>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2</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Propertie</w:t>
      </w:r>
      <w:r>
        <w:rPr>
          <w:rFonts w:eastAsia="Times New Roman"/>
          <w:b/>
          <w:bCs/>
          <w:color w:val="000000"/>
          <w:sz w:val="20"/>
          <w:szCs w:val="20"/>
          <w:u w:val="single"/>
        </w:rPr>
        <w:t>s</w:t>
      </w:r>
      <w:r>
        <w:rPr>
          <w:rFonts w:eastAsia="Times New Roman"/>
          <w:b/>
          <w:bCs/>
          <w:color w:val="000000"/>
          <w:sz w:val="13"/>
          <w:szCs w:val="13"/>
          <w:vertAlign w:val="superscript"/>
        </w:rPr>
        <w:t xml:space="preserve"> </w:t>
      </w:r>
    </w:p>
    <w:p w:rsidR="00000000" w:rsidRDefault="00CB61D5">
      <w:pPr>
        <w:divId w:val="835412763"/>
        <w:rPr>
          <w:rFonts w:eastAsia="Times New Roman"/>
        </w:rPr>
      </w:pPr>
    </w:p>
    <w:p w:rsidR="00000000" w:rsidRDefault="00CB61D5">
      <w:pPr>
        <w:jc w:val="both"/>
        <w:rPr>
          <w:rFonts w:eastAsia="Times New Roman"/>
        </w:rPr>
      </w:pPr>
      <w:r>
        <w:rPr>
          <w:rFonts w:eastAsia="Times New Roman"/>
          <w:color w:val="000000"/>
          <w:sz w:val="20"/>
          <w:szCs w:val="20"/>
        </w:rPr>
        <w:t>At December 28, 2019, the Company operated 2,024 st</w:t>
      </w:r>
      <w:r>
        <w:rPr>
          <w:rFonts w:eastAsia="Times New Roman"/>
          <w:color w:val="000000"/>
          <w:sz w:val="20"/>
          <w:szCs w:val="20"/>
        </w:rPr>
        <w:t>ores in 49 states (1,844 Tractor Supply and Del’s retail stores and 180 Petsense retail stores).  The Company leases approximately 94% of its stores. Store leases typically have initial terms of between 10 and 15 years, with two to four optional renewal pe</w:t>
      </w:r>
      <w:r>
        <w:rPr>
          <w:rFonts w:eastAsia="Times New Roman"/>
          <w:color w:val="000000"/>
          <w:sz w:val="20"/>
          <w:szCs w:val="20"/>
        </w:rPr>
        <w:t>riods of five years each, exercisable at our option.  No single lease is material to the Company’s operations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843587149"/>
        <w:rPr>
          <w:rFonts w:eastAsia="Times New Roman"/>
        </w:rPr>
      </w:pPr>
      <w:r>
        <w:rPr>
          <w:rFonts w:eastAsia="Times New Roman"/>
          <w:color w:val="000000"/>
          <w:sz w:val="20"/>
          <w:szCs w:val="20"/>
        </w:rPr>
        <w:t>1</w:t>
      </w:r>
      <w:r>
        <w:rPr>
          <w:rFonts w:eastAsia="Times New Roman"/>
          <w:color w:val="000000"/>
          <w:sz w:val="20"/>
          <w:szCs w:val="20"/>
        </w:rPr>
        <w:t>7</w:t>
      </w:r>
    </w:p>
    <w:p w:rsidR="00000000" w:rsidRDefault="00CB61D5">
      <w:pPr>
        <w:rPr>
          <w:rFonts w:eastAsia="Times New Roman"/>
        </w:rPr>
      </w:pPr>
      <w:r>
        <w:rPr>
          <w:rFonts w:eastAsia="Times New Roman"/>
        </w:rPr>
        <w:pict>
          <v:rect id="_x0000_i1045" style="width:0;height:1.5pt" o:hralign="center" o:hrstd="t" o:hr="t" fillcolor="#a0a0a0" stroked="f"/>
        </w:pict>
      </w:r>
    </w:p>
    <w:p w:rsidR="00000000" w:rsidRDefault="00CB61D5">
      <w:pPr>
        <w:divId w:val="96030365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following is a count of store locations by state</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9"/>
        <w:gridCol w:w="2822"/>
        <w:gridCol w:w="70"/>
        <w:gridCol w:w="36"/>
        <w:gridCol w:w="36"/>
        <w:gridCol w:w="36"/>
        <w:gridCol w:w="64"/>
        <w:gridCol w:w="876"/>
        <w:gridCol w:w="85"/>
        <w:gridCol w:w="36"/>
        <w:gridCol w:w="36"/>
        <w:gridCol w:w="36"/>
        <w:gridCol w:w="64"/>
        <w:gridCol w:w="2822"/>
        <w:gridCol w:w="70"/>
        <w:gridCol w:w="36"/>
        <w:gridCol w:w="36"/>
        <w:gridCol w:w="36"/>
        <w:gridCol w:w="64"/>
        <w:gridCol w:w="878"/>
        <w:gridCol w:w="85"/>
      </w:tblGrid>
      <w:tr w:rsidR="00000000">
        <w:trPr>
          <w:divId w:val="762074311"/>
        </w:trPr>
        <w:tc>
          <w:tcPr>
            <w:tcW w:w="50" w:type="pct"/>
            <w:vAlign w:val="center"/>
            <w:hideMark/>
          </w:tcPr>
          <w:p w:rsidR="00000000" w:rsidRDefault="00CB61D5">
            <w:pPr>
              <w:jc w:val="both"/>
              <w:rPr>
                <w:rFonts w:eastAsia="Times New Roman"/>
              </w:rPr>
            </w:pPr>
          </w:p>
        </w:tc>
        <w:tc>
          <w:tcPr>
            <w:tcW w:w="170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70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Stat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Stat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w:t>
            </w:r>
            <w:r>
              <w:rPr>
                <w:rFonts w:eastAsia="Times New Roman"/>
                <w:b/>
                <w:bCs/>
                <w:color w:val="000000"/>
                <w:sz w:val="20"/>
                <w:szCs w:val="20"/>
              </w:rPr>
              <w:t>s</w:t>
            </w:r>
          </w:p>
        </w:tc>
      </w:tr>
      <w:tr w:rsidR="00000000">
        <w:trPr>
          <w:divId w:val="7620743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Texa</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Wisconsi</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North Carolin</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Massachusett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Pennsylvani</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Marylan</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Tennesse</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Colorad</w:t>
            </w:r>
            <w:r>
              <w:rPr>
                <w:rFonts w:eastAsia="Times New Roman"/>
                <w:color w:val="000000"/>
                <w:sz w:val="20"/>
                <w:szCs w:val="20"/>
              </w:rPr>
              <w:t>o</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Ohi</w:t>
            </w:r>
            <w:r>
              <w:rPr>
                <w:rFonts w:eastAsia="Times New Roman"/>
                <w:color w:val="000000"/>
                <w:sz w:val="20"/>
                <w:szCs w:val="20"/>
              </w:rPr>
              <w:t>o</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Illinoi</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Georgi</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Main</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Michiga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Hampshir</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Yor</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Jerse</w:t>
            </w:r>
            <w:r>
              <w:rPr>
                <w:rFonts w:eastAsia="Times New Roman"/>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Florid</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Connecticu</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Kentuck</w:t>
            </w:r>
            <w:r>
              <w:rPr>
                <w:rFonts w:eastAsia="Times New Roman"/>
                <w:color w:val="000000"/>
                <w:sz w:val="20"/>
                <w:szCs w:val="20"/>
              </w:rPr>
              <w:t>y</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Nebrask</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Californi</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Uta</w:t>
            </w:r>
            <w:r>
              <w:rPr>
                <w:rFonts w:eastAsia="Times New Roman"/>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Indian</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North Dakot</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Virgini</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Minnesot</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Alabam</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Orego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Louisian</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Iow</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Oklahom</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South Dakot</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South Carolin</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Vermon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Mississipp</w:t>
            </w:r>
            <w:r>
              <w:rPr>
                <w:rFonts w:eastAsia="Times New Roman"/>
                <w:color w:val="000000"/>
                <w:sz w:val="20"/>
                <w:szCs w:val="20"/>
              </w:rPr>
              <w:t>i</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Wyomin</w:t>
            </w:r>
            <w:r>
              <w:rPr>
                <w:rFonts w:eastAsia="Times New Roman"/>
                <w:color w:val="000000"/>
                <w:sz w:val="20"/>
                <w:szCs w:val="20"/>
              </w:rPr>
              <w:t>g</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Arkansa</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Delawar</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Arizon</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Montan</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Missour</w:t>
            </w: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Idah</w:t>
            </w:r>
            <w:r>
              <w:rPr>
                <w:rFonts w:eastAsia="Times New Roman"/>
                <w:color w:val="000000"/>
                <w:sz w:val="20"/>
                <w:szCs w:val="20"/>
              </w:rPr>
              <w:t>o</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Mexic</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Rhode Islan</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West Virgini</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Nevad</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Kansa</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Hawai</w:t>
            </w:r>
            <w:r>
              <w:rPr>
                <w:rFonts w:eastAsia="Times New Roman"/>
                <w:color w:val="000000"/>
                <w:sz w:val="20"/>
                <w:szCs w:val="20"/>
              </w:rPr>
              <w:t>i</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76207431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Washingto</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762074311"/>
        </w:trPr>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2,024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divId w:val="1848858587"/>
        <w:rPr>
          <w:rFonts w:eastAsia="Times New Roman"/>
        </w:rPr>
      </w:pPr>
    </w:p>
    <w:p w:rsidR="00000000" w:rsidRDefault="00CB61D5">
      <w:pPr>
        <w:jc w:val="both"/>
        <w:rPr>
          <w:rFonts w:eastAsia="Times New Roman"/>
        </w:rPr>
      </w:pPr>
      <w:r>
        <w:rPr>
          <w:rFonts w:eastAsia="Times New Roman"/>
          <w:color w:val="000000"/>
          <w:sz w:val="20"/>
          <w:szCs w:val="20"/>
        </w:rPr>
        <w:t>The following is a list of distribution locations including the approximate square footage and if the location is leased or owned</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3224"/>
        <w:gridCol w:w="73"/>
        <w:gridCol w:w="36"/>
        <w:gridCol w:w="36"/>
        <w:gridCol w:w="36"/>
        <w:gridCol w:w="70"/>
        <w:gridCol w:w="2254"/>
        <w:gridCol w:w="73"/>
        <w:gridCol w:w="36"/>
        <w:gridCol w:w="36"/>
        <w:gridCol w:w="36"/>
        <w:gridCol w:w="70"/>
        <w:gridCol w:w="2168"/>
        <w:gridCol w:w="73"/>
      </w:tblGrid>
      <w:tr w:rsidR="00000000">
        <w:trPr>
          <w:divId w:val="39981961"/>
          <w:jc w:val="center"/>
        </w:trPr>
        <w:tc>
          <w:tcPr>
            <w:tcW w:w="50" w:type="pct"/>
            <w:vAlign w:val="center"/>
            <w:hideMark/>
          </w:tcPr>
          <w:p w:rsidR="00000000" w:rsidRDefault="00CB61D5">
            <w:pPr>
              <w:jc w:val="both"/>
              <w:rPr>
                <w:rFonts w:eastAsia="Times New Roman"/>
              </w:rPr>
            </w:pPr>
          </w:p>
        </w:tc>
        <w:tc>
          <w:tcPr>
            <w:tcW w:w="194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36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31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39981961"/>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Distribution Facility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Approximate Square Footag</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Owned/Leased Facilit</w:t>
            </w:r>
            <w:r>
              <w:rPr>
                <w:rFonts w:eastAsia="Times New Roman"/>
                <w:b/>
                <w:bCs/>
                <w:color w:val="000000"/>
                <w:sz w:val="20"/>
                <w:szCs w:val="20"/>
              </w:rPr>
              <w:t>y</w:t>
            </w:r>
          </w:p>
        </w:tc>
      </w:tr>
      <w:tr w:rsidR="00000000">
        <w:trPr>
          <w:divId w:val="3998196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Frankfort, New Yor</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924,00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Franklin, Kentuck</w:t>
            </w:r>
            <w:r>
              <w:rPr>
                <w:rFonts w:eastAsia="Times New Roman"/>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833,00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Pendleton, Indian</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764,00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Macon, Georgi</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684,00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Waco, Texa</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666,00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Casa Grande, Arizon</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650,00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divId w:val="527841849"/>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482,00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divId w:val="1190994262"/>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309,00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Lease</w:t>
            </w:r>
            <w:r>
              <w:rPr>
                <w:rFonts w:eastAsia="Times New Roman"/>
                <w:color w:val="000000"/>
                <w:sz w:val="20"/>
                <w:szCs w:val="20"/>
              </w:rPr>
              <w:t>d</w:t>
            </w:r>
          </w:p>
        </w:tc>
      </w:tr>
      <w:tr w:rsidR="00000000">
        <w:trPr>
          <w:divId w:val="39981961"/>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Waverly, Nebrask</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592,00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divId w:val="1663502643"/>
              <w:rPr>
                <w:rFonts w:eastAsia="Times New Roman"/>
              </w:rPr>
            </w:pPr>
            <w:r>
              <w:rPr>
                <w:rFonts w:eastAsia="Times New Roman"/>
                <w:color w:val="000000"/>
                <w:sz w:val="20"/>
                <w:szCs w:val="20"/>
              </w:rPr>
              <w:t>Seguin, Texas</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71,00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r w:rsidR="00000000">
        <w:trPr>
          <w:divId w:val="39981961"/>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divId w:val="1658027862"/>
              <w:rPr>
                <w:rFonts w:eastAsia="Times New Roman"/>
              </w:rPr>
            </w:pPr>
            <w:r>
              <w:rPr>
                <w:rFonts w:eastAsia="Times New Roman"/>
                <w:color w:val="000000"/>
                <w:sz w:val="20"/>
                <w:szCs w:val="20"/>
              </w:rPr>
              <w:t>Lakewood, Washington</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64,00</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Lease</w:t>
            </w:r>
            <w:r>
              <w:rPr>
                <w:rFonts w:eastAsia="Times New Roman"/>
                <w:color w:val="000000"/>
                <w:sz w:val="20"/>
                <w:szCs w:val="20"/>
              </w:rPr>
              <w:t>d</w:t>
            </w:r>
          </w:p>
        </w:tc>
      </w:tr>
      <w:tr w:rsidR="00000000">
        <w:trPr>
          <w:divId w:val="39981961"/>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divId w:val="1186138527"/>
              <w:rPr>
                <w:rFonts w:eastAsia="Times New Roman"/>
              </w:rPr>
            </w:pPr>
            <w:r>
              <w:rPr>
                <w:rFonts w:eastAsia="Times New Roman"/>
                <w:color w:val="000000"/>
                <w:sz w:val="20"/>
                <w:szCs w:val="20"/>
              </w:rPr>
              <w:t>Longview, Texas</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63,00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Owne</w:t>
            </w:r>
            <w:r>
              <w:rPr>
                <w:rFonts w:eastAsia="Times New Roman"/>
                <w:color w:val="000000"/>
                <w:sz w:val="20"/>
                <w:szCs w:val="20"/>
              </w:rPr>
              <w:t>d</w:t>
            </w:r>
          </w:p>
        </w:tc>
      </w:tr>
    </w:tbl>
    <w:p w:rsidR="00000000" w:rsidRDefault="00CB61D5">
      <w:pPr>
        <w:ind w:hanging="270"/>
        <w:jc w:val="both"/>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w:t>
      </w:r>
      <w:r>
        <w:rPr>
          <w:rFonts w:eastAsia="Times New Roman"/>
          <w:color w:val="000000"/>
          <w:sz w:val="16"/>
          <w:szCs w:val="16"/>
        </w:rPr>
        <w:t xml:space="preserve"> </w:t>
      </w:r>
      <w:r>
        <w:rPr>
          <w:rFonts w:eastAsia="Times New Roman"/>
          <w:color w:val="000000"/>
          <w:sz w:val="16"/>
          <w:szCs w:val="16"/>
        </w:rPr>
        <w:t>The leased distribution center in Hagerstown is treated as an extension of the existing owned Hagerstown location and is not considered a separate distribution center</w:t>
      </w:r>
      <w:r>
        <w:rPr>
          <w:rFonts w:eastAsia="Times New Roman"/>
          <w:color w:val="000000"/>
          <w:sz w:val="16"/>
          <w:szCs w:val="16"/>
        </w:rPr>
        <w:t>.</w:t>
      </w:r>
    </w:p>
    <w:p w:rsidR="00000000" w:rsidRDefault="00CB61D5">
      <w:pPr>
        <w:divId w:val="1774781924"/>
        <w:rPr>
          <w:rFonts w:eastAsia="Times New Roman"/>
        </w:rPr>
      </w:pPr>
      <w:r>
        <w:rPr>
          <w:rFonts w:eastAsia="Times New Roman"/>
          <w:color w:val="000000"/>
          <w:sz w:val="10"/>
          <w:szCs w:val="10"/>
          <w:vertAlign w:val="superscript"/>
        </w:rPr>
        <w:t>(b</w:t>
      </w:r>
      <w:r>
        <w:rPr>
          <w:rFonts w:eastAsia="Times New Roman"/>
          <w:color w:val="000000"/>
          <w:sz w:val="10"/>
          <w:szCs w:val="10"/>
          <w:vertAlign w:val="superscript"/>
        </w:rPr>
        <w:t>)</w:t>
      </w:r>
      <w:r>
        <w:rPr>
          <w:rFonts w:eastAsia="Times New Roman"/>
          <w:color w:val="000000"/>
          <w:sz w:val="16"/>
          <w:szCs w:val="16"/>
        </w:rPr>
        <w:t xml:space="preserve"> This is a mixing center designed to process certain high-volume bulk products</w:t>
      </w:r>
      <w:r>
        <w:rPr>
          <w:rFonts w:eastAsia="Times New Roman"/>
          <w:color w:val="000000"/>
          <w:sz w:val="16"/>
          <w:szCs w:val="16"/>
        </w:rPr>
        <w:t>.</w:t>
      </w:r>
    </w:p>
    <w:p w:rsidR="00000000" w:rsidRDefault="00CB61D5">
      <w:pPr>
        <w:divId w:val="41953408"/>
        <w:rPr>
          <w:rFonts w:eastAsia="Times New Roman"/>
        </w:rPr>
      </w:pPr>
    </w:p>
    <w:p w:rsidR="00000000" w:rsidRDefault="00CB61D5">
      <w:pPr>
        <w:jc w:val="center"/>
        <w:divId w:val="1347564121"/>
        <w:rPr>
          <w:rFonts w:eastAsia="Times New Roman"/>
        </w:rPr>
      </w:pPr>
      <w:r>
        <w:rPr>
          <w:rFonts w:eastAsia="Times New Roman"/>
          <w:color w:val="000000"/>
          <w:sz w:val="20"/>
          <w:szCs w:val="20"/>
        </w:rPr>
        <w:t>1</w:t>
      </w:r>
      <w:r>
        <w:rPr>
          <w:rFonts w:eastAsia="Times New Roman"/>
          <w:color w:val="000000"/>
          <w:sz w:val="20"/>
          <w:szCs w:val="20"/>
        </w:rPr>
        <w:t>8</w:t>
      </w:r>
    </w:p>
    <w:p w:rsidR="00000000" w:rsidRDefault="00CB61D5">
      <w:pPr>
        <w:rPr>
          <w:rFonts w:eastAsia="Times New Roman"/>
        </w:rPr>
      </w:pPr>
      <w:r>
        <w:rPr>
          <w:rFonts w:eastAsia="Times New Roman"/>
        </w:rPr>
        <w:pict>
          <v:rect id="_x0000_i1046" style="width:0;height:1.5pt" o:hralign="center" o:hrstd="t" o:hr="t" fillcolor="#a0a0a0" stroked="f"/>
        </w:pict>
      </w:r>
    </w:p>
    <w:p w:rsidR="00000000" w:rsidRDefault="00CB61D5">
      <w:pPr>
        <w:divId w:val="88082677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w:t>
      </w:r>
      <w:r>
        <w:rPr>
          <w:rFonts w:eastAsia="Times New Roman"/>
          <w:color w:val="000000"/>
          <w:sz w:val="20"/>
          <w:szCs w:val="20"/>
        </w:rPr>
        <w:t>s Store Support Center occupies approximately 260,000 square feet of owned building space in Brentwood, Tennessee, and the Company’s Merchandising Innovation Center occupies approximately 32,000 square feet of leased building space in Nashville, Tennessee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3</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Legal Proceeding</w:t>
      </w:r>
      <w:r>
        <w:rPr>
          <w:rFonts w:eastAsia="Times New Roman"/>
          <w:b/>
          <w:bCs/>
          <w:color w:val="000000"/>
          <w:sz w:val="20"/>
          <w:szCs w:val="20"/>
          <w:u w:val="single"/>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is involved in various litigation matters arising in the ordinary course of business. The Company believes that, based upon information currently available, any estimated loss related to such matters has been ade</w:t>
      </w:r>
      <w:r>
        <w:rPr>
          <w:rFonts w:eastAsia="Times New Roman"/>
          <w:color w:val="000000"/>
          <w:sz w:val="20"/>
          <w:szCs w:val="20"/>
        </w:rPr>
        <w:t>quately provided for in accrued liabilities to the extent probable and reasonably estimable. Accordingly, the Company currently expects these matters will be resolved without material adverse effect on its consolidated financial position, results of operat</w:t>
      </w:r>
      <w:r>
        <w:rPr>
          <w:rFonts w:eastAsia="Times New Roman"/>
          <w:color w:val="000000"/>
          <w:sz w:val="20"/>
          <w:szCs w:val="20"/>
        </w:rPr>
        <w:t>ions or cash flows.  However, litigation and other legal matters involve an element of uncertainty. Future developments in such matters, including adverse decisions or settlements or resulting required changes to the Company’s business operations, could af</w:t>
      </w:r>
      <w:r>
        <w:rPr>
          <w:rFonts w:eastAsia="Times New Roman"/>
          <w:color w:val="000000"/>
          <w:sz w:val="20"/>
          <w:szCs w:val="20"/>
        </w:rPr>
        <w:t>fect our consolidated operating results when resolved in future periods or could result in liability or other amounts material to the Company’s Consolidated Financial Statements.</w:t>
      </w:r>
      <w:r>
        <w:rPr>
          <w:rFonts w:eastAsia="Times New Roman"/>
          <w:color w:val="000000"/>
          <w:sz w:val="20"/>
          <w:szCs w:val="20"/>
        </w:rPr>
        <w:t xml:space="preserve"> </w:t>
      </w:r>
    </w:p>
    <w:p w:rsidR="00000000" w:rsidRDefault="00CB61D5">
      <w:pPr>
        <w:divId w:val="352607574"/>
        <w:rPr>
          <w:rFonts w:eastAsia="Times New Roman"/>
        </w:rPr>
      </w:pPr>
    </w:p>
    <w:p w:rsidR="00000000" w:rsidRDefault="00CB61D5">
      <w:pPr>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4</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Mine Safety Disclosure</w:t>
      </w:r>
      <w:r>
        <w:rPr>
          <w:rFonts w:eastAsia="Times New Roman"/>
          <w:b/>
          <w:bCs/>
          <w:color w:val="000000"/>
          <w:sz w:val="20"/>
          <w:szCs w:val="20"/>
          <w:u w:val="single"/>
        </w:rPr>
        <w:t>s</w:t>
      </w:r>
    </w:p>
    <w:p w:rsidR="00000000" w:rsidRDefault="00CB61D5">
      <w:pPr>
        <w:divId w:val="1403062768"/>
        <w:rPr>
          <w:rFonts w:eastAsia="Times New Roman"/>
        </w:rPr>
      </w:pPr>
    </w:p>
    <w:p w:rsidR="00000000" w:rsidRDefault="00CB61D5">
      <w:pPr>
        <w:jc w:val="both"/>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CB61D5">
      <w:pPr>
        <w:jc w:val="both"/>
        <w:rPr>
          <w:rFonts w:eastAsia="Times New Roman"/>
        </w:rPr>
      </w:pPr>
    </w:p>
    <w:p w:rsidR="00000000" w:rsidRDefault="00CB61D5">
      <w:pPr>
        <w:jc w:val="center"/>
        <w:rPr>
          <w:rFonts w:eastAsia="Times New Roman"/>
        </w:rPr>
      </w:pPr>
      <w:r>
        <w:rPr>
          <w:rFonts w:eastAsia="Times New Roman"/>
          <w:b/>
          <w:bCs/>
          <w:color w:val="000000"/>
          <w:sz w:val="20"/>
          <w:szCs w:val="20"/>
        </w:rPr>
        <w:t>PART I</w:t>
      </w:r>
      <w:r>
        <w:rPr>
          <w:rFonts w:eastAsia="Times New Roman"/>
          <w:b/>
          <w:bCs/>
          <w:color w:val="000000"/>
          <w:sz w:val="20"/>
          <w:szCs w:val="20"/>
        </w:rPr>
        <w:t>I</w:t>
      </w:r>
    </w:p>
    <w:p w:rsidR="00000000" w:rsidRDefault="00CB61D5">
      <w:pPr>
        <w:divId w:val="1397388986"/>
        <w:rPr>
          <w:rFonts w:eastAsia="Times New Roman"/>
        </w:rPr>
      </w:pPr>
    </w:p>
    <w:p w:rsidR="00000000" w:rsidRDefault="00CB61D5">
      <w:pPr>
        <w:ind w:hanging="1440"/>
        <w:divId w:val="1971783642"/>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5</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Market for Registrant’s Common Equity, Related Stockholder Matters and Issuer Purchases of Equity Securitie</w:t>
      </w:r>
      <w:r>
        <w:rPr>
          <w:rFonts w:eastAsia="Times New Roman"/>
          <w:b/>
          <w:bCs/>
          <w:color w:val="000000"/>
          <w:sz w:val="20"/>
          <w:szCs w:val="20"/>
          <w:u w:val="single"/>
        </w:rPr>
        <w:t>s</w:t>
      </w:r>
    </w:p>
    <w:p w:rsidR="00000000" w:rsidRDefault="00CB61D5">
      <w:pPr>
        <w:divId w:val="915282720"/>
        <w:rPr>
          <w:rFonts w:eastAsia="Times New Roman"/>
        </w:rPr>
      </w:pPr>
    </w:p>
    <w:p w:rsidR="00000000" w:rsidRDefault="00CB61D5">
      <w:pPr>
        <w:jc w:val="both"/>
        <w:rPr>
          <w:rFonts w:eastAsia="Times New Roman"/>
        </w:rPr>
      </w:pPr>
      <w:r>
        <w:rPr>
          <w:rFonts w:eastAsia="Times New Roman"/>
          <w:color w:val="000000"/>
          <w:sz w:val="20"/>
          <w:szCs w:val="20"/>
        </w:rPr>
        <w:t>The Company’s common stock trades on the Nasdaq Global Select Market under the symbol, “TSCO.</w:t>
      </w:r>
      <w:r>
        <w:rPr>
          <w:rFonts w:eastAsia="Times New Roman"/>
          <w:color w:val="000000"/>
          <w:sz w:val="20"/>
          <w:szCs w:val="20"/>
        </w:rPr>
        <w:t>”</w:t>
      </w:r>
    </w:p>
    <w:p w:rsidR="00000000" w:rsidRDefault="00CB61D5">
      <w:pPr>
        <w:divId w:val="512571271"/>
        <w:rPr>
          <w:rFonts w:eastAsia="Times New Roman"/>
        </w:rPr>
      </w:pPr>
    </w:p>
    <w:p w:rsidR="00000000" w:rsidRDefault="00CB61D5">
      <w:pPr>
        <w:jc w:val="both"/>
        <w:rPr>
          <w:rFonts w:eastAsia="Times New Roman"/>
        </w:rPr>
      </w:pPr>
      <w:r>
        <w:rPr>
          <w:rFonts w:eastAsia="Times New Roman"/>
          <w:color w:val="000000"/>
          <w:sz w:val="20"/>
          <w:szCs w:val="20"/>
        </w:rPr>
        <w:t>The table below sets forth the high and</w:t>
      </w:r>
      <w:r>
        <w:rPr>
          <w:rFonts w:eastAsia="Times New Roman"/>
          <w:color w:val="000000"/>
          <w:sz w:val="20"/>
          <w:szCs w:val="20"/>
        </w:rPr>
        <w:t xml:space="preserve"> low sales prices of our common stock as reported by the Nasdaq Global Select Market for each fiscal quarter of the periods indicated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3345"/>
        <w:gridCol w:w="65"/>
        <w:gridCol w:w="65"/>
        <w:gridCol w:w="793"/>
        <w:gridCol w:w="65"/>
        <w:gridCol w:w="37"/>
        <w:gridCol w:w="37"/>
        <w:gridCol w:w="37"/>
        <w:gridCol w:w="56"/>
        <w:gridCol w:w="793"/>
        <w:gridCol w:w="65"/>
        <w:gridCol w:w="36"/>
        <w:gridCol w:w="36"/>
        <w:gridCol w:w="36"/>
        <w:gridCol w:w="58"/>
        <w:gridCol w:w="794"/>
        <w:gridCol w:w="66"/>
        <w:gridCol w:w="36"/>
        <w:gridCol w:w="36"/>
        <w:gridCol w:w="36"/>
        <w:gridCol w:w="59"/>
        <w:gridCol w:w="795"/>
        <w:gridCol w:w="66"/>
        <w:gridCol w:w="64"/>
        <w:gridCol w:w="64"/>
        <w:gridCol w:w="64"/>
        <w:gridCol w:w="64"/>
        <w:gridCol w:w="64"/>
        <w:gridCol w:w="64"/>
        <w:gridCol w:w="36"/>
        <w:gridCol w:w="36"/>
        <w:gridCol w:w="36"/>
        <w:gridCol w:w="36"/>
        <w:gridCol w:w="36"/>
        <w:gridCol w:w="36"/>
        <w:gridCol w:w="36"/>
        <w:gridCol w:w="36"/>
        <w:gridCol w:w="36"/>
        <w:gridCol w:w="36"/>
        <w:gridCol w:w="36"/>
        <w:gridCol w:w="36"/>
      </w:tblGrid>
      <w:tr w:rsidR="00000000">
        <w:trPr>
          <w:gridAfter w:val="18"/>
          <w:divId w:val="516620584"/>
        </w:trPr>
        <w:tc>
          <w:tcPr>
            <w:tcW w:w="50" w:type="pct"/>
            <w:vAlign w:val="center"/>
            <w:hideMark/>
          </w:tcPr>
          <w:p w:rsidR="00000000" w:rsidRDefault="00CB61D5">
            <w:pPr>
              <w:jc w:val="both"/>
              <w:rPr>
                <w:rFonts w:eastAsia="Times New Roman"/>
              </w:rPr>
            </w:pPr>
          </w:p>
        </w:tc>
        <w:tc>
          <w:tcPr>
            <w:tcW w:w="224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51662058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Price Rang</w:t>
            </w:r>
            <w:r>
              <w:rPr>
                <w:rFonts w:eastAsia="Times New Roman"/>
                <w:b/>
                <w:bCs/>
                <w:color w:val="000000"/>
                <w:sz w:val="20"/>
                <w:szCs w:val="20"/>
              </w:rPr>
              <w:t>e</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51662058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51662058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Hig</w:t>
            </w:r>
            <w:r>
              <w:rPr>
                <w:rFonts w:eastAsia="Times New Roman"/>
                <w:b/>
                <w:bCs/>
                <w:color w:val="000000"/>
                <w:sz w:val="20"/>
                <w:szCs w:val="20"/>
              </w:rPr>
              <w:t>h</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Lo</w:t>
            </w:r>
            <w:r>
              <w:rPr>
                <w:rFonts w:eastAsia="Times New Roman"/>
                <w:b/>
                <w:bCs/>
                <w:color w:val="000000"/>
                <w:sz w:val="20"/>
                <w:szCs w:val="20"/>
              </w:rPr>
              <w:t>w</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Hig</w:t>
            </w:r>
            <w:r>
              <w:rPr>
                <w:rFonts w:eastAsia="Times New Roman"/>
                <w:b/>
                <w:bCs/>
                <w:color w:val="000000"/>
                <w:sz w:val="20"/>
                <w:szCs w:val="20"/>
              </w:rPr>
              <w:t>h</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Lo</w:t>
            </w:r>
            <w:r>
              <w:rPr>
                <w:rFonts w:eastAsia="Times New Roman"/>
                <w:b/>
                <w:bCs/>
                <w:color w:val="000000"/>
                <w:sz w:val="20"/>
                <w:szCs w:val="20"/>
              </w:rPr>
              <w:t>w</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516620584"/>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First Quarte</w:t>
            </w:r>
            <w:r>
              <w:rPr>
                <w:rFonts w:eastAsia="Times New Roman"/>
                <w:color w:val="000000"/>
                <w:sz w:val="20"/>
                <w:szCs w:val="20"/>
              </w:rPr>
              <w:t>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$98.5</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$80.3</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$82.6</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$58.7</w:t>
            </w:r>
            <w:r>
              <w:rPr>
                <w:rFonts w:eastAsia="Times New Roman"/>
                <w:color w:val="000000"/>
                <w:sz w:val="20"/>
                <w:szCs w:val="20"/>
              </w:rPr>
              <w:t>8</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51662058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Second Quarte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$109.6</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$96.6</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$79.0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$58.2</w:t>
            </w:r>
            <w:r>
              <w:rPr>
                <w:rFonts w:eastAsia="Times New Roman"/>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516620584"/>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Third Quarte</w:t>
            </w:r>
            <w:r>
              <w:rPr>
                <w:rFonts w:eastAsia="Times New Roman"/>
                <w:color w:val="000000"/>
                <w:sz w:val="20"/>
                <w:szCs w:val="20"/>
              </w:rPr>
              <w:t>r</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$114.2</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$88.4</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$92.4</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$74.9</w:t>
            </w:r>
            <w:r>
              <w:rPr>
                <w:rFonts w:eastAsia="Times New Roman"/>
                <w:color w:val="000000"/>
                <w:sz w:val="20"/>
                <w:szCs w:val="20"/>
              </w:rPr>
              <w:t>3</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51662058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Fourth Quarte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$99.3</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$89.0</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$97.6</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$78.6</w:t>
            </w:r>
            <w:r>
              <w:rPr>
                <w:rFonts w:eastAsia="Times New Roman"/>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of January </w:t>
      </w:r>
      <w:r>
        <w:rPr>
          <w:rFonts w:eastAsia="Times New Roman"/>
          <w:color w:val="000000"/>
          <w:sz w:val="20"/>
          <w:szCs w:val="20"/>
        </w:rPr>
        <w:t>25, 2020, the number of record holders of our common stock was 519 (excluding individual participants in nominee security position listings), and the estimated number of beneficial holders of our common stock was approximately 240,000</w:t>
      </w:r>
      <w:r>
        <w:rPr>
          <w:rFonts w:eastAsia="Times New Roman"/>
          <w:color w:val="000000"/>
          <w:sz w:val="20"/>
          <w:szCs w:val="20"/>
        </w:rPr>
        <w:t>.</w:t>
      </w:r>
    </w:p>
    <w:p w:rsidR="00000000" w:rsidRDefault="00CB61D5">
      <w:pPr>
        <w:divId w:val="1456408001"/>
        <w:rPr>
          <w:rFonts w:eastAsia="Times New Roman"/>
        </w:rPr>
      </w:pPr>
    </w:p>
    <w:p w:rsidR="00000000" w:rsidRDefault="00CB61D5">
      <w:pPr>
        <w:jc w:val="center"/>
        <w:divId w:val="888032041"/>
        <w:rPr>
          <w:rFonts w:eastAsia="Times New Roman"/>
        </w:rPr>
      </w:pPr>
      <w:r>
        <w:rPr>
          <w:rFonts w:eastAsia="Times New Roman"/>
          <w:color w:val="000000"/>
          <w:sz w:val="20"/>
          <w:szCs w:val="20"/>
        </w:rPr>
        <w:t>1</w:t>
      </w:r>
      <w:r>
        <w:rPr>
          <w:rFonts w:eastAsia="Times New Roman"/>
          <w:color w:val="000000"/>
          <w:sz w:val="20"/>
          <w:szCs w:val="20"/>
        </w:rPr>
        <w:t>9</w:t>
      </w:r>
    </w:p>
    <w:p w:rsidR="00000000" w:rsidRDefault="00CB61D5">
      <w:pPr>
        <w:rPr>
          <w:rFonts w:eastAsia="Times New Roman"/>
        </w:rPr>
      </w:pPr>
      <w:r>
        <w:rPr>
          <w:rFonts w:eastAsia="Times New Roman"/>
        </w:rPr>
        <w:pict>
          <v:rect id="_x0000_i1047" style="width:0;height:1.5pt" o:hralign="center" o:hrstd="t" o:hr="t" fillcolor="#a0a0a0" stroked="f"/>
        </w:pict>
      </w:r>
    </w:p>
    <w:p w:rsidR="00000000" w:rsidRDefault="00CB61D5">
      <w:pPr>
        <w:divId w:val="61259270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Common Stock Dividend</w:t>
      </w:r>
      <w:r>
        <w:rPr>
          <w:rFonts w:eastAsia="Times New Roman"/>
          <w:b/>
          <w:bCs/>
          <w:color w:val="000000"/>
          <w:sz w:val="20"/>
          <w:szCs w:val="20"/>
        </w:rPr>
        <w:t>s</w:t>
      </w:r>
    </w:p>
    <w:p w:rsidR="00000000" w:rsidRDefault="00CB61D5">
      <w:pPr>
        <w:divId w:val="624435603"/>
        <w:rPr>
          <w:rFonts w:eastAsia="Times New Roman"/>
        </w:rPr>
      </w:pPr>
    </w:p>
    <w:p w:rsidR="00000000" w:rsidRDefault="00CB61D5">
      <w:pPr>
        <w:divId w:val="125003785"/>
        <w:rPr>
          <w:rFonts w:eastAsia="Times New Roman"/>
        </w:rPr>
      </w:pPr>
      <w:r>
        <w:rPr>
          <w:rFonts w:eastAsia="Times New Roman"/>
          <w:color w:val="000000"/>
          <w:sz w:val="20"/>
          <w:szCs w:val="20"/>
        </w:rPr>
        <w:t>During fiscal 2019 and 2018, the Company’s Board of Directors declared the following cash dividends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1"/>
        <w:gridCol w:w="2106"/>
        <w:gridCol w:w="71"/>
        <w:gridCol w:w="36"/>
        <w:gridCol w:w="36"/>
        <w:gridCol w:w="36"/>
        <w:gridCol w:w="66"/>
        <w:gridCol w:w="1217"/>
        <w:gridCol w:w="85"/>
        <w:gridCol w:w="36"/>
        <w:gridCol w:w="36"/>
        <w:gridCol w:w="36"/>
        <w:gridCol w:w="66"/>
        <w:gridCol w:w="1985"/>
        <w:gridCol w:w="71"/>
        <w:gridCol w:w="36"/>
        <w:gridCol w:w="36"/>
        <w:gridCol w:w="36"/>
        <w:gridCol w:w="66"/>
        <w:gridCol w:w="2106"/>
        <w:gridCol w:w="72"/>
      </w:tblGrid>
      <w:tr w:rsidR="00000000">
        <w:trPr>
          <w:divId w:val="1853955998"/>
        </w:trPr>
        <w:tc>
          <w:tcPr>
            <w:tcW w:w="50" w:type="pct"/>
            <w:vAlign w:val="center"/>
            <w:hideMark/>
          </w:tcPr>
          <w:p w:rsidR="00000000" w:rsidRDefault="00CB61D5">
            <w:pPr>
              <w:rPr>
                <w:rFonts w:eastAsia="Times New Roman"/>
              </w:rPr>
            </w:pPr>
          </w:p>
        </w:tc>
        <w:tc>
          <w:tcPr>
            <w:tcW w:w="127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4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20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27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85395599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r>
            <w:r>
              <w:rPr>
                <w:rFonts w:eastAsia="Times New Roman"/>
                <w:b/>
                <w:bCs/>
                <w:color w:val="000000"/>
                <w:sz w:val="20"/>
                <w:szCs w:val="20"/>
              </w:rP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18539559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December 10, 201</w:t>
            </w:r>
            <w:r>
              <w:rPr>
                <w:rFonts w:eastAsia="Times New Roman"/>
                <w:color w:val="000000"/>
                <w:sz w:val="20"/>
                <w:szCs w:val="20"/>
              </w:rPr>
              <w:t>9</w:t>
            </w:r>
          </w:p>
        </w:tc>
      </w:tr>
      <w:tr w:rsidR="00000000">
        <w:trPr>
          <w:divId w:val="185395599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7,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26,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September 10, 201</w:t>
            </w:r>
            <w:r>
              <w:rPr>
                <w:rFonts w:eastAsia="Times New Roman"/>
                <w:color w:val="000000"/>
                <w:sz w:val="20"/>
                <w:szCs w:val="20"/>
              </w:rPr>
              <w:t>9</w:t>
            </w:r>
          </w:p>
        </w:tc>
      </w:tr>
      <w:tr w:rsidR="00000000">
        <w:trPr>
          <w:divId w:val="185395599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185395599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r w:rsidR="00000000">
        <w:trPr>
          <w:divId w:val="1853955998"/>
          <w:trHeight w:val="280"/>
        </w:trPr>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85395599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7,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26,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December 11, 201</w:t>
            </w:r>
            <w:r>
              <w:rPr>
                <w:rFonts w:eastAsia="Times New Roman"/>
                <w:color w:val="000000"/>
                <w:sz w:val="20"/>
                <w:szCs w:val="20"/>
              </w:rPr>
              <w:t>8</w:t>
            </w:r>
          </w:p>
        </w:tc>
      </w:tr>
      <w:tr w:rsidR="00000000">
        <w:trPr>
          <w:divId w:val="185395599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8,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27,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September 11, 201</w:t>
            </w:r>
            <w:r>
              <w:rPr>
                <w:rFonts w:eastAsia="Times New Roman"/>
                <w:color w:val="000000"/>
                <w:sz w:val="20"/>
                <w:szCs w:val="20"/>
              </w:rPr>
              <w:t>8</w:t>
            </w:r>
          </w:p>
        </w:tc>
      </w:tr>
      <w:tr w:rsidR="00000000">
        <w:trPr>
          <w:divId w:val="185395599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9,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29,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June 12, 201</w:t>
            </w:r>
            <w:r>
              <w:rPr>
                <w:rFonts w:eastAsia="Times New Roman"/>
                <w:color w:val="000000"/>
                <w:sz w:val="20"/>
                <w:szCs w:val="20"/>
              </w:rPr>
              <w:t>8</w:t>
            </w:r>
          </w:p>
        </w:tc>
      </w:tr>
      <w:tr w:rsidR="00000000">
        <w:trPr>
          <w:divId w:val="185395599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7,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26,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March 13, 201</w:t>
            </w:r>
            <w:r>
              <w:rPr>
                <w:rFonts w:eastAsia="Times New Roman"/>
                <w:color w:val="000000"/>
                <w:sz w:val="20"/>
                <w:szCs w:val="20"/>
              </w:rPr>
              <w:t>8</w:t>
            </w:r>
          </w:p>
        </w:tc>
      </w:tr>
    </w:tbl>
    <w:p w:rsidR="00000000" w:rsidRDefault="00CB61D5">
      <w:pPr>
        <w:divId w:val="245649608"/>
        <w:rPr>
          <w:rFonts w:eastAsia="Times New Roman"/>
        </w:rPr>
      </w:pPr>
    </w:p>
    <w:p w:rsidR="00000000" w:rsidRDefault="00CB61D5">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de</w:t>
      </w:r>
      <w:r>
        <w:rPr>
          <w:rFonts w:eastAsia="Times New Roman"/>
          <w:color w:val="000000"/>
          <w:sz w:val="20"/>
          <w:szCs w:val="20"/>
        </w:rPr>
        <w:t>pend upon the earnings, financial condition, and capital needs of the Company, along with any other factors which the Company’s Board of Directors deem relevant.</w:t>
      </w:r>
      <w:r>
        <w:rPr>
          <w:rFonts w:eastAsia="Times New Roman"/>
          <w:color w:val="000000"/>
          <w:sz w:val="20"/>
          <w:szCs w:val="20"/>
        </w:rPr>
        <w:t xml:space="preserve"> </w:t>
      </w:r>
    </w:p>
    <w:p w:rsidR="00000000" w:rsidRDefault="00CB61D5">
      <w:pPr>
        <w:divId w:val="391780363"/>
        <w:rPr>
          <w:rFonts w:eastAsia="Times New Roman"/>
        </w:rPr>
      </w:pPr>
    </w:p>
    <w:p w:rsidR="00000000" w:rsidRDefault="00CB61D5">
      <w:pPr>
        <w:jc w:val="both"/>
        <w:rPr>
          <w:rFonts w:eastAsia="Times New Roman"/>
        </w:rPr>
      </w:pPr>
      <w:r>
        <w:rPr>
          <w:rFonts w:eastAsia="Times New Roman"/>
          <w:color w:val="000000"/>
          <w:sz w:val="20"/>
          <w:szCs w:val="20"/>
        </w:rPr>
        <w:t>On February 5, 2020, the Company’s Board of Directors declared a quarterly cash dividend of</w:t>
      </w:r>
      <w:r>
        <w:rPr>
          <w:rFonts w:eastAsia="Times New Roman"/>
          <w:color w:val="000000"/>
          <w:sz w:val="20"/>
          <w:szCs w:val="20"/>
        </w:rPr>
        <w:t xml:space="preserve"> $0.35 per share of the Company’s outstanding common stock.  The dividend will be paid on March 10, 2020, to stockholders of record as of the close of business on February 24, 2020.</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On May 8, 2019, the Company's Board of Directors authorized a $1.5 billion increase to the existing share repurchase program, bringing the total amount authorize</w:t>
      </w:r>
      <w:r>
        <w:rPr>
          <w:rFonts w:eastAsia="Times New Roman"/>
          <w:color w:val="000000"/>
          <w:sz w:val="20"/>
          <w:szCs w:val="20"/>
        </w:rPr>
        <w:t xml:space="preserve">d since the inception of the program up to $4.5 billion, exclusive of any fees, commissions or other expenses related to such repurchases. Additionally, the Company withholds shares from vested restricted stock units and performance-based restricted share </w:t>
      </w:r>
      <w:r>
        <w:rPr>
          <w:rFonts w:eastAsia="Times New Roman"/>
          <w:color w:val="000000"/>
          <w:sz w:val="20"/>
          <w:szCs w:val="20"/>
        </w:rPr>
        <w:t>units to satisfy employees’ minimum statutory tax withholding requirements. Stock purchase activity during fiscal 2019 is set forth in the table below</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1"/>
        <w:gridCol w:w="2292"/>
        <w:gridCol w:w="39"/>
        <w:gridCol w:w="36"/>
        <w:gridCol w:w="36"/>
        <w:gridCol w:w="36"/>
        <w:gridCol w:w="65"/>
        <w:gridCol w:w="818"/>
        <w:gridCol w:w="85"/>
        <w:gridCol w:w="36"/>
        <w:gridCol w:w="36"/>
        <w:gridCol w:w="36"/>
        <w:gridCol w:w="136"/>
        <w:gridCol w:w="947"/>
        <w:gridCol w:w="85"/>
        <w:gridCol w:w="36"/>
        <w:gridCol w:w="36"/>
        <w:gridCol w:w="36"/>
        <w:gridCol w:w="94"/>
        <w:gridCol w:w="1453"/>
        <w:gridCol w:w="93"/>
        <w:gridCol w:w="36"/>
        <w:gridCol w:w="36"/>
        <w:gridCol w:w="36"/>
        <w:gridCol w:w="136"/>
        <w:gridCol w:w="1467"/>
        <w:gridCol w:w="86"/>
      </w:tblGrid>
      <w:tr w:rsidR="00000000">
        <w:trPr>
          <w:divId w:val="1559439930"/>
        </w:trPr>
        <w:tc>
          <w:tcPr>
            <w:tcW w:w="50" w:type="pct"/>
            <w:vAlign w:val="center"/>
            <w:hideMark/>
          </w:tcPr>
          <w:p w:rsidR="00000000" w:rsidRDefault="00CB61D5">
            <w:pPr>
              <w:jc w:val="both"/>
              <w:rPr>
                <w:rFonts w:eastAsia="Times New Roman"/>
              </w:rPr>
            </w:pPr>
          </w:p>
        </w:tc>
        <w:tc>
          <w:tcPr>
            <w:tcW w:w="146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9"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8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84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559439930"/>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w:t>
            </w:r>
            <w:r>
              <w:rPr>
                <w:rFonts w:eastAsia="Times New Roman"/>
                <w:b/>
                <w:bCs/>
                <w:color w:val="000000"/>
                <w:sz w:val="20"/>
                <w:szCs w:val="20"/>
              </w:rPr>
              <w:br/>
              <w:t>Purchase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Average</w:t>
            </w:r>
            <w:r>
              <w:rPr>
                <w:rFonts w:eastAsia="Times New Roman"/>
                <w:b/>
                <w:bCs/>
                <w:color w:val="000000"/>
                <w:sz w:val="20"/>
                <w:szCs w:val="20"/>
              </w:rPr>
              <w:br/>
            </w:r>
            <w:r>
              <w:rPr>
                <w:rFonts w:eastAsia="Times New Roman"/>
                <w:b/>
                <w:bCs/>
                <w:color w:val="000000"/>
                <w:sz w:val="20"/>
                <w:szCs w:val="20"/>
              </w:rPr>
              <w:t>Price Paid</w:t>
            </w:r>
            <w:r>
              <w:rPr>
                <w:rFonts w:eastAsia="Times New Roman"/>
                <w:b/>
                <w:bCs/>
                <w:color w:val="000000"/>
                <w:sz w:val="20"/>
                <w:szCs w:val="20"/>
              </w:rPr>
              <w:br/>
              <w:t>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Total Number of Shares Purchased as Part of Publicly Announced Plans or Program</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Maximum Dollar Value of Shares That May Yet Be</w:t>
            </w:r>
            <w:r>
              <w:rPr>
                <w:rFonts w:eastAsia="Times New Roman"/>
                <w:b/>
                <w:bCs/>
                <w:color w:val="000000"/>
                <w:sz w:val="20"/>
                <w:szCs w:val="20"/>
              </w:rPr>
              <w:br/>
              <w:t>Purchased</w:t>
            </w:r>
            <w:r>
              <w:rPr>
                <w:rFonts w:eastAsia="Times New Roman"/>
                <w:b/>
                <w:bCs/>
                <w:color w:val="000000"/>
                <w:sz w:val="20"/>
                <w:szCs w:val="20"/>
              </w:rPr>
              <w:br/>
              <w:t>Under the Plans or Program</w:t>
            </w:r>
            <w:r>
              <w:rPr>
                <w:rFonts w:eastAsia="Times New Roman"/>
                <w:b/>
                <w:bCs/>
                <w:color w:val="000000"/>
                <w:sz w:val="20"/>
                <w:szCs w:val="20"/>
              </w:rPr>
              <w:t>s</w:t>
            </w:r>
          </w:p>
        </w:tc>
      </w:tr>
      <w:tr w:rsidR="00000000">
        <w:trPr>
          <w:divId w:val="15594399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divId w:val="1875073731"/>
              <w:rPr>
                <w:rFonts w:eastAsia="Times New Roman"/>
              </w:rPr>
            </w:pPr>
            <w:r>
              <w:rPr>
                <w:rFonts w:eastAsia="Times New Roman"/>
                <w:color w:val="000000"/>
                <w:sz w:val="20"/>
                <w:szCs w:val="20"/>
              </w:rPr>
              <w:t>First Quarter</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1,758,099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90.07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1,724,100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364,717,356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tcMar>
              <w:top w:w="30" w:type="dxa"/>
              <w:left w:w="20" w:type="dxa"/>
              <w:bottom w:w="30" w:type="dxa"/>
              <w:right w:w="20" w:type="dxa"/>
            </w:tcMar>
            <w:vAlign w:val="bottom"/>
            <w:hideMark/>
          </w:tcPr>
          <w:p w:rsidR="00000000" w:rsidRDefault="00CB61D5">
            <w:pPr>
              <w:divId w:val="240410422"/>
              <w:rPr>
                <w:rFonts w:eastAsia="Times New Roman"/>
              </w:rPr>
            </w:pPr>
            <w:r>
              <w:rPr>
                <w:rFonts w:eastAsia="Times New Roman"/>
                <w:color w:val="000000"/>
                <w:sz w:val="20"/>
                <w:szCs w:val="20"/>
              </w:rPr>
              <w:t>Second Quarter</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1,733,618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1,732,500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1,685,822,720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shd w:val="clear" w:color="auto" w:fill="CCEEFF"/>
            <w:tcMar>
              <w:top w:w="30" w:type="dxa"/>
              <w:left w:w="20" w:type="dxa"/>
              <w:bottom w:w="30" w:type="dxa"/>
              <w:right w:w="20" w:type="dxa"/>
            </w:tcMar>
            <w:vAlign w:val="bottom"/>
            <w:hideMark/>
          </w:tcPr>
          <w:p w:rsidR="00000000" w:rsidRDefault="00CB61D5">
            <w:pPr>
              <w:divId w:val="1157263371"/>
              <w:rPr>
                <w:rFonts w:eastAsia="Times New Roman"/>
              </w:rPr>
            </w:pPr>
            <w:r>
              <w:rPr>
                <w:rFonts w:eastAsia="Times New Roman"/>
                <w:color w:val="000000"/>
                <w:sz w:val="20"/>
                <w:szCs w:val="20"/>
              </w:rPr>
              <w:t>Third Quarter</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1,476,094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1,469,713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1,530,099,430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Height w:val="18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559439930"/>
        </w:trPr>
        <w:tc>
          <w:tcPr>
            <w:tcW w:w="0" w:type="auto"/>
            <w:gridSpan w:val="3"/>
            <w:shd w:val="clear" w:color="auto" w:fill="CCEEFF"/>
            <w:tcMar>
              <w:top w:w="30" w:type="dxa"/>
              <w:left w:w="20" w:type="dxa"/>
              <w:bottom w:w="30" w:type="dxa"/>
              <w:right w:w="20" w:type="dxa"/>
            </w:tcMar>
            <w:vAlign w:val="bottom"/>
            <w:hideMark/>
          </w:tcPr>
          <w:p w:rsidR="00000000" w:rsidRDefault="00CB61D5">
            <w:pPr>
              <w:divId w:val="2083064562"/>
              <w:rPr>
                <w:rFonts w:eastAsia="Times New Roman"/>
              </w:rPr>
            </w:pPr>
            <w:r>
              <w:rPr>
                <w:rFonts w:eastAsia="Times New Roman"/>
                <w:color w:val="000000"/>
                <w:sz w:val="20"/>
                <w:szCs w:val="20"/>
              </w:rPr>
              <w:t>Fourth Quarter:</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9/29/19 - 10/26/1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1,519,019,236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10/27/19 - 11/23/1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111,288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1,508,316,429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11/24/19 - 12/28/1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228,000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94.55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228,000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1,486,763,173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458,288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94.64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458,000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1,486,763,173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59439930"/>
          <w:trHeight w:val="18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55943993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As of December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5,426,099</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98.99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5,384,313</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1,486,763,173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ind w:hanging="180"/>
        <w:jc w:val="both"/>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w:t>
      </w:r>
      <w:r>
        <w:rPr>
          <w:rFonts w:eastAsia="Times New Roman"/>
          <w:color w:val="000000"/>
          <w:sz w:val="16"/>
          <w:szCs w:val="16"/>
        </w:rPr>
        <w:t xml:space="preserve"> The total number of shares purchased and average price paid per share include shares withheld from vested stock awards to satisfy employees’ minimum sta</w:t>
      </w:r>
      <w:r>
        <w:rPr>
          <w:rFonts w:eastAsia="Times New Roman"/>
          <w:color w:val="000000"/>
          <w:sz w:val="16"/>
          <w:szCs w:val="16"/>
        </w:rPr>
        <w:t>tutory tax withholding requirements of 33,999 during the first quarter, 1,118 during the second quarter, 6,381 during the third quarter, and 288 during the fourth quarter.</w:t>
      </w:r>
      <w:r>
        <w:rPr>
          <w:rFonts w:eastAsia="Times New Roman"/>
          <w:color w:val="000000"/>
          <w:sz w:val="16"/>
          <w:szCs w:val="16"/>
        </w:rPr>
        <w:t xml:space="preserve"> </w:t>
      </w:r>
    </w:p>
    <w:p w:rsidR="00000000" w:rsidRDefault="00CB61D5">
      <w:pPr>
        <w:jc w:val="both"/>
        <w:rPr>
          <w:rFonts w:eastAsia="Times New Roman"/>
        </w:rPr>
      </w:pPr>
    </w:p>
    <w:p w:rsidR="00000000" w:rsidRDefault="00CB61D5">
      <w:pPr>
        <w:jc w:val="center"/>
        <w:divId w:val="1960452102"/>
        <w:rPr>
          <w:rFonts w:eastAsia="Times New Roman"/>
        </w:rPr>
      </w:pPr>
      <w:r>
        <w:rPr>
          <w:rFonts w:eastAsia="Times New Roman"/>
          <w:color w:val="000000"/>
          <w:sz w:val="20"/>
          <w:szCs w:val="20"/>
        </w:rPr>
        <w:t>2</w:t>
      </w:r>
      <w:r>
        <w:rPr>
          <w:rFonts w:eastAsia="Times New Roman"/>
          <w:color w:val="000000"/>
          <w:sz w:val="20"/>
          <w:szCs w:val="20"/>
        </w:rPr>
        <w:t>0</w:t>
      </w:r>
    </w:p>
    <w:p w:rsidR="00000000" w:rsidRDefault="00CB61D5">
      <w:pPr>
        <w:rPr>
          <w:rFonts w:eastAsia="Times New Roman"/>
        </w:rPr>
      </w:pPr>
      <w:r>
        <w:rPr>
          <w:rFonts w:eastAsia="Times New Roman"/>
        </w:rPr>
        <w:pict>
          <v:rect id="_x0000_i1048" style="width:0;height:1.5pt" o:hralign="center" o:hrstd="t" o:hr="t" fillcolor="#a0a0a0" stroked="f"/>
        </w:pict>
      </w:r>
    </w:p>
    <w:p w:rsidR="00000000" w:rsidRDefault="00CB61D5">
      <w:pPr>
        <w:divId w:val="2511002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We expec</w:t>
      </w:r>
      <w:r>
        <w:rPr>
          <w:rFonts w:eastAsia="Times New Roman"/>
          <w:color w:val="000000"/>
          <w:sz w:val="20"/>
          <w:szCs w:val="20"/>
        </w:rPr>
        <w:t>t to implement the balance of the repurchase program through purchases made from time to time either in the open market or through private transactions, in accordance with regulations of the SEC and other applicable legal requirements.  The timing and amou</w:t>
      </w:r>
      <w:r>
        <w:rPr>
          <w:rFonts w:eastAsia="Times New Roman"/>
          <w:color w:val="000000"/>
          <w:sz w:val="20"/>
          <w:szCs w:val="20"/>
        </w:rPr>
        <w:t>nt of any common stock repurchased under the program will depend on a variety of factors including price, corporate and regulatory requirements, capital availability, and other market conditions</w:t>
      </w:r>
      <w:r>
        <w:rPr>
          <w:rFonts w:eastAsia="Times New Roman"/>
          <w:color w:val="000000"/>
          <w:sz w:val="20"/>
          <w:szCs w:val="20"/>
        </w:rPr>
        <w:t>.</w:t>
      </w:r>
    </w:p>
    <w:p w:rsidR="00000000" w:rsidRDefault="00CB61D5">
      <w:pPr>
        <w:jc w:val="both"/>
        <w:rPr>
          <w:rFonts w:eastAsia="Times New Roman"/>
        </w:rPr>
      </w:pPr>
      <w:r>
        <w:rPr>
          <w:rFonts w:eastAsia="Times New Roman"/>
          <w:color w:val="000000"/>
          <w:sz w:val="20"/>
          <w:szCs w:val="20"/>
        </w:rPr>
        <w:t> </w:t>
      </w:r>
    </w:p>
    <w:p w:rsidR="00000000" w:rsidRDefault="00CB61D5">
      <w:pPr>
        <w:jc w:val="both"/>
        <w:rPr>
          <w:rFonts w:eastAsia="Times New Roman"/>
        </w:rPr>
      </w:pPr>
      <w:r>
        <w:rPr>
          <w:rFonts w:eastAsia="Times New Roman"/>
          <w:color w:val="000000"/>
          <w:sz w:val="20"/>
          <w:szCs w:val="20"/>
        </w:rPr>
        <w:t>Any additional stock repurchase programs will be subject to the discretion of our Board of Directors and will depend upon earnings, financial condition, and capital needs of the Company, along with any other factors which the Board of Directors deem releva</w:t>
      </w:r>
      <w:r>
        <w:rPr>
          <w:rFonts w:eastAsia="Times New Roman"/>
          <w:color w:val="000000"/>
          <w:sz w:val="20"/>
          <w:szCs w:val="20"/>
        </w:rPr>
        <w:t>nt.  The program may be limited or terminated at any time, without prior notice</w:t>
      </w:r>
      <w:r>
        <w:rPr>
          <w:rFonts w:eastAsia="Times New Roman"/>
          <w:color w:val="000000"/>
          <w:sz w:val="20"/>
          <w:szCs w:val="20"/>
        </w:rPr>
        <w:t>.</w:t>
      </w:r>
    </w:p>
    <w:p w:rsidR="00000000" w:rsidRDefault="00CB61D5">
      <w:pPr>
        <w:jc w:val="center"/>
        <w:rPr>
          <w:rFonts w:eastAsia="Times New Roman"/>
        </w:rPr>
      </w:pPr>
      <w:r>
        <w:rPr>
          <w:rFonts w:eastAsia="Times New Roman"/>
          <w:b/>
          <w:bCs/>
          <w:color w:val="000000"/>
          <w:sz w:val="20"/>
          <w:szCs w:val="20"/>
        </w:rPr>
        <w:t>STOCK PERFORMANCE GRAP</w:t>
      </w:r>
      <w:r>
        <w:rPr>
          <w:rFonts w:eastAsia="Times New Roman"/>
          <w:b/>
          <w:bCs/>
          <w:color w:val="000000"/>
          <w:sz w:val="20"/>
          <w:szCs w:val="20"/>
        </w:rPr>
        <w:t>H</w:t>
      </w:r>
    </w:p>
    <w:p w:rsidR="00000000" w:rsidRDefault="00CB61D5">
      <w:pPr>
        <w:divId w:val="1384871594"/>
        <w:rPr>
          <w:rFonts w:eastAsia="Times New Roman"/>
        </w:rPr>
      </w:pPr>
    </w:p>
    <w:p w:rsidR="00000000" w:rsidRDefault="00CB61D5">
      <w:pPr>
        <w:jc w:val="both"/>
        <w:rPr>
          <w:rFonts w:eastAsia="Times New Roman"/>
        </w:rPr>
      </w:pPr>
      <w:r>
        <w:rPr>
          <w:rFonts w:eastAsia="Times New Roman"/>
          <w:color w:val="000000"/>
          <w:sz w:val="20"/>
          <w:szCs w:val="20"/>
        </w:rPr>
        <w:t>This performance graph shall not be deemed “filed” for purposes of Section 18 of the Securities Exchange Act of 1934, as amended (the “Exchange Act”)</w:t>
      </w:r>
      <w:r>
        <w:rPr>
          <w:rFonts w:eastAsia="Times New Roman"/>
          <w:color w:val="000000"/>
          <w:sz w:val="20"/>
          <w:szCs w:val="20"/>
        </w:rPr>
        <w:t xml:space="preserve"> or otherwise subject to the liabilities under that Section and shall not be deemed to be incorporated by reference into any filing of Tractor Supply Company under the Securities Act of 1933, as amended, or the Exchange Act</w:t>
      </w:r>
      <w:r>
        <w:rPr>
          <w:rFonts w:eastAsia="Times New Roman"/>
          <w:color w:val="000000"/>
          <w:sz w:val="20"/>
          <w:szCs w:val="20"/>
        </w:rPr>
        <w:t>.</w:t>
      </w:r>
    </w:p>
    <w:p w:rsidR="00000000" w:rsidRDefault="00CB61D5">
      <w:pPr>
        <w:divId w:val="2138987402"/>
        <w:rPr>
          <w:rFonts w:eastAsia="Times New Roman"/>
        </w:rPr>
      </w:pPr>
    </w:p>
    <w:p w:rsidR="00000000" w:rsidRDefault="00CB61D5">
      <w:pPr>
        <w:divId w:val="1797602782"/>
        <w:rPr>
          <w:rFonts w:eastAsia="Times New Roman"/>
        </w:rPr>
      </w:pPr>
      <w:r>
        <w:rPr>
          <w:rFonts w:eastAsia="Times New Roman"/>
          <w:color w:val="000000"/>
          <w:sz w:val="2"/>
          <w:szCs w:val="2"/>
        </w:rPr>
        <w:t> </w:t>
      </w:r>
    </w:p>
    <w:p w:rsidR="00000000" w:rsidRDefault="00CB61D5">
      <w:pPr>
        <w:jc w:val="both"/>
        <w:rPr>
          <w:rFonts w:eastAsia="Times New Roman"/>
        </w:rPr>
      </w:pPr>
      <w:r>
        <w:rPr>
          <w:rFonts w:eastAsia="Times New Roman"/>
          <w:color w:val="000000"/>
          <w:sz w:val="20"/>
          <w:szCs w:val="20"/>
        </w:rPr>
        <w:t>The following graph compare</w:t>
      </w:r>
      <w:r>
        <w:rPr>
          <w:rFonts w:eastAsia="Times New Roman"/>
          <w:color w:val="000000"/>
          <w:sz w:val="20"/>
          <w:szCs w:val="20"/>
        </w:rPr>
        <w:t>s the cumulative total stockholder return on our common stock from December 27, 2014 to December 28, 2019 (the Company’s fiscal year-end), with the cumulative total returns of the S&amp;P 500 Index and the S&amp;P Retail Index over the same period.  The comparison</w:t>
      </w:r>
      <w:r>
        <w:rPr>
          <w:rFonts w:eastAsia="Times New Roman"/>
          <w:color w:val="000000"/>
          <w:sz w:val="20"/>
          <w:szCs w:val="20"/>
        </w:rPr>
        <w:t xml:space="preserve"> assumes that $100 was invested on December 27, 2014, in our common stock and in each of the foregoing indices and in each case assumes reinvestment of dividends.  The historical stock price performance shown on this graph is not indicative of future perfo</w:t>
      </w:r>
      <w:r>
        <w:rPr>
          <w:rFonts w:eastAsia="Times New Roman"/>
          <w:color w:val="000000"/>
          <w:sz w:val="20"/>
          <w:szCs w:val="20"/>
        </w:rPr>
        <w:t>rmance</w:t>
      </w:r>
      <w:r>
        <w:rPr>
          <w:rFonts w:eastAsia="Times New Roman"/>
          <w:color w:val="000000"/>
          <w:sz w:val="20"/>
          <w:szCs w:val="20"/>
        </w:rPr>
        <w:t>.</w:t>
      </w:r>
    </w:p>
    <w:p w:rsidR="00000000" w:rsidRDefault="00CB61D5">
      <w:pPr>
        <w:jc w:val="both"/>
        <w:rPr>
          <w:rFonts w:eastAsia="Times New Roman"/>
        </w:rPr>
      </w:pPr>
    </w:p>
    <w:p w:rsidR="00000000" w:rsidRDefault="00CB61D5">
      <w:pPr>
        <w:jc w:val="center"/>
        <w:rPr>
          <w:rFonts w:eastAsia="Times New Roman"/>
        </w:rPr>
      </w:pPr>
      <w:r>
        <w:rPr>
          <w:rFonts w:eastAsia="Times New Roman"/>
          <w:noProof/>
        </w:rPr>
        <w:drawing>
          <wp:inline distT="0" distB="0" distL="0" distR="0">
            <wp:extent cx="304800" cy="30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78" w:type="pct"/>
        <w:tblCellMar>
          <w:top w:w="15" w:type="dxa"/>
          <w:left w:w="15" w:type="dxa"/>
          <w:bottom w:w="15" w:type="dxa"/>
          <w:right w:w="15" w:type="dxa"/>
        </w:tblCellMar>
        <w:tblLook w:val="04A0" w:firstRow="1" w:lastRow="0" w:firstColumn="1" w:lastColumn="0" w:noHBand="0" w:noVBand="1"/>
      </w:tblPr>
      <w:tblGrid>
        <w:gridCol w:w="37"/>
        <w:gridCol w:w="1488"/>
        <w:gridCol w:w="36"/>
        <w:gridCol w:w="36"/>
        <w:gridCol w:w="36"/>
        <w:gridCol w:w="36"/>
        <w:gridCol w:w="136"/>
        <w:gridCol w:w="789"/>
        <w:gridCol w:w="85"/>
        <w:gridCol w:w="36"/>
        <w:gridCol w:w="36"/>
        <w:gridCol w:w="36"/>
        <w:gridCol w:w="136"/>
        <w:gridCol w:w="789"/>
        <w:gridCol w:w="85"/>
        <w:gridCol w:w="36"/>
        <w:gridCol w:w="36"/>
        <w:gridCol w:w="36"/>
        <w:gridCol w:w="136"/>
        <w:gridCol w:w="789"/>
        <w:gridCol w:w="85"/>
        <w:gridCol w:w="36"/>
        <w:gridCol w:w="36"/>
        <w:gridCol w:w="36"/>
        <w:gridCol w:w="136"/>
        <w:gridCol w:w="789"/>
        <w:gridCol w:w="85"/>
        <w:gridCol w:w="36"/>
        <w:gridCol w:w="36"/>
        <w:gridCol w:w="36"/>
        <w:gridCol w:w="136"/>
        <w:gridCol w:w="789"/>
        <w:gridCol w:w="85"/>
        <w:gridCol w:w="36"/>
        <w:gridCol w:w="36"/>
        <w:gridCol w:w="36"/>
        <w:gridCol w:w="136"/>
        <w:gridCol w:w="789"/>
        <w:gridCol w:w="85"/>
      </w:tblGrid>
      <w:tr w:rsidR="00000000">
        <w:trPr>
          <w:divId w:val="2070954092"/>
        </w:trPr>
        <w:tc>
          <w:tcPr>
            <w:tcW w:w="50" w:type="pct"/>
            <w:vAlign w:val="center"/>
            <w:hideMark/>
          </w:tcPr>
          <w:p w:rsidR="00000000" w:rsidRDefault="00CB61D5">
            <w:pPr>
              <w:jc w:val="center"/>
              <w:rPr>
                <w:rFonts w:eastAsia="Times New Roman"/>
              </w:rPr>
            </w:pPr>
          </w:p>
        </w:tc>
        <w:tc>
          <w:tcPr>
            <w:tcW w:w="11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07095409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12/27/201</w:t>
            </w:r>
            <w:r>
              <w:rPr>
                <w:rFonts w:eastAsia="Times New Roman"/>
                <w:b/>
                <w:bCs/>
                <w:color w:val="000000"/>
                <w:sz w:val="20"/>
                <w:szCs w:val="20"/>
              </w:rPr>
              <w:t>4</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12/26/201</w:t>
            </w:r>
            <w:r>
              <w:rPr>
                <w:rFonts w:eastAsia="Times New Roman"/>
                <w:b/>
                <w:bCs/>
                <w:color w:val="000000"/>
                <w:sz w:val="20"/>
                <w:szCs w:val="20"/>
              </w:rPr>
              <w:t>5</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12/31/201</w:t>
            </w:r>
            <w:r>
              <w:rPr>
                <w:rFonts w:eastAsia="Times New Roman"/>
                <w:b/>
                <w:bCs/>
                <w:color w:val="000000"/>
                <w:sz w:val="20"/>
                <w:szCs w:val="20"/>
              </w:rPr>
              <w:t>6</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12/30/201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12/29/201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12/28/201</w:t>
            </w:r>
            <w:r>
              <w:rPr>
                <w:rFonts w:eastAsia="Times New Roman"/>
                <w:b/>
                <w:bCs/>
                <w:color w:val="000000"/>
                <w:sz w:val="20"/>
                <w:szCs w:val="20"/>
              </w:rPr>
              <w:t>9</w:t>
            </w:r>
          </w:p>
        </w:tc>
      </w:tr>
      <w:tr w:rsidR="00000000">
        <w:trPr>
          <w:divId w:val="207095409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Tractor Supply Compan</w:t>
            </w:r>
            <w:r>
              <w:rPr>
                <w:rFonts w:eastAsia="Times New Roman"/>
                <w:color w:val="000000"/>
                <w:sz w:val="20"/>
                <w:szCs w:val="20"/>
              </w:rPr>
              <w:t>y</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110.89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99.25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99.58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112.55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126.57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07095409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S&amp;P 50</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100.77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111.92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129.26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171.88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07095409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S&amp;</w:t>
            </w:r>
            <w:r>
              <w:rPr>
                <w:rFonts w:eastAsia="Times New Roman"/>
                <w:color w:val="000000"/>
                <w:sz w:val="20"/>
                <w:szCs w:val="20"/>
              </w:rPr>
              <w:t>P Retail Inde</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133.60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174.21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195.19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252.10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divId w:val="454642025"/>
        <w:rPr>
          <w:rFonts w:eastAsia="Times New Roman"/>
        </w:rPr>
      </w:pPr>
    </w:p>
    <w:p w:rsidR="00000000" w:rsidRDefault="00CB61D5">
      <w:pPr>
        <w:jc w:val="center"/>
        <w:divId w:val="1853569505"/>
        <w:rPr>
          <w:rFonts w:eastAsia="Times New Roman"/>
        </w:rPr>
      </w:pPr>
      <w:r>
        <w:rPr>
          <w:rFonts w:eastAsia="Times New Roman"/>
          <w:color w:val="000000"/>
          <w:sz w:val="20"/>
          <w:szCs w:val="20"/>
        </w:rPr>
        <w:t>2</w:t>
      </w:r>
      <w:r>
        <w:rPr>
          <w:rFonts w:eastAsia="Times New Roman"/>
          <w:color w:val="000000"/>
          <w:sz w:val="20"/>
          <w:szCs w:val="20"/>
        </w:rPr>
        <w:t>1</w:t>
      </w:r>
    </w:p>
    <w:p w:rsidR="00000000" w:rsidRDefault="00CB61D5">
      <w:pPr>
        <w:rPr>
          <w:rFonts w:eastAsia="Times New Roman"/>
        </w:rPr>
      </w:pPr>
      <w:r>
        <w:rPr>
          <w:rFonts w:eastAsia="Times New Roman"/>
        </w:rPr>
        <w:pict>
          <v:rect id="_x0000_i1050" style="width:0;height:1.5pt" o:hralign="center" o:hrstd="t" o:hr="t" fillcolor="#a0a0a0" stroked="f"/>
        </w:pict>
      </w:r>
    </w:p>
    <w:p w:rsidR="00000000" w:rsidRDefault="00CB61D5">
      <w:pPr>
        <w:divId w:val="1822887796"/>
        <w:rPr>
          <w:rFonts w:eastAsia="Times New Roman"/>
        </w:rPr>
      </w:pPr>
      <w:hyperlink w:anchor="i_0_7" w:history="1">
        <w:r>
          <w:rPr>
            <w:rStyle w:val="a3"/>
            <w:rFonts w:eastAsia="Times New Roman"/>
            <w:sz w:val="18"/>
            <w:szCs w:val="18"/>
          </w:rPr>
          <w:t>Index</w:t>
        </w:r>
      </w:hyperlink>
    </w:p>
    <w:p w:rsidR="00000000" w:rsidRDefault="00CB61D5">
      <w:pPr>
        <w:ind w:hanging="1440"/>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6</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Selected Financial Dat</w:t>
      </w:r>
      <w:r>
        <w:rPr>
          <w:rFonts w:eastAsia="Times New Roman"/>
          <w:b/>
          <w:bCs/>
          <w:color w:val="000000"/>
          <w:sz w:val="20"/>
          <w:szCs w:val="20"/>
          <w:u w:val="single"/>
        </w:rPr>
        <w:t>a</w:t>
      </w:r>
    </w:p>
    <w:p w:rsidR="00000000" w:rsidRDefault="00CB61D5">
      <w:pPr>
        <w:jc w:val="center"/>
        <w:rPr>
          <w:rFonts w:eastAsia="Times New Roman"/>
        </w:rPr>
      </w:pPr>
      <w:r>
        <w:rPr>
          <w:rFonts w:eastAsia="Times New Roman"/>
          <w:b/>
          <w:bCs/>
          <w:color w:val="000000"/>
          <w:sz w:val="20"/>
          <w:szCs w:val="20"/>
        </w:rPr>
        <w:t> </w:t>
      </w:r>
    </w:p>
    <w:p w:rsidR="00000000" w:rsidRDefault="00CB61D5">
      <w:pPr>
        <w:jc w:val="center"/>
        <w:rPr>
          <w:rFonts w:eastAsia="Times New Roman"/>
        </w:rPr>
      </w:pPr>
      <w:r>
        <w:rPr>
          <w:rFonts w:eastAsia="Times New Roman"/>
          <w:b/>
          <w:bCs/>
          <w:color w:val="000000"/>
          <w:sz w:val="20"/>
          <w:szCs w:val="20"/>
        </w:rPr>
        <w:t>FIVE YEAR SELECTED FINANCIAL AND OPERATING HIGHLIGHTS</w:t>
      </w:r>
      <w:r>
        <w:rPr>
          <w:rFonts w:eastAsia="Times New Roman"/>
          <w:b/>
          <w:bCs/>
          <w:color w:val="000000"/>
          <w:sz w:val="20"/>
          <w:szCs w:val="20"/>
        </w:rPr>
        <w:t xml:space="preserve"> </w:t>
      </w:r>
      <w:r>
        <w:rPr>
          <w:rFonts w:eastAsia="Times New Roman"/>
          <w:b/>
          <w:bCs/>
          <w:color w:val="000000"/>
          <w:sz w:val="13"/>
          <w:szCs w:val="13"/>
          <w:vertAlign w:val="superscript"/>
        </w:rPr>
        <w:t>(a)(b)</w:t>
      </w:r>
    </w:p>
    <w:p w:rsidR="00000000" w:rsidRDefault="00CB61D5">
      <w:pPr>
        <w:jc w:val="center"/>
        <w:rPr>
          <w:rFonts w:eastAsia="Times New Roman"/>
        </w:rPr>
      </w:pPr>
      <w:r>
        <w:rPr>
          <w:rFonts w:eastAsia="Times New Roman"/>
          <w:color w:val="000000"/>
          <w:sz w:val="20"/>
          <w:szCs w:val="20"/>
        </w:rPr>
        <w:t> </w:t>
      </w:r>
    </w:p>
    <w:p w:rsidR="00000000" w:rsidRDefault="00CB61D5">
      <w:pPr>
        <w:jc w:val="both"/>
        <w:rPr>
          <w:rFonts w:eastAsia="Times New Roman"/>
        </w:rPr>
      </w:pPr>
      <w:r>
        <w:rPr>
          <w:rFonts w:eastAsia="Times New Roman"/>
          <w:color w:val="000000"/>
          <w:sz w:val="20"/>
          <w:szCs w:val="20"/>
        </w:rPr>
        <w:t>The following selected financial data is derived from the Consolidated Financial Stateme</w:t>
      </w:r>
      <w:r>
        <w:rPr>
          <w:rFonts w:eastAsia="Times New Roman"/>
          <w:color w:val="000000"/>
          <w:sz w:val="20"/>
          <w:szCs w:val="20"/>
        </w:rPr>
        <w:t>nts of Tractor Supply Company and provides summary historical financial information for the fiscal period</w:t>
      </w:r>
      <w:r>
        <w:rPr>
          <w:rFonts w:eastAsia="Times New Roman"/>
          <w:color w:val="000000"/>
          <w:sz w:val="20"/>
          <w:szCs w:val="20"/>
        </w:rPr>
        <w:t>s</w:t>
      </w:r>
      <w:r>
        <w:rPr>
          <w:rFonts w:eastAsia="Times New Roman"/>
          <w:color w:val="000000"/>
          <w:sz w:val="13"/>
          <w:szCs w:val="13"/>
          <w:vertAlign w:val="superscript"/>
        </w:rPr>
        <w:t xml:space="preserve"> </w:t>
      </w:r>
      <w:r>
        <w:rPr>
          <w:rFonts w:eastAsia="Times New Roman"/>
          <w:color w:val="000000"/>
          <w:sz w:val="20"/>
          <w:szCs w:val="20"/>
        </w:rPr>
        <w:t>ended and as of the dates indicate</w:t>
      </w:r>
      <w:r>
        <w:rPr>
          <w:rFonts w:eastAsia="Times New Roman"/>
          <w:color w:val="000000"/>
          <w:sz w:val="20"/>
          <w:szCs w:val="20"/>
        </w:rPr>
        <w:t>d</w:t>
      </w:r>
      <w:r>
        <w:rPr>
          <w:rFonts w:eastAsia="Times New Roman"/>
          <w:color w:val="000000"/>
          <w:sz w:val="13"/>
          <w:szCs w:val="13"/>
          <w:vertAlign w:val="superscript"/>
        </w:rPr>
        <w:t xml:space="preserve"> </w:t>
      </w:r>
      <w:r>
        <w:rPr>
          <w:rFonts w:eastAsia="Times New Roman"/>
          <w:color w:val="000000"/>
          <w:sz w:val="20"/>
          <w:szCs w:val="20"/>
        </w:rPr>
        <w:t>(in thousands, except per share amounts and selected operating and other data): </w:t>
      </w: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38"/>
        <w:gridCol w:w="2240"/>
        <w:gridCol w:w="37"/>
        <w:gridCol w:w="125"/>
        <w:gridCol w:w="780"/>
        <w:gridCol w:w="185"/>
        <w:gridCol w:w="36"/>
        <w:gridCol w:w="36"/>
        <w:gridCol w:w="36"/>
        <w:gridCol w:w="125"/>
        <w:gridCol w:w="780"/>
        <w:gridCol w:w="185"/>
        <w:gridCol w:w="36"/>
        <w:gridCol w:w="36"/>
        <w:gridCol w:w="36"/>
        <w:gridCol w:w="125"/>
        <w:gridCol w:w="780"/>
        <w:gridCol w:w="185"/>
        <w:gridCol w:w="36"/>
        <w:gridCol w:w="36"/>
        <w:gridCol w:w="36"/>
        <w:gridCol w:w="125"/>
        <w:gridCol w:w="780"/>
        <w:gridCol w:w="185"/>
        <w:gridCol w:w="36"/>
        <w:gridCol w:w="36"/>
        <w:gridCol w:w="36"/>
        <w:gridCol w:w="125"/>
        <w:gridCol w:w="780"/>
        <w:gridCol w:w="185"/>
        <w:gridCol w:w="36"/>
        <w:gridCol w:w="36"/>
      </w:tblGrid>
      <w:tr w:rsidR="00000000">
        <w:trPr>
          <w:divId w:val="1337927145"/>
        </w:trPr>
        <w:tc>
          <w:tcPr>
            <w:tcW w:w="50" w:type="pct"/>
            <w:vAlign w:val="center"/>
            <w:hideMark/>
          </w:tcPr>
          <w:p w:rsidR="00000000" w:rsidRDefault="00CB61D5">
            <w:pPr>
              <w:jc w:val="both"/>
              <w:rPr>
                <w:rFonts w:eastAsia="Times New Roman"/>
              </w:rPr>
            </w:pPr>
          </w:p>
        </w:tc>
        <w:tc>
          <w:tcPr>
            <w:tcW w:w="207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6</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5</w:t>
            </w:r>
          </w:p>
        </w:tc>
        <w:tc>
          <w:tcPr>
            <w:tcW w:w="0" w:type="auto"/>
            <w:vAlign w:val="center"/>
            <w:hideMark/>
          </w:tcPr>
          <w:p w:rsidR="00000000" w:rsidRDefault="00CB61D5">
            <w:pPr>
              <w:jc w:val="center"/>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(53 weeks</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Operating Results</w:t>
            </w:r>
            <w:r>
              <w:rPr>
                <w:rFonts w:eastAsia="Times New Roman"/>
                <w:b/>
                <w:bCs/>
                <w:color w:val="000000"/>
                <w:sz w:val="18"/>
                <w:szCs w:val="18"/>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sale</w:t>
            </w:r>
            <w:r>
              <w:rPr>
                <w:rFonts w:eastAsia="Times New Roman"/>
                <w:color w:val="000000"/>
                <w:sz w:val="18"/>
                <w:szCs w:val="18"/>
              </w:rPr>
              <w:t>s</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8,351,931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7,911,046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7,256,382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6,779,579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6,226,507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Gross profi</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2,871,770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2,702,528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2,491,965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2,325,202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2,143,174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Selling, general and administrative expense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1,932,572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1,823,440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1,639,749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1,488,164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1,369,097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Depreciation and amortizatio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195,978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177,351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165,834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142,958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123,569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Operating incom</w:t>
            </w:r>
            <w:r>
              <w:rPr>
                <w:rFonts w:eastAsia="Times New Roman"/>
                <w:color w:val="000000"/>
                <w:sz w:val="18"/>
                <w:szCs w:val="18"/>
              </w:rPr>
              <w:t>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743,220</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701,737</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686,382</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694,080</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650,508</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Interest expense,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19,843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18,352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13,859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5,810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Income before income taxe</w:t>
            </w:r>
            <w:r>
              <w:rPr>
                <w:rFonts w:eastAsia="Times New Roman"/>
                <w:color w:val="000000"/>
                <w:sz w:val="18"/>
                <w:szCs w:val="18"/>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723,377</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683,385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672,523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688,270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647,617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Income tax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161,023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151,028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249,924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251,150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237,222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tcBorders>
              <w:top w:val="single" w:sz="8"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562,354</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532,357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422,599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437,120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410,395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256526236"/>
              <w:rPr>
                <w:rFonts w:eastAsia="Times New Roman"/>
              </w:rPr>
            </w:pPr>
            <w:r>
              <w:rPr>
                <w:rFonts w:eastAsia="Times New Roman"/>
                <w:color w:val="000000"/>
                <w:sz w:val="18"/>
                <w:szCs w:val="18"/>
              </w:rPr>
              <w:t>Net income per share – basic</w:t>
            </w:r>
            <w:r>
              <w:rPr>
                <w:rFonts w:eastAsia="Times New Roman"/>
                <w:color w:val="000000"/>
                <w:sz w:val="18"/>
                <w:szCs w:val="18"/>
              </w:rPr>
              <w:t xml:space="preserve"> </w:t>
            </w:r>
            <w:r>
              <w:rPr>
                <w:rFonts w:eastAsia="Times New Roman"/>
                <w:color w:val="000000"/>
                <w:sz w:val="12"/>
                <w:szCs w:val="12"/>
                <w:vertAlign w:val="superscript"/>
              </w:rPr>
              <w:t>(c)</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4.70</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4.34</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3.31</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3.29</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3.03</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FFFFFF"/>
            <w:tcMar>
              <w:top w:w="30" w:type="dxa"/>
              <w:left w:w="20" w:type="dxa"/>
              <w:bottom w:w="30" w:type="dxa"/>
              <w:right w:w="20" w:type="dxa"/>
            </w:tcMar>
            <w:vAlign w:val="bottom"/>
            <w:hideMark/>
          </w:tcPr>
          <w:p w:rsidR="00000000" w:rsidRDefault="00CB61D5">
            <w:pPr>
              <w:divId w:val="1177501282"/>
              <w:rPr>
                <w:rFonts w:eastAsia="Times New Roman"/>
              </w:rPr>
            </w:pPr>
            <w:r>
              <w:rPr>
                <w:rFonts w:eastAsia="Times New Roman"/>
                <w:color w:val="000000"/>
                <w:sz w:val="18"/>
                <w:szCs w:val="18"/>
              </w:rPr>
              <w:t>Net income per share – diluted</w:t>
            </w:r>
            <w:r>
              <w:rPr>
                <w:rFonts w:eastAsia="Times New Roman"/>
                <w:color w:val="000000"/>
                <w:sz w:val="18"/>
                <w:szCs w:val="18"/>
              </w:rPr>
              <w:t xml:space="preserve"> </w:t>
            </w:r>
            <w:r>
              <w:rPr>
                <w:rFonts w:eastAsia="Times New Roman"/>
                <w:color w:val="000000"/>
                <w:sz w:val="12"/>
                <w:szCs w:val="12"/>
                <w:vertAlign w:val="superscript"/>
              </w:rPr>
              <w:t>(c)</w:t>
            </w:r>
          </w:p>
        </w:tc>
        <w:tc>
          <w:tcPr>
            <w:tcW w:w="0" w:type="auto"/>
            <w:tcBorders>
              <w:top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4.66</w:t>
            </w:r>
            <w:r>
              <w:rPr>
                <w:rFonts w:eastAsia="Times New Roman"/>
                <w:color w:val="000000"/>
                <w:sz w:val="18"/>
                <w:szCs w:val="18"/>
              </w:rPr>
              <w:t> </w:t>
            </w:r>
          </w:p>
        </w:tc>
        <w:tc>
          <w:tcPr>
            <w:tcW w:w="0" w:type="auto"/>
            <w:tcBorders>
              <w:top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4.31</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3.30</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3.27</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3.00</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1448967950"/>
              <w:rPr>
                <w:rFonts w:eastAsia="Times New Roman"/>
              </w:rPr>
            </w:pPr>
            <w:r>
              <w:rPr>
                <w:rFonts w:eastAsia="Times New Roman"/>
                <w:color w:val="000000"/>
                <w:sz w:val="18"/>
                <w:szCs w:val="18"/>
              </w:rPr>
              <w:t>Weighted average shares – diluted</w:t>
            </w:r>
            <w:r>
              <w:rPr>
                <w:rFonts w:eastAsia="Times New Roman"/>
                <w:color w:val="000000"/>
                <w:sz w:val="18"/>
                <w:szCs w:val="18"/>
              </w:rPr>
              <w:t xml:space="preserve"> </w:t>
            </w:r>
            <w:r>
              <w:rPr>
                <w:rFonts w:eastAsia="Times New Roman"/>
                <w:color w:val="000000"/>
                <w:sz w:val="12"/>
                <w:szCs w:val="12"/>
                <w:vertAlign w:val="superscript"/>
              </w:rPr>
              <w:t>(c)</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120,743</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123,471</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128,204</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133,813</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136,845</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Dividends declared per common share outstandin</w:t>
            </w:r>
            <w:r>
              <w:rPr>
                <w:rFonts w:eastAsia="Times New Roman"/>
                <w:color w:val="000000"/>
                <w:sz w:val="18"/>
                <w:szCs w:val="18"/>
              </w:rPr>
              <w:t>g</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1.05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0.92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0.76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Operating Data (percent of net sales)</w:t>
            </w:r>
            <w:r>
              <w:rPr>
                <w:rFonts w:eastAsia="Times New Roman"/>
                <w:b/>
                <w:bCs/>
                <w:color w:val="000000"/>
                <w:sz w:val="18"/>
                <w:szCs w:val="18"/>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Gross margi</w:t>
            </w:r>
            <w:r>
              <w:rPr>
                <w:rFonts w:eastAsia="Times New Roman"/>
                <w:color w:val="000000"/>
                <w:sz w:val="18"/>
                <w:szCs w:val="18"/>
              </w:rPr>
              <w:t>n</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Selling, general and administrative expense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Operating incom</w:t>
            </w:r>
            <w:r>
              <w:rPr>
                <w:rFonts w:eastAsia="Times New Roman"/>
                <w:color w:val="000000"/>
                <w:sz w:val="18"/>
                <w:szCs w:val="18"/>
              </w:rPr>
              <w:t>e</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9.4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10.2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10.4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Store, Sales, and Other Data</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Stores open at end of yea</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2,024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1,940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1,853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1,738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divId w:val="1956324209"/>
              <w:rPr>
                <w:rFonts w:eastAsia="Times New Roman"/>
              </w:rPr>
            </w:pPr>
            <w:r>
              <w:rPr>
                <w:rFonts w:eastAsia="Times New Roman"/>
                <w:color w:val="000000"/>
                <w:sz w:val="18"/>
                <w:szCs w:val="18"/>
              </w:rPr>
              <w:t>Comparable store sales increase</w:t>
            </w:r>
            <w:r>
              <w:rPr>
                <w:rFonts w:eastAsia="Times New Roman"/>
                <w:color w:val="000000"/>
                <w:sz w:val="18"/>
                <w:szCs w:val="18"/>
              </w:rPr>
              <w:t xml:space="preserve"> </w:t>
            </w:r>
            <w:r>
              <w:rPr>
                <w:rFonts w:eastAsia="Times New Roman"/>
                <w:color w:val="000000"/>
                <w:sz w:val="12"/>
                <w:szCs w:val="12"/>
                <w:vertAlign w:val="superscript"/>
              </w:rPr>
              <w:t>(d)</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809858113"/>
              <w:rPr>
                <w:rFonts w:eastAsia="Times New Roman"/>
              </w:rPr>
            </w:pPr>
            <w:r>
              <w:rPr>
                <w:rFonts w:eastAsia="Times New Roman"/>
                <w:color w:val="000000"/>
                <w:sz w:val="18"/>
                <w:szCs w:val="18"/>
              </w:rPr>
              <w:t>New store sales (as a % of net sales)</w:t>
            </w:r>
            <w:r>
              <w:rPr>
                <w:rFonts w:eastAsia="Times New Roman"/>
                <w:color w:val="000000"/>
                <w:sz w:val="18"/>
                <w:szCs w:val="18"/>
              </w:rPr>
              <w:t xml:space="preserve"> </w:t>
            </w:r>
            <w:r>
              <w:rPr>
                <w:rFonts w:eastAsia="Times New Roman"/>
                <w:color w:val="000000"/>
                <w:sz w:val="12"/>
                <w:szCs w:val="12"/>
                <w:vertAlign w:val="superscript"/>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Average transaction valu</w:t>
            </w:r>
            <w:r>
              <w:rPr>
                <w:rFonts w:eastAsia="Times New Roman"/>
                <w:color w:val="000000"/>
                <w:sz w:val="18"/>
                <w:szCs w:val="18"/>
              </w:rPr>
              <w:t>e</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46.89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45.85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44.61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44.42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44.87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497888255"/>
              <w:rPr>
                <w:rFonts w:eastAsia="Times New Roman"/>
              </w:rPr>
            </w:pPr>
            <w:r>
              <w:rPr>
                <w:rFonts w:eastAsia="Times New Roman"/>
                <w:color w:val="000000"/>
                <w:sz w:val="18"/>
                <w:szCs w:val="18"/>
              </w:rPr>
              <w:t>Comparable store average transaction value increase (decrease)</w:t>
            </w:r>
            <w:r>
              <w:rPr>
                <w:rFonts w:eastAsia="Times New Roman"/>
                <w:color w:val="000000"/>
                <w:sz w:val="18"/>
                <w:szCs w:val="18"/>
              </w:rPr>
              <w:t xml:space="preserve"> </w:t>
            </w:r>
            <w:r>
              <w:rPr>
                <w:rFonts w:eastAsia="Times New Roman"/>
                <w:color w:val="000000"/>
                <w:sz w:val="12"/>
                <w:szCs w:val="12"/>
                <w:vertAlign w:val="superscript"/>
              </w:rPr>
              <w:t>(c)</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divId w:val="1573660023"/>
              <w:rPr>
                <w:rFonts w:eastAsia="Times New Roman"/>
              </w:rPr>
            </w:pPr>
            <w:r>
              <w:rPr>
                <w:rFonts w:eastAsia="Times New Roman"/>
                <w:color w:val="000000"/>
                <w:sz w:val="18"/>
                <w:szCs w:val="18"/>
              </w:rPr>
              <w:t>Comparable store average transaction count increase</w:t>
            </w:r>
            <w:r>
              <w:rPr>
                <w:rFonts w:eastAsia="Times New Roman"/>
                <w:color w:val="000000"/>
                <w:sz w:val="18"/>
                <w:szCs w:val="18"/>
              </w:rPr>
              <w:t xml:space="preserve"> </w:t>
            </w:r>
            <w:r>
              <w:rPr>
                <w:rFonts w:eastAsia="Times New Roman"/>
                <w:color w:val="000000"/>
                <w:sz w:val="12"/>
                <w:szCs w:val="12"/>
                <w:vertAlign w:val="superscript"/>
              </w:rPr>
              <w:t>(d)</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Total selling square footage (000’s</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30,854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29,571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28,180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26,511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23,938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Total team member</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33,500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30,500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29,300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26,000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23,000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hideMark/>
          </w:tcPr>
          <w:p w:rsidR="00000000" w:rsidRDefault="00CB61D5">
            <w:pPr>
              <w:rPr>
                <w:rFonts w:eastAsia="Times New Roman"/>
              </w:rPr>
            </w:pPr>
            <w:r>
              <w:rPr>
                <w:rFonts w:eastAsia="Times New Roman"/>
                <w:color w:val="000000"/>
                <w:sz w:val="18"/>
                <w:szCs w:val="18"/>
              </w:rPr>
              <w:t>Capital expenditures (000’s</w:t>
            </w:r>
            <w:r>
              <w:rPr>
                <w:rFonts w:eastAsia="Times New Roman"/>
                <w:color w:val="000000"/>
                <w:sz w:val="18"/>
                <w:szCs w:val="18"/>
              </w:rPr>
              <w:t>)</w:t>
            </w:r>
          </w:p>
        </w:tc>
        <w:tc>
          <w:tcPr>
            <w:tcW w:w="0" w:type="auto"/>
            <w:shd w:val="clear" w:color="auto" w:fill="CCEEFF"/>
            <w:tcMar>
              <w:top w:w="30" w:type="dxa"/>
              <w:left w:w="20" w:type="dxa"/>
              <w:bottom w:w="30" w:type="dxa"/>
              <w:right w:w="15" w:type="dxa"/>
            </w:tcMar>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hideMark/>
          </w:tcPr>
          <w:p w:rsidR="00000000" w:rsidRDefault="00CB61D5">
            <w:pPr>
              <w:jc w:val="right"/>
              <w:rPr>
                <w:rFonts w:eastAsia="Times New Roman"/>
              </w:rPr>
            </w:pPr>
            <w:r>
              <w:rPr>
                <w:rFonts w:eastAsia="Times New Roman"/>
                <w:color w:val="000000"/>
                <w:sz w:val="18"/>
                <w:szCs w:val="18"/>
              </w:rPr>
              <w:t>217,450</w:t>
            </w:r>
            <w:r>
              <w:rPr>
                <w:rFonts w:eastAsia="Times New Roman"/>
                <w:color w:val="000000"/>
                <w:sz w:val="18"/>
                <w:szCs w:val="18"/>
              </w:rPr>
              <w:t> </w:t>
            </w:r>
          </w:p>
        </w:tc>
        <w:tc>
          <w:tcPr>
            <w:tcW w:w="0" w:type="auto"/>
            <w:shd w:val="clear" w:color="auto" w:fill="CCEEFF"/>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hideMark/>
          </w:tcPr>
          <w:p w:rsidR="00000000" w:rsidRDefault="00CB61D5">
            <w:pPr>
              <w:jc w:val="right"/>
              <w:rPr>
                <w:rFonts w:eastAsia="Times New Roman"/>
              </w:rPr>
            </w:pPr>
            <w:r>
              <w:rPr>
                <w:rFonts w:eastAsia="Times New Roman"/>
                <w:color w:val="000000"/>
                <w:sz w:val="18"/>
                <w:szCs w:val="18"/>
              </w:rPr>
              <w:t>278,530</w:t>
            </w:r>
            <w:r>
              <w:rPr>
                <w:rFonts w:eastAsia="Times New Roman"/>
                <w:color w:val="000000"/>
                <w:sz w:val="18"/>
                <w:szCs w:val="18"/>
              </w:rPr>
              <w:t> </w:t>
            </w:r>
          </w:p>
        </w:tc>
        <w:tc>
          <w:tcPr>
            <w:tcW w:w="0" w:type="auto"/>
            <w:shd w:val="clear" w:color="auto" w:fill="CCEEFF"/>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hideMark/>
          </w:tcPr>
          <w:p w:rsidR="00000000" w:rsidRDefault="00CB61D5">
            <w:pPr>
              <w:jc w:val="right"/>
              <w:rPr>
                <w:rFonts w:eastAsia="Times New Roman"/>
              </w:rPr>
            </w:pPr>
            <w:r>
              <w:rPr>
                <w:rFonts w:eastAsia="Times New Roman"/>
                <w:color w:val="000000"/>
                <w:sz w:val="18"/>
                <w:szCs w:val="18"/>
              </w:rPr>
              <w:t>250,401</w:t>
            </w:r>
            <w:r>
              <w:rPr>
                <w:rFonts w:eastAsia="Times New Roman"/>
                <w:color w:val="000000"/>
                <w:sz w:val="18"/>
                <w:szCs w:val="18"/>
              </w:rPr>
              <w:t> </w:t>
            </w:r>
          </w:p>
        </w:tc>
        <w:tc>
          <w:tcPr>
            <w:tcW w:w="0" w:type="auto"/>
            <w:shd w:val="clear" w:color="auto" w:fill="CCEEFF"/>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hideMark/>
          </w:tcPr>
          <w:p w:rsidR="00000000" w:rsidRDefault="00CB61D5">
            <w:pPr>
              <w:jc w:val="right"/>
              <w:rPr>
                <w:rFonts w:eastAsia="Times New Roman"/>
              </w:rPr>
            </w:pPr>
            <w:r>
              <w:rPr>
                <w:rFonts w:eastAsia="Times New Roman"/>
                <w:color w:val="000000"/>
                <w:sz w:val="18"/>
                <w:szCs w:val="18"/>
              </w:rPr>
              <w:t>226,017</w:t>
            </w:r>
            <w:r>
              <w:rPr>
                <w:rFonts w:eastAsia="Times New Roman"/>
                <w:color w:val="000000"/>
                <w:sz w:val="18"/>
                <w:szCs w:val="18"/>
              </w:rPr>
              <w:t> </w:t>
            </w:r>
          </w:p>
        </w:tc>
        <w:tc>
          <w:tcPr>
            <w:tcW w:w="0" w:type="auto"/>
            <w:shd w:val="clear" w:color="auto" w:fill="CCEEFF"/>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hideMark/>
          </w:tcPr>
          <w:p w:rsidR="00000000" w:rsidRDefault="00CB61D5">
            <w:pPr>
              <w:jc w:val="right"/>
              <w:rPr>
                <w:rFonts w:eastAsia="Times New Roman"/>
              </w:rPr>
            </w:pPr>
            <w:r>
              <w:rPr>
                <w:rFonts w:eastAsia="Times New Roman"/>
                <w:color w:val="000000"/>
                <w:sz w:val="18"/>
                <w:szCs w:val="18"/>
              </w:rPr>
              <w:t>236,496</w:t>
            </w:r>
            <w:r>
              <w:rPr>
                <w:rFonts w:eastAsia="Times New Roman"/>
                <w:color w:val="000000"/>
                <w:sz w:val="18"/>
                <w:szCs w:val="18"/>
              </w:rPr>
              <w:t> </w:t>
            </w:r>
          </w:p>
        </w:tc>
        <w:tc>
          <w:tcPr>
            <w:tcW w:w="0" w:type="auto"/>
            <w:shd w:val="clear" w:color="auto" w:fill="CCEEFF"/>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Balance Sheet Data (at end of period)</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1646816740"/>
              <w:rPr>
                <w:rFonts w:eastAsia="Times New Roman"/>
              </w:rPr>
            </w:pPr>
            <w:r>
              <w:rPr>
                <w:rFonts w:eastAsia="Times New Roman"/>
                <w:color w:val="000000"/>
                <w:sz w:val="18"/>
                <w:szCs w:val="18"/>
              </w:rPr>
              <w:t>Average inventory per store</w:t>
            </w:r>
            <w:r>
              <w:rPr>
                <w:rFonts w:eastAsia="Times New Roman"/>
                <w:color w:val="000000"/>
                <w:sz w:val="18"/>
                <w:szCs w:val="18"/>
              </w:rPr>
              <w:t xml:space="preserve"> </w:t>
            </w:r>
            <w:r>
              <w:rPr>
                <w:rFonts w:eastAsia="Times New Roman"/>
                <w:color w:val="000000"/>
                <w:sz w:val="12"/>
                <w:szCs w:val="12"/>
                <w:vertAlign w:val="superscript"/>
              </w:rPr>
              <w:t>(f)</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751.3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766.8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735.4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741.7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820.1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Inventory turn</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3.19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Working capita</w:t>
            </w:r>
            <w:r>
              <w:rPr>
                <w:rFonts w:eastAsia="Times New Roman"/>
                <w:color w:val="000000"/>
                <w:sz w:val="18"/>
                <w:szCs w:val="18"/>
              </w:rPr>
              <w:t>l</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540,287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856,292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806,154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740,615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768,177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divId w:val="2068919912"/>
              <w:rPr>
                <w:rFonts w:eastAsia="Times New Roman"/>
              </w:rPr>
            </w:pPr>
            <w:r>
              <w:rPr>
                <w:rFonts w:eastAsia="Times New Roman"/>
                <w:color w:val="000000"/>
                <w:sz w:val="18"/>
                <w:szCs w:val="18"/>
              </w:rPr>
              <w:t>Total assets</w:t>
            </w:r>
            <w:r>
              <w:rPr>
                <w:rFonts w:eastAsia="Times New Roman"/>
                <w:color w:val="000000"/>
                <w:sz w:val="18"/>
                <w:szCs w:val="18"/>
              </w:rPr>
              <w:t xml:space="preserve"> </w:t>
            </w:r>
            <w:r>
              <w:rPr>
                <w:rFonts w:eastAsia="Times New Roman"/>
                <w:color w:val="000000"/>
                <w:sz w:val="12"/>
                <w:szCs w:val="12"/>
                <w:vertAlign w:val="superscript"/>
              </w:rPr>
              <w:t>(g)</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5,289,268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3,085,262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2,868,769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2,674,942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2,370,826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divId w:val="1458598751"/>
              <w:rPr>
                <w:rFonts w:eastAsia="Times New Roman"/>
              </w:rPr>
            </w:pPr>
            <w:r>
              <w:rPr>
                <w:rFonts w:eastAsia="Times New Roman"/>
                <w:color w:val="000000"/>
                <w:sz w:val="18"/>
                <w:szCs w:val="18"/>
              </w:rPr>
              <w:t>Long-term debt, less current portion</w:t>
            </w:r>
            <w:r>
              <w:rPr>
                <w:rFonts w:eastAsia="Times New Roman"/>
                <w:color w:val="000000"/>
                <w:sz w:val="18"/>
                <w:szCs w:val="18"/>
              </w:rPr>
              <w:t xml:space="preserve"> </w:t>
            </w:r>
            <w:r>
              <w:rPr>
                <w:rFonts w:eastAsia="Times New Roman"/>
                <w:color w:val="000000"/>
                <w:sz w:val="12"/>
                <w:szCs w:val="12"/>
                <w:vertAlign w:val="superscript"/>
              </w:rPr>
              <w:t>(h)</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396,869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410,370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433,686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289,769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166,992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tcMar>
              <w:top w:w="30" w:type="dxa"/>
              <w:left w:w="20" w:type="dxa"/>
              <w:bottom w:w="30" w:type="dxa"/>
              <w:right w:w="20" w:type="dxa"/>
            </w:tcMar>
            <w:vAlign w:val="bottom"/>
            <w:hideMark/>
          </w:tcPr>
          <w:p w:rsidR="00000000" w:rsidRDefault="00CB61D5">
            <w:pPr>
              <w:divId w:val="571893385"/>
              <w:rPr>
                <w:rFonts w:eastAsia="Times New Roman"/>
              </w:rPr>
            </w:pPr>
            <w:r>
              <w:rPr>
                <w:rFonts w:eastAsia="Times New Roman"/>
                <w:color w:val="000000"/>
                <w:sz w:val="18"/>
                <w:szCs w:val="18"/>
              </w:rPr>
              <w:t>Operating lease liabilities, less current portion</w:t>
            </w:r>
            <w:r>
              <w:rPr>
                <w:rFonts w:eastAsia="Times New Roman"/>
                <w:color w:val="000000"/>
                <w:sz w:val="18"/>
                <w:szCs w:val="18"/>
              </w:rPr>
              <w:t xml:space="preserve"> </w:t>
            </w:r>
            <w:r>
              <w:rPr>
                <w:rFonts w:eastAsia="Times New Roman"/>
                <w:color w:val="000000"/>
                <w:sz w:val="12"/>
                <w:szCs w:val="12"/>
                <w:vertAlign w:val="superscript"/>
              </w:rPr>
              <w:t>(g)</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2,001,162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13379271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Stockholders’ equit</w:t>
            </w:r>
            <w:r>
              <w:rPr>
                <w:rFonts w:eastAsia="Times New Roman"/>
                <w:color w:val="000000"/>
                <w:sz w:val="18"/>
                <w:szCs w:val="18"/>
              </w:rPr>
              <w:t>y</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1,567,123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1,561,820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1,418,673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1,453,218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1,393,294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r>
        <w:rPr>
          <w:rFonts w:eastAsia="Times New Roman"/>
          <w:color w:val="000000"/>
          <w:sz w:val="9"/>
          <w:szCs w:val="9"/>
          <w:vertAlign w:val="superscript"/>
        </w:rPr>
        <w:t>(a</w:t>
      </w:r>
      <w:r>
        <w:rPr>
          <w:rFonts w:eastAsia="Times New Roman"/>
          <w:color w:val="000000"/>
          <w:sz w:val="9"/>
          <w:szCs w:val="9"/>
          <w:vertAlign w:val="superscript"/>
        </w:rPr>
        <w:t>)</w:t>
      </w:r>
      <w:r>
        <w:rPr>
          <w:rFonts w:eastAsia="Times New Roman"/>
          <w:color w:val="000000"/>
          <w:sz w:val="14"/>
          <w:szCs w:val="14"/>
        </w:rPr>
        <w:t xml:space="preserve"> Our fiscal year includes 52 or 53 weeks and ends on the last Saturday of the calendar year.  References to fiscal year mean the year in which that fiscal year ended.  Fiscal year 2016 consi</w:t>
      </w:r>
      <w:r>
        <w:rPr>
          <w:rFonts w:eastAsia="Times New Roman"/>
          <w:color w:val="000000"/>
          <w:sz w:val="14"/>
          <w:szCs w:val="14"/>
        </w:rPr>
        <w:t>sted of 53 weeks while all other fiscal years presented consisted of 52 weeks</w:t>
      </w:r>
      <w:r>
        <w:rPr>
          <w:rFonts w:eastAsia="Times New Roman"/>
          <w:color w:val="000000"/>
          <w:sz w:val="14"/>
          <w:szCs w:val="14"/>
        </w:rPr>
        <w:t>.</w:t>
      </w:r>
    </w:p>
    <w:p w:rsidR="00000000" w:rsidRDefault="00CB61D5">
      <w:pPr>
        <w:ind w:hanging="180"/>
        <w:jc w:val="both"/>
        <w:rPr>
          <w:rFonts w:eastAsia="Times New Roman"/>
        </w:rPr>
      </w:pPr>
      <w:r>
        <w:rPr>
          <w:rFonts w:eastAsia="Times New Roman"/>
          <w:color w:val="000000"/>
          <w:sz w:val="9"/>
          <w:szCs w:val="9"/>
          <w:vertAlign w:val="superscript"/>
        </w:rPr>
        <w:t>(b</w:t>
      </w:r>
      <w:r>
        <w:rPr>
          <w:rFonts w:eastAsia="Times New Roman"/>
          <w:color w:val="000000"/>
          <w:sz w:val="9"/>
          <w:szCs w:val="9"/>
          <w:vertAlign w:val="superscript"/>
        </w:rPr>
        <w:t>)</w:t>
      </w:r>
      <w:r>
        <w:rPr>
          <w:rFonts w:eastAsia="Times New Roman"/>
          <w:color w:val="000000"/>
          <w:sz w:val="14"/>
          <w:szCs w:val="14"/>
        </w:rPr>
        <w:t xml:space="preserve"> Beginning in the fourth quarter ended December 31, 2016, selected financial and operating information includes the consolidation of Petsense, unless otherwise noted.</w:t>
      </w:r>
      <w:r>
        <w:rPr>
          <w:rFonts w:eastAsia="Times New Roman"/>
          <w:color w:val="000000"/>
          <w:sz w:val="14"/>
          <w:szCs w:val="14"/>
        </w:rPr>
        <w:t xml:space="preserve"> </w:t>
      </w:r>
    </w:p>
    <w:p w:rsidR="00000000" w:rsidRDefault="00CB61D5">
      <w:pPr>
        <w:ind w:hanging="180"/>
        <w:jc w:val="both"/>
        <w:rPr>
          <w:rFonts w:eastAsia="Times New Roman"/>
        </w:rPr>
      </w:pPr>
      <w:r>
        <w:rPr>
          <w:rFonts w:eastAsia="Times New Roman"/>
          <w:color w:val="000000"/>
          <w:sz w:val="9"/>
          <w:szCs w:val="9"/>
          <w:vertAlign w:val="superscript"/>
        </w:rPr>
        <w:t>(c</w:t>
      </w:r>
      <w:r>
        <w:rPr>
          <w:rFonts w:eastAsia="Times New Roman"/>
          <w:color w:val="000000"/>
          <w:sz w:val="9"/>
          <w:szCs w:val="9"/>
          <w:vertAlign w:val="superscript"/>
        </w:rPr>
        <w:t>)</w:t>
      </w:r>
      <w:r>
        <w:rPr>
          <w:rFonts w:eastAsia="Times New Roman"/>
          <w:color w:val="000000"/>
          <w:sz w:val="14"/>
          <w:szCs w:val="14"/>
        </w:rPr>
        <w:t xml:space="preserve"> Ba</w:t>
      </w:r>
      <w:r>
        <w:rPr>
          <w:rFonts w:eastAsia="Times New Roman"/>
          <w:color w:val="000000"/>
          <w:sz w:val="14"/>
          <w:szCs w:val="14"/>
        </w:rPr>
        <w:t>sic net income per share is calculated based on the weighted average number of common shares outstanding applied to net income.  Diluted net income per share is calculated using the treasury stock method for stock options, restricted stock units, and perfo</w:t>
      </w:r>
      <w:r>
        <w:rPr>
          <w:rFonts w:eastAsia="Times New Roman"/>
          <w:color w:val="000000"/>
          <w:sz w:val="14"/>
          <w:szCs w:val="14"/>
        </w:rPr>
        <w:t>rmance-based restricted share units</w:t>
      </w:r>
      <w:r>
        <w:rPr>
          <w:rFonts w:eastAsia="Times New Roman"/>
          <w:color w:val="000000"/>
          <w:sz w:val="14"/>
          <w:szCs w:val="14"/>
        </w:rPr>
        <w:t>.</w:t>
      </w:r>
    </w:p>
    <w:p w:rsidR="00000000" w:rsidRDefault="00CB61D5">
      <w:pPr>
        <w:ind w:hanging="180"/>
        <w:jc w:val="both"/>
        <w:rPr>
          <w:rFonts w:eastAsia="Times New Roman"/>
        </w:rPr>
      </w:pPr>
      <w:r>
        <w:rPr>
          <w:rFonts w:eastAsia="Times New Roman"/>
          <w:color w:val="000000"/>
          <w:sz w:val="9"/>
          <w:szCs w:val="9"/>
          <w:vertAlign w:val="superscript"/>
        </w:rPr>
        <w:t>(d</w:t>
      </w:r>
      <w:r>
        <w:rPr>
          <w:rFonts w:eastAsia="Times New Roman"/>
          <w:color w:val="000000"/>
          <w:sz w:val="9"/>
          <w:szCs w:val="9"/>
          <w:vertAlign w:val="superscript"/>
        </w:rPr>
        <w:t>)</w:t>
      </w:r>
      <w:r>
        <w:rPr>
          <w:rFonts w:eastAsia="Times New Roman"/>
          <w:color w:val="000000"/>
          <w:sz w:val="14"/>
          <w:szCs w:val="14"/>
        </w:rPr>
        <w:t xml:space="preserve"> Comparable store metrics are calculated on an annual basis using sales generated from all stores open at least one year and all online sales, excluding certain adjustments to net sales. Stores closed during the year</w:t>
      </w:r>
      <w:r>
        <w:rPr>
          <w:rFonts w:eastAsia="Times New Roman"/>
          <w:color w:val="000000"/>
          <w:sz w:val="14"/>
          <w:szCs w:val="14"/>
        </w:rPr>
        <w:t xml:space="preserve"> are removed from our comparable store metrics calculations. Stores relocated during the years being compared are not removed from our comparable store metrics. If the effect of relocated stores on our comparable store metrics becomes material, we would re</w:t>
      </w:r>
      <w:r>
        <w:rPr>
          <w:rFonts w:eastAsia="Times New Roman"/>
          <w:color w:val="000000"/>
          <w:sz w:val="14"/>
          <w:szCs w:val="14"/>
        </w:rPr>
        <w:t>move relocated stores from the calculations. Acquired Petsense stores are considered comparable stores beginning in the fourth quarter of fiscal 2017</w:t>
      </w:r>
      <w:r>
        <w:rPr>
          <w:rFonts w:eastAsia="Times New Roman"/>
          <w:color w:val="000000"/>
          <w:sz w:val="14"/>
          <w:szCs w:val="14"/>
        </w:rPr>
        <w:t>.</w:t>
      </w:r>
    </w:p>
    <w:p w:rsidR="00000000" w:rsidRDefault="00CB61D5">
      <w:pPr>
        <w:ind w:hanging="180"/>
        <w:jc w:val="both"/>
        <w:rPr>
          <w:rFonts w:eastAsia="Times New Roman"/>
        </w:rPr>
      </w:pPr>
      <w:r>
        <w:rPr>
          <w:rFonts w:eastAsia="Times New Roman"/>
          <w:color w:val="000000"/>
          <w:sz w:val="9"/>
          <w:szCs w:val="9"/>
          <w:vertAlign w:val="superscript"/>
        </w:rPr>
        <w:t>(e</w:t>
      </w:r>
      <w:r>
        <w:rPr>
          <w:rFonts w:eastAsia="Times New Roman"/>
          <w:color w:val="000000"/>
          <w:sz w:val="9"/>
          <w:szCs w:val="9"/>
          <w:vertAlign w:val="superscript"/>
        </w:rPr>
        <w:t>)</w:t>
      </w:r>
      <w:r>
        <w:rPr>
          <w:rFonts w:eastAsia="Times New Roman"/>
          <w:color w:val="000000"/>
          <w:sz w:val="14"/>
          <w:szCs w:val="14"/>
        </w:rPr>
        <w:t xml:space="preserve"> New stores sales metrics are based on stores open for less than one year.</w:t>
      </w:r>
      <w:r>
        <w:rPr>
          <w:rFonts w:eastAsia="Times New Roman"/>
          <w:color w:val="000000"/>
          <w:sz w:val="14"/>
          <w:szCs w:val="14"/>
        </w:rPr>
        <w:t xml:space="preserve"> </w:t>
      </w:r>
    </w:p>
    <w:p w:rsidR="00000000" w:rsidRDefault="00CB61D5">
      <w:pPr>
        <w:ind w:hanging="180"/>
        <w:jc w:val="both"/>
        <w:rPr>
          <w:rFonts w:eastAsia="Times New Roman"/>
        </w:rPr>
      </w:pPr>
      <w:r>
        <w:rPr>
          <w:rFonts w:eastAsia="Times New Roman"/>
          <w:color w:val="000000"/>
          <w:sz w:val="9"/>
          <w:szCs w:val="9"/>
          <w:vertAlign w:val="superscript"/>
        </w:rPr>
        <w:t>(f</w:t>
      </w:r>
      <w:r>
        <w:rPr>
          <w:rFonts w:eastAsia="Times New Roman"/>
          <w:color w:val="000000"/>
          <w:sz w:val="9"/>
          <w:szCs w:val="9"/>
          <w:vertAlign w:val="superscript"/>
        </w:rPr>
        <w:t>)</w:t>
      </w:r>
      <w:r>
        <w:rPr>
          <w:rFonts w:eastAsia="Times New Roman"/>
          <w:color w:val="000000"/>
          <w:sz w:val="14"/>
          <w:szCs w:val="14"/>
        </w:rPr>
        <w:t xml:space="preserve"> Assumes average invent</w:t>
      </w:r>
      <w:r>
        <w:rPr>
          <w:rFonts w:eastAsia="Times New Roman"/>
          <w:color w:val="000000"/>
          <w:sz w:val="14"/>
          <w:szCs w:val="14"/>
        </w:rPr>
        <w:t>ory cost, excluding inventory in-transit</w:t>
      </w:r>
      <w:r>
        <w:rPr>
          <w:rFonts w:eastAsia="Times New Roman"/>
          <w:color w:val="000000"/>
          <w:sz w:val="14"/>
          <w:szCs w:val="14"/>
        </w:rPr>
        <w:t>.</w:t>
      </w:r>
    </w:p>
    <w:p w:rsidR="00000000" w:rsidRDefault="00CB61D5">
      <w:pPr>
        <w:ind w:hanging="180"/>
        <w:jc w:val="both"/>
        <w:rPr>
          <w:rFonts w:eastAsia="Times New Roman"/>
        </w:rPr>
      </w:pPr>
      <w:r>
        <w:rPr>
          <w:rFonts w:eastAsia="Times New Roman"/>
          <w:color w:val="000000"/>
          <w:sz w:val="9"/>
          <w:szCs w:val="9"/>
          <w:vertAlign w:val="superscript"/>
        </w:rPr>
        <w:t>(g</w:t>
      </w:r>
      <w:r>
        <w:rPr>
          <w:rFonts w:eastAsia="Times New Roman"/>
          <w:color w:val="000000"/>
          <w:sz w:val="9"/>
          <w:szCs w:val="9"/>
          <w:vertAlign w:val="superscript"/>
        </w:rPr>
        <w:t>)</w:t>
      </w:r>
      <w:r>
        <w:rPr>
          <w:rFonts w:eastAsia="Times New Roman"/>
          <w:color w:val="000000"/>
          <w:sz w:val="14"/>
          <w:szCs w:val="14"/>
        </w:rPr>
        <w:t xml:space="preserve"> As a result of the adoption of new lease accounting guidance in the first quarter of fiscal 2019, we recognized lease assets and liabilities for operating leases. Prior period amounts were not adjusted and cont</w:t>
      </w:r>
      <w:r>
        <w:rPr>
          <w:rFonts w:eastAsia="Times New Roman"/>
          <w:color w:val="000000"/>
          <w:sz w:val="14"/>
          <w:szCs w:val="14"/>
        </w:rPr>
        <w:t>inue to be reported in accordance with our historic accounting policies. For additional information related to the impact of adopting this new accounting guidance, see Note 1, Note 6, and Note 14 to the Consolidated Financial Statements</w:t>
      </w:r>
      <w:r>
        <w:rPr>
          <w:rFonts w:eastAsia="Times New Roman"/>
          <w:color w:val="000000"/>
          <w:sz w:val="14"/>
          <w:szCs w:val="14"/>
        </w:rPr>
        <w:t>.</w:t>
      </w:r>
    </w:p>
    <w:p w:rsidR="00000000" w:rsidRDefault="00CB61D5">
      <w:pPr>
        <w:ind w:hanging="180"/>
        <w:jc w:val="both"/>
        <w:rPr>
          <w:rFonts w:eastAsia="Times New Roman"/>
        </w:rPr>
      </w:pPr>
      <w:r>
        <w:rPr>
          <w:rFonts w:eastAsia="Times New Roman"/>
          <w:color w:val="000000"/>
          <w:sz w:val="9"/>
          <w:szCs w:val="9"/>
          <w:vertAlign w:val="superscript"/>
        </w:rPr>
        <w:t>(h</w:t>
      </w:r>
      <w:r>
        <w:rPr>
          <w:rFonts w:eastAsia="Times New Roman"/>
          <w:color w:val="000000"/>
          <w:sz w:val="9"/>
          <w:szCs w:val="9"/>
          <w:vertAlign w:val="superscript"/>
        </w:rPr>
        <w:t>)</w:t>
      </w:r>
      <w:r>
        <w:rPr>
          <w:rFonts w:eastAsia="Times New Roman"/>
          <w:color w:val="000000"/>
          <w:sz w:val="14"/>
          <w:szCs w:val="14"/>
        </w:rPr>
        <w:t xml:space="preserve"> Long-term debt</w:t>
      </w:r>
      <w:r>
        <w:rPr>
          <w:rFonts w:eastAsia="Times New Roman"/>
          <w:color w:val="000000"/>
          <w:sz w:val="14"/>
          <w:szCs w:val="14"/>
        </w:rPr>
        <w:t xml:space="preserve"> includes amounts outstanding under the Company’s debt facilities and finance lease obligations, excluding the current portions</w:t>
      </w:r>
      <w:r>
        <w:rPr>
          <w:rFonts w:eastAsia="Times New Roman"/>
          <w:color w:val="000000"/>
          <w:sz w:val="14"/>
          <w:szCs w:val="14"/>
        </w:rPr>
        <w:t>.</w:t>
      </w:r>
    </w:p>
    <w:p w:rsidR="00000000" w:rsidRDefault="00CB61D5">
      <w:pPr>
        <w:jc w:val="center"/>
        <w:divId w:val="2115707930"/>
        <w:rPr>
          <w:rFonts w:eastAsia="Times New Roman"/>
        </w:rPr>
      </w:pPr>
      <w:r>
        <w:rPr>
          <w:rFonts w:eastAsia="Times New Roman"/>
          <w:color w:val="000000"/>
          <w:sz w:val="20"/>
          <w:szCs w:val="20"/>
        </w:rPr>
        <w:t>2</w:t>
      </w:r>
      <w:r>
        <w:rPr>
          <w:rFonts w:eastAsia="Times New Roman"/>
          <w:color w:val="000000"/>
          <w:sz w:val="20"/>
          <w:szCs w:val="20"/>
        </w:rPr>
        <w:t>2</w:t>
      </w:r>
    </w:p>
    <w:p w:rsidR="00000000" w:rsidRDefault="00CB61D5">
      <w:pPr>
        <w:rPr>
          <w:rFonts w:eastAsia="Times New Roman"/>
        </w:rPr>
      </w:pPr>
      <w:r>
        <w:rPr>
          <w:rFonts w:eastAsia="Times New Roman"/>
        </w:rPr>
        <w:pict>
          <v:rect id="_x0000_i1051" style="width:0;height:1.5pt" o:hralign="center" o:hrstd="t" o:hr="t" fillcolor="#a0a0a0" stroked="f"/>
        </w:pict>
      </w:r>
    </w:p>
    <w:p w:rsidR="00000000" w:rsidRDefault="00CB61D5">
      <w:pPr>
        <w:divId w:val="1043746965"/>
        <w:rPr>
          <w:rFonts w:eastAsia="Times New Roman"/>
        </w:rPr>
      </w:pPr>
      <w:hyperlink w:anchor="i_0_7" w:history="1">
        <w:r>
          <w:rPr>
            <w:rStyle w:val="a3"/>
            <w:rFonts w:eastAsia="Times New Roman"/>
            <w:sz w:val="18"/>
            <w:szCs w:val="18"/>
          </w:rPr>
          <w:t>Index</w:t>
        </w:r>
      </w:hyperlink>
    </w:p>
    <w:p w:rsidR="00000000" w:rsidRDefault="00CB61D5">
      <w:pPr>
        <w:ind w:hanging="1440"/>
        <w:divId w:val="1479296685"/>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7</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Management’s Discussion and Analysis of Financial Condition and Results of Operation</w:t>
      </w:r>
      <w:r>
        <w:rPr>
          <w:rFonts w:eastAsia="Times New Roman"/>
          <w:b/>
          <w:bCs/>
          <w:color w:val="000000"/>
          <w:sz w:val="20"/>
          <w:szCs w:val="20"/>
          <w:u w:val="single"/>
        </w:rPr>
        <w:t>s</w:t>
      </w:r>
    </w:p>
    <w:p w:rsidR="00000000" w:rsidRDefault="00CB61D5">
      <w:pPr>
        <w:divId w:val="1802652545"/>
        <w:rPr>
          <w:rFonts w:eastAsia="Times New Roman"/>
        </w:rPr>
      </w:pPr>
    </w:p>
    <w:p w:rsidR="00000000" w:rsidRDefault="00CB61D5">
      <w:pPr>
        <w:jc w:val="both"/>
        <w:rPr>
          <w:rFonts w:eastAsia="Times New Roman"/>
        </w:rPr>
      </w:pPr>
      <w:r>
        <w:rPr>
          <w:rFonts w:eastAsia="Times New Roman"/>
          <w:i/>
          <w:iCs/>
          <w:color w:val="000000"/>
          <w:sz w:val="18"/>
          <w:szCs w:val="18"/>
        </w:rPr>
        <w:t xml:space="preserve">The following discussion and analysis is intended to provide the reader with information </w:t>
      </w:r>
      <w:r>
        <w:rPr>
          <w:rFonts w:eastAsia="Times New Roman"/>
          <w:i/>
          <w:iCs/>
          <w:color w:val="000000"/>
          <w:sz w:val="18"/>
          <w:szCs w:val="18"/>
        </w:rPr>
        <w:t xml:space="preserve">that will assist in understanding the significant factors affecting our consolidated operating results, financial condition, liquidity, and capital resources during the three-year period ended December 28, 2019 (our fiscal years 2019, 2018 and 2017). This </w:t>
      </w:r>
      <w:r>
        <w:rPr>
          <w:rFonts w:eastAsia="Times New Roman"/>
          <w:i/>
          <w:iCs/>
          <w:color w:val="000000"/>
          <w:sz w:val="18"/>
          <w:szCs w:val="18"/>
        </w:rPr>
        <w:t xml:space="preserve">discussion should be read in conjunction with our Consolidated Financial Statements and Notes to the Consolidated Financial Statements included elsewhere in this report. This discussion contains forward-looking statements. See “Forward-Looking Statements” </w:t>
      </w:r>
      <w:r>
        <w:rPr>
          <w:rFonts w:eastAsia="Times New Roman"/>
          <w:i/>
          <w:iCs/>
          <w:color w:val="000000"/>
          <w:sz w:val="18"/>
          <w:szCs w:val="18"/>
        </w:rPr>
        <w:t>and “Risk Factors” included elsewhere in this report</w:t>
      </w:r>
      <w:r>
        <w:rPr>
          <w:rFonts w:eastAsia="Times New Roman"/>
          <w:i/>
          <w:iCs/>
          <w:color w:val="000000"/>
          <w:sz w:val="18"/>
          <w:szCs w:val="18"/>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18"/>
          <w:szCs w:val="18"/>
        </w:rPr>
        <w:t>Tractor Supply reports its financial results in accordance with accounting principles generally accepted in the United States of America (“U.S. GAAP”). Tractor Supply also uses certain non-GAAP measur</w:t>
      </w:r>
      <w:r>
        <w:rPr>
          <w:rFonts w:eastAsia="Times New Roman"/>
          <w:i/>
          <w:iCs/>
          <w:color w:val="000000"/>
          <w:sz w:val="18"/>
          <w:szCs w:val="18"/>
        </w:rPr>
        <w:t>es that fall within the meaning of Securities and Exchange Commission Regulation G and Regulation S-K Item 10(e), which may provide users of the financial information with additional meaningful comparison to prior reported results. Non-GAAP measures do not</w:t>
      </w:r>
      <w:r>
        <w:rPr>
          <w:rFonts w:eastAsia="Times New Roman"/>
          <w:i/>
          <w:iCs/>
          <w:color w:val="000000"/>
          <w:sz w:val="18"/>
          <w:szCs w:val="18"/>
        </w:rPr>
        <w:t xml:space="preserve"> have standardized definitions and are not defined by U.S. GAAP. Therefore, Tractor Supply’s non-GAAP measures are unlikely to be comparable to similar measures presented by other companies. The presentation of these non-GAAP measures should not be conside</w:t>
      </w:r>
      <w:r>
        <w:rPr>
          <w:rFonts w:eastAsia="Times New Roman"/>
          <w:i/>
          <w:iCs/>
          <w:color w:val="000000"/>
          <w:sz w:val="18"/>
          <w:szCs w:val="18"/>
        </w:rPr>
        <w:t>red in isolation from, as a substitute for, or as superior to the financial information presented in accordance with U.S. GAAP. We believe this information is useful in providing period-to-period comparisons of the results of our continuing operations.</w:t>
      </w:r>
      <w:r>
        <w:rPr>
          <w:rFonts w:eastAsia="Times New Roman"/>
          <w:i/>
          <w:iCs/>
          <w:color w:val="000000"/>
          <w:sz w:val="18"/>
          <w:szCs w:val="18"/>
        </w:rPr>
        <w:t xml:space="preserve"> </w:t>
      </w:r>
    </w:p>
    <w:p w:rsidR="00000000" w:rsidRDefault="00CB61D5">
      <w:pPr>
        <w:divId w:val="1060666748"/>
        <w:rPr>
          <w:rFonts w:eastAsia="Times New Roman"/>
        </w:rPr>
      </w:pPr>
    </w:p>
    <w:p w:rsidR="00000000" w:rsidRDefault="00CB61D5">
      <w:pPr>
        <w:jc w:val="both"/>
        <w:rPr>
          <w:rFonts w:eastAsia="Times New Roman"/>
        </w:rPr>
      </w:pPr>
      <w:r>
        <w:rPr>
          <w:rFonts w:eastAsia="Times New Roman"/>
          <w:b/>
          <w:bCs/>
          <w:color w:val="000000"/>
          <w:sz w:val="22"/>
          <w:szCs w:val="22"/>
        </w:rPr>
        <w:t>Overvie</w:t>
      </w:r>
      <w:r>
        <w:rPr>
          <w:rFonts w:eastAsia="Times New Roman"/>
          <w:b/>
          <w:bCs/>
          <w:color w:val="000000"/>
          <w:sz w:val="22"/>
          <w:szCs w:val="22"/>
        </w:rPr>
        <w:t>w</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w:t>
      </w:r>
      <w:r>
        <w:rPr>
          <w:rFonts w:eastAsia="Times New Roman"/>
          <w:color w:val="000000"/>
          <w:sz w:val="20"/>
          <w:szCs w:val="20"/>
        </w:rPr>
        <w:t xml:space="preserve">se who enjoy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 well as tradesmen and small businesses. As of December 28, 2019, we operated 2,024 retail stores in 49 states under the names</w:t>
      </w:r>
      <w:r>
        <w:rPr>
          <w:rFonts w:eastAsia="Times New Roman"/>
          <w:color w:val="000000"/>
          <w:sz w:val="20"/>
          <w:szCs w:val="20"/>
        </w:rPr>
        <w:t xml:space="preserve"> </w:t>
      </w:r>
      <w:r>
        <w:rPr>
          <w:rFonts w:eastAsia="Times New Roman"/>
          <w:i/>
          <w:iCs/>
          <w:color w:val="000000"/>
          <w:sz w:val="20"/>
          <w:szCs w:val="20"/>
        </w:rPr>
        <w:t>Tractor Supply Company</w:t>
      </w:r>
      <w:r>
        <w:rPr>
          <w:rFonts w:eastAsia="Times New Roman"/>
          <w:i/>
          <w:iCs/>
          <w:color w:val="000000"/>
          <w:sz w:val="20"/>
          <w:szCs w:val="20"/>
        </w:rPr>
        <w:t>,</w:t>
      </w:r>
      <w:r>
        <w:rPr>
          <w:rFonts w:eastAsia="Times New Roman"/>
          <w:color w:val="000000"/>
          <w:sz w:val="20"/>
          <w:szCs w:val="20"/>
        </w:rPr>
        <w:t xml:space="preserve"> </w:t>
      </w:r>
      <w:r>
        <w:rPr>
          <w:rFonts w:eastAsia="Times New Roman"/>
          <w:i/>
          <w:iCs/>
          <w:color w:val="000000"/>
          <w:sz w:val="20"/>
          <w:szCs w:val="20"/>
        </w:rPr>
        <w:t>Del’s Feed &amp; F</w:t>
      </w:r>
      <w:r>
        <w:rPr>
          <w:rFonts w:eastAsia="Times New Roman"/>
          <w:i/>
          <w:iCs/>
          <w:color w:val="000000"/>
          <w:sz w:val="20"/>
          <w:szCs w:val="20"/>
        </w:rPr>
        <w:t>arm Supply,</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rPr>
        <w:t>Petsense</w:t>
      </w:r>
      <w:r>
        <w:rPr>
          <w:rFonts w:eastAsia="Times New Roman"/>
          <w:i/>
          <w:iCs/>
          <w:color w:val="000000"/>
          <w:sz w:val="20"/>
          <w:szCs w:val="20"/>
        </w:rPr>
        <w:t>.</w:t>
      </w:r>
      <w:r>
        <w:rPr>
          <w:rFonts w:eastAsia="Times New Roman"/>
          <w:color w:val="000000"/>
          <w:sz w:val="20"/>
          <w:szCs w:val="20"/>
        </w:rPr>
        <w:t xml:space="preserve"> We also operate websites under the names</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 Our stores are located primarily in towns outlying major metropolitan markets and in rural communities, and they offer the following comprehensive select</w:t>
      </w:r>
      <w:r>
        <w:rPr>
          <w:rFonts w:eastAsia="Times New Roman"/>
          <w:color w:val="000000"/>
          <w:sz w:val="20"/>
          <w:szCs w:val="20"/>
        </w:rPr>
        <w:t>ion of merchandise</w:t>
      </w:r>
      <w:r>
        <w:rPr>
          <w:rFonts w:eastAsia="Times New Roman"/>
          <w:color w:val="000000"/>
          <w:sz w:val="20"/>
          <w:szCs w:val="20"/>
        </w:rPr>
        <w:t>:</w:t>
      </w:r>
    </w:p>
    <w:p w:rsidR="00000000" w:rsidRDefault="00CB61D5">
      <w:pPr>
        <w:divId w:val="800462935"/>
        <w:rPr>
          <w:rFonts w:eastAsia="Times New Roman"/>
        </w:rPr>
      </w:pPr>
    </w:p>
    <w:p w:rsidR="00000000" w:rsidRDefault="00CB61D5">
      <w:pPr>
        <w:ind w:hanging="360"/>
        <w:divId w:val="1199850731"/>
        <w:rPr>
          <w:rFonts w:eastAsia="Times New Roman"/>
        </w:rPr>
      </w:pPr>
      <w:r>
        <w:rPr>
          <w:rFonts w:eastAsia="Times New Roman"/>
          <w:color w:val="000000"/>
          <w:sz w:val="20"/>
          <w:szCs w:val="20"/>
        </w:rPr>
        <w:t>•</w:t>
      </w:r>
      <w:r>
        <w:rPr>
          <w:rFonts w:eastAsia="Times New Roman"/>
          <w:color w:val="000000"/>
          <w:sz w:val="20"/>
          <w:szCs w:val="20"/>
        </w:rPr>
        <w:t>Equine, livestock, pet, and small animal products, including items necessary for their health, care, growth, and containment</w:t>
      </w:r>
      <w:r>
        <w:rPr>
          <w:rFonts w:eastAsia="Times New Roman"/>
          <w:color w:val="000000"/>
          <w:sz w:val="20"/>
          <w:szCs w:val="20"/>
        </w:rPr>
        <w:t>;</w:t>
      </w:r>
    </w:p>
    <w:p w:rsidR="00000000" w:rsidRDefault="00CB61D5">
      <w:pPr>
        <w:ind w:hanging="360"/>
        <w:divId w:val="135801130"/>
        <w:rPr>
          <w:rFonts w:eastAsia="Times New Roman"/>
        </w:rPr>
      </w:pPr>
      <w:r>
        <w:rPr>
          <w:rFonts w:eastAsia="Times New Roman"/>
          <w:color w:val="000000"/>
          <w:sz w:val="20"/>
          <w:szCs w:val="20"/>
        </w:rPr>
        <w:t>•</w:t>
      </w:r>
      <w:r>
        <w:rPr>
          <w:rFonts w:eastAsia="Times New Roman"/>
          <w:color w:val="000000"/>
          <w:sz w:val="20"/>
          <w:szCs w:val="20"/>
        </w:rPr>
        <w:t>Hardware, truck, towing, and tool products</w:t>
      </w:r>
      <w:r>
        <w:rPr>
          <w:rFonts w:eastAsia="Times New Roman"/>
          <w:color w:val="000000"/>
          <w:sz w:val="20"/>
          <w:szCs w:val="20"/>
        </w:rPr>
        <w:t>;</w:t>
      </w:r>
    </w:p>
    <w:p w:rsidR="00000000" w:rsidRDefault="00CB61D5">
      <w:pPr>
        <w:ind w:hanging="360"/>
        <w:divId w:val="883322983"/>
        <w:rPr>
          <w:rFonts w:eastAsia="Times New Roman"/>
        </w:rPr>
      </w:pPr>
      <w:r>
        <w:rPr>
          <w:rFonts w:eastAsia="Times New Roman"/>
          <w:color w:val="000000"/>
          <w:sz w:val="20"/>
          <w:szCs w:val="20"/>
        </w:rPr>
        <w:t>•</w:t>
      </w:r>
      <w:r>
        <w:rPr>
          <w:rFonts w:eastAsia="Times New Roman"/>
          <w:color w:val="000000"/>
          <w:sz w:val="20"/>
          <w:szCs w:val="20"/>
        </w:rPr>
        <w:t xml:space="preserve">Seasonal products, including heating, lawn and garden items, </w:t>
      </w:r>
      <w:r>
        <w:rPr>
          <w:rFonts w:eastAsia="Times New Roman"/>
          <w:color w:val="000000"/>
          <w:sz w:val="20"/>
          <w:szCs w:val="20"/>
        </w:rPr>
        <w:t>power equipment, gifts, and toys</w:t>
      </w:r>
      <w:r>
        <w:rPr>
          <w:rFonts w:eastAsia="Times New Roman"/>
          <w:color w:val="000000"/>
          <w:sz w:val="20"/>
          <w:szCs w:val="20"/>
        </w:rPr>
        <w:t>;</w:t>
      </w:r>
    </w:p>
    <w:p w:rsidR="00000000" w:rsidRDefault="00CB61D5">
      <w:pPr>
        <w:ind w:hanging="360"/>
        <w:divId w:val="1122307130"/>
        <w:rPr>
          <w:rFonts w:eastAsia="Times New Roman"/>
        </w:rPr>
      </w:pPr>
      <w:r>
        <w:rPr>
          <w:rFonts w:eastAsia="Times New Roman"/>
          <w:color w:val="000000"/>
          <w:sz w:val="20"/>
          <w:szCs w:val="20"/>
        </w:rPr>
        <w:t>•</w:t>
      </w:r>
      <w:r>
        <w:rPr>
          <w:rFonts w:eastAsia="Times New Roman"/>
          <w:color w:val="000000"/>
          <w:sz w:val="20"/>
          <w:szCs w:val="20"/>
        </w:rPr>
        <w:t>Work/recreational clothing and footwear; an</w:t>
      </w:r>
      <w:r>
        <w:rPr>
          <w:rFonts w:eastAsia="Times New Roman"/>
          <w:color w:val="000000"/>
          <w:sz w:val="20"/>
          <w:szCs w:val="20"/>
        </w:rPr>
        <w:t>d</w:t>
      </w:r>
    </w:p>
    <w:p w:rsidR="00000000" w:rsidRDefault="00CB61D5">
      <w:pPr>
        <w:ind w:hanging="360"/>
        <w:divId w:val="388454821"/>
        <w:rPr>
          <w:rFonts w:eastAsia="Times New Roman"/>
        </w:rPr>
      </w:pPr>
      <w:r>
        <w:rPr>
          <w:rFonts w:eastAsia="Times New Roman"/>
          <w:color w:val="000000"/>
          <w:sz w:val="20"/>
          <w:szCs w:val="20"/>
        </w:rPr>
        <w:t>•</w:t>
      </w:r>
      <w:r>
        <w:rPr>
          <w:rFonts w:eastAsia="Times New Roman"/>
          <w:color w:val="000000"/>
          <w:sz w:val="20"/>
          <w:szCs w:val="20"/>
        </w:rPr>
        <w:t>Maintenance products for agricultural and rural use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Tractor Supply Company believes we can grow our business by being the most dependable supplier of relevant products and services for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creating customer loyalty through personalized experiences, and providing convenience that our cu</w:t>
      </w:r>
      <w:r>
        <w:rPr>
          <w:rFonts w:eastAsia="Times New Roman"/>
          <w:color w:val="000000"/>
          <w:sz w:val="20"/>
          <w:szCs w:val="20"/>
        </w:rPr>
        <w:t>stomers expect at anytime, anywhere, and in any way they choose.  Our long-term growth strategy is to: (1) drive profitable growth through new store openings and by expanding omni-channel capabilities, thus tying together our website product content, socia</w:t>
      </w:r>
      <w:r>
        <w:rPr>
          <w:rFonts w:eastAsia="Times New Roman"/>
          <w:color w:val="000000"/>
          <w:sz w:val="20"/>
          <w:szCs w:val="20"/>
        </w:rPr>
        <w:t>l media, digital, and online shopping experience, attracting new customers and driving loyalty, (2) build customer-centric engagement by leveraging analytics to deliver legendary customer service, seasoned advice, and personalized experiences, (3) offer re</w:t>
      </w:r>
      <w:r>
        <w:rPr>
          <w:rFonts w:eastAsia="Times New Roman"/>
          <w:color w:val="000000"/>
          <w:sz w:val="20"/>
          <w:szCs w:val="20"/>
        </w:rPr>
        <w:t>levant assortments and services across all channels through exclusive and national brands and continue to introduce new products and services through our test and learn strategy, (4) enhance our core and foundational capabilities by investing in infrastruc</w:t>
      </w:r>
      <w:r>
        <w:rPr>
          <w:rFonts w:eastAsia="Times New Roman"/>
          <w:color w:val="000000"/>
          <w:sz w:val="20"/>
          <w:szCs w:val="20"/>
        </w:rPr>
        <w:t>ture and process improvements which will support growth, scale, and agility while improving the customer experience, and (5) expand through selective acquisitions, as such opportunities arise, to add complementary businesses and to enhance penetration into</w:t>
      </w:r>
      <w:r>
        <w:rPr>
          <w:rFonts w:eastAsia="Times New Roman"/>
          <w:color w:val="000000"/>
          <w:sz w:val="20"/>
          <w:szCs w:val="20"/>
        </w:rPr>
        <w:t xml:space="preserve"> new and existing markets to supplement organic growth</w:t>
      </w:r>
      <w:r>
        <w:rPr>
          <w:rFonts w:eastAsia="Times New Roman"/>
          <w:color w:val="000000"/>
          <w:sz w:val="20"/>
          <w:szCs w:val="20"/>
        </w:rPr>
        <w:t>.</w:t>
      </w:r>
    </w:p>
    <w:p w:rsidR="00000000" w:rsidRDefault="00CB61D5">
      <w:pPr>
        <w:divId w:val="670715104"/>
        <w:rPr>
          <w:rFonts w:eastAsia="Times New Roman"/>
        </w:rPr>
      </w:pPr>
    </w:p>
    <w:p w:rsidR="00000000" w:rsidRDefault="00CB61D5">
      <w:pPr>
        <w:jc w:val="both"/>
        <w:rPr>
          <w:rFonts w:eastAsia="Times New Roman"/>
        </w:rPr>
      </w:pPr>
      <w:r>
        <w:rPr>
          <w:rFonts w:eastAsia="Times New Roman"/>
          <w:color w:val="000000"/>
          <w:sz w:val="20"/>
          <w:szCs w:val="20"/>
        </w:rPr>
        <w:t>Achieving this strategy will require a foundational focus on: (1) organizing, optimizing, and empowering our team members for growth by developing skills, talent, and leadership across the organizat</w:t>
      </w:r>
      <w:r>
        <w:rPr>
          <w:rFonts w:eastAsia="Times New Roman"/>
          <w:color w:val="000000"/>
          <w:sz w:val="20"/>
          <w:szCs w:val="20"/>
        </w:rPr>
        <w:t>ion, and (2) implementing operational efficiency initiatives, including leverage of technology and automation, to align our cost structure to support new business capabilities for margin improvement and cost reductions</w:t>
      </w:r>
      <w:r>
        <w:rPr>
          <w:rFonts w:eastAsia="Times New Roman"/>
          <w:color w:val="000000"/>
          <w:sz w:val="20"/>
          <w:szCs w:val="20"/>
        </w:rPr>
        <w:t>.</w:t>
      </w:r>
    </w:p>
    <w:p w:rsidR="00000000" w:rsidRDefault="00CB61D5">
      <w:pPr>
        <w:divId w:val="1460495438"/>
        <w:rPr>
          <w:rFonts w:eastAsia="Times New Roman"/>
        </w:rPr>
      </w:pPr>
    </w:p>
    <w:p w:rsidR="00000000" w:rsidRDefault="00CB61D5">
      <w:pPr>
        <w:jc w:val="both"/>
        <w:rPr>
          <w:rFonts w:eastAsia="Times New Roman"/>
        </w:rPr>
      </w:pPr>
      <w:r>
        <w:rPr>
          <w:rFonts w:eastAsia="Times New Roman"/>
          <w:color w:val="000000"/>
          <w:sz w:val="20"/>
          <w:szCs w:val="20"/>
        </w:rPr>
        <w:t xml:space="preserve">Over the past five years, we have </w:t>
      </w:r>
      <w:r>
        <w:rPr>
          <w:rFonts w:eastAsia="Times New Roman"/>
          <w:color w:val="000000"/>
          <w:sz w:val="20"/>
          <w:szCs w:val="20"/>
        </w:rPr>
        <w:t>experienced considerable growth in stores, growing from 1,382 stores at the end of fiscal 2014 to 2,024 stores (1,844 Tractor Supply and Del’s retail stores and 180 Petsense retail stores) at the end of fiscal 2019, and in net sales, with a compounded annu</w:t>
      </w:r>
      <w:r>
        <w:rPr>
          <w:rFonts w:eastAsia="Times New Roman"/>
          <w:color w:val="000000"/>
          <w:sz w:val="20"/>
          <w:szCs w:val="20"/>
        </w:rPr>
        <w:t>al growth rate of approximately 7.9%. Given the size of the communities that we target, we believe that there is ample opportunity for new store growth in existing and new markets. We have developed a proven method for selecting store sites and have identi</w:t>
      </w:r>
      <w:r>
        <w:rPr>
          <w:rFonts w:eastAsia="Times New Roman"/>
          <w:color w:val="000000"/>
          <w:sz w:val="20"/>
          <w:szCs w:val="20"/>
        </w:rPr>
        <w:t>fied over 600 additional opportunities for new Tractor Supply stores. We also believe that there is opportunity for up to 1,000 Petsense stores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p>
    <w:p w:rsidR="00000000" w:rsidRDefault="00CB61D5">
      <w:pPr>
        <w:jc w:val="both"/>
        <w:rPr>
          <w:rFonts w:eastAsia="Times New Roman"/>
        </w:rPr>
      </w:pPr>
    </w:p>
    <w:p w:rsidR="00000000" w:rsidRDefault="00CB61D5">
      <w:pPr>
        <w:jc w:val="center"/>
        <w:divId w:val="805270997"/>
        <w:rPr>
          <w:rFonts w:eastAsia="Times New Roman"/>
        </w:rPr>
      </w:pPr>
      <w:r>
        <w:rPr>
          <w:rFonts w:eastAsia="Times New Roman"/>
          <w:color w:val="000000"/>
          <w:sz w:val="20"/>
          <w:szCs w:val="20"/>
        </w:rPr>
        <w:t>2</w:t>
      </w:r>
      <w:r>
        <w:rPr>
          <w:rFonts w:eastAsia="Times New Roman"/>
          <w:color w:val="000000"/>
          <w:sz w:val="20"/>
          <w:szCs w:val="20"/>
        </w:rPr>
        <w:t>3</w:t>
      </w:r>
    </w:p>
    <w:p w:rsidR="00000000" w:rsidRDefault="00CB61D5">
      <w:pPr>
        <w:rPr>
          <w:rFonts w:eastAsia="Times New Roman"/>
        </w:rPr>
      </w:pPr>
      <w:r>
        <w:rPr>
          <w:rFonts w:eastAsia="Times New Roman"/>
        </w:rPr>
        <w:pict>
          <v:rect id="_x0000_i1052" style="width:0;height:1.5pt" o:hralign="center" o:hrstd="t" o:hr="t" fillcolor="#a0a0a0" stroked="f"/>
        </w:pict>
      </w:r>
    </w:p>
    <w:p w:rsidR="00000000" w:rsidRDefault="00CB61D5">
      <w:pPr>
        <w:divId w:val="1573661430"/>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2"/>
          <w:szCs w:val="22"/>
        </w:rPr>
        <w:t>Executive Summar</w:t>
      </w:r>
      <w:r>
        <w:rPr>
          <w:rFonts w:eastAsia="Times New Roman"/>
          <w:b/>
          <w:bCs/>
          <w:color w:val="000000"/>
          <w:sz w:val="22"/>
          <w:szCs w:val="22"/>
        </w:rPr>
        <w:t>y</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fiscal </w:t>
      </w:r>
      <w:r>
        <w:rPr>
          <w:rFonts w:eastAsia="Times New Roman"/>
          <w:color w:val="000000"/>
          <w:sz w:val="20"/>
          <w:szCs w:val="20"/>
        </w:rPr>
        <w:t>2019, we opened 80 new Tractor Supply stores in 29 states and eight new Petsense stores in four states. In fiscal 2018, we opened 80 new Tractor Supply stores in 33 states and 18 new Petsense stores in 14 states. This resulted in a selling square footage i</w:t>
      </w:r>
      <w:r>
        <w:rPr>
          <w:rFonts w:eastAsia="Times New Roman"/>
          <w:color w:val="000000"/>
          <w:sz w:val="20"/>
          <w:szCs w:val="20"/>
        </w:rPr>
        <w:t>ncrease of approximately 4.3% in fiscal 2019 and approximately 4.9% in fiscal 2018</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Net sales increased 5.6% to $8.35 billion in fiscal 2019 from $7.91 billion in fiscal 2018. Comparable store sales increased 2.7% in fiscal 2019 versus a 5.1% increase in fiscal 2018. Gross profit increased 6.3% to $2.87 billion in fiscal 2019 from $2.70 b</w:t>
      </w:r>
      <w:r>
        <w:rPr>
          <w:rFonts w:eastAsia="Times New Roman"/>
          <w:color w:val="000000"/>
          <w:sz w:val="20"/>
          <w:szCs w:val="20"/>
        </w:rPr>
        <w:t>illion in fiscal 2018, and gross margin increased 22 basis points to 34.38% of net sales in fiscal 2019 from 34.16% of net sales in fiscal 2018. Operating income increased three basis points to 8.90% of net sales in fiscal 2019 from 8.87% of net sales in f</w:t>
      </w:r>
      <w:r>
        <w:rPr>
          <w:rFonts w:eastAsia="Times New Roman"/>
          <w:color w:val="000000"/>
          <w:sz w:val="20"/>
          <w:szCs w:val="20"/>
        </w:rPr>
        <w:t>iscal 2018. For fiscal 2019, net income was $562.4 million, or $4.66 per diluted share, compared to $532.4 million, or $4.31 per diluted share, in fiscal 2018</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ended the year with $84.2 million in cash and outstanding debt of $396.5 million, after ret</w:t>
      </w:r>
      <w:r>
        <w:rPr>
          <w:rFonts w:eastAsia="Times New Roman"/>
          <w:color w:val="000000"/>
          <w:sz w:val="20"/>
          <w:szCs w:val="20"/>
        </w:rPr>
        <w:t>urning $696.0 million to our stockholders through stock repurchases and quarterly cash dividends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2"/>
          <w:szCs w:val="22"/>
        </w:rPr>
        <w:t>Significant Accounting Policies and Estimate</w:t>
      </w:r>
      <w:r>
        <w:rPr>
          <w:rFonts w:eastAsia="Times New Roman"/>
          <w:b/>
          <w:bCs/>
          <w:color w:val="000000"/>
          <w:sz w:val="22"/>
          <w:szCs w:val="22"/>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Management’s discussion and analysis of our financial position and results of operations are based upon our </w:t>
      </w:r>
      <w:r>
        <w:rPr>
          <w:rFonts w:eastAsia="Times New Roman"/>
          <w:color w:val="000000"/>
          <w:sz w:val="20"/>
          <w:szCs w:val="20"/>
        </w:rPr>
        <w:t>Consolidated Financial Statements, which have been prepared in accordance with U.S. GAAP.  The preparation of these financial statements requires management to make informed estimates and judgments that affect the reported amounts of assets, liabilities, r</w:t>
      </w:r>
      <w:r>
        <w:rPr>
          <w:rFonts w:eastAsia="Times New Roman"/>
          <w:color w:val="000000"/>
          <w:sz w:val="20"/>
          <w:szCs w:val="20"/>
        </w:rPr>
        <w:t>evenues and expenses, and related disclosure of contingent assets and liabilities.  Our financial position and/or results of operations may be materially different when reported under different conditions or when using different assumptions in the applicat</w:t>
      </w:r>
      <w:r>
        <w:rPr>
          <w:rFonts w:eastAsia="Times New Roman"/>
          <w:color w:val="000000"/>
          <w:sz w:val="20"/>
          <w:szCs w:val="20"/>
        </w:rPr>
        <w:t>ion of such policies.  In the event estimates or assumptions prove to be different from actual amounts, adjustments are made in subsequent periods to reflect more current information.  Our significant accounting policies are disclosed in Note 1 to the Cons</w:t>
      </w:r>
      <w:r>
        <w:rPr>
          <w:rFonts w:eastAsia="Times New Roman"/>
          <w:color w:val="000000"/>
          <w:sz w:val="20"/>
          <w:szCs w:val="20"/>
        </w:rPr>
        <w:t>olidated Financial Statements.  The following discussion addresses our most critical accounting policies, which are those that are both important to the portrayal of our financial condition and results of operations and that require significant judgment or</w:t>
      </w:r>
      <w:r>
        <w:rPr>
          <w:rFonts w:eastAsia="Times New Roman"/>
          <w:color w:val="000000"/>
          <w:sz w:val="20"/>
          <w:szCs w:val="20"/>
        </w:rPr>
        <w:t xml:space="preserve"> use of complex estimates</w:t>
      </w:r>
      <w:r>
        <w:rPr>
          <w:rFonts w:eastAsia="Times New Roman"/>
          <w:color w:val="000000"/>
          <w:sz w:val="20"/>
          <w:szCs w:val="20"/>
        </w:rPr>
        <w:t>.</w:t>
      </w:r>
    </w:p>
    <w:p w:rsidR="00000000" w:rsidRDefault="00CB61D5">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2678"/>
        <w:gridCol w:w="73"/>
        <w:gridCol w:w="36"/>
        <w:gridCol w:w="36"/>
        <w:gridCol w:w="36"/>
        <w:gridCol w:w="70"/>
        <w:gridCol w:w="2387"/>
        <w:gridCol w:w="73"/>
        <w:gridCol w:w="36"/>
        <w:gridCol w:w="36"/>
        <w:gridCol w:w="36"/>
        <w:gridCol w:w="70"/>
        <w:gridCol w:w="2593"/>
        <w:gridCol w:w="73"/>
      </w:tblGrid>
      <w:tr w:rsidR="00000000">
        <w:trPr>
          <w:divId w:val="78793218"/>
          <w:jc w:val="center"/>
        </w:trPr>
        <w:tc>
          <w:tcPr>
            <w:tcW w:w="50" w:type="pct"/>
            <w:vAlign w:val="center"/>
            <w:hideMark/>
          </w:tcPr>
          <w:p w:rsidR="00000000" w:rsidRDefault="00CB61D5">
            <w:pPr>
              <w:jc w:val="both"/>
              <w:rPr>
                <w:rFonts w:eastAsia="Times New Roman"/>
              </w:rPr>
            </w:pPr>
          </w:p>
        </w:tc>
        <w:tc>
          <w:tcPr>
            <w:tcW w:w="161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44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56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78793218"/>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Descriptio</w:t>
            </w:r>
            <w:r>
              <w:rPr>
                <w:rFonts w:eastAsia="Times New Roman"/>
                <w:b/>
                <w:bCs/>
                <w:color w:val="000000"/>
                <w:sz w:val="20"/>
                <w:szCs w:val="20"/>
                <w:u w:val="single"/>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Judgments and Uncertaintie</w:t>
            </w:r>
            <w:r>
              <w:rPr>
                <w:rFonts w:eastAsia="Times New Roman"/>
                <w:b/>
                <w:bCs/>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Effect if Actual Results Differ from Assumption</w:t>
            </w:r>
            <w:r>
              <w:rPr>
                <w:rFonts w:eastAsia="Times New Roman"/>
                <w:b/>
                <w:bCs/>
                <w:color w:val="000000"/>
                <w:sz w:val="20"/>
                <w:szCs w:val="20"/>
                <w:u w:val="single"/>
              </w:rPr>
              <w:t>s</w:t>
            </w:r>
          </w:p>
        </w:tc>
      </w:tr>
      <w:tr w:rsidR="00000000">
        <w:trPr>
          <w:divId w:val="78793218"/>
          <w:trHeight w:val="60"/>
          <w:jc w:val="center"/>
        </w:trPr>
        <w:tc>
          <w:tcPr>
            <w:tcW w:w="0" w:type="auto"/>
            <w:gridSpan w:val="3"/>
            <w:tcMar>
              <w:top w:w="15" w:type="dxa"/>
              <w:left w:w="20" w:type="dxa"/>
              <w:bottom w:w="15" w:type="dxa"/>
              <w:right w:w="20" w:type="dxa"/>
            </w:tcMar>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hideMark/>
          </w:tcPr>
          <w:p w:rsidR="00000000" w:rsidRDefault="00CB61D5">
            <w:pPr>
              <w:rPr>
                <w:rFonts w:eastAsia="Times New Roman"/>
                <w:sz w:val="20"/>
                <w:szCs w:val="20"/>
              </w:rPr>
            </w:pPr>
          </w:p>
        </w:tc>
      </w:tr>
      <w:tr w:rsidR="00000000">
        <w:trPr>
          <w:divId w:val="78793218"/>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color w:val="000000"/>
                <w:sz w:val="20"/>
                <w:szCs w:val="20"/>
              </w:rPr>
              <w:t>Inventory Valuation</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78793218"/>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u w:val="single"/>
              </w:rPr>
              <w:t>Inventory Impairmen</w:t>
            </w:r>
            <w:r>
              <w:rPr>
                <w:rFonts w:eastAsia="Times New Roman"/>
                <w:color w:val="000000"/>
                <w:sz w:val="20"/>
                <w:szCs w:val="20"/>
                <w:u w:val="single"/>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78793218"/>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identify potentially excess and slow-moving inventory by evaluating turn rates, historical and expected future sales trends, age of merchandise, overall inventory levels, current cost of inventory, and other benchmarks.  We have established an inventory</w:t>
            </w:r>
            <w:r>
              <w:rPr>
                <w:rFonts w:eastAsia="Times New Roman"/>
                <w:color w:val="000000"/>
                <w:sz w:val="20"/>
                <w:szCs w:val="20"/>
              </w:rPr>
              <w:t xml:space="preserve"> valuation reserve to recognize the estimated impairment in value (i.e., an inability to realize the full carrying value) based on our aggregate assessment of these valuation indicators under prevailing market conditions and current merchandising strategie</w:t>
            </w:r>
            <w:r>
              <w:rPr>
                <w:rFonts w:eastAsia="Times New Roman"/>
                <w:color w:val="000000"/>
                <w:sz w:val="20"/>
                <w:szCs w:val="20"/>
              </w:rPr>
              <w:t>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do not believe our merchandise inventories are subject to significant risk of obsolescence in the near term.  However, changes in market conditions or consumer purchasing patterns could result in the need for additional reserves.</w:t>
            </w:r>
            <w:r>
              <w:rPr>
                <w:rFonts w:eastAsia="Times New Roman"/>
                <w:color w:val="000000"/>
                <w:sz w:val="20"/>
                <w:szCs w:val="20"/>
              </w:rPr>
              <w:br/>
              <w:t> </w:t>
            </w:r>
            <w:r>
              <w:rPr>
                <w:rFonts w:eastAsia="Times New Roman"/>
                <w:color w:val="000000"/>
                <w:sz w:val="20"/>
                <w:szCs w:val="20"/>
              </w:rPr>
              <w:br/>
              <w:t>Our impairmen</w:t>
            </w:r>
            <w:r>
              <w:rPr>
                <w:rFonts w:eastAsia="Times New Roman"/>
                <w:color w:val="000000"/>
                <w:sz w:val="20"/>
                <w:szCs w:val="20"/>
              </w:rPr>
              <w:t>t reserve contains uncertainties because the calculation requires management to make assumptions and to apply judgment regarding forecasted customer demand and the promotional environment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have not made any material changes in the accounting methodology used to recognize inventory impairment reserves in the financial periods presented. We do not believe there is a reasonable likelihood that there will be a material change in the future es</w:t>
            </w:r>
            <w:r>
              <w:rPr>
                <w:rFonts w:eastAsia="Times New Roman"/>
                <w:color w:val="000000"/>
                <w:sz w:val="20"/>
                <w:szCs w:val="20"/>
              </w:rPr>
              <w:t xml:space="preserve">timates or assumptions we use to calculate impairment. However, if assumptions regarding consumer demand or clearance potential for certain products are inaccurate, we may be exposed to losses or gains that could be material. A 10% change in our inventory </w:t>
            </w:r>
            <w:r>
              <w:rPr>
                <w:rFonts w:eastAsia="Times New Roman"/>
                <w:color w:val="000000"/>
                <w:sz w:val="20"/>
                <w:szCs w:val="20"/>
              </w:rPr>
              <w:t>impairment reserve as of December 28, 2019, would have affected net income by approximately $1.1 million in fiscal 2019</w:t>
            </w:r>
            <w:r>
              <w:rPr>
                <w:rFonts w:eastAsia="Times New Roman"/>
                <w:color w:val="000000"/>
                <w:sz w:val="20"/>
                <w:szCs w:val="20"/>
              </w:rPr>
              <w:t>.</w:t>
            </w:r>
          </w:p>
        </w:tc>
      </w:tr>
    </w:tbl>
    <w:p w:rsidR="00000000" w:rsidRDefault="00CB61D5">
      <w:pPr>
        <w:jc w:val="center"/>
        <w:divId w:val="1254826830"/>
        <w:rPr>
          <w:rFonts w:eastAsia="Times New Roman"/>
        </w:rPr>
      </w:pPr>
      <w:r>
        <w:rPr>
          <w:rFonts w:eastAsia="Times New Roman"/>
          <w:color w:val="000000"/>
          <w:sz w:val="20"/>
          <w:szCs w:val="20"/>
        </w:rPr>
        <w:t>2</w:t>
      </w:r>
      <w:r>
        <w:rPr>
          <w:rFonts w:eastAsia="Times New Roman"/>
          <w:color w:val="000000"/>
          <w:sz w:val="20"/>
          <w:szCs w:val="20"/>
        </w:rPr>
        <w:t>4</w:t>
      </w:r>
    </w:p>
    <w:p w:rsidR="00000000" w:rsidRDefault="00CB61D5">
      <w:pPr>
        <w:rPr>
          <w:rFonts w:eastAsia="Times New Roman"/>
        </w:rPr>
      </w:pPr>
      <w:r>
        <w:rPr>
          <w:rFonts w:eastAsia="Times New Roman"/>
        </w:rPr>
        <w:pict>
          <v:rect id="_x0000_i1053" style="width:0;height:1.5pt" o:hralign="center" o:hrstd="t" o:hr="t" fillcolor="#a0a0a0" stroked="f"/>
        </w:pict>
      </w:r>
    </w:p>
    <w:p w:rsidR="00000000" w:rsidRDefault="00CB61D5">
      <w:pPr>
        <w:divId w:val="1379664835"/>
        <w:rPr>
          <w:rFonts w:eastAsia="Times New Roman"/>
        </w:rPr>
      </w:pPr>
      <w:hyperlink w:anchor="i_0_7" w:history="1">
        <w:r>
          <w:rPr>
            <w:rStyle w:val="a3"/>
            <w:rFonts w:eastAsia="Times New Roman"/>
            <w:sz w:val="18"/>
            <w:szCs w:val="18"/>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2678"/>
        <w:gridCol w:w="73"/>
        <w:gridCol w:w="36"/>
        <w:gridCol w:w="36"/>
        <w:gridCol w:w="36"/>
        <w:gridCol w:w="70"/>
        <w:gridCol w:w="2387"/>
        <w:gridCol w:w="73"/>
        <w:gridCol w:w="36"/>
        <w:gridCol w:w="36"/>
        <w:gridCol w:w="36"/>
        <w:gridCol w:w="70"/>
        <w:gridCol w:w="2593"/>
        <w:gridCol w:w="73"/>
      </w:tblGrid>
      <w:tr w:rsidR="00000000">
        <w:trPr>
          <w:divId w:val="628391917"/>
          <w:jc w:val="center"/>
        </w:trPr>
        <w:tc>
          <w:tcPr>
            <w:tcW w:w="50" w:type="pct"/>
            <w:vAlign w:val="center"/>
            <w:hideMark/>
          </w:tcPr>
          <w:p w:rsidR="00000000" w:rsidRDefault="00CB61D5">
            <w:pPr>
              <w:rPr>
                <w:rFonts w:eastAsia="Times New Roman"/>
              </w:rPr>
            </w:pPr>
          </w:p>
        </w:tc>
        <w:tc>
          <w:tcPr>
            <w:tcW w:w="161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44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56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628391917"/>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Descriptio</w:t>
            </w:r>
            <w:r>
              <w:rPr>
                <w:rFonts w:eastAsia="Times New Roman"/>
                <w:b/>
                <w:bCs/>
                <w:color w:val="000000"/>
                <w:sz w:val="20"/>
                <w:szCs w:val="20"/>
                <w:u w:val="single"/>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Judgments and Uncertaintie</w:t>
            </w:r>
            <w:r>
              <w:rPr>
                <w:rFonts w:eastAsia="Times New Roman"/>
                <w:b/>
                <w:bCs/>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Effect if Actual Results Differ from Assumption</w:t>
            </w:r>
            <w:r>
              <w:rPr>
                <w:rFonts w:eastAsia="Times New Roman"/>
                <w:b/>
                <w:bCs/>
                <w:color w:val="000000"/>
                <w:sz w:val="20"/>
                <w:szCs w:val="20"/>
                <w:u w:val="single"/>
              </w:rPr>
              <w:t>s</w:t>
            </w:r>
          </w:p>
        </w:tc>
      </w:tr>
      <w:tr w:rsidR="00000000">
        <w:trPr>
          <w:divId w:val="628391917"/>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u w:val="single"/>
              </w:rPr>
              <w:t>Shrinkag</w:t>
            </w:r>
            <w:r>
              <w:rPr>
                <w:rFonts w:eastAsia="Times New Roman"/>
                <w:color w:val="000000"/>
                <w:sz w:val="20"/>
                <w:szCs w:val="20"/>
                <w:u w:val="single"/>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628391917"/>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perform physical inventories at least once a year for each store that has been open more than 12 months, and we have established a reserve for estimating inventory shrinkage between physical inventory counts.  The reserve is established by assessing the</w:t>
            </w:r>
            <w:r>
              <w:rPr>
                <w:rFonts w:eastAsia="Times New Roman"/>
                <w:color w:val="000000"/>
                <w:sz w:val="20"/>
                <w:szCs w:val="20"/>
              </w:rPr>
              <w:t xml:space="preserve"> chain-wide average shrinkage experience rate, applied to the related periods’ sales volumes.  Such assessments are updated on a regular basis for the most recent individual store experiences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The estimated store inventory shrink rate is based on historical experience.  We believe historical rates are a reasonably accurate reflection of future trends.</w:t>
            </w:r>
            <w:r>
              <w:rPr>
                <w:rFonts w:eastAsia="Times New Roman"/>
                <w:color w:val="000000"/>
                <w:sz w:val="20"/>
                <w:szCs w:val="20"/>
              </w:rPr>
              <w:br/>
            </w:r>
            <w:r>
              <w:rPr>
                <w:rFonts w:eastAsia="Times New Roman"/>
                <w:color w:val="000000"/>
                <w:sz w:val="20"/>
                <w:szCs w:val="20"/>
              </w:rPr>
              <w:br/>
              <w:t>Our shrinkage reserve contains uncertainties because the calculation requires management to ma</w:t>
            </w:r>
            <w:r>
              <w:rPr>
                <w:rFonts w:eastAsia="Times New Roman"/>
                <w:color w:val="000000"/>
                <w:sz w:val="20"/>
                <w:szCs w:val="20"/>
              </w:rPr>
              <w:t>ke assumptions and to apply judgment regarding future shrinkage trends, the effect of loss prevention measures and merchandising strategies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have not made any material changes in the accounting methodology used to recognize shrinkage in the financi</w:t>
            </w:r>
            <w:r>
              <w:rPr>
                <w:rFonts w:eastAsia="Times New Roman"/>
                <w:color w:val="000000"/>
                <w:sz w:val="20"/>
                <w:szCs w:val="20"/>
              </w:rPr>
              <w:t>al periods presented.</w:t>
            </w:r>
            <w:r>
              <w:rPr>
                <w:rFonts w:eastAsia="Times New Roman"/>
                <w:color w:val="000000"/>
                <w:sz w:val="20"/>
                <w:szCs w:val="20"/>
              </w:rPr>
              <w:br/>
            </w:r>
            <w:r>
              <w:rPr>
                <w:rFonts w:eastAsia="Times New Roman"/>
                <w:color w:val="000000"/>
                <w:sz w:val="20"/>
                <w:szCs w:val="20"/>
              </w:rPr>
              <w:br/>
              <w:t>We do not believe there is a reasonable likelihood that there will be a material change in the future estimates or assumptions we use to calculate our shrinkage reserve.  However, if our estimates regarding inventory losses are inacc</w:t>
            </w:r>
            <w:r>
              <w:rPr>
                <w:rFonts w:eastAsia="Times New Roman"/>
                <w:color w:val="000000"/>
                <w:sz w:val="20"/>
                <w:szCs w:val="20"/>
              </w:rPr>
              <w:t>urate, we may be exposed to losses or gains that could be material.</w:t>
            </w:r>
            <w:r>
              <w:rPr>
                <w:rFonts w:eastAsia="Times New Roman"/>
                <w:color w:val="000000"/>
                <w:sz w:val="20"/>
                <w:szCs w:val="20"/>
              </w:rPr>
              <w:br/>
            </w:r>
            <w:r>
              <w:rPr>
                <w:rFonts w:eastAsia="Times New Roman"/>
                <w:color w:val="000000"/>
                <w:sz w:val="20"/>
                <w:szCs w:val="20"/>
              </w:rPr>
              <w:br/>
              <w:t>A 10% change in our shrinkage reserve as of December 28, 2019, would have affected net income by approximately $2.2 million in fiscal 2019</w:t>
            </w:r>
            <w:r>
              <w:rPr>
                <w:rFonts w:eastAsia="Times New Roman"/>
                <w:color w:val="000000"/>
                <w:sz w:val="20"/>
                <w:szCs w:val="20"/>
              </w:rPr>
              <w:t>.</w:t>
            </w:r>
          </w:p>
        </w:tc>
      </w:tr>
      <w:tr w:rsidR="00000000">
        <w:trPr>
          <w:divId w:val="628391917"/>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u w:val="single"/>
              </w:rPr>
              <w:t>Vendor Fundin</w:t>
            </w:r>
            <w:r>
              <w:rPr>
                <w:rFonts w:eastAsia="Times New Roman"/>
                <w:color w:val="000000"/>
                <w:sz w:val="20"/>
                <w:szCs w:val="20"/>
                <w:u w:val="single"/>
              </w:rPr>
              <w:t>g</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628391917"/>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receive funding from substantially all of our significant merchandise vendors, in support of our business initiatives, through a variety of programs and arrangements, including guaranteed vendor support funds (“vendor support”) and volume-based rebate f</w:t>
            </w:r>
            <w:r>
              <w:rPr>
                <w:rFonts w:eastAsia="Times New Roman"/>
                <w:color w:val="000000"/>
                <w:sz w:val="20"/>
                <w:szCs w:val="20"/>
              </w:rPr>
              <w:t>unds (“volume rebates”).  The amounts received are subject to terms of vendor agreements, most of which are “evergreen”, reflecting the on-going relationship with our significant merchandise vendors. Certain of our agreements, primarily volume rebates, are</w:t>
            </w:r>
            <w:r>
              <w:rPr>
                <w:rFonts w:eastAsia="Times New Roman"/>
                <w:color w:val="000000"/>
                <w:sz w:val="20"/>
                <w:szCs w:val="20"/>
              </w:rPr>
              <w:t xml:space="preserve"> renegotiated annually, based on expected annual purchases of the vendor’s product.  </w:t>
            </w:r>
            <w:r>
              <w:rPr>
                <w:rFonts w:eastAsia="Times New Roman"/>
                <w:color w:val="000000"/>
                <w:sz w:val="20"/>
                <w:szCs w:val="20"/>
              </w:rPr>
              <w:br/>
            </w:r>
            <w:r>
              <w:rPr>
                <w:rFonts w:eastAsia="Times New Roman"/>
                <w:color w:val="000000"/>
                <w:sz w:val="20"/>
                <w:szCs w:val="20"/>
              </w:rPr>
              <w:br/>
              <w:t>Vendor funding is initially deferred as a reduction of the purchase price of inventory, and then recognized as a reduction of cost of merchandise as the related inventor</w:t>
            </w:r>
            <w:r>
              <w:rPr>
                <w:rFonts w:eastAsia="Times New Roman"/>
                <w:color w:val="000000"/>
                <w:sz w:val="20"/>
                <w:szCs w:val="20"/>
              </w:rPr>
              <w:t>y is sold.  </w:t>
            </w:r>
            <w:r>
              <w:rPr>
                <w:rFonts w:eastAsia="Times New Roman"/>
                <w:color w:val="000000"/>
                <w:sz w:val="20"/>
                <w:szCs w:val="20"/>
              </w:rPr>
              <w:br/>
            </w:r>
            <w:r>
              <w:rPr>
                <w:rFonts w:eastAsia="Times New Roman"/>
                <w:color w:val="000000"/>
                <w:sz w:val="20"/>
                <w:szCs w:val="20"/>
              </w:rPr>
              <w:br/>
              <w:t>During interim periods, the amount of vendor support and volume rebates are estimated based upon initial commitments and anticipated purchase levels with applicable vendors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The estimated purchase volume (and related vendor funding) is b</w:t>
            </w:r>
            <w:r>
              <w:rPr>
                <w:rFonts w:eastAsia="Times New Roman"/>
                <w:color w:val="000000"/>
                <w:sz w:val="20"/>
                <w:szCs w:val="20"/>
              </w:rPr>
              <w:t>ased on our current knowledge of inventory levels, sales trends and expected customer demand, as well as planned new store openings and relocations.  Although we believe we can reasonably estimate purchase volume and related volume rebates at interim perio</w:t>
            </w:r>
            <w:r>
              <w:rPr>
                <w:rFonts w:eastAsia="Times New Roman"/>
                <w:color w:val="000000"/>
                <w:sz w:val="20"/>
                <w:szCs w:val="20"/>
              </w:rPr>
              <w:t>ds, it is possible that actual year-end results could be different from previously estimated amounts.</w:t>
            </w:r>
            <w:r>
              <w:rPr>
                <w:rFonts w:eastAsia="Times New Roman"/>
                <w:color w:val="000000"/>
                <w:sz w:val="20"/>
                <w:szCs w:val="20"/>
              </w:rPr>
              <w:br/>
            </w:r>
            <w:r>
              <w:rPr>
                <w:rFonts w:eastAsia="Times New Roman"/>
                <w:color w:val="000000"/>
                <w:sz w:val="20"/>
                <w:szCs w:val="20"/>
              </w:rPr>
              <w:br/>
              <w:t>Our allocation methodology contains uncertainties because the calculation requires management to make assumptions and to apply judgment regarding custome</w:t>
            </w:r>
            <w:r>
              <w:rPr>
                <w:rFonts w:eastAsia="Times New Roman"/>
                <w:color w:val="000000"/>
                <w:sz w:val="20"/>
                <w:szCs w:val="20"/>
              </w:rPr>
              <w:t>r demand, purchasing activity, target thresholds, vendor attrition and collectability</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have not made any material changes in the accounting methodology used to establish our vendor funding reserves in the financial periods presented.</w:t>
            </w:r>
            <w:r>
              <w:rPr>
                <w:rFonts w:eastAsia="Times New Roman"/>
                <w:color w:val="000000"/>
                <w:sz w:val="20"/>
                <w:szCs w:val="20"/>
              </w:rPr>
              <w:br/>
            </w:r>
            <w:r>
              <w:rPr>
                <w:rFonts w:eastAsia="Times New Roman"/>
                <w:color w:val="000000"/>
                <w:sz w:val="20"/>
                <w:szCs w:val="20"/>
              </w:rPr>
              <w:br/>
              <w:t>At the end of each fiscal year, a significant portion of the actual purchase activity is known.  Thus, we</w:t>
            </w:r>
            <w:r>
              <w:rPr>
                <w:rFonts w:eastAsia="Times New Roman"/>
                <w:color w:val="000000"/>
                <w:sz w:val="20"/>
                <w:szCs w:val="20"/>
              </w:rPr>
              <w:t xml:space="preserve"> do not believe there is a reasonable likelihood that there will be a material change in the amounts recorded as vendor funding.</w:t>
            </w:r>
            <w:r>
              <w:rPr>
                <w:rFonts w:eastAsia="Times New Roman"/>
                <w:color w:val="000000"/>
                <w:sz w:val="20"/>
                <w:szCs w:val="20"/>
              </w:rPr>
              <w:br/>
            </w:r>
            <w:r>
              <w:rPr>
                <w:rFonts w:eastAsia="Times New Roman"/>
                <w:color w:val="000000"/>
                <w:sz w:val="20"/>
                <w:szCs w:val="20"/>
              </w:rPr>
              <w:br/>
              <w:t xml:space="preserve">We do not believe there is a significant collectability risk related to vendor funding amounts due to us at the end of fiscal </w:t>
            </w:r>
            <w:r>
              <w:rPr>
                <w:rFonts w:eastAsia="Times New Roman"/>
                <w:color w:val="000000"/>
                <w:sz w:val="20"/>
                <w:szCs w:val="20"/>
              </w:rPr>
              <w:t>2019.</w:t>
            </w:r>
            <w:r>
              <w:rPr>
                <w:rFonts w:eastAsia="Times New Roman"/>
                <w:color w:val="000000"/>
                <w:sz w:val="20"/>
                <w:szCs w:val="20"/>
              </w:rPr>
              <w:br/>
            </w:r>
            <w:r>
              <w:rPr>
                <w:rFonts w:eastAsia="Times New Roman"/>
                <w:color w:val="000000"/>
                <w:sz w:val="20"/>
                <w:szCs w:val="20"/>
              </w:rPr>
              <w:br/>
              <w:t>If a 10% reserve had been applied against our outstanding vendor funding due as of December 28, 2019, net income would have been affected by approximately $2.2 million in fiscal 2019.</w:t>
            </w:r>
            <w:r>
              <w:rPr>
                <w:rFonts w:eastAsia="Times New Roman"/>
                <w:color w:val="000000"/>
                <w:sz w:val="20"/>
                <w:szCs w:val="20"/>
              </w:rPr>
              <w:br/>
            </w:r>
            <w:r>
              <w:rPr>
                <w:rFonts w:eastAsia="Times New Roman"/>
                <w:color w:val="000000"/>
                <w:sz w:val="20"/>
                <w:szCs w:val="20"/>
              </w:rPr>
              <w:br/>
              <w:t>Although it is unlikely that there will be any significant reduc</w:t>
            </w:r>
            <w:r>
              <w:rPr>
                <w:rFonts w:eastAsia="Times New Roman"/>
                <w:color w:val="000000"/>
                <w:sz w:val="20"/>
                <w:szCs w:val="20"/>
              </w:rPr>
              <w:t>tion in historical levels of vendor funding, if such a reduction were to occur in future periods, the Company could experience a higher inventory balance and higher cost of sales</w:t>
            </w:r>
            <w:r>
              <w:rPr>
                <w:rFonts w:eastAsia="Times New Roman"/>
                <w:color w:val="000000"/>
                <w:sz w:val="20"/>
                <w:szCs w:val="20"/>
              </w:rPr>
              <w:t>.</w:t>
            </w:r>
          </w:p>
        </w:tc>
      </w:tr>
      <w:tr w:rsidR="00000000">
        <w:trPr>
          <w:divId w:val="628391917"/>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u w:val="single"/>
              </w:rPr>
              <w:t>Freigh</w:t>
            </w:r>
            <w:r>
              <w:rPr>
                <w:rFonts w:eastAsia="Times New Roman"/>
                <w:color w:val="000000"/>
                <w:sz w:val="20"/>
                <w:szCs w:val="20"/>
                <w:u w:val="single"/>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628391917"/>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incur various types of transportation and delivery costs in connection with inventory purchases and distribution.  Such costs are included as a component of the overall cost of inventories (on an aggregate basis) and recognized as a component of cost of</w:t>
            </w:r>
            <w:r>
              <w:rPr>
                <w:rFonts w:eastAsia="Times New Roman"/>
                <w:color w:val="000000"/>
                <w:sz w:val="20"/>
                <w:szCs w:val="20"/>
              </w:rPr>
              <w:t xml:space="preserve"> merchandise sold as the related inventory is sold</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xml:space="preserve">We allocate freight as a component of total cost of sales without regard to inventory mix or unique freight burden of certain categories.  This assumption has been consistently applied for all years </w:t>
            </w:r>
            <w:r>
              <w:rPr>
                <w:rFonts w:eastAsia="Times New Roman"/>
                <w:color w:val="000000"/>
                <w:sz w:val="20"/>
                <w:szCs w:val="20"/>
              </w:rPr>
              <w:t>presented</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have not made any material changes in the accounting methodology used to establish our capitalized freight balance or freight allocation in the financial periods presented.</w:t>
            </w:r>
            <w:r>
              <w:rPr>
                <w:rFonts w:eastAsia="Times New Roman"/>
                <w:color w:val="000000"/>
                <w:sz w:val="20"/>
                <w:szCs w:val="20"/>
              </w:rPr>
              <w:br/>
            </w:r>
            <w:r>
              <w:rPr>
                <w:rFonts w:eastAsia="Times New Roman"/>
                <w:color w:val="000000"/>
                <w:sz w:val="20"/>
                <w:szCs w:val="20"/>
              </w:rPr>
              <w:br/>
              <w:t>If a 10% increase or decrease had been applied against our curr</w:t>
            </w:r>
            <w:r>
              <w:rPr>
                <w:rFonts w:eastAsia="Times New Roman"/>
                <w:color w:val="000000"/>
                <w:sz w:val="20"/>
                <w:szCs w:val="20"/>
              </w:rPr>
              <w:t>ent inventory capitalized freight balance as of December 28, 2019, net income would have been affected by approximately $10.4 million in fiscal 2019</w:t>
            </w:r>
            <w:r>
              <w:rPr>
                <w:rFonts w:eastAsia="Times New Roman"/>
                <w:color w:val="000000"/>
                <w:sz w:val="20"/>
                <w:szCs w:val="20"/>
              </w:rPr>
              <w:t>.</w:t>
            </w:r>
          </w:p>
        </w:tc>
      </w:tr>
    </w:tbl>
    <w:p w:rsidR="00000000" w:rsidRDefault="00CB61D5">
      <w:pPr>
        <w:jc w:val="center"/>
        <w:divId w:val="1733848195"/>
        <w:rPr>
          <w:rFonts w:eastAsia="Times New Roman"/>
        </w:rPr>
      </w:pPr>
      <w:r>
        <w:rPr>
          <w:rFonts w:eastAsia="Times New Roman"/>
          <w:color w:val="000000"/>
          <w:sz w:val="20"/>
          <w:szCs w:val="20"/>
        </w:rPr>
        <w:t>2</w:t>
      </w:r>
      <w:r>
        <w:rPr>
          <w:rFonts w:eastAsia="Times New Roman"/>
          <w:color w:val="000000"/>
          <w:sz w:val="20"/>
          <w:szCs w:val="20"/>
        </w:rPr>
        <w:t>5</w:t>
      </w:r>
    </w:p>
    <w:p w:rsidR="00000000" w:rsidRDefault="00CB61D5">
      <w:pPr>
        <w:rPr>
          <w:rFonts w:eastAsia="Times New Roman"/>
        </w:rPr>
      </w:pPr>
      <w:r>
        <w:rPr>
          <w:rFonts w:eastAsia="Times New Roman"/>
        </w:rPr>
        <w:pict>
          <v:rect id="_x0000_i1054" style="width:0;height:1.5pt" o:hralign="center" o:hrstd="t" o:hr="t" fillcolor="#a0a0a0" stroked="f"/>
        </w:pict>
      </w:r>
    </w:p>
    <w:p w:rsidR="00000000" w:rsidRDefault="00CB61D5">
      <w:pPr>
        <w:divId w:val="916985185"/>
        <w:rPr>
          <w:rFonts w:eastAsia="Times New Roman"/>
        </w:rPr>
      </w:pPr>
      <w:hyperlink w:anchor="i_0_7" w:history="1">
        <w:r>
          <w:rPr>
            <w:rStyle w:val="a3"/>
            <w:rFonts w:eastAsia="Times New Roman"/>
            <w:sz w:val="18"/>
            <w:szCs w:val="18"/>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2678"/>
        <w:gridCol w:w="73"/>
        <w:gridCol w:w="36"/>
        <w:gridCol w:w="36"/>
        <w:gridCol w:w="36"/>
        <w:gridCol w:w="70"/>
        <w:gridCol w:w="2387"/>
        <w:gridCol w:w="73"/>
        <w:gridCol w:w="36"/>
        <w:gridCol w:w="36"/>
        <w:gridCol w:w="36"/>
        <w:gridCol w:w="70"/>
        <w:gridCol w:w="2593"/>
        <w:gridCol w:w="73"/>
      </w:tblGrid>
      <w:tr w:rsidR="00000000">
        <w:trPr>
          <w:divId w:val="348798950"/>
          <w:jc w:val="center"/>
        </w:trPr>
        <w:tc>
          <w:tcPr>
            <w:tcW w:w="50" w:type="pct"/>
            <w:vAlign w:val="center"/>
            <w:hideMark/>
          </w:tcPr>
          <w:p w:rsidR="00000000" w:rsidRDefault="00CB61D5">
            <w:pPr>
              <w:rPr>
                <w:rFonts w:eastAsia="Times New Roman"/>
              </w:rPr>
            </w:pPr>
          </w:p>
        </w:tc>
        <w:tc>
          <w:tcPr>
            <w:tcW w:w="161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44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56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348798950"/>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Descriptio</w:t>
            </w:r>
            <w:r>
              <w:rPr>
                <w:rFonts w:eastAsia="Times New Roman"/>
                <w:b/>
                <w:bCs/>
                <w:color w:val="000000"/>
                <w:sz w:val="20"/>
                <w:szCs w:val="20"/>
                <w:u w:val="single"/>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Judgments and Uncertaintie</w:t>
            </w:r>
            <w:r>
              <w:rPr>
                <w:rFonts w:eastAsia="Times New Roman"/>
                <w:b/>
                <w:bCs/>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Effect if Actual Results Differ from Assumption</w:t>
            </w:r>
            <w:r>
              <w:rPr>
                <w:rFonts w:eastAsia="Times New Roman"/>
                <w:b/>
                <w:bCs/>
                <w:color w:val="000000"/>
                <w:sz w:val="20"/>
                <w:szCs w:val="20"/>
                <w:u w:val="single"/>
              </w:rPr>
              <w:t>s</w:t>
            </w:r>
          </w:p>
        </w:tc>
      </w:tr>
      <w:tr w:rsidR="00000000">
        <w:trPr>
          <w:divId w:val="348798950"/>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color w:val="000000"/>
                <w:sz w:val="20"/>
                <w:szCs w:val="20"/>
              </w:rPr>
              <w:t>Self-Insurance Reserves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348798950"/>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self-insure a significant portion of our workers’ compensation insurance and general liability (including product liability) insurance plans.  We have stop-loss insurance policies to protect from individual losses over specified dollar values.</w:t>
            </w:r>
            <w:r>
              <w:rPr>
                <w:rFonts w:eastAsia="Times New Roman"/>
                <w:color w:val="000000"/>
                <w:sz w:val="20"/>
                <w:szCs w:val="20"/>
              </w:rPr>
              <w:br/>
            </w:r>
            <w:r>
              <w:rPr>
                <w:rFonts w:eastAsia="Times New Roman"/>
                <w:color w:val="000000"/>
                <w:sz w:val="20"/>
                <w:szCs w:val="20"/>
              </w:rPr>
              <w:br/>
              <w:t>Provisio</w:t>
            </w:r>
            <w:r>
              <w:rPr>
                <w:rFonts w:eastAsia="Times New Roman"/>
                <w:color w:val="000000"/>
                <w:sz w:val="20"/>
                <w:szCs w:val="20"/>
              </w:rPr>
              <w:t>ns for losses related to our self-insured liabilities are based upon periodic independent actuarially determined estimates that consider a number of factors including historical claims experience, loss development factors, and severity factors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The fu</w:t>
            </w:r>
            <w:r>
              <w:rPr>
                <w:rFonts w:eastAsia="Times New Roman"/>
                <w:color w:val="000000"/>
                <w:sz w:val="20"/>
                <w:szCs w:val="20"/>
              </w:rPr>
              <w:t>ll extent of certain workers’ compensation and general liability claims may not become fully determined for several years.</w:t>
            </w:r>
            <w:r>
              <w:rPr>
                <w:rFonts w:eastAsia="Times New Roman"/>
                <w:color w:val="000000"/>
                <w:sz w:val="20"/>
                <w:szCs w:val="20"/>
              </w:rPr>
              <w:br/>
            </w:r>
            <w:r>
              <w:rPr>
                <w:rFonts w:eastAsia="Times New Roman"/>
                <w:color w:val="000000"/>
                <w:sz w:val="20"/>
                <w:szCs w:val="20"/>
              </w:rPr>
              <w:br/>
              <w:t>Our self-insured liabilities contain uncertainties because management is required to make assumptions and to apply judgment to estim</w:t>
            </w:r>
            <w:r>
              <w:rPr>
                <w:rFonts w:eastAsia="Times New Roman"/>
                <w:color w:val="000000"/>
                <w:sz w:val="20"/>
                <w:szCs w:val="20"/>
              </w:rPr>
              <w:t>ate the ultimate cost to settle reported claims and claims incurred but not reported as of the balance sheet date based upon historical data and experience, including actuarial calculations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have not made any material changes in the accounting methodology used to establish our self-insurance reserves in the financial periods presented.</w:t>
            </w:r>
            <w:r>
              <w:rPr>
                <w:rFonts w:eastAsia="Times New Roman"/>
                <w:color w:val="000000"/>
                <w:sz w:val="20"/>
                <w:szCs w:val="20"/>
              </w:rPr>
              <w:br/>
            </w:r>
            <w:r>
              <w:rPr>
                <w:rFonts w:eastAsia="Times New Roman"/>
                <w:color w:val="000000"/>
                <w:sz w:val="20"/>
                <w:szCs w:val="20"/>
              </w:rPr>
              <w:br/>
              <w:t>We do not believe there is a reasonable likelihood that there will be a material change in the assumption</w:t>
            </w:r>
            <w:r>
              <w:rPr>
                <w:rFonts w:eastAsia="Times New Roman"/>
                <w:color w:val="000000"/>
                <w:sz w:val="20"/>
                <w:szCs w:val="20"/>
              </w:rPr>
              <w:t>s we use to calculate insurance reserves.  However, if we experience a significant increase in the number of claims or the cost associated with these claims, we may be exposed to losses that could be material.</w:t>
            </w:r>
            <w:r>
              <w:rPr>
                <w:rFonts w:eastAsia="Times New Roman"/>
                <w:color w:val="000000"/>
                <w:sz w:val="20"/>
                <w:szCs w:val="20"/>
              </w:rPr>
              <w:br/>
            </w:r>
            <w:r>
              <w:rPr>
                <w:rFonts w:eastAsia="Times New Roman"/>
                <w:color w:val="000000"/>
                <w:sz w:val="20"/>
                <w:szCs w:val="20"/>
              </w:rPr>
              <w:br/>
              <w:t>A 10% change in our self-insurance reserves a</w:t>
            </w:r>
            <w:r>
              <w:rPr>
                <w:rFonts w:eastAsia="Times New Roman"/>
                <w:color w:val="000000"/>
                <w:sz w:val="20"/>
                <w:szCs w:val="20"/>
              </w:rPr>
              <w:t>s of December 28, 2019, would have affected net income by approximately $5.0 million in fiscal 2019</w:t>
            </w:r>
            <w:r>
              <w:rPr>
                <w:rFonts w:eastAsia="Times New Roman"/>
                <w:color w:val="000000"/>
                <w:sz w:val="20"/>
                <w:szCs w:val="20"/>
              </w:rPr>
              <w:t>.</w:t>
            </w:r>
          </w:p>
        </w:tc>
      </w:tr>
      <w:tr w:rsidR="00000000">
        <w:trPr>
          <w:divId w:val="348798950"/>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color w:val="000000"/>
                <w:sz w:val="20"/>
                <w:szCs w:val="20"/>
              </w:rPr>
              <w:t>Impairment of Long-Lived Assets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348798950"/>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Long-lived assets, including lease assets, are evaluated for impairment whenever events or changes in circumstances indicate that the carrying value may not be recoverable.</w:t>
            </w:r>
            <w:r>
              <w:rPr>
                <w:rFonts w:eastAsia="Times New Roman"/>
                <w:color w:val="000000"/>
                <w:sz w:val="20"/>
                <w:szCs w:val="20"/>
              </w:rPr>
              <w:br/>
            </w:r>
            <w:r>
              <w:rPr>
                <w:rFonts w:eastAsia="Times New Roman"/>
                <w:color w:val="000000"/>
                <w:sz w:val="20"/>
                <w:szCs w:val="20"/>
              </w:rPr>
              <w:br/>
              <w:t>When evaluating long-lived assets for potential impairment, we first compare the c</w:t>
            </w:r>
            <w:r>
              <w:rPr>
                <w:rFonts w:eastAsia="Times New Roman"/>
                <w:color w:val="000000"/>
                <w:sz w:val="20"/>
                <w:szCs w:val="20"/>
              </w:rPr>
              <w:t>arrying value of the asset or asset group to its estimated undiscounted future cash flows. The evaluation for long-lived assets is performed at the lowest level of identifiable cash flows, which is generally the individual store level.  The significant ass</w:t>
            </w:r>
            <w:r>
              <w:rPr>
                <w:rFonts w:eastAsia="Times New Roman"/>
                <w:color w:val="000000"/>
                <w:sz w:val="20"/>
                <w:szCs w:val="20"/>
              </w:rPr>
              <w:t xml:space="preserve">umptions used to determine estimated undiscounted cash flows include cash inflows and outflows directly resulting from the use of those assets in operations, including margin on net sales, payroll and related items, occupancy costs, insurance allocations, </w:t>
            </w:r>
            <w:r>
              <w:rPr>
                <w:rFonts w:eastAsia="Times New Roman"/>
                <w:color w:val="000000"/>
                <w:sz w:val="20"/>
                <w:szCs w:val="20"/>
              </w:rPr>
              <w:t>and other costs to operate a store.</w:t>
            </w:r>
            <w:r>
              <w:rPr>
                <w:rFonts w:eastAsia="Times New Roman"/>
                <w:color w:val="000000"/>
                <w:sz w:val="20"/>
                <w:szCs w:val="20"/>
              </w:rPr>
              <w:br/>
            </w:r>
            <w:r>
              <w:rPr>
                <w:rFonts w:eastAsia="Times New Roman"/>
                <w:color w:val="000000"/>
                <w:sz w:val="20"/>
                <w:szCs w:val="20"/>
              </w:rPr>
              <w:br/>
              <w:t xml:space="preserve">If the estimated future cash flows are less than the carrying value of the related asset, we calculate an impairment loss. The impairment loss calculation compares the carrying value of the related asset or asset group </w:t>
            </w:r>
            <w:r>
              <w:rPr>
                <w:rFonts w:eastAsia="Times New Roman"/>
                <w:color w:val="000000"/>
                <w:sz w:val="20"/>
                <w:szCs w:val="20"/>
              </w:rPr>
              <w:t>to its estimated fair value, which may be based on an estimated future cash flow model, market valuation, or other valuation technique, as appropriate. We recognize an impairment loss if the amount of the asset’s carrying value exceeds the asset’s estimate</w:t>
            </w:r>
            <w:r>
              <w:rPr>
                <w:rFonts w:eastAsia="Times New Roman"/>
                <w:color w:val="000000"/>
                <w:sz w:val="20"/>
                <w:szCs w:val="20"/>
              </w:rPr>
              <w:t xml:space="preserve">d fair value. If we recognize an impairment loss, the adjusted carrying amount of the asset becomes its new cost basis. For a depreciable long-lived asset, the new cost basis will be depreciated (amortized) over the remaining estimated useful life of that </w:t>
            </w:r>
            <w:r>
              <w:rPr>
                <w:rFonts w:eastAsia="Times New Roman"/>
                <w:color w:val="000000"/>
                <w:sz w:val="20"/>
                <w:szCs w:val="20"/>
              </w:rPr>
              <w:t>asset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Our impairment loss calculations contain uncertainties because they require management to make assumptions and to apply judgment to estimate future cash flows and asset fair values.</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xml:space="preserve">We have not made any material changes in our impairment </w:t>
            </w:r>
            <w:r>
              <w:rPr>
                <w:rFonts w:eastAsia="Times New Roman"/>
                <w:color w:val="000000"/>
                <w:sz w:val="20"/>
                <w:szCs w:val="20"/>
              </w:rPr>
              <w:t>loss assessment methodology in the financial periods presented, other than to include operating lease right-of-use assets in our ongoing impairment assessment upon adoption of the new lease accounting standard in fiscal 2019.</w:t>
            </w:r>
            <w:r>
              <w:rPr>
                <w:rFonts w:eastAsia="Times New Roman"/>
                <w:color w:val="000000"/>
                <w:sz w:val="20"/>
                <w:szCs w:val="20"/>
              </w:rPr>
              <w:br/>
            </w:r>
            <w:r>
              <w:rPr>
                <w:rFonts w:eastAsia="Times New Roman"/>
                <w:color w:val="000000"/>
                <w:sz w:val="20"/>
                <w:szCs w:val="20"/>
              </w:rPr>
              <w:br/>
              <w:t xml:space="preserve">We do not believe there is a </w:t>
            </w:r>
            <w:r>
              <w:rPr>
                <w:rFonts w:eastAsia="Times New Roman"/>
                <w:color w:val="000000"/>
                <w:sz w:val="20"/>
                <w:szCs w:val="20"/>
              </w:rPr>
              <w:t>reasonable likelihood that there will be a material change in the estimates or assumptions we use to calculate long-lived asset impairment losses. None of these estimates and assumptions are significantly sensitive, and a 10% change in any of these estimat</w:t>
            </w:r>
            <w:r>
              <w:rPr>
                <w:rFonts w:eastAsia="Times New Roman"/>
                <w:color w:val="000000"/>
                <w:sz w:val="20"/>
                <w:szCs w:val="20"/>
              </w:rPr>
              <w:t>es would not have a material impact on our analysis.  However, if actual results are not consistent with our estimates and assumptions used in estimating future cash flows and asset fair values, we may be exposed to losses that could be material</w:t>
            </w:r>
            <w:r>
              <w:rPr>
                <w:rFonts w:eastAsia="Times New Roman"/>
                <w:color w:val="000000"/>
                <w:sz w:val="20"/>
                <w:szCs w:val="20"/>
              </w:rPr>
              <w:t>.</w:t>
            </w:r>
          </w:p>
        </w:tc>
      </w:tr>
    </w:tbl>
    <w:p w:rsidR="00000000" w:rsidRDefault="00CB61D5">
      <w:pPr>
        <w:jc w:val="center"/>
        <w:divId w:val="1847862564"/>
        <w:rPr>
          <w:rFonts w:eastAsia="Times New Roman"/>
        </w:rPr>
      </w:pPr>
      <w:r>
        <w:rPr>
          <w:rFonts w:eastAsia="Times New Roman"/>
          <w:color w:val="000000"/>
          <w:sz w:val="20"/>
          <w:szCs w:val="20"/>
        </w:rPr>
        <w:t>2</w:t>
      </w:r>
      <w:r>
        <w:rPr>
          <w:rFonts w:eastAsia="Times New Roman"/>
          <w:color w:val="000000"/>
          <w:sz w:val="20"/>
          <w:szCs w:val="20"/>
        </w:rPr>
        <w:t>6</w:t>
      </w:r>
    </w:p>
    <w:p w:rsidR="00000000" w:rsidRDefault="00CB61D5">
      <w:pPr>
        <w:rPr>
          <w:rFonts w:eastAsia="Times New Roman"/>
        </w:rPr>
      </w:pPr>
      <w:r>
        <w:rPr>
          <w:rFonts w:eastAsia="Times New Roman"/>
        </w:rPr>
        <w:pict>
          <v:rect id="_x0000_i1055" style="width:0;height:1.5pt" o:hralign="center" o:hrstd="t" o:hr="t" fillcolor="#a0a0a0" stroked="f"/>
        </w:pict>
      </w:r>
    </w:p>
    <w:p w:rsidR="00000000" w:rsidRDefault="00CB61D5">
      <w:pPr>
        <w:divId w:val="1680042727"/>
        <w:rPr>
          <w:rFonts w:eastAsia="Times New Roman"/>
        </w:rPr>
      </w:pPr>
      <w:hyperlink w:anchor="i_0_7" w:history="1">
        <w:r>
          <w:rPr>
            <w:rStyle w:val="a3"/>
            <w:rFonts w:eastAsia="Times New Roman"/>
            <w:sz w:val="18"/>
            <w:szCs w:val="18"/>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2678"/>
        <w:gridCol w:w="73"/>
        <w:gridCol w:w="36"/>
        <w:gridCol w:w="36"/>
        <w:gridCol w:w="36"/>
        <w:gridCol w:w="70"/>
        <w:gridCol w:w="2387"/>
        <w:gridCol w:w="73"/>
        <w:gridCol w:w="36"/>
        <w:gridCol w:w="36"/>
        <w:gridCol w:w="36"/>
        <w:gridCol w:w="70"/>
        <w:gridCol w:w="2593"/>
        <w:gridCol w:w="73"/>
      </w:tblGrid>
      <w:tr w:rsidR="00000000">
        <w:trPr>
          <w:divId w:val="811605583"/>
          <w:jc w:val="center"/>
        </w:trPr>
        <w:tc>
          <w:tcPr>
            <w:tcW w:w="50" w:type="pct"/>
            <w:vAlign w:val="center"/>
            <w:hideMark/>
          </w:tcPr>
          <w:p w:rsidR="00000000" w:rsidRDefault="00CB61D5">
            <w:pPr>
              <w:rPr>
                <w:rFonts w:eastAsia="Times New Roman"/>
              </w:rPr>
            </w:pPr>
          </w:p>
        </w:tc>
        <w:tc>
          <w:tcPr>
            <w:tcW w:w="161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44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56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811605583"/>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Descriptio</w:t>
            </w:r>
            <w:r>
              <w:rPr>
                <w:rFonts w:eastAsia="Times New Roman"/>
                <w:b/>
                <w:bCs/>
                <w:color w:val="000000"/>
                <w:sz w:val="20"/>
                <w:szCs w:val="20"/>
                <w:u w:val="single"/>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Judgments and Uncertaintie</w:t>
            </w:r>
            <w:r>
              <w:rPr>
                <w:rFonts w:eastAsia="Times New Roman"/>
                <w:b/>
                <w:bCs/>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Effect if Actual Results Differ from Assumption</w:t>
            </w:r>
            <w:r>
              <w:rPr>
                <w:rFonts w:eastAsia="Times New Roman"/>
                <w:b/>
                <w:bCs/>
                <w:color w:val="000000"/>
                <w:sz w:val="20"/>
                <w:szCs w:val="20"/>
                <w:u w:val="single"/>
              </w:rPr>
              <w:t>s</w:t>
            </w:r>
          </w:p>
        </w:tc>
      </w:tr>
      <w:tr w:rsidR="00000000">
        <w:trPr>
          <w:divId w:val="811605583"/>
          <w:jc w:val="center"/>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color w:val="000000"/>
                <w:sz w:val="20"/>
                <w:szCs w:val="20"/>
              </w:rPr>
              <w:t>Impairment of Goodwill and Other Indefinite-Lived Intangible Assets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11605583"/>
          <w:jc w:val="center"/>
        </w:trPr>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Goodwill and other indefinite-lived intangible assets are evaluated for impairment annually, or whenever events or changes in circumstances indicate that the carrying value may not be recoverable.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accordance with the accounting standards, an entity h</w:t>
            </w:r>
            <w:r>
              <w:rPr>
                <w:rFonts w:eastAsia="Times New Roman"/>
                <w:color w:val="000000"/>
                <w:sz w:val="20"/>
                <w:szCs w:val="20"/>
              </w:rPr>
              <w:t>as the option first to assess qualitative factors to determine whether events and circumstances indicate that it is more likely than not that goodwill or an indefinite-lived intangible asset is impaired. If after such assessment an entity concludes that th</w:t>
            </w:r>
            <w:r>
              <w:rPr>
                <w:rFonts w:eastAsia="Times New Roman"/>
                <w:color w:val="000000"/>
                <w:sz w:val="20"/>
                <w:szCs w:val="20"/>
              </w:rPr>
              <w:t>e asset is not impaired, then the entity is not required to take further action. However, if an entity concludes otherwise, then it is required to determine the fair value of the asset using a quantitative impairment test, and if impaired, the associated a</w:t>
            </w:r>
            <w:r>
              <w:rPr>
                <w:rFonts w:eastAsia="Times New Roman"/>
                <w:color w:val="000000"/>
                <w:sz w:val="20"/>
                <w:szCs w:val="20"/>
              </w:rPr>
              <w:t>ssets must be written down to fair value.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quantitative impairment test for goodwill compares the fair value of a reporting unit with the carrying value of its net assets, including goodwill.  If the fair value of the reporting unit is less than the </w:t>
            </w:r>
            <w:r>
              <w:rPr>
                <w:rFonts w:eastAsia="Times New Roman"/>
                <w:color w:val="000000"/>
                <w:sz w:val="20"/>
                <w:szCs w:val="20"/>
              </w:rPr>
              <w:t>carrying value of the reporting unit, an impairment charge would be recorded to the Company’s operations, for the amount in which the carrying amount exceeds the reporting unit’s fair value. We determine fair values for each reporting unit using the market</w:t>
            </w:r>
            <w:r>
              <w:rPr>
                <w:rFonts w:eastAsia="Times New Roman"/>
                <w:color w:val="000000"/>
                <w:sz w:val="20"/>
                <w:szCs w:val="20"/>
              </w:rPr>
              <w:t xml:space="preserve"> approach, when available and appropriate, the income approach, or a combination of both. The income approach involves forecasting projected financial information (such as revenue growth rates, profit margins, tax rates, and capital expenditures) and selec</w:t>
            </w:r>
            <w:r>
              <w:rPr>
                <w:rFonts w:eastAsia="Times New Roman"/>
                <w:color w:val="000000"/>
                <w:sz w:val="20"/>
                <w:szCs w:val="20"/>
              </w:rPr>
              <w:t>ting a discount rate that reflects the risk inherent in estimated future cash flows. Under the market approach, the fair value is based on observed market data. If multiple valuation methodologies are used, the results are weighted appropriately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qua</w:t>
            </w:r>
            <w:r>
              <w:rPr>
                <w:rFonts w:eastAsia="Times New Roman"/>
                <w:color w:val="000000"/>
                <w:sz w:val="20"/>
                <w:szCs w:val="20"/>
              </w:rPr>
              <w:t>ntitative impairment test for other indefinite-lived intangible assets involves comparing the carrying amount of the asset to the sum of the discounted cash flows expected to be generated by the asset. If the implied fair value of the indefinite-lived inta</w:t>
            </w:r>
            <w:r>
              <w:rPr>
                <w:rFonts w:eastAsia="Times New Roman"/>
                <w:color w:val="000000"/>
                <w:sz w:val="20"/>
                <w:szCs w:val="20"/>
              </w:rPr>
              <w:t>ngible asset is less than the carrying value, an impairment charge would be recorded to the Company’s operations.</w:t>
            </w:r>
            <w:r>
              <w:rPr>
                <w:rFonts w:eastAsia="Times New Roman"/>
                <w:color w:val="000000"/>
                <w:sz w:val="20"/>
                <w:szCs w:val="20"/>
              </w:rPr>
              <w:t xml:space="preserve"> </w:t>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Our impairment loss calculation contains uncertainties because they require management to make assumptions and to apply judgment to qual</w:t>
            </w:r>
            <w:r>
              <w:rPr>
                <w:rFonts w:eastAsia="Times New Roman"/>
                <w:color w:val="000000"/>
                <w:sz w:val="20"/>
                <w:szCs w:val="20"/>
              </w:rPr>
              <w:t>itative factors as well as estimate future cash flows and asset fair values, including forecasting projected financial information and selecting the discount rate that reflects the risk inherent in future cash flows.</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The valuation approaches utilized</w:t>
            </w:r>
            <w:r>
              <w:rPr>
                <w:rFonts w:eastAsia="Times New Roman"/>
                <w:color w:val="000000"/>
                <w:sz w:val="20"/>
                <w:szCs w:val="20"/>
              </w:rPr>
              <w:t xml:space="preserve"> to estimate fair value for the purposes of the impairment tests of goodwill and other indefinite-lived intangible assets require the use of assumptions and estimates, which involve a degree of uncertainty. If actual results are not consistent with our est</w:t>
            </w:r>
            <w:r>
              <w:rPr>
                <w:rFonts w:eastAsia="Times New Roman"/>
                <w:color w:val="000000"/>
                <w:sz w:val="20"/>
                <w:szCs w:val="20"/>
              </w:rPr>
              <w:t>imates and assumptions used in estimating future cash flows and asset fair values, we may be exposed to non-cash impairment losses that could be material.</w:t>
            </w:r>
            <w:r>
              <w:rPr>
                <w:rFonts w:eastAsia="Times New Roman"/>
                <w:color w:val="000000"/>
                <w:sz w:val="20"/>
                <w:szCs w:val="20"/>
              </w:rPr>
              <w:br/>
            </w:r>
          </w:p>
        </w:tc>
      </w:tr>
    </w:tbl>
    <w:p w:rsidR="00000000" w:rsidRDefault="00CB61D5">
      <w:pPr>
        <w:jc w:val="center"/>
        <w:rPr>
          <w:rFonts w:eastAsia="Times New Roman"/>
        </w:rPr>
      </w:pPr>
    </w:p>
    <w:p w:rsidR="00000000" w:rsidRDefault="00CB61D5">
      <w:pPr>
        <w:jc w:val="center"/>
        <w:divId w:val="1080063730"/>
        <w:rPr>
          <w:rFonts w:eastAsia="Times New Roman"/>
        </w:rPr>
      </w:pPr>
      <w:r>
        <w:rPr>
          <w:rFonts w:eastAsia="Times New Roman"/>
          <w:color w:val="000000"/>
          <w:sz w:val="20"/>
          <w:szCs w:val="20"/>
        </w:rPr>
        <w:t>2</w:t>
      </w:r>
      <w:r>
        <w:rPr>
          <w:rFonts w:eastAsia="Times New Roman"/>
          <w:color w:val="000000"/>
          <w:sz w:val="20"/>
          <w:szCs w:val="20"/>
        </w:rPr>
        <w:t>7</w:t>
      </w:r>
    </w:p>
    <w:p w:rsidR="00000000" w:rsidRDefault="00CB61D5">
      <w:pPr>
        <w:rPr>
          <w:rFonts w:eastAsia="Times New Roman"/>
        </w:rPr>
      </w:pPr>
      <w:r>
        <w:rPr>
          <w:rFonts w:eastAsia="Times New Roman"/>
        </w:rPr>
        <w:pict>
          <v:rect id="_x0000_i1056" style="width:0;height:1.5pt" o:hralign="center" o:hrstd="t" o:hr="t" fillcolor="#a0a0a0" stroked="f"/>
        </w:pict>
      </w:r>
    </w:p>
    <w:p w:rsidR="00000000" w:rsidRDefault="00CB61D5">
      <w:pPr>
        <w:divId w:val="1654751027"/>
        <w:rPr>
          <w:rFonts w:eastAsia="Times New Roman"/>
        </w:rPr>
      </w:pPr>
      <w:hyperlink w:anchor="i_0_7" w:history="1">
        <w:r>
          <w:rPr>
            <w:rStyle w:val="a3"/>
            <w:rFonts w:eastAsia="Times New Roman"/>
            <w:sz w:val="18"/>
            <w:szCs w:val="18"/>
          </w:rPr>
          <w:t>Index</w:t>
        </w:r>
      </w:hyperlink>
    </w:p>
    <w:p w:rsidR="00000000" w:rsidRDefault="00CB61D5">
      <w:pPr>
        <w:divId w:val="1709836689"/>
        <w:rPr>
          <w:rFonts w:eastAsia="Times New Roman"/>
        </w:rPr>
      </w:pPr>
      <w:r>
        <w:rPr>
          <w:rFonts w:eastAsia="Times New Roman"/>
          <w:b/>
          <w:bCs/>
          <w:color w:val="000000"/>
          <w:sz w:val="22"/>
          <w:szCs w:val="22"/>
        </w:rPr>
        <w:t>Quarterly Financial Dat</w:t>
      </w:r>
      <w:r>
        <w:rPr>
          <w:rFonts w:eastAsia="Times New Roman"/>
          <w:b/>
          <w:bCs/>
          <w:color w:val="000000"/>
          <w:sz w:val="22"/>
          <w:szCs w:val="22"/>
        </w:rPr>
        <w:t>a</w:t>
      </w:r>
    </w:p>
    <w:p w:rsidR="00000000" w:rsidRDefault="00CB61D5">
      <w:pPr>
        <w:divId w:val="222564938"/>
        <w:rPr>
          <w:rFonts w:eastAsia="Times New Roman"/>
        </w:rPr>
      </w:pPr>
    </w:p>
    <w:p w:rsidR="00000000" w:rsidRDefault="00CB61D5">
      <w:pPr>
        <w:jc w:val="both"/>
        <w:rPr>
          <w:rFonts w:eastAsia="Times New Roman"/>
        </w:rPr>
      </w:pPr>
      <w:r>
        <w:rPr>
          <w:rFonts w:eastAsia="Times New Roman"/>
          <w:color w:val="000000"/>
          <w:sz w:val="20"/>
          <w:szCs w:val="20"/>
        </w:rPr>
        <w:t>Our unaudited quarterly operating results for each fiscal quarter of 2019 and 2018 are shown below (in thousands, except per share amounts)</w:t>
      </w:r>
      <w:r>
        <w:rPr>
          <w:rFonts w:eastAsia="Times New Roman"/>
          <w:color w:val="000000"/>
          <w:sz w:val="20"/>
          <w:szCs w:val="20"/>
        </w:rPr>
        <w:t>:</w:t>
      </w:r>
    </w:p>
    <w:p w:rsidR="00000000" w:rsidRDefault="00CB61D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677"/>
        <w:gridCol w:w="39"/>
        <w:gridCol w:w="36"/>
        <w:gridCol w:w="36"/>
        <w:gridCol w:w="36"/>
        <w:gridCol w:w="135"/>
        <w:gridCol w:w="865"/>
        <w:gridCol w:w="202"/>
        <w:gridCol w:w="36"/>
        <w:gridCol w:w="36"/>
        <w:gridCol w:w="36"/>
        <w:gridCol w:w="135"/>
        <w:gridCol w:w="865"/>
        <w:gridCol w:w="202"/>
        <w:gridCol w:w="36"/>
        <w:gridCol w:w="36"/>
        <w:gridCol w:w="36"/>
        <w:gridCol w:w="135"/>
        <w:gridCol w:w="865"/>
        <w:gridCol w:w="202"/>
        <w:gridCol w:w="36"/>
        <w:gridCol w:w="36"/>
        <w:gridCol w:w="36"/>
        <w:gridCol w:w="135"/>
        <w:gridCol w:w="865"/>
        <w:gridCol w:w="202"/>
        <w:gridCol w:w="36"/>
        <w:gridCol w:w="36"/>
        <w:gridCol w:w="36"/>
        <w:gridCol w:w="135"/>
        <w:gridCol w:w="865"/>
        <w:gridCol w:w="202"/>
      </w:tblGrid>
      <w:tr w:rsidR="00000000">
        <w:trPr>
          <w:divId w:val="1114252093"/>
        </w:trPr>
        <w:tc>
          <w:tcPr>
            <w:tcW w:w="50" w:type="pct"/>
            <w:vAlign w:val="center"/>
            <w:hideMark/>
          </w:tcPr>
          <w:p w:rsidR="00000000" w:rsidRDefault="00CB61D5">
            <w:pPr>
              <w:jc w:val="both"/>
              <w:rPr>
                <w:rFonts w:eastAsia="Times New Roman"/>
              </w:rPr>
            </w:pPr>
          </w:p>
        </w:tc>
        <w:tc>
          <w:tcPr>
            <w:tcW w:w="177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14252093"/>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 xml:space="preserve">First </w:t>
            </w:r>
            <w:r>
              <w:rPr>
                <w:rFonts w:eastAsia="Times New Roman"/>
                <w:b/>
                <w:bCs/>
                <w:color w:val="000000"/>
                <w:sz w:val="20"/>
                <w:szCs w:val="20"/>
              </w:rPr>
              <w:br/>
              <w:t>Quarte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Second Quarte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Third Quarte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Fourth Quarte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r>
      <w:tr w:rsidR="00000000">
        <w:trPr>
          <w:divId w:val="11142520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r>
      <w:tr w:rsidR="00000000">
        <w:trPr>
          <w:divId w:val="111425209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sale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1,822,220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2,353,782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1,984,144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2,191,785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8,351,931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614,984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820,745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694,240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741,801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2,871,770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103,408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287,557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161,817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190,438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743,220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76,832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219,210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122,133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144,179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Height w:val="6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1142520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income per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114252093"/>
        </w:trPr>
        <w:tc>
          <w:tcPr>
            <w:tcW w:w="0" w:type="auto"/>
            <w:gridSpan w:val="3"/>
            <w:shd w:val="clear" w:color="auto" w:fill="CCEEFF"/>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Pr>
        <w:tc>
          <w:tcPr>
            <w:tcW w:w="0" w:type="auto"/>
            <w:gridSpan w:val="3"/>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0.63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4252093"/>
          <w:trHeight w:val="6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114252093"/>
        </w:trPr>
        <w:tc>
          <w:tcPr>
            <w:tcW w:w="0" w:type="auto"/>
            <w:gridSpan w:val="3"/>
            <w:tcMar>
              <w:top w:w="30" w:type="dxa"/>
              <w:left w:w="20" w:type="dxa"/>
              <w:bottom w:w="30" w:type="dxa"/>
              <w:right w:w="20" w:type="dxa"/>
            </w:tcMar>
            <w:vAlign w:val="bottom"/>
            <w:hideMark/>
          </w:tcPr>
          <w:p w:rsidR="00000000" w:rsidRDefault="00CB61D5">
            <w:pPr>
              <w:divId w:val="1027216884"/>
              <w:rPr>
                <w:rFonts w:eastAsia="Times New Roman"/>
              </w:rPr>
            </w:pPr>
            <w:r>
              <w:rPr>
                <w:rFonts w:eastAsia="Times New Roman"/>
                <w:color w:val="000000"/>
                <w:sz w:val="20"/>
                <w:szCs w:val="20"/>
              </w:rPr>
              <w:t>Comparable store sales increase</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r>
    </w:tbl>
    <w:p w:rsidR="00000000" w:rsidRDefault="00CB61D5">
      <w:pPr>
        <w:jc w:val="both"/>
        <w:rPr>
          <w:rFonts w:eastAsia="Times New Roman"/>
        </w:rPr>
      </w:pPr>
    </w:p>
    <w:p w:rsidR="00000000" w:rsidRDefault="00CB61D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677"/>
        <w:gridCol w:w="39"/>
        <w:gridCol w:w="36"/>
        <w:gridCol w:w="36"/>
        <w:gridCol w:w="36"/>
        <w:gridCol w:w="135"/>
        <w:gridCol w:w="865"/>
        <w:gridCol w:w="202"/>
        <w:gridCol w:w="36"/>
        <w:gridCol w:w="36"/>
        <w:gridCol w:w="36"/>
        <w:gridCol w:w="135"/>
        <w:gridCol w:w="865"/>
        <w:gridCol w:w="202"/>
        <w:gridCol w:w="36"/>
        <w:gridCol w:w="36"/>
        <w:gridCol w:w="36"/>
        <w:gridCol w:w="135"/>
        <w:gridCol w:w="865"/>
        <w:gridCol w:w="202"/>
        <w:gridCol w:w="36"/>
        <w:gridCol w:w="36"/>
        <w:gridCol w:w="36"/>
        <w:gridCol w:w="135"/>
        <w:gridCol w:w="865"/>
        <w:gridCol w:w="202"/>
        <w:gridCol w:w="36"/>
        <w:gridCol w:w="36"/>
        <w:gridCol w:w="36"/>
        <w:gridCol w:w="135"/>
        <w:gridCol w:w="865"/>
        <w:gridCol w:w="202"/>
      </w:tblGrid>
      <w:tr w:rsidR="00000000">
        <w:trPr>
          <w:divId w:val="1543781825"/>
        </w:trPr>
        <w:tc>
          <w:tcPr>
            <w:tcW w:w="50" w:type="pct"/>
            <w:vAlign w:val="center"/>
            <w:hideMark/>
          </w:tcPr>
          <w:p w:rsidR="00000000" w:rsidRDefault="00CB61D5">
            <w:pPr>
              <w:jc w:val="both"/>
              <w:rPr>
                <w:rFonts w:eastAsia="Times New Roman"/>
              </w:rPr>
            </w:pPr>
          </w:p>
        </w:tc>
        <w:tc>
          <w:tcPr>
            <w:tcW w:w="177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7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543781825"/>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First</w:t>
            </w:r>
            <w:r>
              <w:rPr>
                <w:rFonts w:eastAsia="Times New Roman"/>
                <w:b/>
                <w:bCs/>
                <w:color w:val="000000"/>
                <w:sz w:val="20"/>
                <w:szCs w:val="20"/>
              </w:rPr>
              <w:br/>
              <w:t>Quarte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Second</w:t>
            </w:r>
            <w:r>
              <w:rPr>
                <w:rFonts w:eastAsia="Times New Roman"/>
                <w:b/>
                <w:bCs/>
                <w:color w:val="000000"/>
                <w:sz w:val="20"/>
                <w:szCs w:val="20"/>
              </w:rPr>
              <w:br/>
              <w:t>Quarter</w:t>
            </w:r>
            <w:r>
              <w:rPr>
                <w:rFonts w:eastAsia="Times New Roman"/>
                <w:b/>
                <w:bCs/>
                <w:color w:val="000000"/>
                <w:sz w:val="20"/>
                <w:szCs w:val="20"/>
              </w:rPr>
              <w:br/>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Third</w:t>
            </w:r>
            <w:r>
              <w:rPr>
                <w:rFonts w:eastAsia="Times New Roman"/>
                <w:b/>
                <w:bCs/>
                <w:color w:val="000000"/>
                <w:sz w:val="20"/>
                <w:szCs w:val="20"/>
              </w:rPr>
              <w:br/>
              <w:t>Quarter</w:t>
            </w:r>
            <w:r>
              <w:rPr>
                <w:rFonts w:eastAsia="Times New Roman"/>
                <w:b/>
                <w:bCs/>
                <w:color w:val="000000"/>
                <w:sz w:val="20"/>
                <w:szCs w:val="20"/>
              </w:rPr>
              <w:br/>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Fourth</w:t>
            </w:r>
            <w:r>
              <w:rPr>
                <w:rFonts w:eastAsia="Times New Roman"/>
                <w:b/>
                <w:bCs/>
                <w:color w:val="000000"/>
                <w:sz w:val="20"/>
                <w:szCs w:val="20"/>
              </w:rPr>
              <w:br/>
              <w:t>Quarter</w:t>
            </w:r>
            <w:r>
              <w:rPr>
                <w:rFonts w:eastAsia="Times New Roman"/>
                <w:b/>
                <w:bCs/>
                <w:color w:val="000000"/>
                <w:sz w:val="20"/>
                <w:szCs w:val="20"/>
              </w:rPr>
              <w:br/>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r>
      <w:tr w:rsidR="00000000">
        <w:trPr>
          <w:divId w:val="154378182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(13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r>
      <w:tr w:rsidR="00000000">
        <w:trPr>
          <w:divId w:val="15437818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sale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1,682,901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2,213,249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1,881,625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2,133,271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7,911,046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563,649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769,414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653,132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716,333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2,702,528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94,749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273,458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153,148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180,382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701,737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71,433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207,289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116,784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136,851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Height w:val="6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54378182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income per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0.57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0.95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543781825"/>
          <w:trHeight w:val="6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543781825"/>
        </w:trPr>
        <w:tc>
          <w:tcPr>
            <w:tcW w:w="0" w:type="auto"/>
            <w:gridSpan w:val="3"/>
            <w:tcMar>
              <w:top w:w="30" w:type="dxa"/>
              <w:left w:w="20" w:type="dxa"/>
              <w:bottom w:w="30" w:type="dxa"/>
              <w:right w:w="20" w:type="dxa"/>
            </w:tcMar>
            <w:vAlign w:val="bottom"/>
            <w:hideMark/>
          </w:tcPr>
          <w:p w:rsidR="00000000" w:rsidRDefault="00CB61D5">
            <w:pPr>
              <w:divId w:val="1671906204"/>
              <w:rPr>
                <w:rFonts w:eastAsia="Times New Roman"/>
              </w:rPr>
            </w:pPr>
            <w:r>
              <w:rPr>
                <w:rFonts w:eastAsia="Times New Roman"/>
                <w:color w:val="000000"/>
                <w:sz w:val="20"/>
                <w:szCs w:val="20"/>
              </w:rPr>
              <w:t>Comparable store sales increase</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r>
    </w:tbl>
    <w:p w:rsidR="00000000" w:rsidRDefault="00CB61D5">
      <w:pPr>
        <w:ind w:hanging="180"/>
        <w:jc w:val="both"/>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 xml:space="preserve"> </w:t>
      </w:r>
      <w:r>
        <w:rPr>
          <w:rFonts w:eastAsia="Times New Roman"/>
          <w:color w:val="000000"/>
          <w:sz w:val="16"/>
          <w:szCs w:val="16"/>
        </w:rPr>
        <w:t>Comparable store metrics are calculated using sales generated from all stores open at least one year and all online sales, excluding certain adjustments to net sales. Closed stores are removed from our comparable store metrics calc</w:t>
      </w:r>
      <w:r>
        <w:rPr>
          <w:rFonts w:eastAsia="Times New Roman"/>
          <w:color w:val="000000"/>
          <w:sz w:val="16"/>
          <w:szCs w:val="16"/>
        </w:rPr>
        <w:t>ulations. Stores relocated during the periods being compared are not removed from our comparable store metrics. If the effect of relocated stores on our comparable store metrics becomes material, we would remove relocated stores from the calculations</w:t>
      </w:r>
      <w:r>
        <w:rPr>
          <w:rFonts w:eastAsia="Times New Roman"/>
          <w:color w:val="000000"/>
          <w:sz w:val="16"/>
          <w:szCs w:val="16"/>
        </w:rPr>
        <w:t>.</w:t>
      </w:r>
    </w:p>
    <w:p w:rsidR="00000000" w:rsidRDefault="00CB61D5">
      <w:pPr>
        <w:divId w:val="688609309"/>
        <w:rPr>
          <w:rFonts w:eastAsia="Times New Roman"/>
        </w:rPr>
      </w:pPr>
    </w:p>
    <w:p w:rsidR="00000000" w:rsidRDefault="00CB61D5">
      <w:pPr>
        <w:jc w:val="center"/>
        <w:divId w:val="43456337"/>
        <w:rPr>
          <w:rFonts w:eastAsia="Times New Roman"/>
        </w:rPr>
      </w:pPr>
      <w:r>
        <w:rPr>
          <w:rFonts w:eastAsia="Times New Roman"/>
          <w:color w:val="000000"/>
          <w:sz w:val="20"/>
          <w:szCs w:val="20"/>
        </w:rPr>
        <w:t>2</w:t>
      </w:r>
      <w:r>
        <w:rPr>
          <w:rFonts w:eastAsia="Times New Roman"/>
          <w:color w:val="000000"/>
          <w:sz w:val="20"/>
          <w:szCs w:val="20"/>
        </w:rPr>
        <w:t>8</w:t>
      </w:r>
    </w:p>
    <w:p w:rsidR="00000000" w:rsidRDefault="00CB61D5">
      <w:pPr>
        <w:rPr>
          <w:rFonts w:eastAsia="Times New Roman"/>
        </w:rPr>
      </w:pPr>
      <w:r>
        <w:rPr>
          <w:rFonts w:eastAsia="Times New Roman"/>
        </w:rPr>
        <w:pict>
          <v:rect id="_x0000_i1057" style="width:0;height:1.5pt" o:hralign="center" o:hrstd="t" o:hr="t" fillcolor="#a0a0a0" stroked="f"/>
        </w:pict>
      </w:r>
    </w:p>
    <w:p w:rsidR="00000000" w:rsidRDefault="00CB61D5">
      <w:pPr>
        <w:divId w:val="2030401383"/>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2"/>
          <w:szCs w:val="22"/>
        </w:rPr>
        <w:t>Results of Operation</w:t>
      </w:r>
      <w:r>
        <w:rPr>
          <w:rFonts w:eastAsia="Times New Roman"/>
          <w:b/>
          <w:bCs/>
          <w:color w:val="000000"/>
          <w:sz w:val="22"/>
          <w:szCs w:val="22"/>
        </w:rPr>
        <w:t>s</w:t>
      </w:r>
    </w:p>
    <w:p w:rsidR="00000000" w:rsidRDefault="00CB61D5">
      <w:pPr>
        <w:divId w:val="185797194"/>
        <w:rPr>
          <w:rFonts w:eastAsia="Times New Roman"/>
        </w:rPr>
      </w:pPr>
    </w:p>
    <w:p w:rsidR="00000000" w:rsidRDefault="00CB61D5">
      <w:pPr>
        <w:jc w:val="both"/>
        <w:rPr>
          <w:rFonts w:eastAsia="Times New Roman"/>
        </w:rPr>
      </w:pPr>
      <w:r>
        <w:rPr>
          <w:rFonts w:eastAsia="Times New Roman"/>
          <w:color w:val="000000"/>
          <w:sz w:val="20"/>
          <w:szCs w:val="20"/>
        </w:rPr>
        <w:t>The following table sets forth, for the periods indicated, certain items in the Consolidated Statements of Income expressed as a percentage of net sales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4474"/>
        <w:gridCol w:w="37"/>
        <w:gridCol w:w="53"/>
        <w:gridCol w:w="764"/>
        <w:gridCol w:w="202"/>
        <w:gridCol w:w="36"/>
        <w:gridCol w:w="36"/>
        <w:gridCol w:w="36"/>
        <w:gridCol w:w="53"/>
        <w:gridCol w:w="728"/>
        <w:gridCol w:w="202"/>
        <w:gridCol w:w="36"/>
        <w:gridCol w:w="36"/>
        <w:gridCol w:w="36"/>
        <w:gridCol w:w="53"/>
        <w:gridCol w:w="730"/>
        <w:gridCol w:w="202"/>
        <w:gridCol w:w="36"/>
        <w:gridCol w:w="36"/>
        <w:gridCol w:w="36"/>
        <w:gridCol w:w="36"/>
        <w:gridCol w:w="36"/>
        <w:gridCol w:w="36"/>
        <w:gridCol w:w="36"/>
        <w:gridCol w:w="36"/>
        <w:gridCol w:w="36"/>
        <w:gridCol w:w="36"/>
        <w:gridCol w:w="36"/>
        <w:gridCol w:w="36"/>
        <w:gridCol w:w="36"/>
        <w:gridCol w:w="36"/>
        <w:gridCol w:w="36"/>
      </w:tblGrid>
      <w:tr w:rsidR="00000000">
        <w:trPr>
          <w:gridAfter w:val="15"/>
          <w:divId w:val="2126078620"/>
        </w:trPr>
        <w:tc>
          <w:tcPr>
            <w:tcW w:w="50" w:type="pct"/>
            <w:vAlign w:val="center"/>
            <w:hideMark/>
          </w:tcPr>
          <w:p w:rsidR="00000000" w:rsidRDefault="00CB61D5">
            <w:pPr>
              <w:jc w:val="both"/>
              <w:rPr>
                <w:rFonts w:eastAsia="Times New Roman"/>
              </w:rPr>
            </w:pPr>
          </w:p>
        </w:tc>
        <w:tc>
          <w:tcPr>
            <w:tcW w:w="291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2126078620"/>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126078620"/>
          <w:trHeight w:val="16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12607862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sale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FFFFFF"/>
            <w:tcMar>
              <w:top w:w="30" w:type="dxa"/>
              <w:left w:w="20" w:type="dxa"/>
              <w:bottom w:w="30" w:type="dxa"/>
              <w:right w:w="20" w:type="dxa"/>
            </w:tcMar>
            <w:vAlign w:val="bottom"/>
            <w:hideMark/>
          </w:tcPr>
          <w:p w:rsidR="00000000" w:rsidRDefault="00CB61D5">
            <w:pPr>
              <w:divId w:val="1220165683"/>
              <w:rPr>
                <w:rFonts w:eastAsia="Times New Roman"/>
              </w:rPr>
            </w:pPr>
            <w:r>
              <w:rPr>
                <w:rFonts w:eastAsia="Times New Roman"/>
                <w:color w:val="000000"/>
                <w:sz w:val="20"/>
                <w:szCs w:val="20"/>
              </w:rPr>
              <w:t>Cost of merchandise sold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CCEEFF"/>
            <w:tcMar>
              <w:top w:w="30" w:type="dxa"/>
              <w:left w:w="20" w:type="dxa"/>
              <w:bottom w:w="30" w:type="dxa"/>
              <w:right w:w="20" w:type="dxa"/>
            </w:tcMar>
            <w:vAlign w:val="bottom"/>
            <w:hideMark/>
          </w:tcPr>
          <w:p w:rsidR="00000000" w:rsidRDefault="00CB61D5">
            <w:pPr>
              <w:divId w:val="1842818146"/>
              <w:rPr>
                <w:rFonts w:eastAsia="Times New Roman"/>
              </w:rPr>
            </w:pPr>
            <w:r>
              <w:rPr>
                <w:rFonts w:eastAsia="Times New Roman"/>
                <w:color w:val="000000"/>
                <w:sz w:val="20"/>
                <w:szCs w:val="20"/>
              </w:rPr>
              <w:t>Gross margin</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FFFFFF"/>
            <w:tcMar>
              <w:top w:w="30" w:type="dxa"/>
              <w:left w:w="20" w:type="dxa"/>
              <w:bottom w:w="30" w:type="dxa"/>
              <w:right w:w="20" w:type="dxa"/>
            </w:tcMar>
            <w:vAlign w:val="bottom"/>
            <w:hideMark/>
          </w:tcPr>
          <w:p w:rsidR="00000000" w:rsidRDefault="00CB61D5">
            <w:pPr>
              <w:divId w:val="923415162"/>
              <w:rPr>
                <w:rFonts w:eastAsia="Times New Roman"/>
              </w:rPr>
            </w:pPr>
            <w:r>
              <w:rPr>
                <w:rFonts w:eastAsia="Times New Roman"/>
                <w:color w:val="000000"/>
                <w:sz w:val="20"/>
                <w:szCs w:val="20"/>
              </w:rPr>
              <w:t>Selling, general and administrative expenses</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9.27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12607862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w:t>
      </w:r>
      <w:r>
        <w:rPr>
          <w:rFonts w:eastAsia="Times New Roman"/>
          <w:color w:val="000000"/>
          <w:sz w:val="16"/>
          <w:szCs w:val="16"/>
        </w:rPr>
        <w:t xml:space="preserve"> Our gross margin amounts may not be comparable to those of other retailers since some retailers include all of the costs related to their distribution facility network in cost of merchandise sold and others (like our Company) exclude a</w:t>
      </w:r>
      <w:r>
        <w:rPr>
          <w:rFonts w:eastAsia="Times New Roman"/>
          <w:color w:val="000000"/>
          <w:sz w:val="16"/>
          <w:szCs w:val="16"/>
        </w:rPr>
        <w:t xml:space="preserve"> portion of these distribution facility network costs from gross margin and instead include them in selling, general, and administrative expenses; refer to Note 1 – Significant Accounting Policies of the Notes to the Consolidated Financial Statements, incl</w:t>
      </w:r>
      <w:r>
        <w:rPr>
          <w:rFonts w:eastAsia="Times New Roman"/>
          <w:color w:val="000000"/>
          <w:sz w:val="16"/>
          <w:szCs w:val="16"/>
        </w:rPr>
        <w:t>uded in Item 8 Financial Statements and Supplementary Data, of this Annual Report on Form 10-K</w:t>
      </w:r>
      <w:r>
        <w:rPr>
          <w:rFonts w:eastAsia="Times New Roman"/>
          <w:color w:val="000000"/>
          <w:sz w:val="16"/>
          <w:szCs w:val="16"/>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Fiscal 2019 Compared to Fiscal 2018</w:t>
      </w:r>
      <w:r>
        <w:rPr>
          <w:rFonts w:eastAsia="Times New Roman"/>
          <w:b/>
          <w:bCs/>
          <w:color w:val="000000"/>
          <w:sz w:val="20"/>
          <w:szCs w:val="20"/>
        </w:rPr>
        <w:t xml:space="preserve"> </w:t>
      </w:r>
    </w:p>
    <w:p w:rsidR="00000000" w:rsidRDefault="00CB61D5">
      <w:pPr>
        <w:divId w:val="413624062"/>
        <w:rPr>
          <w:rFonts w:eastAsia="Times New Roman"/>
        </w:rPr>
      </w:pPr>
    </w:p>
    <w:p w:rsidR="00000000" w:rsidRDefault="00CB61D5">
      <w:pPr>
        <w:jc w:val="both"/>
        <w:rPr>
          <w:rFonts w:eastAsia="Times New Roman"/>
        </w:rPr>
      </w:pPr>
      <w:r>
        <w:rPr>
          <w:rFonts w:eastAsia="Times New Roman"/>
          <w:color w:val="000000"/>
          <w:sz w:val="20"/>
          <w:szCs w:val="20"/>
        </w:rPr>
        <w:t>Net sales increased 5.6% to $8.35 billion in fiscal 2019 from $7.91 billion in fiscal 2018. Comparable store sales for fiscal 2019 were $8.13 billion, a 2.7% increase over fiscal 2018. This compares to a 5.1% comparable store sales increase in the prior ye</w:t>
      </w:r>
      <w:r>
        <w:rPr>
          <w:rFonts w:eastAsia="Times New Roman"/>
          <w:color w:val="000000"/>
          <w:sz w:val="20"/>
          <w:szCs w:val="20"/>
        </w:rPr>
        <w:t>ar. The comparable store average ticket increased 2.4% and comparable store transaction count increased 0.3% for fiscal 2019, as compared to an increase of 2.8% and 2.2% in fiscal 2018,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Comparable store metrics are calculated on an annual b</w:t>
      </w:r>
      <w:r>
        <w:rPr>
          <w:rFonts w:eastAsia="Times New Roman"/>
          <w:color w:val="000000"/>
          <w:sz w:val="20"/>
          <w:szCs w:val="20"/>
        </w:rPr>
        <w:t xml:space="preserve">asis using sales generated from all stores open at least one year and all online sales, excluding certain adjustments to net sales. Stores closed during the year are removed from our comparable store metrics calculations. Stores relocated during the years </w:t>
      </w:r>
      <w:r>
        <w:rPr>
          <w:rFonts w:eastAsia="Times New Roman"/>
          <w:color w:val="000000"/>
          <w:sz w:val="20"/>
          <w:szCs w:val="20"/>
        </w:rPr>
        <w:t>being compared are not removed from our comparable store metrics. If the effect of relocated stores on our comparable store metrics becomes material, we would remove relocated stores from the calculations.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All geographic regions of the Company had posit</w:t>
      </w:r>
      <w:r>
        <w:rPr>
          <w:rFonts w:eastAsia="Times New Roman"/>
          <w:color w:val="000000"/>
          <w:sz w:val="20"/>
          <w:szCs w:val="20"/>
        </w:rPr>
        <w:t xml:space="preserve">ive comparable store sales growth. The growth in comparable store sales was led by strength in everyday merchandise, including consumable, usable, and edible (“C.U.E.”) products throughout the year as well as growth in seasonal merchandise categories. The </w:t>
      </w:r>
      <w:r>
        <w:rPr>
          <w:rFonts w:eastAsia="Times New Roman"/>
          <w:color w:val="000000"/>
          <w:sz w:val="20"/>
          <w:szCs w:val="20"/>
        </w:rPr>
        <w:t xml:space="preserve">growth in seasonal merchandise was driven from solid demand throughout the first three fiscal quarters of the year; however, the fourth fiscal quarter experienced weakness in sales of cold-weather seasonal and holiday discretionary products primarily as a </w:t>
      </w:r>
      <w:r>
        <w:rPr>
          <w:rFonts w:eastAsia="Times New Roman"/>
          <w:color w:val="000000"/>
          <w:sz w:val="20"/>
          <w:szCs w:val="20"/>
        </w:rPr>
        <w:t>result of unseasonably warm weather across much of the country and six fewer selling days between Thanksgiving and Christmas compared to last year</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addition to comparable store sales growth in fiscal 2019, sales from stores opened less than one year w</w:t>
      </w:r>
      <w:r>
        <w:rPr>
          <w:rFonts w:eastAsia="Times New Roman"/>
          <w:color w:val="000000"/>
          <w:sz w:val="20"/>
          <w:szCs w:val="20"/>
        </w:rPr>
        <w:t xml:space="preserve">ere $237.6 million in fiscal 2019, which represented 3.0 percentage points of the 5.6% increase over fiscal 2018 net sales. Sales from stores opened less than one year were $300.5 million in fiscal 2018, which represented 4.1 percentage points of the 9.0% </w:t>
      </w:r>
      <w:r>
        <w:rPr>
          <w:rFonts w:eastAsia="Times New Roman"/>
          <w:color w:val="000000"/>
          <w:sz w:val="20"/>
          <w:szCs w:val="20"/>
        </w:rPr>
        <w:t>increase over fiscal 2017 net sales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456678612"/>
        <w:rPr>
          <w:rFonts w:eastAsia="Times New Roman"/>
        </w:rPr>
      </w:pPr>
      <w:r>
        <w:rPr>
          <w:rFonts w:eastAsia="Times New Roman"/>
          <w:color w:val="000000"/>
          <w:sz w:val="20"/>
          <w:szCs w:val="20"/>
        </w:rPr>
        <w:t>2</w:t>
      </w:r>
      <w:r>
        <w:rPr>
          <w:rFonts w:eastAsia="Times New Roman"/>
          <w:color w:val="000000"/>
          <w:sz w:val="20"/>
          <w:szCs w:val="20"/>
        </w:rPr>
        <w:t>9</w:t>
      </w:r>
    </w:p>
    <w:p w:rsidR="00000000" w:rsidRDefault="00CB61D5">
      <w:pPr>
        <w:rPr>
          <w:rFonts w:eastAsia="Times New Roman"/>
        </w:rPr>
      </w:pPr>
      <w:r>
        <w:rPr>
          <w:rFonts w:eastAsia="Times New Roman"/>
        </w:rPr>
        <w:pict>
          <v:rect id="_x0000_i1058" style="width:0;height:1.5pt" o:hralign="center" o:hrstd="t" o:hr="t" fillcolor="#a0a0a0" stroked="f"/>
        </w:pict>
      </w:r>
    </w:p>
    <w:p w:rsidR="00000000" w:rsidRDefault="00CB61D5">
      <w:pPr>
        <w:divId w:val="201892307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following table summarizes our store growth during fiscal 2019 and 2018</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5"/>
        <w:gridCol w:w="5289"/>
        <w:gridCol w:w="66"/>
        <w:gridCol w:w="36"/>
        <w:gridCol w:w="36"/>
        <w:gridCol w:w="36"/>
        <w:gridCol w:w="58"/>
        <w:gridCol w:w="1028"/>
        <w:gridCol w:w="87"/>
        <w:gridCol w:w="37"/>
        <w:gridCol w:w="36"/>
        <w:gridCol w:w="36"/>
        <w:gridCol w:w="58"/>
        <w:gridCol w:w="1029"/>
        <w:gridCol w:w="85"/>
        <w:gridCol w:w="36"/>
        <w:gridCol w:w="36"/>
        <w:gridCol w:w="36"/>
        <w:gridCol w:w="36"/>
        <w:gridCol w:w="36"/>
        <w:gridCol w:w="36"/>
        <w:gridCol w:w="36"/>
        <w:gridCol w:w="36"/>
        <w:gridCol w:w="36"/>
      </w:tblGrid>
      <w:tr w:rsidR="00000000">
        <w:trPr>
          <w:gridAfter w:val="9"/>
          <w:divId w:val="1917669747"/>
        </w:trPr>
        <w:tc>
          <w:tcPr>
            <w:tcW w:w="50" w:type="pct"/>
            <w:vAlign w:val="center"/>
            <w:hideMark/>
          </w:tcPr>
          <w:p w:rsidR="00000000" w:rsidRDefault="00CB61D5">
            <w:pPr>
              <w:jc w:val="both"/>
              <w:rPr>
                <w:rFonts w:eastAsia="Times New Roman"/>
              </w:rPr>
            </w:pPr>
          </w:p>
        </w:tc>
        <w:tc>
          <w:tcPr>
            <w:tcW w:w="33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1917669747"/>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8"/>
            <w:vMerge w:val="restart"/>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vMerge w:val="restart"/>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1917669747"/>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8"/>
            <w:vMerge/>
            <w:vAlign w:val="center"/>
            <w:hideMark/>
          </w:tcPr>
          <w:p w:rsidR="00000000" w:rsidRDefault="00CB61D5">
            <w:pPr>
              <w:rPr>
                <w:rFonts w:eastAsia="Times New Roman"/>
              </w:rPr>
            </w:pPr>
          </w:p>
        </w:tc>
        <w:tc>
          <w:tcPr>
            <w:tcW w:w="0" w:type="auto"/>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91766974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FFFF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Beginning of period</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FFFF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Height w:val="12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176697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relocated</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054619427"/>
        <w:rPr>
          <w:rFonts w:eastAsia="Times New Roman"/>
        </w:rPr>
      </w:pPr>
    </w:p>
    <w:p w:rsidR="00000000" w:rsidRDefault="00CB61D5">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2019 and 2018</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5336"/>
        <w:gridCol w:w="41"/>
        <w:gridCol w:w="36"/>
        <w:gridCol w:w="36"/>
        <w:gridCol w:w="36"/>
        <w:gridCol w:w="38"/>
        <w:gridCol w:w="985"/>
        <w:gridCol w:w="203"/>
        <w:gridCol w:w="37"/>
        <w:gridCol w:w="37"/>
        <w:gridCol w:w="36"/>
        <w:gridCol w:w="37"/>
        <w:gridCol w:w="989"/>
        <w:gridCol w:w="202"/>
        <w:gridCol w:w="36"/>
        <w:gridCol w:w="36"/>
        <w:gridCol w:w="36"/>
        <w:gridCol w:w="36"/>
        <w:gridCol w:w="36"/>
        <w:gridCol w:w="36"/>
      </w:tblGrid>
      <w:tr w:rsidR="00000000">
        <w:trPr>
          <w:gridAfter w:val="6"/>
          <w:divId w:val="44179815"/>
        </w:trPr>
        <w:tc>
          <w:tcPr>
            <w:tcW w:w="50" w:type="pct"/>
            <w:vAlign w:val="center"/>
            <w:hideMark/>
          </w:tcPr>
          <w:p w:rsidR="00000000" w:rsidRDefault="00CB61D5">
            <w:pPr>
              <w:jc w:val="both"/>
              <w:rPr>
                <w:rFonts w:eastAsia="Times New Roman"/>
              </w:rPr>
            </w:pPr>
          </w:p>
        </w:tc>
        <w:tc>
          <w:tcPr>
            <w:tcW w:w="33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4417981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44179815"/>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4417981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4179815"/>
        </w:trPr>
        <w:tc>
          <w:tcPr>
            <w:tcW w:w="0" w:type="auto"/>
            <w:gridSpan w:val="3"/>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226115214"/>
        <w:rPr>
          <w:rFonts w:eastAsia="Times New Roman"/>
        </w:rPr>
      </w:pPr>
    </w:p>
    <w:p w:rsidR="00000000" w:rsidRDefault="00CB61D5">
      <w:pPr>
        <w:jc w:val="both"/>
        <w:rPr>
          <w:rFonts w:eastAsia="Times New Roman"/>
        </w:rPr>
      </w:pPr>
      <w:r>
        <w:rPr>
          <w:rFonts w:eastAsia="Times New Roman"/>
          <w:color w:val="000000"/>
          <w:sz w:val="20"/>
          <w:szCs w:val="20"/>
        </w:rPr>
        <w:t>Gross profit increased 6.3% to $2.87 billion in fiscal 2019 compared to $2.70 billion in fiscal 2018.  As a percent of net sales, gross margin increased 22 basis points to 34.38% for fiscal 2019 compared to 34.16% for fiscal 2018. The increase in gross mar</w:t>
      </w:r>
      <w:r>
        <w:rPr>
          <w:rFonts w:eastAsia="Times New Roman"/>
          <w:color w:val="000000"/>
          <w:sz w:val="20"/>
          <w:szCs w:val="20"/>
        </w:rPr>
        <w:t>gin resulted primarily from strength in the Company's price management program and, to a lesser extent, improvements in freight expense as a percent of net sales in the second half of the year.</w:t>
      </w:r>
      <w:r>
        <w:rPr>
          <w:rFonts w:eastAsia="Times New Roman"/>
          <w:color w:val="000000"/>
          <w:sz w:val="20"/>
          <w:szCs w:val="20"/>
        </w:rPr>
        <w:t xml:space="preserve"> </w:t>
      </w:r>
    </w:p>
    <w:p w:rsidR="00000000" w:rsidRDefault="00CB61D5">
      <w:pPr>
        <w:divId w:val="1729037258"/>
        <w:rPr>
          <w:rFonts w:eastAsia="Times New Roman"/>
        </w:rPr>
      </w:pPr>
    </w:p>
    <w:p w:rsidR="00000000" w:rsidRDefault="00CB61D5">
      <w:pPr>
        <w:jc w:val="both"/>
        <w:rPr>
          <w:rFonts w:eastAsia="Times New Roman"/>
        </w:rPr>
      </w:pPr>
      <w:r>
        <w:rPr>
          <w:rFonts w:eastAsia="Times New Roman"/>
          <w:color w:val="000000"/>
          <w:sz w:val="20"/>
          <w:szCs w:val="20"/>
        </w:rPr>
        <w:t>Total selling, general and administrative (“SG&amp;A”) expenses</w:t>
      </w:r>
      <w:r>
        <w:rPr>
          <w:rFonts w:eastAsia="Times New Roman"/>
          <w:color w:val="000000"/>
          <w:sz w:val="20"/>
          <w:szCs w:val="20"/>
        </w:rPr>
        <w:t>, including depreciation and amortization, increased 6.4% to $2.13 billion in fiscal 2019 from $2.00 billion in fiscal 2018.  SG&amp;A expenses, as a percent of net sales, increased 19 basis points to 25.48% in fiscal 2019 from 25.29% in fiscal 2018.  SG&amp;A exp</w:t>
      </w:r>
      <w:r>
        <w:rPr>
          <w:rFonts w:eastAsia="Times New Roman"/>
          <w:color w:val="000000"/>
          <w:sz w:val="20"/>
          <w:szCs w:val="20"/>
        </w:rPr>
        <w:t>enses increased as a percentage of net sales due principally to incremental costs associated with a new distribution facility in Frankfort, New York, and, to a lesser extent, investment in store team member wages. These SG&amp;A increases were partially offset</w:t>
      </w:r>
      <w:r>
        <w:rPr>
          <w:rFonts w:eastAsia="Times New Roman"/>
          <w:color w:val="000000"/>
          <w:sz w:val="20"/>
          <w:szCs w:val="20"/>
        </w:rPr>
        <w:t xml:space="preserve"> by lower year-over-year incentive compensation as a percent of net sales, as well as leverage in occupancy and other costs from the increase in comparable store sales. SG&amp;A expenses were also negatively impacted in fiscal 2019 by approximately $2.9 millio</w:t>
      </w:r>
      <w:r>
        <w:rPr>
          <w:rFonts w:eastAsia="Times New Roman"/>
          <w:color w:val="000000"/>
          <w:sz w:val="20"/>
          <w:szCs w:val="20"/>
        </w:rPr>
        <w:t>n related to an executive transition agreement</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effective income tax rate increased to 22.3% for fiscal 2019 compared to 22.1% in fiscal 2018. The primary cause of the increase in the Company's effective income tax rate was a reduction in state inves</w:t>
      </w:r>
      <w:r>
        <w:rPr>
          <w:rFonts w:eastAsia="Times New Roman"/>
          <w:color w:val="000000"/>
          <w:sz w:val="20"/>
          <w:szCs w:val="20"/>
        </w:rPr>
        <w:t>tment credits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Net income in fiscal 2019 was $562.4 million, or $4.66 per diluted share, compared to $532.4 million, or $4.31 per diluted share, in fiscal 2018. Excluding the after-tax impact of an executive transition agreement in fiscal 2019 of approximately $2.3 milli</w:t>
      </w:r>
      <w:r>
        <w:rPr>
          <w:rFonts w:eastAsia="Times New Roman"/>
          <w:color w:val="000000"/>
          <w:sz w:val="20"/>
          <w:szCs w:val="20"/>
        </w:rPr>
        <w:t>on, or $0.02 per diluted share, adjusted net income for fiscal 2019 was $564.7 million, or $4.68 per diluted share. Adjusted net income is a non-GAAP measure which has been provided in order to enhance comparability for the periods presented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During fisc</w:t>
      </w:r>
      <w:r>
        <w:rPr>
          <w:rFonts w:eastAsia="Times New Roman"/>
          <w:color w:val="000000"/>
          <w:sz w:val="20"/>
          <w:szCs w:val="20"/>
        </w:rPr>
        <w:t>al 2019, we repurchased approximately 5.4 million shares of the Company’s common stock at a total cost of $533.3 million as part of our share repurchase program.  In fiscal 2018, we repurchased approximately 5.0 million shares at a total cost of $349.8 mil</w:t>
      </w:r>
      <w:r>
        <w:rPr>
          <w:rFonts w:eastAsia="Times New Roman"/>
          <w:color w:val="000000"/>
          <w:sz w:val="20"/>
          <w:szCs w:val="20"/>
        </w:rPr>
        <w:t>lion</w:t>
      </w:r>
      <w:r>
        <w:rPr>
          <w:rFonts w:eastAsia="Times New Roman"/>
          <w:color w:val="000000"/>
          <w:sz w:val="20"/>
          <w:szCs w:val="20"/>
        </w:rPr>
        <w:t>.</w:t>
      </w:r>
    </w:p>
    <w:p w:rsidR="00000000" w:rsidRDefault="00CB61D5">
      <w:pPr>
        <w:divId w:val="1593540474"/>
        <w:rPr>
          <w:rFonts w:eastAsia="Times New Roman"/>
        </w:rPr>
      </w:pPr>
    </w:p>
    <w:p w:rsidR="00000000" w:rsidRDefault="00CB61D5">
      <w:pPr>
        <w:jc w:val="center"/>
        <w:divId w:val="652562307"/>
        <w:rPr>
          <w:rFonts w:eastAsia="Times New Roman"/>
        </w:rPr>
      </w:pPr>
      <w:r>
        <w:rPr>
          <w:rFonts w:eastAsia="Times New Roman"/>
          <w:color w:val="000000"/>
          <w:sz w:val="20"/>
          <w:szCs w:val="20"/>
        </w:rPr>
        <w:t>3</w:t>
      </w:r>
      <w:r>
        <w:rPr>
          <w:rFonts w:eastAsia="Times New Roman"/>
          <w:color w:val="000000"/>
          <w:sz w:val="20"/>
          <w:szCs w:val="20"/>
        </w:rPr>
        <w:t>0</w:t>
      </w:r>
    </w:p>
    <w:p w:rsidR="00000000" w:rsidRDefault="00CB61D5">
      <w:pPr>
        <w:rPr>
          <w:rFonts w:eastAsia="Times New Roman"/>
        </w:rPr>
      </w:pPr>
      <w:r>
        <w:rPr>
          <w:rFonts w:eastAsia="Times New Roman"/>
        </w:rPr>
        <w:pict>
          <v:rect id="_x0000_i1059" style="width:0;height:1.5pt" o:hralign="center" o:hrstd="t" o:hr="t" fillcolor="#a0a0a0" stroked="f"/>
        </w:pict>
      </w:r>
    </w:p>
    <w:p w:rsidR="00000000" w:rsidRDefault="00CB61D5">
      <w:pPr>
        <w:divId w:val="205503294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Fiscal 2018 Compared to Fiscal 2017</w:t>
      </w:r>
      <w:r>
        <w:rPr>
          <w:rFonts w:eastAsia="Times New Roman"/>
          <w:b/>
          <w:bCs/>
          <w:color w:val="000000"/>
          <w:sz w:val="20"/>
          <w:szCs w:val="20"/>
        </w:rPr>
        <w:t xml:space="preserve"> </w:t>
      </w:r>
    </w:p>
    <w:p w:rsidR="00000000" w:rsidRDefault="00CB61D5">
      <w:pPr>
        <w:divId w:val="280110932"/>
        <w:rPr>
          <w:rFonts w:eastAsia="Times New Roman"/>
        </w:rPr>
      </w:pPr>
    </w:p>
    <w:p w:rsidR="00000000" w:rsidRDefault="00CB61D5">
      <w:pPr>
        <w:jc w:val="both"/>
        <w:rPr>
          <w:rFonts w:eastAsia="Times New Roman"/>
        </w:rPr>
      </w:pPr>
      <w:r>
        <w:rPr>
          <w:rFonts w:eastAsia="Times New Roman"/>
          <w:color w:val="000000"/>
          <w:sz w:val="20"/>
          <w:szCs w:val="20"/>
        </w:rPr>
        <w:t>Net sales increased 9.0% to $7.91 billion in fiscal 2018 from $7.26 billion in fiscal 2017. Comparable store sales for fiscal 2018 were</w:t>
      </w:r>
      <w:r>
        <w:rPr>
          <w:rFonts w:eastAsia="Times New Roman"/>
          <w:color w:val="000000"/>
          <w:sz w:val="20"/>
          <w:szCs w:val="20"/>
        </w:rPr>
        <w:t xml:space="preserve"> $7.63 billion, a 5.1% increase over fiscal 2017. This compares to a 2.7% comparable store sales increase in the prior year. The comparable store transaction count increased 2.2% and comparable store average ticket increased 2.8% for fiscal 2018, as compar</w:t>
      </w:r>
      <w:r>
        <w:rPr>
          <w:rFonts w:eastAsia="Times New Roman"/>
          <w:color w:val="000000"/>
          <w:sz w:val="20"/>
          <w:szCs w:val="20"/>
        </w:rPr>
        <w:t>ed to an increase of 2.2% and 0.5% in fiscal 2018,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Comparable store metrics are calculated on an annual basis using sales generated from all stores open at least one year and all online sales, excluding certain adjustments to net sales. Sto</w:t>
      </w:r>
      <w:r>
        <w:rPr>
          <w:rFonts w:eastAsia="Times New Roman"/>
          <w:color w:val="000000"/>
          <w:sz w:val="20"/>
          <w:szCs w:val="20"/>
        </w:rPr>
        <w:t>res closed during the year are removed from our comparable store metrics calculations. Stores relocated during the years being compared are not removed from our comparable store metrics. If the effect of relocated stores on our comparable store metrics bec</w:t>
      </w:r>
      <w:r>
        <w:rPr>
          <w:rFonts w:eastAsia="Times New Roman"/>
          <w:color w:val="000000"/>
          <w:sz w:val="20"/>
          <w:szCs w:val="20"/>
        </w:rPr>
        <w:t>omes material, we would remove relocated stores from the calculations. Acquired Petsense stores are considered comparable beginning in the fourth quarter of fiscal 2017</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comparable store sales increase was broad-based across all merchandise categorie</w:t>
      </w:r>
      <w:r>
        <w:rPr>
          <w:rFonts w:eastAsia="Times New Roman"/>
          <w:color w:val="000000"/>
          <w:sz w:val="20"/>
          <w:szCs w:val="20"/>
        </w:rPr>
        <w:t>s and all geographic regions. The growth in comparable store sales was led by strength in everyday merchandise, including C.U.E. products, along with strong demand for seasonal merchandise in each quarter of the year.</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addition to comparable store sal</w:t>
      </w:r>
      <w:r>
        <w:rPr>
          <w:rFonts w:eastAsia="Times New Roman"/>
          <w:color w:val="000000"/>
          <w:sz w:val="20"/>
          <w:szCs w:val="20"/>
        </w:rPr>
        <w:t>es growth in fiscal 2018, sales from stores opened less than one year were $300.5 million in fiscal 2018, which represented 4.1 percentage points of the 9.0% increase over fiscal 2017 net sales. Sales from stores opened less than one year, including acquir</w:t>
      </w:r>
      <w:r>
        <w:rPr>
          <w:rFonts w:eastAsia="Times New Roman"/>
          <w:color w:val="000000"/>
          <w:sz w:val="20"/>
          <w:szCs w:val="20"/>
        </w:rPr>
        <w:t>ed Petsense stores, were $405.0 million in fiscal 2017, which represented 6.0 percentage points of the 7.0% increase over fiscal 2016 net sales</w:t>
      </w:r>
      <w:r>
        <w:rPr>
          <w:rFonts w:eastAsia="Times New Roman"/>
          <w:color w:val="000000"/>
          <w:sz w:val="20"/>
          <w:szCs w:val="20"/>
        </w:rPr>
        <w:t>.</w:t>
      </w:r>
    </w:p>
    <w:p w:rsidR="00000000" w:rsidRDefault="00CB61D5">
      <w:pPr>
        <w:divId w:val="1130979504"/>
        <w:rPr>
          <w:rFonts w:eastAsia="Times New Roman"/>
        </w:rPr>
      </w:pPr>
    </w:p>
    <w:p w:rsidR="00000000" w:rsidRDefault="00CB61D5">
      <w:pPr>
        <w:jc w:val="both"/>
        <w:rPr>
          <w:rFonts w:eastAsia="Times New Roman"/>
        </w:rPr>
      </w:pPr>
      <w:r>
        <w:rPr>
          <w:rFonts w:eastAsia="Times New Roman"/>
          <w:color w:val="000000"/>
          <w:sz w:val="20"/>
          <w:szCs w:val="20"/>
        </w:rPr>
        <w:t>The following table summarizes our store growth during fiscal 2018 and 2017</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5"/>
        <w:gridCol w:w="5289"/>
        <w:gridCol w:w="66"/>
        <w:gridCol w:w="36"/>
        <w:gridCol w:w="36"/>
        <w:gridCol w:w="36"/>
        <w:gridCol w:w="58"/>
        <w:gridCol w:w="1028"/>
        <w:gridCol w:w="87"/>
        <w:gridCol w:w="37"/>
        <w:gridCol w:w="36"/>
        <w:gridCol w:w="36"/>
        <w:gridCol w:w="58"/>
        <w:gridCol w:w="1029"/>
        <w:gridCol w:w="85"/>
        <w:gridCol w:w="36"/>
        <w:gridCol w:w="36"/>
        <w:gridCol w:w="36"/>
        <w:gridCol w:w="36"/>
        <w:gridCol w:w="36"/>
        <w:gridCol w:w="36"/>
        <w:gridCol w:w="36"/>
        <w:gridCol w:w="36"/>
        <w:gridCol w:w="36"/>
      </w:tblGrid>
      <w:tr w:rsidR="00000000">
        <w:trPr>
          <w:gridAfter w:val="9"/>
          <w:divId w:val="1554999457"/>
        </w:trPr>
        <w:tc>
          <w:tcPr>
            <w:tcW w:w="50" w:type="pct"/>
            <w:vAlign w:val="center"/>
            <w:hideMark/>
          </w:tcPr>
          <w:p w:rsidR="00000000" w:rsidRDefault="00CB61D5">
            <w:pPr>
              <w:jc w:val="both"/>
              <w:rPr>
                <w:rFonts w:eastAsia="Times New Roman"/>
              </w:rPr>
            </w:pPr>
          </w:p>
        </w:tc>
        <w:tc>
          <w:tcPr>
            <w:tcW w:w="33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1554999457"/>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8"/>
            <w:vMerge w:val="restart"/>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vMerge w:val="restart"/>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1554999457"/>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8"/>
            <w:vMerge/>
            <w:vAlign w:val="center"/>
            <w:hideMark/>
          </w:tcPr>
          <w:p w:rsidR="00000000" w:rsidRDefault="00CB61D5">
            <w:pPr>
              <w:rPr>
                <w:rFonts w:eastAsia="Times New Roman"/>
              </w:rPr>
            </w:pPr>
          </w:p>
        </w:tc>
        <w:tc>
          <w:tcPr>
            <w:tcW w:w="0" w:type="auto"/>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55499945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FFFF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Beginning of period</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FFFF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49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Height w:val="12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5499945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Stores relocated</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358556772"/>
        <w:rPr>
          <w:rFonts w:eastAsia="Times New Roman"/>
        </w:rPr>
      </w:pPr>
    </w:p>
    <w:p w:rsidR="00000000" w:rsidRDefault="00CB61D5">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2018 and 2017</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5336"/>
        <w:gridCol w:w="41"/>
        <w:gridCol w:w="36"/>
        <w:gridCol w:w="36"/>
        <w:gridCol w:w="36"/>
        <w:gridCol w:w="38"/>
        <w:gridCol w:w="985"/>
        <w:gridCol w:w="203"/>
        <w:gridCol w:w="37"/>
        <w:gridCol w:w="37"/>
        <w:gridCol w:w="36"/>
        <w:gridCol w:w="37"/>
        <w:gridCol w:w="989"/>
        <w:gridCol w:w="202"/>
        <w:gridCol w:w="36"/>
        <w:gridCol w:w="36"/>
        <w:gridCol w:w="36"/>
        <w:gridCol w:w="36"/>
        <w:gridCol w:w="36"/>
        <w:gridCol w:w="36"/>
      </w:tblGrid>
      <w:tr w:rsidR="00000000">
        <w:trPr>
          <w:gridAfter w:val="6"/>
          <w:divId w:val="1001202759"/>
        </w:trPr>
        <w:tc>
          <w:tcPr>
            <w:tcW w:w="50" w:type="pct"/>
            <w:vAlign w:val="center"/>
            <w:hideMark/>
          </w:tcPr>
          <w:p w:rsidR="00000000" w:rsidRDefault="00CB61D5">
            <w:pPr>
              <w:jc w:val="both"/>
              <w:rPr>
                <w:rFonts w:eastAsia="Times New Roman"/>
              </w:rPr>
            </w:pPr>
          </w:p>
        </w:tc>
        <w:tc>
          <w:tcPr>
            <w:tcW w:w="33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00120275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1001202759"/>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1001202759"/>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001202759"/>
        </w:trPr>
        <w:tc>
          <w:tcPr>
            <w:tcW w:w="0" w:type="auto"/>
            <w:gridSpan w:val="3"/>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125778661"/>
        <w:rPr>
          <w:rFonts w:eastAsia="Times New Roman"/>
        </w:rPr>
      </w:pPr>
    </w:p>
    <w:p w:rsidR="00000000" w:rsidRDefault="00CB61D5">
      <w:pPr>
        <w:jc w:val="center"/>
        <w:divId w:val="1425761921"/>
        <w:rPr>
          <w:rFonts w:eastAsia="Times New Roman"/>
        </w:rPr>
      </w:pPr>
      <w:r>
        <w:rPr>
          <w:rFonts w:eastAsia="Times New Roman"/>
          <w:color w:val="000000"/>
          <w:sz w:val="20"/>
          <w:szCs w:val="20"/>
        </w:rPr>
        <w:t>3</w:t>
      </w:r>
      <w:r>
        <w:rPr>
          <w:rFonts w:eastAsia="Times New Roman"/>
          <w:color w:val="000000"/>
          <w:sz w:val="20"/>
          <w:szCs w:val="20"/>
        </w:rPr>
        <w:t>1</w:t>
      </w:r>
    </w:p>
    <w:p w:rsidR="00000000" w:rsidRDefault="00CB61D5">
      <w:pPr>
        <w:rPr>
          <w:rFonts w:eastAsia="Times New Roman"/>
        </w:rPr>
      </w:pPr>
      <w:r>
        <w:rPr>
          <w:rFonts w:eastAsia="Times New Roman"/>
        </w:rPr>
        <w:pict>
          <v:rect id="_x0000_i1060" style="width:0;height:1.5pt" o:hralign="center" o:hrstd="t" o:hr="t" fillcolor="#a0a0a0" stroked="f"/>
        </w:pict>
      </w:r>
    </w:p>
    <w:p w:rsidR="00000000" w:rsidRDefault="00CB61D5">
      <w:pPr>
        <w:divId w:val="1515146267"/>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Gross profit increased 8.4% to $2.70 billion in fiscal 2018 compared to $2.49 billion in fiscal 2017.  As a percent of net sales, gross margin decreased 18 basis points to 34.16% for fiscal 2018 compared to 34.34% for fiscal 2017. The decline in gross marg</w:t>
      </w:r>
      <w:r>
        <w:rPr>
          <w:rFonts w:eastAsia="Times New Roman"/>
          <w:color w:val="000000"/>
          <w:sz w:val="20"/>
          <w:szCs w:val="20"/>
        </w:rPr>
        <w:t>in resulted primarily from an increase in freight expense driven by higher carrier rates and increased diesel fuel prices as well as a negative impact from a mix shift of products sold during the fourth quarter, partially offset by strength in the Company’</w:t>
      </w:r>
      <w:r>
        <w:rPr>
          <w:rFonts w:eastAsia="Times New Roman"/>
          <w:color w:val="000000"/>
          <w:sz w:val="20"/>
          <w:szCs w:val="20"/>
        </w:rPr>
        <w:t>s price management program and strong sell through of seasonal merchandise throughout the year.</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Total SG&amp;A expenses, including depreciation and amortization, increased 10.8% to $2.00 billion in fiscal 2018 from $1.81 billion in fiscal 2017.  SG&amp;A expens</w:t>
      </w:r>
      <w:r>
        <w:rPr>
          <w:rFonts w:eastAsia="Times New Roman"/>
          <w:color w:val="000000"/>
          <w:sz w:val="20"/>
          <w:szCs w:val="20"/>
        </w:rPr>
        <w:t>es, as a percent of net sales, increased 41 basis points to 25.29% in fiscal 2018 from 24.88% in fiscal 2017.  SG&amp;A expenses increased as a percentage of net sales due principally to higher incentive compensation from the strong year-over-year growth in co</w:t>
      </w:r>
      <w:r>
        <w:rPr>
          <w:rFonts w:eastAsia="Times New Roman"/>
          <w:color w:val="000000"/>
          <w:sz w:val="20"/>
          <w:szCs w:val="20"/>
        </w:rPr>
        <w:t>mparable store sales, along with planned investments in infrastructure, technology, and team member wages at both the stores and distribution centers, to support the Company’s long-term strategic growth initiatives. These SG&amp;A increases as a percent of net</w:t>
      </w:r>
      <w:r>
        <w:rPr>
          <w:rFonts w:eastAsia="Times New Roman"/>
          <w:color w:val="000000"/>
          <w:sz w:val="20"/>
          <w:szCs w:val="20"/>
        </w:rPr>
        <w:t xml:space="preserve"> sales were partially offset by leverage in occupancy and other costs from the increase in comparable store sales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Our effective income tax rate decreased to 22.1% for fiscal 2018 compared to 37.2% in fiscal 2017. The decrease in the effective income tax rate was primarily related to the U.S. Tax Cuts and Jobs Act (the “TCJA”) that was signed into law in December 2017 </w:t>
      </w:r>
      <w:r>
        <w:rPr>
          <w:rFonts w:eastAsia="Times New Roman"/>
          <w:color w:val="000000"/>
          <w:sz w:val="20"/>
          <w:szCs w:val="20"/>
        </w:rPr>
        <w:t>which made broad and complex changes to the U.S. tax code including, but not limited to, a reduction of the federal income tax rate from 35% to 21% for years beginning after December 31, 2017. To a lesser extent, the effective income tax rate in fiscal 201</w:t>
      </w:r>
      <w:r>
        <w:rPr>
          <w:rFonts w:eastAsia="Times New Roman"/>
          <w:color w:val="000000"/>
          <w:sz w:val="20"/>
          <w:szCs w:val="20"/>
        </w:rPr>
        <w:t>8 also incrementally benefited from state investment credits and share-based compensation. The tax legislation also increased the effective income tax rate in fiscal 2017 due to the revaluation of the Company’s existing deferred tax balances at the lower f</w:t>
      </w:r>
      <w:r>
        <w:rPr>
          <w:rFonts w:eastAsia="Times New Roman"/>
          <w:color w:val="000000"/>
          <w:sz w:val="20"/>
          <w:szCs w:val="20"/>
        </w:rPr>
        <w:t>ederal income tax rate.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Net income in fiscal 2018 was $532.4 million, or $4.31 per diluted share, compared to $422.6 million, or $3.30 per diluted share, in fiscal 2017. Excluding the impact of the revaluation of the Company’s net deferred tax asset in </w:t>
      </w:r>
      <w:r>
        <w:rPr>
          <w:rFonts w:eastAsia="Times New Roman"/>
          <w:color w:val="000000"/>
          <w:sz w:val="20"/>
          <w:szCs w:val="20"/>
        </w:rPr>
        <w:t>fiscal 2017 resulting in a one-time, non-cash charge of approximately $4.9 million, or $0.03 per diluted share, adjusted net income for fiscal 2017 was $427.5 million, or $3.33 per diluted share. Adjusted net income is a non-GAAP measure which has been pro</w:t>
      </w:r>
      <w:r>
        <w:rPr>
          <w:rFonts w:eastAsia="Times New Roman"/>
          <w:color w:val="000000"/>
          <w:sz w:val="20"/>
          <w:szCs w:val="20"/>
        </w:rPr>
        <w:t>vided in order to enhance comparability for the periods presented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During fiscal 2018, we repurchased approximately 5.0 million shares of the Company’s common stock at a total cost of $349.8 million as part of our share repurchase program.  In fiscal 201</w:t>
      </w:r>
      <w:r>
        <w:rPr>
          <w:rFonts w:eastAsia="Times New Roman"/>
          <w:color w:val="000000"/>
          <w:sz w:val="20"/>
          <w:szCs w:val="20"/>
        </w:rPr>
        <w:t>7, we repurchased approximately 5.9 million shares at a total cost of $369.4 million</w:t>
      </w:r>
      <w:r>
        <w:rPr>
          <w:rFonts w:eastAsia="Times New Roman"/>
          <w:color w:val="000000"/>
          <w:sz w:val="20"/>
          <w:szCs w:val="20"/>
        </w:rPr>
        <w:t>.</w:t>
      </w:r>
    </w:p>
    <w:p w:rsidR="00000000" w:rsidRDefault="00CB61D5">
      <w:pPr>
        <w:divId w:val="651132282"/>
        <w:rPr>
          <w:rFonts w:eastAsia="Times New Roman"/>
        </w:rPr>
      </w:pPr>
    </w:p>
    <w:p w:rsidR="00000000" w:rsidRDefault="00CB61D5">
      <w:pPr>
        <w:jc w:val="both"/>
        <w:rPr>
          <w:rFonts w:eastAsia="Times New Roman"/>
        </w:rPr>
      </w:pPr>
      <w:r>
        <w:rPr>
          <w:rFonts w:eastAsia="Times New Roman"/>
          <w:b/>
          <w:bCs/>
          <w:color w:val="000000"/>
          <w:sz w:val="22"/>
          <w:szCs w:val="22"/>
        </w:rPr>
        <w:t>Liquidity and Capital Resource</w:t>
      </w:r>
      <w:r>
        <w:rPr>
          <w:rFonts w:eastAsia="Times New Roman"/>
          <w:b/>
          <w:bCs/>
          <w:color w:val="000000"/>
          <w:sz w:val="22"/>
          <w:szCs w:val="22"/>
        </w:rPr>
        <w:t>s</w:t>
      </w:r>
    </w:p>
    <w:p w:rsidR="00000000" w:rsidRDefault="00CB61D5">
      <w:pPr>
        <w:jc w:val="both"/>
        <w:rPr>
          <w:rFonts w:eastAsia="Times New Roman"/>
        </w:rPr>
      </w:pPr>
      <w:r>
        <w:rPr>
          <w:rFonts w:eastAsia="Times New Roman"/>
          <w:color w:val="000000"/>
          <w:sz w:val="20"/>
          <w:szCs w:val="20"/>
        </w:rPr>
        <w:t> </w:t>
      </w:r>
    </w:p>
    <w:p w:rsidR="00000000" w:rsidRDefault="00CB61D5">
      <w:pPr>
        <w:jc w:val="both"/>
        <w:rPr>
          <w:rFonts w:eastAsia="Times New Roman"/>
        </w:rPr>
      </w:pPr>
      <w:r>
        <w:rPr>
          <w:rFonts w:eastAsia="Times New Roman"/>
          <w:color w:val="000000"/>
          <w:sz w:val="20"/>
          <w:szCs w:val="20"/>
        </w:rPr>
        <w:t>In addition to normal operating expenses, our primary ongoing cash requirements are for new store expansion, remodeling and relocation</w:t>
      </w:r>
      <w:r>
        <w:rPr>
          <w:rFonts w:eastAsia="Times New Roman"/>
          <w:color w:val="000000"/>
          <w:sz w:val="20"/>
          <w:szCs w:val="20"/>
        </w:rPr>
        <w:t xml:space="preserve"> programs, distribution facility capacity and improvements, information technology, inventory purchases, repayment of existing borrowings under our debt facilities, share repurchases, cash dividends, and selective acquisitions as opportunities arise. </w:t>
      </w:r>
      <w:r>
        <w:rPr>
          <w:rFonts w:eastAsia="Times New Roman"/>
          <w:color w:val="000000"/>
          <w:sz w:val="20"/>
          <w:szCs w:val="20"/>
        </w:rPr>
        <w:t> </w:t>
      </w:r>
    </w:p>
    <w:p w:rsidR="00000000" w:rsidRDefault="00CB61D5">
      <w:pPr>
        <w:divId w:val="1411343442"/>
        <w:rPr>
          <w:rFonts w:eastAsia="Times New Roman"/>
        </w:rPr>
      </w:pPr>
    </w:p>
    <w:p w:rsidR="00000000" w:rsidRDefault="00CB61D5">
      <w:pPr>
        <w:jc w:val="both"/>
        <w:rPr>
          <w:rFonts w:eastAsia="Times New Roman"/>
        </w:rPr>
      </w:pPr>
      <w:r>
        <w:rPr>
          <w:rFonts w:eastAsia="Times New Roman"/>
          <w:color w:val="000000"/>
          <w:sz w:val="20"/>
          <w:szCs w:val="20"/>
        </w:rPr>
        <w:t>O</w:t>
      </w:r>
      <w:r>
        <w:rPr>
          <w:rFonts w:eastAsia="Times New Roman"/>
          <w:color w:val="000000"/>
          <w:sz w:val="20"/>
          <w:szCs w:val="20"/>
        </w:rPr>
        <w:t>ur primary ongoing sources of liquidity are existing cash balances, cash provided from operations, remaining funds available under our debt facilities, operating and finance leases, and normal trade credit.  Our inventory and accounts payable levels typica</w:t>
      </w:r>
      <w:r>
        <w:rPr>
          <w:rFonts w:eastAsia="Times New Roman"/>
          <w:color w:val="000000"/>
          <w:sz w:val="20"/>
          <w:szCs w:val="20"/>
        </w:rPr>
        <w:t>lly build in the first and third fiscal quarters to support the higher sales volume of the spring and cold-weather selling seasons, respectively</w:t>
      </w:r>
      <w:r>
        <w:rPr>
          <w:rFonts w:eastAsia="Times New Roman"/>
          <w:color w:val="000000"/>
          <w:sz w:val="20"/>
          <w:szCs w:val="20"/>
        </w:rPr>
        <w:t>.</w:t>
      </w:r>
    </w:p>
    <w:p w:rsidR="00000000" w:rsidRDefault="00CB61D5">
      <w:pPr>
        <w:divId w:val="904489655"/>
        <w:rPr>
          <w:rFonts w:eastAsia="Times New Roman"/>
        </w:rPr>
      </w:pPr>
    </w:p>
    <w:p w:rsidR="00000000" w:rsidRDefault="00CB61D5">
      <w:pPr>
        <w:jc w:val="both"/>
        <w:rPr>
          <w:rFonts w:eastAsia="Times New Roman"/>
        </w:rPr>
      </w:pPr>
      <w:r>
        <w:rPr>
          <w:rFonts w:eastAsia="Times New Roman"/>
          <w:color w:val="000000"/>
          <w:sz w:val="20"/>
          <w:szCs w:val="20"/>
        </w:rPr>
        <w:t>We believe that our existing cash balances, expected cash flow from future operations, funds available under</w:t>
      </w:r>
      <w:r>
        <w:rPr>
          <w:rFonts w:eastAsia="Times New Roman"/>
          <w:color w:val="000000"/>
          <w:sz w:val="20"/>
          <w:szCs w:val="20"/>
        </w:rPr>
        <w:t xml:space="preserve"> our debt facilities, operating and finance leases, and normal trade credit will be sufficient to fund our operations and our capital expenditure needs, including new store openings, store acquisitions, relocations and renovations, and distribution facilit</w:t>
      </w:r>
      <w:r>
        <w:rPr>
          <w:rFonts w:eastAsia="Times New Roman"/>
          <w:color w:val="000000"/>
          <w:sz w:val="20"/>
          <w:szCs w:val="20"/>
        </w:rPr>
        <w:t>y capacity, through the end of fiscal 2020</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233128586"/>
        <w:rPr>
          <w:rFonts w:eastAsia="Times New Roman"/>
        </w:rPr>
      </w:pPr>
      <w:r>
        <w:rPr>
          <w:rFonts w:eastAsia="Times New Roman"/>
          <w:color w:val="000000"/>
          <w:sz w:val="20"/>
          <w:szCs w:val="20"/>
        </w:rPr>
        <w:t>3</w:t>
      </w:r>
      <w:r>
        <w:rPr>
          <w:rFonts w:eastAsia="Times New Roman"/>
          <w:color w:val="000000"/>
          <w:sz w:val="20"/>
          <w:szCs w:val="20"/>
        </w:rPr>
        <w:t>2</w:t>
      </w:r>
    </w:p>
    <w:p w:rsidR="00000000" w:rsidRDefault="00CB61D5">
      <w:pPr>
        <w:rPr>
          <w:rFonts w:eastAsia="Times New Roman"/>
        </w:rPr>
      </w:pPr>
      <w:r>
        <w:rPr>
          <w:rFonts w:eastAsia="Times New Roman"/>
        </w:rPr>
        <w:pict>
          <v:rect id="_x0000_i1061" style="width:0;height:1.5pt" o:hralign="center" o:hrstd="t" o:hr="t" fillcolor="#a0a0a0" stroked="f"/>
        </w:pict>
      </w:r>
    </w:p>
    <w:p w:rsidR="00000000" w:rsidRDefault="00CB61D5">
      <w:pPr>
        <w:divId w:val="1613321999"/>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Working Capita</w:t>
      </w:r>
      <w:r>
        <w:rPr>
          <w:rFonts w:eastAsia="Times New Roman"/>
          <w:b/>
          <w:bCs/>
          <w:color w:val="000000"/>
          <w:sz w:val="20"/>
          <w:szCs w:val="20"/>
        </w:rPr>
        <w:t>l</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At December 28, 2019, the Company had working capital of $540.3 million, which decreased $316.0 million from 2018.  Th</w:t>
      </w:r>
      <w:r>
        <w:rPr>
          <w:rFonts w:eastAsia="Times New Roman"/>
          <w:color w:val="000000"/>
          <w:sz w:val="20"/>
          <w:szCs w:val="20"/>
        </w:rPr>
        <w:t>e shifts in working capital were attributable to changes in the following components of current assets and current liabilities (in millions)</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46"/>
        <w:gridCol w:w="4454"/>
        <w:gridCol w:w="46"/>
        <w:gridCol w:w="136"/>
        <w:gridCol w:w="929"/>
        <w:gridCol w:w="85"/>
        <w:gridCol w:w="36"/>
        <w:gridCol w:w="36"/>
        <w:gridCol w:w="36"/>
        <w:gridCol w:w="136"/>
        <w:gridCol w:w="903"/>
        <w:gridCol w:w="85"/>
        <w:gridCol w:w="36"/>
        <w:gridCol w:w="36"/>
        <w:gridCol w:w="36"/>
        <w:gridCol w:w="135"/>
        <w:gridCol w:w="904"/>
        <w:gridCol w:w="85"/>
      </w:tblGrid>
      <w:tr w:rsidR="00000000">
        <w:trPr>
          <w:divId w:val="212888283"/>
        </w:trPr>
        <w:tc>
          <w:tcPr>
            <w:tcW w:w="50" w:type="pct"/>
            <w:vAlign w:val="center"/>
            <w:hideMark/>
          </w:tcPr>
          <w:p w:rsidR="00000000" w:rsidRDefault="00CB61D5">
            <w:pPr>
              <w:jc w:val="both"/>
              <w:rPr>
                <w:rFonts w:eastAsia="Times New Roman"/>
              </w:rPr>
            </w:pPr>
          </w:p>
        </w:tc>
        <w:tc>
          <w:tcPr>
            <w:tcW w:w="274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7"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7"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9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1288828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 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trPr>
          <w:divId w:val="21288828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Current 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12888283"/>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1,589.5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12888283"/>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1,787.9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1,794.4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finance lease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operating lease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1288828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12888283"/>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Working capita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856.3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(316.0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comparison to December 29, 2018, working capital as of December </w:t>
      </w:r>
      <w:r>
        <w:rPr>
          <w:rFonts w:eastAsia="Times New Roman"/>
          <w:color w:val="000000"/>
          <w:sz w:val="20"/>
          <w:szCs w:val="20"/>
        </w:rPr>
        <w:t>28, 2019 was impacted most significantly by the change in operating lease liabilities due to the adoption of the new lease accounting standard under ASC 842. No other changes in our working capital were significant as increases in inventory for new store g</w:t>
      </w:r>
      <w:r>
        <w:rPr>
          <w:rFonts w:eastAsia="Times New Roman"/>
          <w:color w:val="000000"/>
          <w:sz w:val="20"/>
          <w:szCs w:val="20"/>
        </w:rPr>
        <w:t>rowth were offset by a slight reduction in average inventory per store.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Deb</w:t>
      </w:r>
      <w:r>
        <w:rPr>
          <w:rFonts w:eastAsia="Times New Roman"/>
          <w:b/>
          <w:bCs/>
          <w:color w:val="000000"/>
          <w:sz w:val="20"/>
          <w:szCs w:val="20"/>
        </w:rPr>
        <w:t>t</w:t>
      </w:r>
    </w:p>
    <w:p w:rsidR="00000000" w:rsidRDefault="00CB61D5">
      <w:pPr>
        <w:divId w:val="119883875"/>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Company’s outstanding debt as of the dates indicated (in millions)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5497"/>
        <w:gridCol w:w="50"/>
        <w:gridCol w:w="36"/>
        <w:gridCol w:w="36"/>
        <w:gridCol w:w="36"/>
        <w:gridCol w:w="136"/>
        <w:gridCol w:w="983"/>
        <w:gridCol w:w="85"/>
        <w:gridCol w:w="36"/>
        <w:gridCol w:w="36"/>
        <w:gridCol w:w="36"/>
        <w:gridCol w:w="136"/>
        <w:gridCol w:w="983"/>
        <w:gridCol w:w="85"/>
        <w:gridCol w:w="36"/>
        <w:gridCol w:w="36"/>
      </w:tblGrid>
      <w:tr w:rsidR="00000000">
        <w:trPr>
          <w:divId w:val="405498727"/>
          <w:jc w:val="center"/>
        </w:trPr>
        <w:tc>
          <w:tcPr>
            <w:tcW w:w="50" w:type="pct"/>
            <w:vAlign w:val="center"/>
            <w:hideMark/>
          </w:tcPr>
          <w:p w:rsidR="00000000" w:rsidRDefault="00CB61D5">
            <w:pPr>
              <w:jc w:val="both"/>
              <w:rPr>
                <w:rFonts w:eastAsia="Times New Roman"/>
              </w:rPr>
            </w:pPr>
          </w:p>
        </w:tc>
        <w:tc>
          <w:tcPr>
            <w:tcW w:w="336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w:t>
            </w:r>
            <w:r>
              <w:rPr>
                <w:rFonts w:eastAsia="Times New Roman"/>
                <w:b/>
                <w:bCs/>
                <w:color w:val="000000"/>
                <w:sz w:val="20"/>
                <w:szCs w:val="20"/>
              </w:rPr>
              <w:br/>
              <w:t>201</w:t>
            </w:r>
            <w:r>
              <w:rPr>
                <w:rFonts w:eastAsia="Times New Roman"/>
                <w:b/>
                <w:bCs/>
                <w:color w:val="000000"/>
                <w:sz w:val="20"/>
                <w:szCs w:val="20"/>
              </w:rPr>
              <w:t>8</w:t>
            </w:r>
          </w:p>
        </w:tc>
        <w:tc>
          <w:tcPr>
            <w:tcW w:w="0" w:type="auto"/>
            <w:vAlign w:val="center"/>
            <w:hideMark/>
          </w:tcPr>
          <w:p w:rsidR="00000000" w:rsidRDefault="00CB61D5">
            <w:pPr>
              <w:jc w:val="center"/>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405498727"/>
          <w:trHeight w:val="120"/>
          <w:jc w:val="center"/>
        </w:trPr>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49872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For additional information about the Company’s debt and credit facilities, refer to Note 4 to the Consolidated Financial Statements. As further described in Note 5 to the Consolidated Financial Statements, the Company has entered into interest rate swap ag</w:t>
      </w:r>
      <w:r>
        <w:rPr>
          <w:rFonts w:eastAsia="Times New Roman"/>
          <w:color w:val="000000"/>
          <w:sz w:val="20"/>
          <w:szCs w:val="20"/>
        </w:rPr>
        <w:t>reements in order to hedge our exposure to variable rate interest payments associated with each of the term loans under the Senior Credit Facility.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05776573"/>
        <w:rPr>
          <w:rFonts w:eastAsia="Times New Roman"/>
        </w:rPr>
      </w:pPr>
      <w:r>
        <w:rPr>
          <w:rFonts w:eastAsia="Times New Roman"/>
          <w:color w:val="000000"/>
          <w:sz w:val="20"/>
          <w:szCs w:val="20"/>
        </w:rPr>
        <w:t>3</w:t>
      </w:r>
      <w:r>
        <w:rPr>
          <w:rFonts w:eastAsia="Times New Roman"/>
          <w:color w:val="000000"/>
          <w:sz w:val="20"/>
          <w:szCs w:val="20"/>
        </w:rPr>
        <w:t>3</w:t>
      </w:r>
    </w:p>
    <w:p w:rsidR="00000000" w:rsidRDefault="00CB61D5">
      <w:pPr>
        <w:rPr>
          <w:rFonts w:eastAsia="Times New Roman"/>
        </w:rPr>
      </w:pPr>
      <w:r>
        <w:rPr>
          <w:rFonts w:eastAsia="Times New Roman"/>
        </w:rPr>
        <w:pict>
          <v:rect id="_x0000_i1062" style="width:0;height:1.5pt" o:hralign="center" o:hrstd="t" o:hr="t" fillcolor="#a0a0a0" stroked="f"/>
        </w:pict>
      </w:r>
    </w:p>
    <w:p w:rsidR="00000000" w:rsidRDefault="00CB61D5">
      <w:pPr>
        <w:divId w:val="2067871016"/>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Sources and Uses of Cas</w:t>
      </w:r>
      <w:r>
        <w:rPr>
          <w:rFonts w:eastAsia="Times New Roman"/>
          <w:b/>
          <w:bCs/>
          <w:color w:val="000000"/>
          <w:sz w:val="20"/>
          <w:szCs w:val="20"/>
        </w:rPr>
        <w:t>h</w:t>
      </w:r>
    </w:p>
    <w:p w:rsidR="00000000" w:rsidRDefault="00CB61D5">
      <w:pPr>
        <w:divId w:val="447242917"/>
        <w:rPr>
          <w:rFonts w:eastAsia="Times New Roman"/>
        </w:rPr>
      </w:pPr>
    </w:p>
    <w:p w:rsidR="00000000" w:rsidRDefault="00CB61D5">
      <w:pPr>
        <w:jc w:val="both"/>
        <w:rPr>
          <w:rFonts w:eastAsia="Times New Roman"/>
        </w:rPr>
      </w:pPr>
      <w:r>
        <w:rPr>
          <w:rFonts w:eastAsia="Times New Roman"/>
          <w:color w:val="000000"/>
          <w:sz w:val="20"/>
          <w:szCs w:val="20"/>
        </w:rPr>
        <w:t>Our p</w:t>
      </w:r>
      <w:r>
        <w:rPr>
          <w:rFonts w:eastAsia="Times New Roman"/>
          <w:color w:val="000000"/>
          <w:sz w:val="20"/>
          <w:szCs w:val="20"/>
        </w:rPr>
        <w:t>rimary source of liquidity is cash provided by operations and funds available under our debt facilities.  Principal uses of cash for investing activities are capital expenditures while principal uses of cash for financing activities are repurchase of the C</w:t>
      </w:r>
      <w:r>
        <w:rPr>
          <w:rFonts w:eastAsia="Times New Roman"/>
          <w:color w:val="000000"/>
          <w:sz w:val="20"/>
          <w:szCs w:val="20"/>
        </w:rPr>
        <w:t>ompany’s common stock and cash dividends paid to stockholders. </w:t>
      </w:r>
      <w:r>
        <w:rPr>
          <w:rFonts w:eastAsia="Times New Roman"/>
          <w:color w:val="000000"/>
          <w:sz w:val="20"/>
          <w:szCs w:val="20"/>
        </w:rPr>
        <w:t>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presents a summary of cash flows provided by or used in operating, investing, and financing activities for fiscal years 2019, 2018, and 2017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0"/>
        <w:gridCol w:w="3409"/>
        <w:gridCol w:w="40"/>
        <w:gridCol w:w="135"/>
        <w:gridCol w:w="1186"/>
        <w:gridCol w:w="85"/>
        <w:gridCol w:w="36"/>
        <w:gridCol w:w="36"/>
        <w:gridCol w:w="36"/>
        <w:gridCol w:w="135"/>
        <w:gridCol w:w="1155"/>
        <w:gridCol w:w="85"/>
        <w:gridCol w:w="36"/>
        <w:gridCol w:w="36"/>
        <w:gridCol w:w="36"/>
        <w:gridCol w:w="135"/>
        <w:gridCol w:w="1155"/>
        <w:gridCol w:w="85"/>
        <w:gridCol w:w="36"/>
        <w:gridCol w:w="36"/>
        <w:gridCol w:w="36"/>
        <w:gridCol w:w="36"/>
        <w:gridCol w:w="36"/>
        <w:gridCol w:w="36"/>
        <w:gridCol w:w="36"/>
        <w:gridCol w:w="36"/>
        <w:gridCol w:w="36"/>
        <w:gridCol w:w="36"/>
        <w:gridCol w:w="36"/>
        <w:gridCol w:w="36"/>
      </w:tblGrid>
      <w:tr w:rsidR="00000000">
        <w:trPr>
          <w:gridAfter w:val="12"/>
          <w:divId w:val="1571774303"/>
        </w:trPr>
        <w:tc>
          <w:tcPr>
            <w:tcW w:w="50" w:type="pct"/>
            <w:vAlign w:val="center"/>
            <w:hideMark/>
          </w:tcPr>
          <w:p w:rsidR="00000000" w:rsidRDefault="00CB61D5">
            <w:pPr>
              <w:jc w:val="both"/>
              <w:rPr>
                <w:rFonts w:eastAsia="Times New Roman"/>
              </w:rPr>
            </w:pPr>
          </w:p>
        </w:tc>
        <w:tc>
          <w:tcPr>
            <w:tcW w:w="21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571774303"/>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57177430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71774303"/>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7177430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811.7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694.4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7177430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(215.0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(276.3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(238.0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7177430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(338.3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71774303"/>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(decrease) increase in cash and cash equivalent</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(22.8</w:t>
            </w: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55.2</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p>
    <w:p w:rsidR="00000000" w:rsidRDefault="00CB61D5">
      <w:pPr>
        <w:jc w:val="both"/>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p w:rsidR="00000000" w:rsidRDefault="00CB61D5">
      <w:pPr>
        <w:divId w:val="1844733635"/>
        <w:rPr>
          <w:rFonts w:eastAsia="Times New Roman"/>
        </w:rPr>
      </w:pPr>
    </w:p>
    <w:p w:rsidR="00000000" w:rsidRDefault="00CB61D5">
      <w:pPr>
        <w:jc w:val="both"/>
        <w:rPr>
          <w:rFonts w:eastAsia="Times New Roman"/>
        </w:rPr>
      </w:pPr>
      <w:r>
        <w:rPr>
          <w:rFonts w:eastAsia="Times New Roman"/>
          <w:color w:val="000000"/>
          <w:sz w:val="20"/>
          <w:szCs w:val="20"/>
        </w:rPr>
        <w:t>Operating activities provided net cash of $811.7 million, $694.4 million, and $631.5 million in fiscal 2019, 2018, and 2017, respectively. The $117.3 million increase in net cash provided by operating activities in fiscal 2019, compared to fiscal 2018, was</w:t>
      </w:r>
      <w:r>
        <w:rPr>
          <w:rFonts w:eastAsia="Times New Roman"/>
          <w:color w:val="000000"/>
          <w:sz w:val="20"/>
          <w:szCs w:val="20"/>
        </w:rPr>
        <w:t xml:space="preserve"> due to changes in the following (in millions):</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9"/>
        <w:gridCol w:w="3053"/>
        <w:gridCol w:w="37"/>
        <w:gridCol w:w="135"/>
        <w:gridCol w:w="1033"/>
        <w:gridCol w:w="85"/>
        <w:gridCol w:w="36"/>
        <w:gridCol w:w="36"/>
        <w:gridCol w:w="36"/>
        <w:gridCol w:w="135"/>
        <w:gridCol w:w="1056"/>
        <w:gridCol w:w="85"/>
        <w:gridCol w:w="36"/>
        <w:gridCol w:w="36"/>
        <w:gridCol w:w="36"/>
        <w:gridCol w:w="135"/>
        <w:gridCol w:w="1056"/>
        <w:gridCol w:w="85"/>
        <w:gridCol w:w="36"/>
        <w:gridCol w:w="36"/>
        <w:gridCol w:w="36"/>
        <w:gridCol w:w="273"/>
        <w:gridCol w:w="273"/>
        <w:gridCol w:w="273"/>
        <w:gridCol w:w="36"/>
        <w:gridCol w:w="36"/>
        <w:gridCol w:w="36"/>
        <w:gridCol w:w="36"/>
        <w:gridCol w:w="36"/>
        <w:gridCol w:w="36"/>
      </w:tblGrid>
      <w:tr w:rsidR="00000000">
        <w:trPr>
          <w:gridAfter w:val="12"/>
          <w:divId w:val="1521431140"/>
        </w:trPr>
        <w:tc>
          <w:tcPr>
            <w:tcW w:w="50" w:type="pct"/>
            <w:vAlign w:val="center"/>
            <w:hideMark/>
          </w:tcPr>
          <w:p w:rsidR="00000000" w:rsidRDefault="00CB61D5">
            <w:pPr>
              <w:jc w:val="both"/>
              <w:rPr>
                <w:rFonts w:eastAsia="Times New Roman"/>
              </w:rPr>
            </w:pPr>
          </w:p>
        </w:tc>
        <w:tc>
          <w:tcPr>
            <w:tcW w:w="21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6"/>
          <w:divId w:val="1521431140"/>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trPr>
          <w:divId w:val="1521431140"/>
          <w:trHeight w:val="120"/>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9"/>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52143114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Inventories and 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21431140"/>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694.4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072968977"/>
        <w:rPr>
          <w:rFonts w:eastAsia="Times New Roman"/>
        </w:rPr>
      </w:pPr>
    </w:p>
    <w:p w:rsidR="00000000" w:rsidRDefault="00CB61D5">
      <w:pPr>
        <w:jc w:val="both"/>
        <w:rPr>
          <w:rFonts w:eastAsia="Times New Roman"/>
        </w:rPr>
      </w:pPr>
      <w:r>
        <w:rPr>
          <w:rFonts w:eastAsia="Times New Roman"/>
          <w:color w:val="000000"/>
          <w:sz w:val="20"/>
          <w:szCs w:val="20"/>
        </w:rPr>
        <w:t>The $117.3 million increase in net cash provided by operating activities in fiscal 2019, compared to fiscal 2018, is primarily driven by the fluctuation in our inventory, net of accounts payable, as a result of a slight decrease in our average inventory pe</w:t>
      </w:r>
      <w:r>
        <w:rPr>
          <w:rFonts w:eastAsia="Times New Roman"/>
          <w:color w:val="000000"/>
          <w:sz w:val="20"/>
          <w:szCs w:val="20"/>
        </w:rPr>
        <w:t>r store based on selling trends year-over-year. The increase in net cash provided by operating activities was also affected to a lesser extent by incremental profitability from Company growth and the net impact of changes in our operating assets and liabil</w:t>
      </w:r>
      <w:r>
        <w:rPr>
          <w:rFonts w:eastAsia="Times New Roman"/>
          <w:color w:val="000000"/>
          <w:sz w:val="20"/>
          <w:szCs w:val="20"/>
        </w:rPr>
        <w:t>ities which fluctuated due primarily to the timing of payments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p>
    <w:p w:rsidR="00000000" w:rsidRDefault="00CB61D5">
      <w:pPr>
        <w:jc w:val="center"/>
        <w:divId w:val="1989632847"/>
        <w:rPr>
          <w:rFonts w:eastAsia="Times New Roman"/>
        </w:rPr>
      </w:pPr>
      <w:r>
        <w:rPr>
          <w:rFonts w:eastAsia="Times New Roman"/>
          <w:color w:val="000000"/>
          <w:sz w:val="20"/>
          <w:szCs w:val="20"/>
        </w:rPr>
        <w:t>3</w:t>
      </w:r>
      <w:r>
        <w:rPr>
          <w:rFonts w:eastAsia="Times New Roman"/>
          <w:color w:val="000000"/>
          <w:sz w:val="20"/>
          <w:szCs w:val="20"/>
        </w:rPr>
        <w:t>4</w:t>
      </w:r>
    </w:p>
    <w:p w:rsidR="00000000" w:rsidRDefault="00CB61D5">
      <w:pPr>
        <w:rPr>
          <w:rFonts w:eastAsia="Times New Roman"/>
        </w:rPr>
      </w:pPr>
      <w:r>
        <w:rPr>
          <w:rFonts w:eastAsia="Times New Roman"/>
        </w:rPr>
        <w:pict>
          <v:rect id="_x0000_i1063" style="width:0;height:1.5pt" o:hralign="center" o:hrstd="t" o:hr="t" fillcolor="#a0a0a0" stroked="f"/>
        </w:pict>
      </w:r>
    </w:p>
    <w:p w:rsidR="00000000" w:rsidRDefault="00CB61D5">
      <w:pPr>
        <w:divId w:val="25783724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$62.9 million increase in net cash provided by operating activities in fiscal 2018, as compared to fiscal 2017, was due to changes in the following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3"/>
        <w:gridCol w:w="37"/>
        <w:gridCol w:w="135"/>
        <w:gridCol w:w="1033"/>
        <w:gridCol w:w="85"/>
        <w:gridCol w:w="36"/>
        <w:gridCol w:w="36"/>
        <w:gridCol w:w="36"/>
        <w:gridCol w:w="135"/>
        <w:gridCol w:w="1056"/>
        <w:gridCol w:w="85"/>
        <w:gridCol w:w="36"/>
        <w:gridCol w:w="36"/>
        <w:gridCol w:w="36"/>
        <w:gridCol w:w="135"/>
        <w:gridCol w:w="1056"/>
        <w:gridCol w:w="85"/>
        <w:gridCol w:w="36"/>
        <w:gridCol w:w="36"/>
        <w:gridCol w:w="36"/>
        <w:gridCol w:w="273"/>
        <w:gridCol w:w="273"/>
        <w:gridCol w:w="273"/>
        <w:gridCol w:w="36"/>
        <w:gridCol w:w="36"/>
        <w:gridCol w:w="36"/>
        <w:gridCol w:w="36"/>
        <w:gridCol w:w="36"/>
        <w:gridCol w:w="36"/>
      </w:tblGrid>
      <w:tr w:rsidR="00000000">
        <w:trPr>
          <w:gridAfter w:val="12"/>
          <w:divId w:val="1371609247"/>
        </w:trPr>
        <w:tc>
          <w:tcPr>
            <w:tcW w:w="50" w:type="pct"/>
            <w:vAlign w:val="center"/>
            <w:hideMark/>
          </w:tcPr>
          <w:p w:rsidR="00000000" w:rsidRDefault="00CB61D5">
            <w:pPr>
              <w:jc w:val="both"/>
              <w:rPr>
                <w:rFonts w:eastAsia="Times New Roman"/>
              </w:rPr>
            </w:pPr>
          </w:p>
        </w:tc>
        <w:tc>
          <w:tcPr>
            <w:tcW w:w="21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7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6"/>
          <w:divId w:val="1371609247"/>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trPr>
          <w:divId w:val="1371609247"/>
          <w:trHeight w:val="120"/>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9"/>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37160924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Inventories and 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(66.4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71609247"/>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694.4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p>
    <w:p w:rsidR="00000000" w:rsidRDefault="00CB61D5">
      <w:pPr>
        <w:jc w:val="both"/>
        <w:rPr>
          <w:rFonts w:eastAsia="Times New Roman"/>
        </w:rPr>
      </w:pPr>
      <w:r>
        <w:rPr>
          <w:rFonts w:eastAsia="Times New Roman"/>
          <w:color w:val="000000"/>
          <w:sz w:val="20"/>
          <w:szCs w:val="20"/>
        </w:rPr>
        <w:t>The $62.9 million increase in net cash provided by operating activities in fiscal 2018, compared with fiscal 2017, primarily reflects incremental profitability, partially offset by the increase in inventory, net of accounts payable, to support new store gr</w:t>
      </w:r>
      <w:r>
        <w:rPr>
          <w:rFonts w:eastAsia="Times New Roman"/>
          <w:color w:val="000000"/>
          <w:sz w:val="20"/>
          <w:szCs w:val="20"/>
        </w:rPr>
        <w:t>owth and the net impact of changes in our operating assets and liabilities which fluctuated due primarily to new store growth and the timing of payments.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p w:rsidR="00000000" w:rsidRDefault="00CB61D5">
      <w:pPr>
        <w:divId w:val="200476785"/>
        <w:rPr>
          <w:rFonts w:eastAsia="Times New Roman"/>
        </w:rPr>
      </w:pPr>
    </w:p>
    <w:p w:rsidR="00000000" w:rsidRDefault="00CB61D5">
      <w:pPr>
        <w:jc w:val="both"/>
        <w:rPr>
          <w:rFonts w:eastAsia="Times New Roman"/>
        </w:rPr>
      </w:pPr>
      <w:r>
        <w:rPr>
          <w:rFonts w:eastAsia="Times New Roman"/>
          <w:color w:val="000000"/>
          <w:sz w:val="20"/>
          <w:szCs w:val="20"/>
        </w:rPr>
        <w:t>Investing activities used cash of $215.0 million, $276.3 million, and $238.0 million in fiscal 2019, 2018, and 2017, respectively.  Cash flows from investing activities in the years presented are primarily composed of capital expenditures. Capital expendit</w:t>
      </w:r>
      <w:r>
        <w:rPr>
          <w:rFonts w:eastAsia="Times New Roman"/>
          <w:color w:val="000000"/>
          <w:sz w:val="20"/>
          <w:szCs w:val="20"/>
        </w:rPr>
        <w:t>ures for fiscal 2019, 2018, and 2017 were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439"/>
        <w:gridCol w:w="39"/>
        <w:gridCol w:w="135"/>
        <w:gridCol w:w="806"/>
        <w:gridCol w:w="85"/>
        <w:gridCol w:w="36"/>
        <w:gridCol w:w="36"/>
        <w:gridCol w:w="36"/>
        <w:gridCol w:w="135"/>
        <w:gridCol w:w="771"/>
        <w:gridCol w:w="85"/>
        <w:gridCol w:w="36"/>
        <w:gridCol w:w="36"/>
        <w:gridCol w:w="36"/>
        <w:gridCol w:w="135"/>
        <w:gridCol w:w="771"/>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1587036438"/>
        </w:trPr>
        <w:tc>
          <w:tcPr>
            <w:tcW w:w="50" w:type="pct"/>
            <w:vAlign w:val="center"/>
            <w:hideMark/>
          </w:tcPr>
          <w:p w:rsidR="00000000" w:rsidRDefault="00CB61D5">
            <w:pPr>
              <w:jc w:val="both"/>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1587036438"/>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587036438"/>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5870364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Information technolog</w:t>
            </w:r>
            <w:r>
              <w:rPr>
                <w:rFonts w:eastAsia="Times New Roman"/>
                <w:color w:val="000000"/>
                <w:sz w:val="20"/>
                <w:szCs w:val="20"/>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New and relocated stores and stores not yet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Existing store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Distribution center capacity and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587036438"/>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capital expenditure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344094674"/>
        <w:rPr>
          <w:rFonts w:eastAsia="Times New Roman"/>
        </w:rPr>
      </w:pPr>
    </w:p>
    <w:p w:rsidR="00000000" w:rsidRDefault="00CB61D5">
      <w:pPr>
        <w:jc w:val="both"/>
        <w:rPr>
          <w:rFonts w:eastAsia="Times New Roman"/>
        </w:rPr>
      </w:pPr>
      <w:r>
        <w:rPr>
          <w:rFonts w:eastAsia="Times New Roman"/>
          <w:color w:val="000000"/>
          <w:sz w:val="20"/>
          <w:szCs w:val="20"/>
        </w:rPr>
        <w:t>The sustained levels of spending on information technology represents continued support of our store growth and our omni-channel initiatives, as well as improvements in</w:t>
      </w:r>
      <w:r>
        <w:rPr>
          <w:rFonts w:eastAsia="Times New Roman"/>
          <w:color w:val="000000"/>
          <w:sz w:val="20"/>
          <w:szCs w:val="20"/>
        </w:rPr>
        <w:t xml:space="preserve"> security and compliance, enhancements to our customer relationship management program, and other strategic initiatives.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above table reflects an investment in 80 new Tractor Supply stores, eight new Petsense stores, and two store relocations during </w:t>
      </w:r>
      <w:r>
        <w:rPr>
          <w:rFonts w:eastAsia="Times New Roman"/>
          <w:color w:val="000000"/>
          <w:sz w:val="20"/>
          <w:szCs w:val="20"/>
        </w:rPr>
        <w:t>fiscal 2019. In fiscal 2018, we opened 80 new Tractor Supply stores, 18 new Petsense stores, and had four store relocations. In fiscal 2017, we opened 101 new Tractor Supply stores and 25 Petsense stores and had three store relocations.  Spending on existi</w:t>
      </w:r>
      <w:r>
        <w:rPr>
          <w:rFonts w:eastAsia="Times New Roman"/>
          <w:color w:val="000000"/>
          <w:sz w:val="20"/>
          <w:szCs w:val="20"/>
        </w:rPr>
        <w:t>ng stores principally reflects routine refresh activity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Spending for distribution center capacity and improvements decreased in fiscal 2019 compared to fiscal 2018 and 2017 related to the completion of construction of the new northeast distribution cent</w:t>
      </w:r>
      <w:r>
        <w:rPr>
          <w:rFonts w:eastAsia="Times New Roman"/>
          <w:color w:val="000000"/>
          <w:sz w:val="20"/>
          <w:szCs w:val="20"/>
        </w:rPr>
        <w:t>er in Frankfort, New York, and the expansion of our distribution center in Waverly, Nebraska. The new northeast distribution center in Frankfort, New York was completed and began shipping merchandise to our stores in the first quarter of fiscal 2019. The e</w:t>
      </w:r>
      <w:r>
        <w:rPr>
          <w:rFonts w:eastAsia="Times New Roman"/>
          <w:color w:val="000000"/>
          <w:sz w:val="20"/>
          <w:szCs w:val="20"/>
        </w:rPr>
        <w:t>xpansion of the Waverly, Nebraska distribution center was completed during fiscal 2018.</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532037618"/>
        <w:rPr>
          <w:rFonts w:eastAsia="Times New Roman"/>
        </w:rPr>
      </w:pPr>
      <w:r>
        <w:rPr>
          <w:rFonts w:eastAsia="Times New Roman"/>
          <w:color w:val="000000"/>
          <w:sz w:val="20"/>
          <w:szCs w:val="20"/>
        </w:rPr>
        <w:t>3</w:t>
      </w:r>
      <w:r>
        <w:rPr>
          <w:rFonts w:eastAsia="Times New Roman"/>
          <w:color w:val="000000"/>
          <w:sz w:val="20"/>
          <w:szCs w:val="20"/>
        </w:rPr>
        <w:t>5</w:t>
      </w:r>
    </w:p>
    <w:p w:rsidR="00000000" w:rsidRDefault="00CB61D5">
      <w:pPr>
        <w:rPr>
          <w:rFonts w:eastAsia="Times New Roman"/>
        </w:rPr>
      </w:pPr>
      <w:r>
        <w:rPr>
          <w:rFonts w:eastAsia="Times New Roman"/>
        </w:rPr>
        <w:pict>
          <v:rect id="_x0000_i1064" style="width:0;height:1.5pt" o:hralign="center" o:hrstd="t" o:hr="t" fillcolor="#a0a0a0" stroked="f"/>
        </w:pict>
      </w:r>
    </w:p>
    <w:p w:rsidR="00000000" w:rsidRDefault="00CB61D5">
      <w:pPr>
        <w:divId w:val="151395253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Our projected capital expenditures for fiscal 2020 principally include a plan to open approximately 80 new Tractor Supply stores and 10 to 15 new Petsense stores, continued improvements in technology and infrastructure at our existing stores, and ongoing i</w:t>
      </w:r>
      <w:r>
        <w:rPr>
          <w:rFonts w:eastAsia="Times New Roman"/>
          <w:color w:val="000000"/>
          <w:sz w:val="20"/>
          <w:szCs w:val="20"/>
        </w:rPr>
        <w:t>nvestments to enhance our digital and omni-channel capabilities to better serve our customers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Financing Activitie</w:t>
      </w:r>
      <w:r>
        <w:rPr>
          <w:rFonts w:eastAsia="Times New Roman"/>
          <w:b/>
          <w:bCs/>
          <w:color w:val="000000"/>
          <w:sz w:val="20"/>
          <w:szCs w:val="20"/>
        </w:rPr>
        <w:t>s</w:t>
      </w:r>
    </w:p>
    <w:p w:rsidR="00000000" w:rsidRDefault="00CB61D5">
      <w:pPr>
        <w:divId w:val="1327131960"/>
        <w:rPr>
          <w:rFonts w:eastAsia="Times New Roman"/>
        </w:rPr>
      </w:pPr>
    </w:p>
    <w:p w:rsidR="00000000" w:rsidRDefault="00CB61D5">
      <w:pPr>
        <w:jc w:val="both"/>
        <w:rPr>
          <w:rFonts w:eastAsia="Times New Roman"/>
        </w:rPr>
      </w:pPr>
      <w:r>
        <w:rPr>
          <w:rFonts w:eastAsia="Times New Roman"/>
          <w:color w:val="000000"/>
          <w:sz w:val="20"/>
          <w:szCs w:val="20"/>
        </w:rPr>
        <w:t>Financing activities used cash of $598.8 million, $440.9 million, and $338.3 million in fiscal 2019, 2018, and 2017, respectively. The $</w:t>
      </w:r>
      <w:r>
        <w:rPr>
          <w:rFonts w:eastAsia="Times New Roman"/>
          <w:color w:val="000000"/>
          <w:sz w:val="20"/>
          <w:szCs w:val="20"/>
        </w:rPr>
        <w:t>157.9 million increase in net cash used in financing activities in fiscal 2019, compared to fiscal 2018, was due to changes in the following (in millions):</w:t>
      </w:r>
      <w:r>
        <w:rPr>
          <w:rFonts w:eastAsia="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41"/>
        <w:gridCol w:w="4660"/>
        <w:gridCol w:w="41"/>
        <w:gridCol w:w="135"/>
        <w:gridCol w:w="843"/>
        <w:gridCol w:w="85"/>
        <w:gridCol w:w="36"/>
        <w:gridCol w:w="36"/>
        <w:gridCol w:w="36"/>
        <w:gridCol w:w="135"/>
        <w:gridCol w:w="812"/>
        <w:gridCol w:w="85"/>
        <w:gridCol w:w="36"/>
        <w:gridCol w:w="36"/>
        <w:gridCol w:w="36"/>
        <w:gridCol w:w="135"/>
        <w:gridCol w:w="648"/>
        <w:gridCol w:w="85"/>
        <w:gridCol w:w="36"/>
        <w:gridCol w:w="36"/>
        <w:gridCol w:w="36"/>
        <w:gridCol w:w="36"/>
        <w:gridCol w:w="36"/>
        <w:gridCol w:w="36"/>
        <w:gridCol w:w="36"/>
        <w:gridCol w:w="36"/>
        <w:gridCol w:w="36"/>
      </w:tblGrid>
      <w:tr w:rsidR="00000000">
        <w:trPr>
          <w:gridAfter w:val="9"/>
          <w:divId w:val="2080403439"/>
          <w:jc w:val="center"/>
        </w:trPr>
        <w:tc>
          <w:tcPr>
            <w:tcW w:w="50" w:type="pct"/>
            <w:vAlign w:val="center"/>
            <w:hideMark/>
          </w:tcPr>
          <w:p w:rsidR="00000000" w:rsidRDefault="00CB61D5">
            <w:pPr>
              <w:jc w:val="both"/>
              <w:rPr>
                <w:rFonts w:eastAsia="Times New Roman"/>
              </w:rPr>
            </w:pPr>
          </w:p>
        </w:tc>
        <w:tc>
          <w:tcPr>
            <w:tcW w:w="296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2080403439"/>
          <w:trHeight w:val="12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80403439"/>
          <w:trHeight w:val="12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80403439"/>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borrowings and repayments under debt facilitie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(349.8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(183.5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(147.1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0403439"/>
          <w:jc w:val="center"/>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(598.8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(440.9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(157.9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increase in net cash used in financing activities in fiscal 2019, compared to fiscal 2018, principally reflects an increase in repurchases of common stock and, to a lesser extent, increased quarterly cash dividends, partially offset by an increase in n</w:t>
      </w:r>
      <w:r>
        <w:rPr>
          <w:rFonts w:eastAsia="Times New Roman"/>
          <w:color w:val="000000"/>
          <w:sz w:val="20"/>
          <w:szCs w:val="20"/>
        </w:rPr>
        <w:t>et proceeds from the issuance of common stock associated with the exercise of share-based compensation awards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$102.6 million increase in net cash used in financing activities in fiscal 2018, compared to fiscal 2017, was due to changes in the followi</w:t>
      </w:r>
      <w:r>
        <w:rPr>
          <w:rFonts w:eastAsia="Times New Roman"/>
          <w:color w:val="000000"/>
          <w:sz w:val="20"/>
          <w:szCs w:val="20"/>
        </w:rPr>
        <w:t>ng (in millions):</w:t>
      </w:r>
      <w:r>
        <w:rPr>
          <w:rFonts w:eastAsia="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41"/>
        <w:gridCol w:w="4660"/>
        <w:gridCol w:w="41"/>
        <w:gridCol w:w="135"/>
        <w:gridCol w:w="843"/>
        <w:gridCol w:w="85"/>
        <w:gridCol w:w="36"/>
        <w:gridCol w:w="36"/>
        <w:gridCol w:w="36"/>
        <w:gridCol w:w="135"/>
        <w:gridCol w:w="812"/>
        <w:gridCol w:w="85"/>
        <w:gridCol w:w="36"/>
        <w:gridCol w:w="36"/>
        <w:gridCol w:w="36"/>
        <w:gridCol w:w="135"/>
        <w:gridCol w:w="648"/>
        <w:gridCol w:w="85"/>
        <w:gridCol w:w="36"/>
        <w:gridCol w:w="36"/>
        <w:gridCol w:w="36"/>
        <w:gridCol w:w="36"/>
        <w:gridCol w:w="36"/>
        <w:gridCol w:w="36"/>
        <w:gridCol w:w="36"/>
        <w:gridCol w:w="36"/>
        <w:gridCol w:w="36"/>
      </w:tblGrid>
      <w:tr w:rsidR="00000000">
        <w:trPr>
          <w:gridAfter w:val="9"/>
          <w:divId w:val="499658878"/>
          <w:jc w:val="center"/>
        </w:trPr>
        <w:tc>
          <w:tcPr>
            <w:tcW w:w="50" w:type="pct"/>
            <w:vAlign w:val="center"/>
            <w:hideMark/>
          </w:tcPr>
          <w:p w:rsidR="00000000" w:rsidRDefault="00CB61D5">
            <w:pPr>
              <w:jc w:val="both"/>
              <w:rPr>
                <w:rFonts w:eastAsia="Times New Roman"/>
              </w:rPr>
            </w:pPr>
          </w:p>
        </w:tc>
        <w:tc>
          <w:tcPr>
            <w:tcW w:w="296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499658878"/>
          <w:trHeight w:val="12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499658878"/>
          <w:trHeight w:val="12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499658878"/>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borrowings and repayments under debt facilitie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(171.3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(349.8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(369.4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(147.1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99658878"/>
          <w:jc w:val="center"/>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(440.9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(338.3</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p>
    <w:p w:rsidR="00000000" w:rsidRDefault="00CB61D5">
      <w:pPr>
        <w:jc w:val="both"/>
        <w:rPr>
          <w:rFonts w:eastAsia="Times New Roman"/>
        </w:rPr>
      </w:pPr>
      <w:r>
        <w:rPr>
          <w:rFonts w:eastAsia="Times New Roman"/>
          <w:color w:val="000000"/>
          <w:sz w:val="20"/>
          <w:szCs w:val="20"/>
        </w:rPr>
        <w:t>The increase in net cash used in financing activities in fiscal 2018, as compared to fiscal 2017, is largely due to a decrease in borrowings, net of repayments, under our debt facilities, partially offset by an increase in proceeds from the issuance of com</w:t>
      </w:r>
      <w:r>
        <w:rPr>
          <w:rFonts w:eastAsia="Times New Roman"/>
          <w:color w:val="000000"/>
          <w:sz w:val="20"/>
          <w:szCs w:val="20"/>
        </w:rPr>
        <w:t>mon stock associated with the exercise of share-based compensation awards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Repurchase of Common Stoc</w:t>
      </w:r>
      <w:r>
        <w:rPr>
          <w:rFonts w:eastAsia="Times New Roman"/>
          <w:i/>
          <w:iCs/>
          <w:color w:val="000000"/>
          <w:sz w:val="20"/>
          <w:szCs w:val="20"/>
        </w:rPr>
        <w:t>k</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Company’s Board of Directors has authorized common stock repurchases under a share repurchase program of up to $4.5 billion, exclusive of any fees</w:t>
      </w:r>
      <w:r>
        <w:rPr>
          <w:rFonts w:eastAsia="Times New Roman"/>
          <w:color w:val="000000"/>
          <w:sz w:val="20"/>
          <w:szCs w:val="20"/>
        </w:rPr>
        <w:t>, commissions or other expenses related to such repurchases. The repurchases may be made from time to time on the open market or in privately negotiated transactions. The timing and amount of any shares repurchased under the program will depend on a variet</w:t>
      </w:r>
      <w:r>
        <w:rPr>
          <w:rFonts w:eastAsia="Times New Roman"/>
          <w:color w:val="000000"/>
          <w:sz w:val="20"/>
          <w:szCs w:val="20"/>
        </w:rPr>
        <w:t>y of factors, including price, corporate and regulatory requirements, capital availability, and other market conditions. Repurchased shares are accounted for at cost and will be held in treasury for future issuance. The program may be limited or terminated</w:t>
      </w:r>
      <w:r>
        <w:rPr>
          <w:rFonts w:eastAsia="Times New Roman"/>
          <w:color w:val="000000"/>
          <w:sz w:val="20"/>
          <w:szCs w:val="20"/>
        </w:rPr>
        <w:t xml:space="preserve"> at any time without prior notice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repurchased approximately 5.4 million, 5.0 million, and 5.9 million shares of common stock under the share repurchase program at a total cost of $533.3 million, $349.8 million, and $369.4 million in fiscal 2019, 2018</w:t>
      </w:r>
      <w:r>
        <w:rPr>
          <w:rFonts w:eastAsia="Times New Roman"/>
          <w:color w:val="000000"/>
          <w:sz w:val="20"/>
          <w:szCs w:val="20"/>
        </w:rPr>
        <w:t>, and 2017, respectively.  As of December 28, 2019, the Company had remaining authorization under the share repurchase program of $1.49 billion, exclusive of any fees, commissions, or other expenses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756198987"/>
        <w:rPr>
          <w:rFonts w:eastAsia="Times New Roman"/>
        </w:rPr>
      </w:pPr>
      <w:r>
        <w:rPr>
          <w:rFonts w:eastAsia="Times New Roman"/>
          <w:color w:val="000000"/>
          <w:sz w:val="20"/>
          <w:szCs w:val="20"/>
        </w:rPr>
        <w:t>3</w:t>
      </w:r>
      <w:r>
        <w:rPr>
          <w:rFonts w:eastAsia="Times New Roman"/>
          <w:color w:val="000000"/>
          <w:sz w:val="20"/>
          <w:szCs w:val="20"/>
        </w:rPr>
        <w:t>6</w:t>
      </w:r>
    </w:p>
    <w:p w:rsidR="00000000" w:rsidRDefault="00CB61D5">
      <w:pPr>
        <w:rPr>
          <w:rFonts w:eastAsia="Times New Roman"/>
        </w:rPr>
      </w:pPr>
      <w:r>
        <w:rPr>
          <w:rFonts w:eastAsia="Times New Roman"/>
        </w:rPr>
        <w:pict>
          <v:rect id="_x0000_i1065" style="width:0;height:1.5pt" o:hralign="center" o:hrstd="t" o:hr="t" fillcolor="#a0a0a0" stroked="f"/>
        </w:pict>
      </w:r>
    </w:p>
    <w:p w:rsidR="00000000" w:rsidRDefault="00CB61D5">
      <w:pPr>
        <w:divId w:val="158218149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Cash Dividends Paid to Stockholder</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paid cash dividends totaling $162.7 million, $147.1 million, and $133.8 million in fiscal 2019, 2018, and 2017, respectively. In fiscal 2019, we declared and paid cash dividends to </w:t>
      </w:r>
      <w:r>
        <w:rPr>
          <w:rFonts w:eastAsia="Times New Roman"/>
          <w:color w:val="000000"/>
          <w:sz w:val="20"/>
          <w:szCs w:val="20"/>
        </w:rPr>
        <w:t>stockholders of $1.36 per common share outstanding as compared to $1.20 and $1.05 per common share outstanding in fiscal 2018 and fiscal 2017, respectively. These payments reflect an increase in the quarterly dividend in the second quarter of fiscal 2019 t</w:t>
      </w:r>
      <w:r>
        <w:rPr>
          <w:rFonts w:eastAsia="Times New Roman"/>
          <w:color w:val="000000"/>
          <w:sz w:val="20"/>
          <w:szCs w:val="20"/>
        </w:rPr>
        <w:t>o $0.35 per share from $0.31 per share and an increase in the quarterly dividend in the second quarter of fiscal 2018 from $0.27 per share.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It is the present intention of the Company’s Board of Directors to continue to pay a quarterly cash dividend; how</w:t>
      </w:r>
      <w:r>
        <w:rPr>
          <w:rFonts w:eastAsia="Times New Roman"/>
          <w:color w:val="000000"/>
          <w:sz w:val="20"/>
          <w:szCs w:val="20"/>
        </w:rPr>
        <w:t>ever, the declaration and payment of future dividends will be determined by the Company’s Board of Directors in its sole discretion and will depend upon the earnings, financial condition, and capital needs of the Company, along with any other factors which</w:t>
      </w:r>
      <w:r>
        <w:rPr>
          <w:rFonts w:eastAsia="Times New Roman"/>
          <w:color w:val="000000"/>
          <w:sz w:val="20"/>
          <w:szCs w:val="20"/>
        </w:rPr>
        <w:t xml:space="preserve"> the Company’s Board of Directors deem relevant</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2"/>
          <w:szCs w:val="22"/>
        </w:rPr>
        <w:t>Significant Contractual Obligations and Commercial Commitment</w:t>
      </w:r>
      <w:r>
        <w:rPr>
          <w:rFonts w:eastAsia="Times New Roman"/>
          <w:b/>
          <w:bCs/>
          <w:color w:val="000000"/>
          <w:sz w:val="22"/>
          <w:szCs w:val="22"/>
        </w:rPr>
        <w:t>s</w:t>
      </w:r>
    </w:p>
    <w:p w:rsidR="00000000" w:rsidRDefault="00CB61D5">
      <w:pPr>
        <w:divId w:val="588848471"/>
        <w:rPr>
          <w:rFonts w:eastAsia="Times New Roman"/>
        </w:rPr>
      </w:pPr>
    </w:p>
    <w:p w:rsidR="00000000" w:rsidRDefault="00CB61D5">
      <w:pPr>
        <w:jc w:val="both"/>
        <w:rPr>
          <w:rFonts w:eastAsia="Times New Roman"/>
        </w:rPr>
      </w:pPr>
      <w:r>
        <w:rPr>
          <w:rFonts w:eastAsia="Times New Roman"/>
          <w:color w:val="000000"/>
          <w:sz w:val="20"/>
          <w:szCs w:val="20"/>
        </w:rPr>
        <w:t>The following table reflects our future obligations and commitments as of December 28, 2019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7"/>
        <w:gridCol w:w="1841"/>
        <w:gridCol w:w="36"/>
        <w:gridCol w:w="36"/>
        <w:gridCol w:w="36"/>
        <w:gridCol w:w="36"/>
        <w:gridCol w:w="135"/>
        <w:gridCol w:w="86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8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400058581"/>
        </w:trPr>
        <w:tc>
          <w:tcPr>
            <w:tcW w:w="50" w:type="pct"/>
            <w:vAlign w:val="center"/>
            <w:hideMark/>
          </w:tcPr>
          <w:p w:rsidR="00000000" w:rsidRDefault="00CB61D5">
            <w:pPr>
              <w:jc w:val="both"/>
              <w:rPr>
                <w:rFonts w:eastAsia="Times New Roman"/>
              </w:rPr>
            </w:pPr>
          </w:p>
        </w:tc>
        <w:tc>
          <w:tcPr>
            <w:tcW w:w="15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0005858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7"/>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Payment Due by Perio</w:t>
            </w:r>
            <w:r>
              <w:rPr>
                <w:rFonts w:eastAsia="Times New Roman"/>
                <w:b/>
                <w:bCs/>
                <w:color w:val="000000"/>
                <w:sz w:val="20"/>
                <w:szCs w:val="20"/>
              </w:rPr>
              <w:t>d</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40005858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2021-202</w:t>
            </w:r>
            <w:r>
              <w:rPr>
                <w:rFonts w:eastAsia="Times New Roman"/>
                <w:b/>
                <w:bCs/>
                <w:color w:val="000000"/>
                <w:sz w:val="20"/>
                <w:szCs w:val="20"/>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2023-202</w:t>
            </w:r>
            <w:r>
              <w:rPr>
                <w:rFonts w:eastAsia="Times New Roman"/>
                <w:b/>
                <w:bCs/>
                <w:color w:val="000000"/>
                <w:sz w:val="20"/>
                <w:szCs w:val="20"/>
              </w:rPr>
              <w:t>4</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Thereafte</w:t>
            </w:r>
            <w:r>
              <w:rPr>
                <w:rFonts w:eastAsia="Times New Roman"/>
                <w:b/>
                <w:bCs/>
                <w:color w:val="000000"/>
                <w:sz w:val="20"/>
                <w:szCs w:val="20"/>
              </w:rPr>
              <w:t>r</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0058581"/>
        </w:trPr>
        <w:tc>
          <w:tcPr>
            <w:tcW w:w="0" w:type="auto"/>
            <w:gridSpan w:val="3"/>
            <w:shd w:val="clear" w:color="auto" w:fill="CCEEFF"/>
            <w:tcMar>
              <w:top w:w="30" w:type="dxa"/>
              <w:left w:w="20" w:type="dxa"/>
              <w:bottom w:w="30" w:type="dxa"/>
              <w:right w:w="20" w:type="dxa"/>
            </w:tcMar>
            <w:vAlign w:val="bottom"/>
            <w:hideMark/>
          </w:tcPr>
          <w:p w:rsidR="00000000" w:rsidRDefault="00CB61D5">
            <w:pPr>
              <w:divId w:val="699743921"/>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vertAlign w:val="superscript"/>
              </w:rPr>
              <w:t>(a) (b)</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2,786,223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369,079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677,435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570,038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1,169,671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0058581"/>
        </w:trPr>
        <w:tc>
          <w:tcPr>
            <w:tcW w:w="0" w:type="auto"/>
            <w:gridSpan w:val="3"/>
            <w:shd w:val="clear" w:color="auto" w:fill="FFFFFF"/>
            <w:tcMar>
              <w:top w:w="30" w:type="dxa"/>
              <w:left w:w="20" w:type="dxa"/>
              <w:bottom w:w="30" w:type="dxa"/>
              <w:right w:w="20" w:type="dxa"/>
            </w:tcMar>
            <w:vAlign w:val="bottom"/>
            <w:hideMark/>
          </w:tcPr>
          <w:p w:rsidR="00000000" w:rsidRDefault="00CB61D5">
            <w:pPr>
              <w:divId w:val="389615579"/>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6,833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21,818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0058581"/>
        </w:trPr>
        <w:tc>
          <w:tcPr>
            <w:tcW w:w="0" w:type="auto"/>
            <w:gridSpan w:val="3"/>
            <w:shd w:val="clear" w:color="auto" w:fill="CCEEFF"/>
            <w:tcMar>
              <w:top w:w="30" w:type="dxa"/>
              <w:left w:w="20" w:type="dxa"/>
              <w:bottom w:w="30" w:type="dxa"/>
              <w:right w:w="20" w:type="dxa"/>
            </w:tcMar>
            <w:vAlign w:val="bottom"/>
            <w:hideMark/>
          </w:tcPr>
          <w:p w:rsidR="00000000" w:rsidRDefault="00CB61D5">
            <w:pPr>
              <w:divId w:val="1406611621"/>
              <w:rPr>
                <w:rFonts w:eastAsia="Times New Roman"/>
              </w:rPr>
            </w:pPr>
            <w:r>
              <w:rPr>
                <w:rFonts w:eastAsia="Times New Roman"/>
                <w:color w:val="000000"/>
                <w:sz w:val="20"/>
                <w:szCs w:val="20"/>
              </w:rPr>
              <w:t>Long-term debt</w:t>
            </w:r>
            <w:r>
              <w:rPr>
                <w:rFonts w:eastAsia="Times New Roman"/>
                <w:color w:val="000000"/>
                <w:sz w:val="20"/>
                <w:szCs w:val="20"/>
              </w:rPr>
              <w:t xml:space="preserve"> </w:t>
            </w:r>
            <w:r>
              <w:rPr>
                <w:rFonts w:eastAsia="Times New Roman"/>
                <w:color w:val="000000"/>
                <w:sz w:val="13"/>
                <w:szCs w:val="13"/>
                <w:vertAlign w:val="superscript"/>
              </w:rPr>
              <w:t>(c)</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461,162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55,421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218,957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175,684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0058581"/>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0058581"/>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3,292,023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430,163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906,716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587,971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1,367,173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939947429"/>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w:t>
      </w:r>
      <w:r>
        <w:rPr>
          <w:rFonts w:eastAsia="Times New Roman"/>
          <w:color w:val="000000"/>
          <w:sz w:val="16"/>
          <w:szCs w:val="16"/>
        </w:rPr>
        <w:t xml:space="preserve"> Operating lease payments exclude $212.8 million of legally binding minimum lease payments for leases signed, but not yet commenced</w:t>
      </w:r>
      <w:r>
        <w:rPr>
          <w:rFonts w:eastAsia="Times New Roman"/>
          <w:color w:val="000000"/>
          <w:sz w:val="16"/>
          <w:szCs w:val="16"/>
        </w:rPr>
        <w:t>.</w:t>
      </w:r>
    </w:p>
    <w:p w:rsidR="00000000" w:rsidRDefault="00CB61D5">
      <w:pPr>
        <w:jc w:val="both"/>
        <w:rPr>
          <w:rFonts w:eastAsia="Times New Roman"/>
        </w:rPr>
      </w:pPr>
      <w:r>
        <w:rPr>
          <w:rFonts w:eastAsia="Times New Roman"/>
          <w:color w:val="000000"/>
          <w:sz w:val="10"/>
          <w:szCs w:val="10"/>
          <w:vertAlign w:val="superscript"/>
        </w:rPr>
        <w:t>(b)</w:t>
      </w:r>
      <w:r>
        <w:rPr>
          <w:rFonts w:eastAsia="Times New Roman"/>
          <w:color w:val="000000"/>
          <w:sz w:val="10"/>
          <w:szCs w:val="10"/>
          <w:vertAlign w:val="superscript"/>
        </w:rPr>
        <w:t xml:space="preserve"> </w:t>
      </w:r>
      <w:r>
        <w:rPr>
          <w:rFonts w:eastAsia="Times New Roman"/>
          <w:color w:val="000000"/>
          <w:sz w:val="16"/>
          <w:szCs w:val="16"/>
        </w:rPr>
        <w:t>Operating and finance lease obligations both include related interest</w:t>
      </w:r>
      <w:r>
        <w:rPr>
          <w:rFonts w:eastAsia="Times New Roman"/>
          <w:color w:val="000000"/>
          <w:sz w:val="16"/>
          <w:szCs w:val="16"/>
        </w:rPr>
        <w:t>.</w:t>
      </w:r>
    </w:p>
    <w:p w:rsidR="00000000" w:rsidRDefault="00CB61D5">
      <w:pPr>
        <w:ind w:hanging="180"/>
        <w:jc w:val="both"/>
        <w:rPr>
          <w:rFonts w:eastAsia="Times New Roman"/>
        </w:rPr>
      </w:pPr>
      <w:r>
        <w:rPr>
          <w:rFonts w:eastAsia="Times New Roman"/>
          <w:color w:val="000000"/>
          <w:sz w:val="10"/>
          <w:szCs w:val="10"/>
          <w:vertAlign w:val="superscript"/>
        </w:rPr>
        <w:t>(c)</w:t>
      </w:r>
      <w:r>
        <w:rPr>
          <w:rFonts w:eastAsia="Times New Roman"/>
          <w:color w:val="000000"/>
          <w:sz w:val="10"/>
          <w:szCs w:val="10"/>
          <w:vertAlign w:val="superscript"/>
        </w:rPr>
        <w:t xml:space="preserve"> </w:t>
      </w:r>
      <w:r>
        <w:rPr>
          <w:rFonts w:eastAsia="Times New Roman"/>
          <w:color w:val="000000"/>
          <w:sz w:val="16"/>
          <w:szCs w:val="16"/>
        </w:rPr>
        <w:t>Long-term d</w:t>
      </w:r>
      <w:r>
        <w:rPr>
          <w:rFonts w:eastAsia="Times New Roman"/>
          <w:color w:val="000000"/>
          <w:sz w:val="16"/>
          <w:szCs w:val="16"/>
        </w:rPr>
        <w:t>ebt obligations include an estimate of related interest after consideration of the interest rate swap agreements. See Notes 4 and 5 to the Consolidated Financial Statements for additional information regarding our interest rates</w:t>
      </w:r>
      <w:r>
        <w:rPr>
          <w:rFonts w:eastAsia="Times New Roman"/>
          <w:color w:val="000000"/>
          <w:sz w:val="16"/>
          <w:szCs w:val="16"/>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At December 28, 2019, th</w:t>
      </w:r>
      <w:r>
        <w:rPr>
          <w:rFonts w:eastAsia="Times New Roman"/>
          <w:color w:val="000000"/>
          <w:sz w:val="20"/>
          <w:szCs w:val="20"/>
        </w:rPr>
        <w:t>ere were $32.0 million outstanding letters of credit under the 2016 Senior Credit Facility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CB61D5">
      <w:pPr>
        <w:divId w:val="1522888625"/>
        <w:rPr>
          <w:rFonts w:eastAsia="Times New Roman"/>
        </w:rPr>
      </w:pPr>
    </w:p>
    <w:p w:rsidR="00000000" w:rsidRDefault="00CB61D5">
      <w:pPr>
        <w:jc w:val="both"/>
        <w:rPr>
          <w:rFonts w:eastAsia="Times New Roman"/>
        </w:rPr>
      </w:pPr>
      <w:r>
        <w:rPr>
          <w:rFonts w:eastAsia="Times New Roman"/>
          <w:color w:val="000000"/>
          <w:sz w:val="20"/>
          <w:szCs w:val="20"/>
        </w:rPr>
        <w:t>Our off-balance sheet arrangements are limited to lease agreements signed but not yet commenced and outstanding letters of credit</w:t>
      </w:r>
      <w:r>
        <w:rPr>
          <w:rFonts w:eastAsia="Times New Roman"/>
          <w:color w:val="000000"/>
          <w:sz w:val="20"/>
          <w:szCs w:val="20"/>
        </w:rPr>
        <w:t>.  The balances for these arrangements are previously discussed.  Letters of credit allow us to purchase inventory, primarily sourced overseas, in a timely manner and support certain risk management programs</w:t>
      </w:r>
      <w:r>
        <w:rPr>
          <w:rFonts w:eastAsia="Times New Roman"/>
          <w:color w:val="000000"/>
          <w:sz w:val="20"/>
          <w:szCs w:val="20"/>
        </w:rPr>
        <w:t>.</w:t>
      </w:r>
    </w:p>
    <w:p w:rsidR="00000000" w:rsidRDefault="00CB61D5">
      <w:pPr>
        <w:jc w:val="right"/>
        <w:rPr>
          <w:rFonts w:eastAsia="Times New Roman"/>
        </w:rPr>
      </w:pPr>
    </w:p>
    <w:p w:rsidR="00000000" w:rsidRDefault="00CB61D5">
      <w:pPr>
        <w:jc w:val="both"/>
        <w:rPr>
          <w:rFonts w:eastAsia="Times New Roman"/>
        </w:rPr>
      </w:pPr>
      <w:r>
        <w:rPr>
          <w:rFonts w:eastAsia="Times New Roman"/>
          <w:b/>
          <w:bCs/>
          <w:color w:val="000000"/>
          <w:sz w:val="20"/>
          <w:szCs w:val="20"/>
        </w:rPr>
        <w:t>New Accounting Pronouncement</w:t>
      </w:r>
      <w:r>
        <w:rPr>
          <w:rFonts w:eastAsia="Times New Roman"/>
          <w:b/>
          <w:b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w:t>
      </w:r>
      <w:r>
        <w:rPr>
          <w:rFonts w:eastAsia="Times New Roman"/>
          <w:color w:val="000000"/>
          <w:sz w:val="20"/>
          <w:szCs w:val="20"/>
        </w:rPr>
        <w:t>e</w:t>
      </w:r>
      <w:r>
        <w:rPr>
          <w:rFonts w:eastAsia="Times New Roman"/>
          <w:color w:val="000000"/>
          <w:sz w:val="18"/>
          <w:szCs w:val="18"/>
        </w:rPr>
        <w:t xml:space="preserve"> </w:t>
      </w:r>
      <w:r>
        <w:rPr>
          <w:rFonts w:eastAsia="Times New Roman"/>
          <w:color w:val="000000"/>
          <w:sz w:val="20"/>
          <w:szCs w:val="20"/>
        </w:rPr>
        <w:t>Company a</w:t>
      </w:r>
      <w:r>
        <w:rPr>
          <w:rFonts w:eastAsia="Times New Roman"/>
          <w:color w:val="000000"/>
          <w:sz w:val="20"/>
          <w:szCs w:val="20"/>
        </w:rPr>
        <w:t>dopted new lease accounting guidance in the first quarter of fiscal 2019 which had a material impact on our Consolidated Balance Sheets and related disclosures. For additional information, including the required disclosures, related to the impact of adopti</w:t>
      </w:r>
      <w:r>
        <w:rPr>
          <w:rFonts w:eastAsia="Times New Roman"/>
          <w:color w:val="000000"/>
          <w:sz w:val="20"/>
          <w:szCs w:val="20"/>
        </w:rPr>
        <w:t>ng this new accounting guidance, see Note 1, Note 6, and Note 14 to the Consolidated Financial Statements.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Refer to Note 14 to the Consolidated Financial Statements for recently adopted accounting pronouncements and recently issued pronouncements not ye</w:t>
      </w:r>
      <w:r>
        <w:rPr>
          <w:rFonts w:eastAsia="Times New Roman"/>
          <w:color w:val="000000"/>
          <w:sz w:val="20"/>
          <w:szCs w:val="20"/>
        </w:rPr>
        <w:t>t adopted as of December 28, 2019</w:t>
      </w:r>
      <w:r>
        <w:rPr>
          <w:rFonts w:eastAsia="Times New Roman"/>
          <w:color w:val="000000"/>
          <w:sz w:val="20"/>
          <w:szCs w:val="20"/>
        </w:rPr>
        <w:t>.</w:t>
      </w:r>
    </w:p>
    <w:p w:rsidR="00000000" w:rsidRDefault="00CB61D5">
      <w:pPr>
        <w:divId w:val="2137021378"/>
        <w:rPr>
          <w:rFonts w:eastAsia="Times New Roman"/>
        </w:rPr>
      </w:pPr>
    </w:p>
    <w:p w:rsidR="00000000" w:rsidRDefault="00CB61D5">
      <w:pPr>
        <w:jc w:val="center"/>
        <w:divId w:val="907811004"/>
        <w:rPr>
          <w:rFonts w:eastAsia="Times New Roman"/>
        </w:rPr>
      </w:pPr>
      <w:r>
        <w:rPr>
          <w:rFonts w:eastAsia="Times New Roman"/>
          <w:color w:val="000000"/>
          <w:sz w:val="20"/>
          <w:szCs w:val="20"/>
        </w:rPr>
        <w:t>3</w:t>
      </w:r>
      <w:r>
        <w:rPr>
          <w:rFonts w:eastAsia="Times New Roman"/>
          <w:color w:val="000000"/>
          <w:sz w:val="20"/>
          <w:szCs w:val="20"/>
        </w:rPr>
        <w:t>7</w:t>
      </w:r>
    </w:p>
    <w:p w:rsidR="00000000" w:rsidRDefault="00CB61D5">
      <w:pPr>
        <w:rPr>
          <w:rFonts w:eastAsia="Times New Roman"/>
        </w:rPr>
      </w:pPr>
      <w:r>
        <w:rPr>
          <w:rFonts w:eastAsia="Times New Roman"/>
        </w:rPr>
        <w:pict>
          <v:rect id="_x0000_i1066" style="width:0;height:1.5pt" o:hralign="center" o:hrstd="t" o:hr="t" fillcolor="#a0a0a0" stroked="f"/>
        </w:pict>
      </w:r>
    </w:p>
    <w:p w:rsidR="00000000" w:rsidRDefault="00CB61D5">
      <w:pPr>
        <w:divId w:val="403375676"/>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u w:val="single"/>
        </w:rPr>
        <w:t>Item 7</w:t>
      </w:r>
      <w:r>
        <w:rPr>
          <w:rFonts w:eastAsia="Times New Roman"/>
          <w:b/>
          <w:bCs/>
          <w:color w:val="000000"/>
          <w:sz w:val="20"/>
          <w:szCs w:val="20"/>
          <w:u w:val="single"/>
        </w:rPr>
        <w:t>A</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Quantitative and Qualitative Disclosures About Market Ris</w:t>
      </w:r>
      <w:r>
        <w:rPr>
          <w:rFonts w:eastAsia="Times New Roman"/>
          <w:b/>
          <w:bCs/>
          <w:color w:val="000000"/>
          <w:sz w:val="20"/>
          <w:szCs w:val="20"/>
          <w:u w:val="single"/>
        </w:rPr>
        <w:t>k</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are exposed to interest rate changes, primarily as a result of borrowings under our 2016 Senior Credit Facility (as discussed in Note 4 to the Consolidated Financial Statements), which bear interest based on variable rates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discussed in Note 5 to t</w:t>
      </w:r>
      <w:r>
        <w:rPr>
          <w:rFonts w:eastAsia="Times New Roman"/>
          <w:color w:val="000000"/>
          <w:sz w:val="20"/>
          <w:szCs w:val="20"/>
        </w:rPr>
        <w:t xml:space="preserve">he Consolidated Financial Statements, we entered into interest rate swap agreements which are intended to mitigate interest rate risk associated with future changes in interest rates for the term loan borrowings under the 2016 Senior Credit Facility. As a </w:t>
      </w:r>
      <w:r>
        <w:rPr>
          <w:rFonts w:eastAsia="Times New Roman"/>
          <w:color w:val="000000"/>
          <w:sz w:val="20"/>
          <w:szCs w:val="20"/>
        </w:rPr>
        <w:t>result of the interest rate swaps, our exposure to interest rate volatility is minimized. The interest rate swap agreements have been executed for risk management purposes and are not held for trading purposes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 1% change in interest rates on our variab</w:t>
      </w:r>
      <w:r>
        <w:rPr>
          <w:rFonts w:eastAsia="Times New Roman"/>
          <w:color w:val="000000"/>
          <w:sz w:val="20"/>
          <w:szCs w:val="20"/>
        </w:rPr>
        <w:t>le rate debt in excess of that amount covered by the interest rate swaps would have affected interest expense by approximately $1.9 million, $1.6 million, and $2.1 million in fiscal 2019, 2018, and 2017, respectively. Based on the amount of outstanding var</w:t>
      </w:r>
      <w:r>
        <w:rPr>
          <w:rFonts w:eastAsia="Times New Roman"/>
          <w:color w:val="000000"/>
          <w:sz w:val="20"/>
          <w:szCs w:val="20"/>
        </w:rPr>
        <w:t>iable rate debt as of December 28, 2019, excluding those borrowings for which we have interest rate swaps, a 1% change in interest rates would not result in any material increase in our interest expense on a prospective basis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Purchase Price Volatilit</w:t>
      </w:r>
      <w:r>
        <w:rPr>
          <w:rFonts w:eastAsia="Times New Roman"/>
          <w:b/>
          <w:bCs/>
          <w:color w:val="000000"/>
          <w:sz w:val="20"/>
          <w:szCs w:val="20"/>
        </w:rPr>
        <w:t>y</w:t>
      </w:r>
    </w:p>
    <w:p w:rsidR="00000000" w:rsidRDefault="00CB61D5">
      <w:pPr>
        <w:divId w:val="1633318089"/>
        <w:rPr>
          <w:rFonts w:eastAsia="Times New Roman"/>
        </w:rPr>
      </w:pPr>
    </w:p>
    <w:p w:rsidR="00000000" w:rsidRDefault="00CB61D5">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are affected by both.  We are subject to market risk with respect to the pricing of certain products and services, wh</w:t>
      </w:r>
      <w:r>
        <w:rPr>
          <w:rFonts w:eastAsia="Times New Roman"/>
          <w:color w:val="000000"/>
          <w:sz w:val="20"/>
          <w:szCs w:val="20"/>
        </w:rPr>
        <w:t>ich include, among other items, grain, corn, steel, petroleum, cotton, and other commodities, as well as duties, tariffs, diesel fuel, and transportation services.  Therefore, we may experience both inflationary and deflationary pressure on product cost, w</w:t>
      </w:r>
      <w:r>
        <w:rPr>
          <w:rFonts w:eastAsia="Times New Roman"/>
          <w:color w:val="000000"/>
          <w:sz w:val="20"/>
          <w:szCs w:val="20"/>
        </w:rPr>
        <w:t>hich may impact consumer demand and, as a result, sales and gross margin.  Our strategy is to reduce or mitigate the effects of purchase price volatility, principally by taking advantage of vendor incentive programs, economies of scale from increased volum</w:t>
      </w:r>
      <w:r>
        <w:rPr>
          <w:rFonts w:eastAsia="Times New Roman"/>
          <w:color w:val="000000"/>
          <w:sz w:val="20"/>
          <w:szCs w:val="20"/>
        </w:rPr>
        <w:t>e of purchases, adjusting retail prices, and selectively buying from the most competitive vendors without sacrificing quality</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867795314"/>
        <w:rPr>
          <w:rFonts w:eastAsia="Times New Roman"/>
        </w:rPr>
      </w:pPr>
      <w:r>
        <w:rPr>
          <w:rFonts w:eastAsia="Times New Roman"/>
          <w:color w:val="000000"/>
          <w:sz w:val="20"/>
          <w:szCs w:val="20"/>
        </w:rPr>
        <w:t>3</w:t>
      </w:r>
      <w:r>
        <w:rPr>
          <w:rFonts w:eastAsia="Times New Roman"/>
          <w:color w:val="000000"/>
          <w:sz w:val="20"/>
          <w:szCs w:val="20"/>
        </w:rPr>
        <w:t>8</w:t>
      </w:r>
    </w:p>
    <w:p w:rsidR="00000000" w:rsidRDefault="00CB61D5">
      <w:pPr>
        <w:rPr>
          <w:rFonts w:eastAsia="Times New Roman"/>
        </w:rPr>
      </w:pPr>
      <w:r>
        <w:rPr>
          <w:rFonts w:eastAsia="Times New Roman"/>
        </w:rPr>
        <w:pict>
          <v:rect id="_x0000_i1067" style="width:0;height:1.5pt" o:hralign="center" o:hrstd="t" o:hr="t" fillcolor="#a0a0a0" stroked="f"/>
        </w:pict>
      </w:r>
    </w:p>
    <w:p w:rsidR="00000000" w:rsidRDefault="00CB61D5">
      <w:pPr>
        <w:divId w:val="1910849278"/>
        <w:rPr>
          <w:rFonts w:eastAsia="Times New Roman"/>
        </w:rPr>
      </w:pPr>
      <w:hyperlink w:anchor="i_0_7" w:history="1">
        <w:r>
          <w:rPr>
            <w:rStyle w:val="a3"/>
            <w:rFonts w:eastAsia="Times New Roman"/>
            <w:sz w:val="18"/>
            <w:szCs w:val="18"/>
          </w:rPr>
          <w:t>Index</w:t>
        </w:r>
      </w:hyperlink>
    </w:p>
    <w:p w:rsidR="00000000" w:rsidRDefault="00CB61D5">
      <w:pPr>
        <w:ind w:hanging="1440"/>
        <w:divId w:val="41055979"/>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8</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Financial Statements and Supplementary Dat</w:t>
      </w:r>
      <w:r>
        <w:rPr>
          <w:rFonts w:eastAsia="Times New Roman"/>
          <w:b/>
          <w:bCs/>
          <w:color w:val="000000"/>
          <w:sz w:val="20"/>
          <w:szCs w:val="20"/>
          <w:u w:val="single"/>
        </w:rPr>
        <w:t>a</w:t>
      </w:r>
    </w:p>
    <w:p w:rsidR="00000000" w:rsidRDefault="00CB61D5">
      <w:pPr>
        <w:divId w:val="1273245989"/>
        <w:rPr>
          <w:rFonts w:eastAsia="Times New Roman"/>
        </w:rPr>
      </w:pPr>
    </w:p>
    <w:p w:rsidR="00000000" w:rsidRDefault="00CB61D5">
      <w:pPr>
        <w:jc w:val="center"/>
        <w:rPr>
          <w:rFonts w:eastAsia="Times New Roman"/>
        </w:rPr>
      </w:pPr>
      <w:r>
        <w:rPr>
          <w:rFonts w:eastAsia="Times New Roman"/>
          <w:b/>
          <w:bCs/>
          <w:color w:val="000000"/>
          <w:sz w:val="20"/>
          <w:szCs w:val="20"/>
        </w:rPr>
        <w:t>INDE</w:t>
      </w:r>
      <w:r>
        <w:rPr>
          <w:rFonts w:eastAsia="Times New Roman"/>
          <w:b/>
          <w:bCs/>
          <w:color w:val="000000"/>
          <w:sz w:val="20"/>
          <w:szCs w:val="20"/>
        </w:rPr>
        <w:t>X</w:t>
      </w:r>
    </w:p>
    <w:p w:rsidR="00000000" w:rsidRDefault="00CB61D5">
      <w:pPr>
        <w:divId w:val="1543399428"/>
        <w:rPr>
          <w:rFonts w:eastAsia="Times New Roman"/>
        </w:rPr>
      </w:pPr>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7412"/>
        <w:gridCol w:w="83"/>
        <w:gridCol w:w="83"/>
        <w:gridCol w:w="561"/>
        <w:gridCol w:w="83"/>
      </w:tblGrid>
      <w:tr w:rsidR="00000000">
        <w:trPr>
          <w:divId w:val="1992058072"/>
        </w:trPr>
        <w:tc>
          <w:tcPr>
            <w:tcW w:w="50" w:type="pct"/>
            <w:vAlign w:val="center"/>
            <w:hideMark/>
          </w:tcPr>
          <w:p w:rsidR="00000000" w:rsidRDefault="00CB61D5">
            <w:pPr>
              <w:jc w:val="both"/>
              <w:rPr>
                <w:rFonts w:eastAsia="Times New Roman"/>
              </w:rPr>
            </w:pPr>
          </w:p>
        </w:tc>
        <w:tc>
          <w:tcPr>
            <w:tcW w:w="446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3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 </w:t>
            </w:r>
            <w:r>
              <w:rPr>
                <w:rFonts w:eastAsia="Times New Roman"/>
                <w:b/>
                <w:bCs/>
                <w:color w:val="000000"/>
                <w:sz w:val="20"/>
                <w:szCs w:val="20"/>
                <w:u w:val="single"/>
              </w:rPr>
              <w:t>Pag</w:t>
            </w:r>
            <w:r>
              <w:rPr>
                <w:rFonts w:eastAsia="Times New Roman"/>
                <w:b/>
                <w:bCs/>
                <w:color w:val="000000"/>
                <w:sz w:val="20"/>
                <w:szCs w:val="20"/>
                <w:u w:val="single"/>
              </w:rPr>
              <w:t>e</w:t>
            </w: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115102069"/>
              <w:rPr>
                <w:rFonts w:eastAsia="Times New Roman"/>
              </w:rPr>
            </w:pPr>
            <w:hyperlink w:anchor="i_0_76" w:history="1">
              <w:r>
                <w:rPr>
                  <w:rStyle w:val="a3"/>
                  <w:rFonts w:eastAsia="Times New Roman"/>
                  <w:sz w:val="20"/>
                  <w:szCs w:val="20"/>
                </w:rPr>
                <w:t>Management's Report on Internal Control over Financial Reporting</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76" w:history="1">
              <w:r>
                <w:rPr>
                  <w:rStyle w:val="a3"/>
                  <w:rFonts w:eastAsia="Times New Roman"/>
                  <w:sz w:val="20"/>
                  <w:szCs w:val="20"/>
                </w:rPr>
                <w:t>40</w:t>
              </w:r>
            </w:hyperlink>
          </w:p>
        </w:tc>
      </w:tr>
      <w:tr w:rsidR="00000000">
        <w:trPr>
          <w:divId w:val="1992058072"/>
          <w:trHeight w:val="300"/>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363096539"/>
              <w:rPr>
                <w:rFonts w:eastAsia="Times New Roman"/>
              </w:rPr>
            </w:pPr>
            <w:hyperlink w:anchor="i_0_79" w:history="1">
              <w:r>
                <w:rPr>
                  <w:rStyle w:val="a3"/>
                  <w:rFonts w:eastAsia="Times New Roman"/>
                  <w:sz w:val="20"/>
                  <w:szCs w:val="20"/>
                </w:rPr>
                <w:t>Reports of Independent Registered Public Accounting Firm</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79" w:history="1">
              <w:r>
                <w:rPr>
                  <w:rStyle w:val="a3"/>
                  <w:rFonts w:eastAsia="Times New Roman"/>
                  <w:sz w:val="20"/>
                  <w:szCs w:val="20"/>
                </w:rPr>
                <w:t>41</w:t>
              </w:r>
            </w:hyperlink>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 </w:t>
            </w: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817958732"/>
              <w:rPr>
                <w:rFonts w:eastAsia="Times New Roman"/>
              </w:rPr>
            </w:pPr>
            <w:hyperlink w:anchor="i_0_85" w:history="1">
              <w:r>
                <w:rPr>
                  <w:rStyle w:val="a3"/>
                  <w:rFonts w:eastAsia="Times New Roman"/>
                  <w:sz w:val="20"/>
                  <w:szCs w:val="20"/>
                </w:rPr>
                <w:t>Consolidated Statements of Income for the fiscal years ended December 28, 2019, December 29, 2018, and December 30, 2017</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85" w:history="1">
              <w:r>
                <w:rPr>
                  <w:rStyle w:val="a3"/>
                  <w:rFonts w:eastAsia="Times New Roman"/>
                  <w:sz w:val="20"/>
                  <w:szCs w:val="20"/>
                </w:rPr>
                <w:t>45</w:t>
              </w:r>
            </w:hyperlink>
          </w:p>
        </w:tc>
      </w:tr>
      <w:tr w:rsidR="00000000">
        <w:trPr>
          <w:divId w:val="1992058072"/>
          <w:trHeight w:val="300"/>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1611745444"/>
              <w:rPr>
                <w:rFonts w:eastAsia="Times New Roman"/>
              </w:rPr>
            </w:pPr>
            <w:hyperlink w:anchor="i_0_88" w:history="1">
              <w:r>
                <w:rPr>
                  <w:rStyle w:val="a3"/>
                  <w:rFonts w:eastAsia="Times New Roman"/>
                  <w:sz w:val="20"/>
                  <w:szCs w:val="20"/>
                </w:rPr>
                <w:t>Consolidated Statements of Comprehensive Income for the fiscal years ended December 28, 2019, December 29, 2018, and December 30, 2017</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88" w:history="1">
              <w:r>
                <w:rPr>
                  <w:rStyle w:val="a3"/>
                  <w:rFonts w:eastAsia="Times New Roman"/>
                  <w:sz w:val="20"/>
                  <w:szCs w:val="20"/>
                </w:rPr>
                <w:t>46</w:t>
              </w:r>
            </w:hyperlink>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 </w:t>
            </w: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1245990998"/>
              <w:rPr>
                <w:rFonts w:eastAsia="Times New Roman"/>
              </w:rPr>
            </w:pPr>
            <w:hyperlink w:anchor="i_0_91" w:history="1">
              <w:r>
                <w:rPr>
                  <w:rStyle w:val="a3"/>
                  <w:rFonts w:eastAsia="Times New Roman"/>
                  <w:sz w:val="20"/>
                  <w:szCs w:val="20"/>
                </w:rPr>
                <w:t>Consolidated Balance Sheets as of December 2</w:t>
              </w:r>
            </w:hyperlink>
            <w:hyperlink w:anchor="i_0_91" w:history="1">
              <w:r>
                <w:rPr>
                  <w:rStyle w:val="a3"/>
                  <w:rFonts w:eastAsia="Times New Roman"/>
                  <w:sz w:val="20"/>
                  <w:szCs w:val="20"/>
                </w:rPr>
                <w:t>8</w:t>
              </w:r>
            </w:hyperlink>
            <w:hyperlink w:anchor="i_0_91" w:history="1">
              <w:r>
                <w:rPr>
                  <w:rStyle w:val="a3"/>
                  <w:rFonts w:eastAsia="Times New Roman"/>
                  <w:sz w:val="20"/>
                  <w:szCs w:val="20"/>
                </w:rPr>
                <w:t>, 201</w:t>
              </w:r>
            </w:hyperlink>
            <w:hyperlink w:anchor="i_0_91" w:history="1">
              <w:r>
                <w:rPr>
                  <w:rStyle w:val="a3"/>
                  <w:rFonts w:eastAsia="Times New Roman"/>
                  <w:sz w:val="20"/>
                  <w:szCs w:val="20"/>
                </w:rPr>
                <w:t>9</w:t>
              </w:r>
            </w:hyperlink>
            <w:hyperlink w:anchor="i_0_91" w:history="1">
              <w:r>
                <w:rPr>
                  <w:rStyle w:val="a3"/>
                  <w:rFonts w:eastAsia="Times New Roman"/>
                  <w:sz w:val="20"/>
                  <w:szCs w:val="20"/>
                </w:rPr>
                <w:t xml:space="preserve"> and December </w:t>
              </w:r>
            </w:hyperlink>
            <w:hyperlink w:anchor="i_0_91" w:history="1">
              <w:r>
                <w:rPr>
                  <w:rStyle w:val="a3"/>
                  <w:rFonts w:eastAsia="Times New Roman"/>
                  <w:sz w:val="20"/>
                  <w:szCs w:val="20"/>
                </w:rPr>
                <w:t>29</w:t>
              </w:r>
            </w:hyperlink>
            <w:hyperlink w:anchor="i_0_91" w:history="1">
              <w:r>
                <w:rPr>
                  <w:rStyle w:val="a3"/>
                  <w:rFonts w:eastAsia="Times New Roman"/>
                  <w:sz w:val="20"/>
                  <w:szCs w:val="20"/>
                </w:rPr>
                <w:t>, 20</w:t>
              </w:r>
            </w:hyperlink>
            <w:hyperlink w:anchor="i_0_91" w:history="1">
              <w:r>
                <w:rPr>
                  <w:rStyle w:val="a3"/>
                  <w:rFonts w:eastAsia="Times New Roman"/>
                  <w:sz w:val="20"/>
                  <w:szCs w:val="20"/>
                </w:rPr>
                <w:t>18</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91" w:history="1">
              <w:r>
                <w:rPr>
                  <w:rStyle w:val="a3"/>
                  <w:rFonts w:eastAsia="Times New Roman"/>
                  <w:sz w:val="20"/>
                  <w:szCs w:val="20"/>
                </w:rPr>
                <w:t>47</w:t>
              </w:r>
            </w:hyperlink>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 </w:t>
            </w: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51319635"/>
              <w:rPr>
                <w:rFonts w:eastAsia="Times New Roman"/>
              </w:rPr>
            </w:pPr>
            <w:hyperlink w:anchor="i_0_97" w:history="1">
              <w:r>
                <w:rPr>
                  <w:rStyle w:val="a3"/>
                  <w:rFonts w:eastAsia="Times New Roman"/>
                  <w:sz w:val="20"/>
                  <w:szCs w:val="20"/>
                </w:rPr>
                <w:t>Consolidated Statements of Stockholders’ Equity for the fiscal years ended December 28, 2019, December 29, 2018, and December 30, 2017</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97" w:history="1">
              <w:r>
                <w:rPr>
                  <w:rStyle w:val="a3"/>
                  <w:rFonts w:eastAsia="Times New Roman"/>
                  <w:sz w:val="20"/>
                  <w:szCs w:val="20"/>
                </w:rPr>
                <w:t>48</w:t>
              </w:r>
            </w:hyperlink>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 </w:t>
            </w: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1709142407"/>
              <w:rPr>
                <w:rFonts w:eastAsia="Times New Roman"/>
              </w:rPr>
            </w:pPr>
            <w:hyperlink w:anchor="i_0_100" w:history="1">
              <w:r>
                <w:rPr>
                  <w:rStyle w:val="a3"/>
                  <w:rFonts w:eastAsia="Times New Roman"/>
                  <w:sz w:val="20"/>
                  <w:szCs w:val="20"/>
                </w:rPr>
                <w:t>Consolidated Statements of Cash Flows for the fiscal years ended December 28, 2019, December 29, 2018, and December 30, 2017</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100" w:history="1">
              <w:r>
                <w:rPr>
                  <w:rStyle w:val="a3"/>
                  <w:rFonts w:eastAsia="Times New Roman"/>
                  <w:sz w:val="20"/>
                  <w:szCs w:val="20"/>
                </w:rPr>
                <w:t>49</w:t>
              </w:r>
            </w:hyperlink>
          </w:p>
        </w:tc>
      </w:tr>
      <w:tr w:rsidR="00000000">
        <w:trPr>
          <w:divId w:val="1992058072"/>
          <w:trHeight w:val="300"/>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92058072"/>
        </w:trPr>
        <w:tc>
          <w:tcPr>
            <w:tcW w:w="0" w:type="auto"/>
            <w:gridSpan w:val="3"/>
            <w:tcMar>
              <w:top w:w="30" w:type="dxa"/>
              <w:left w:w="20" w:type="dxa"/>
              <w:bottom w:w="30" w:type="dxa"/>
              <w:right w:w="20" w:type="dxa"/>
            </w:tcMar>
            <w:vAlign w:val="bottom"/>
            <w:hideMark/>
          </w:tcPr>
          <w:p w:rsidR="00000000" w:rsidRDefault="00CB61D5">
            <w:pPr>
              <w:divId w:val="1929264544"/>
              <w:rPr>
                <w:rFonts w:eastAsia="Times New Roman"/>
              </w:rPr>
            </w:pPr>
            <w:hyperlink w:anchor="i_0_103"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CB61D5">
            <w:pPr>
              <w:jc w:val="center"/>
              <w:rPr>
                <w:rFonts w:eastAsia="Times New Roman"/>
              </w:rPr>
            </w:pPr>
            <w:hyperlink w:anchor="i_0_103" w:history="1">
              <w:r>
                <w:rPr>
                  <w:rStyle w:val="a3"/>
                  <w:rFonts w:eastAsia="Times New Roman"/>
                  <w:sz w:val="20"/>
                  <w:szCs w:val="20"/>
                </w:rPr>
                <w:t>50</w:t>
              </w:r>
            </w:hyperlink>
          </w:p>
        </w:tc>
      </w:tr>
    </w:tbl>
    <w:p w:rsidR="00000000" w:rsidRDefault="00CB61D5">
      <w:pPr>
        <w:divId w:val="1697583221"/>
        <w:rPr>
          <w:rFonts w:eastAsia="Times New Roman"/>
        </w:rPr>
      </w:pPr>
    </w:p>
    <w:p w:rsidR="00000000" w:rsidRDefault="00CB61D5">
      <w:pPr>
        <w:jc w:val="center"/>
        <w:divId w:val="1587152087"/>
        <w:rPr>
          <w:rFonts w:eastAsia="Times New Roman"/>
        </w:rPr>
      </w:pPr>
      <w:r>
        <w:rPr>
          <w:rFonts w:eastAsia="Times New Roman"/>
          <w:color w:val="000000"/>
          <w:sz w:val="20"/>
          <w:szCs w:val="20"/>
        </w:rPr>
        <w:t>3</w:t>
      </w:r>
      <w:r>
        <w:rPr>
          <w:rFonts w:eastAsia="Times New Roman"/>
          <w:color w:val="000000"/>
          <w:sz w:val="20"/>
          <w:szCs w:val="20"/>
        </w:rPr>
        <w:t>9</w:t>
      </w:r>
    </w:p>
    <w:p w:rsidR="00000000" w:rsidRDefault="00CB61D5">
      <w:pPr>
        <w:rPr>
          <w:rFonts w:eastAsia="Times New Roman"/>
        </w:rPr>
      </w:pPr>
      <w:r>
        <w:rPr>
          <w:rFonts w:eastAsia="Times New Roman"/>
        </w:rPr>
        <w:pict>
          <v:rect id="_x0000_i1068" style="width:0;height:1.5pt" o:hralign="center" o:hrstd="t" o:hr="t" fillcolor="#a0a0a0" stroked="f"/>
        </w:pict>
      </w:r>
    </w:p>
    <w:p w:rsidR="00000000" w:rsidRDefault="00CB61D5">
      <w:pPr>
        <w:divId w:val="373846044"/>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Management’s Report on Internal Control Over Financial Reportin</w:t>
      </w:r>
      <w:r>
        <w:rPr>
          <w:rFonts w:eastAsia="Times New Roman"/>
          <w:b/>
          <w:bCs/>
          <w:color w:val="000000"/>
          <w:sz w:val="20"/>
          <w:szCs w:val="20"/>
        </w:rPr>
        <w:t>g</w:t>
      </w:r>
    </w:p>
    <w:p w:rsidR="00000000" w:rsidRDefault="00CB61D5">
      <w:pPr>
        <w:divId w:val="47848635"/>
        <w:rPr>
          <w:rFonts w:eastAsia="Times New Roman"/>
        </w:rPr>
      </w:pPr>
    </w:p>
    <w:p w:rsidR="00000000" w:rsidRDefault="00CB61D5">
      <w:pPr>
        <w:jc w:val="both"/>
        <w:rPr>
          <w:rFonts w:eastAsia="Times New Roman"/>
        </w:rPr>
      </w:pPr>
      <w:r>
        <w:rPr>
          <w:rFonts w:eastAsia="Times New Roman"/>
          <w:color w:val="000000"/>
          <w:sz w:val="20"/>
          <w:szCs w:val="20"/>
        </w:rPr>
        <w:t>Our management is responsible for establishing and maintaining adequate internal control over financial reporting (as d</w:t>
      </w:r>
      <w:r>
        <w:rPr>
          <w:rFonts w:eastAsia="Times New Roman"/>
          <w:color w:val="000000"/>
          <w:sz w:val="20"/>
          <w:szCs w:val="20"/>
        </w:rPr>
        <w:t>efined in Rules 13a-15(f) under the Securities Exchange Act of 1934, as amended).  The Company’s internal control over financial reporting is a process designed to provide reasonable assurance regarding the reliability of financial reporting and the prepar</w:t>
      </w:r>
      <w:r>
        <w:rPr>
          <w:rFonts w:eastAsia="Times New Roman"/>
          <w:color w:val="000000"/>
          <w:sz w:val="20"/>
          <w:szCs w:val="20"/>
        </w:rPr>
        <w:t>ation of financial statements for external purposes in accordance with generally accepted accounting principles</w:t>
      </w:r>
      <w:r>
        <w:rPr>
          <w:rFonts w:eastAsia="Times New Roman"/>
          <w:color w:val="000000"/>
          <w:sz w:val="20"/>
          <w:szCs w:val="20"/>
        </w:rPr>
        <w:t>.</w:t>
      </w:r>
    </w:p>
    <w:p w:rsidR="00000000" w:rsidRDefault="00CB61D5">
      <w:pPr>
        <w:divId w:val="894269459"/>
        <w:rPr>
          <w:rFonts w:eastAsia="Times New Roman"/>
        </w:rPr>
      </w:pPr>
    </w:p>
    <w:p w:rsidR="00000000" w:rsidRDefault="00CB61D5">
      <w:pPr>
        <w:jc w:val="both"/>
        <w:rPr>
          <w:rFonts w:eastAsia="Times New Roman"/>
        </w:rPr>
      </w:pPr>
      <w:r>
        <w:rPr>
          <w:rFonts w:eastAsia="Times New Roman"/>
          <w:color w:val="000000"/>
          <w:sz w:val="20"/>
          <w:szCs w:val="20"/>
        </w:rPr>
        <w:t>Because of its inherent limitations, internal control over financial reporting may not prevent or detect misstatements.  Therefore, even those systems determined to be effective can provide only reasonable assurance with respect to financial statement prep</w:t>
      </w:r>
      <w:r>
        <w:rPr>
          <w:rFonts w:eastAsia="Times New Roman"/>
          <w:color w:val="000000"/>
          <w:sz w:val="20"/>
          <w:szCs w:val="20"/>
        </w:rPr>
        <w:t>aration and presentation</w:t>
      </w:r>
      <w:r>
        <w:rPr>
          <w:rFonts w:eastAsia="Times New Roman"/>
          <w:color w:val="000000"/>
          <w:sz w:val="20"/>
          <w:szCs w:val="20"/>
        </w:rPr>
        <w:t>.</w:t>
      </w:r>
    </w:p>
    <w:p w:rsidR="00000000" w:rsidRDefault="00CB61D5">
      <w:pPr>
        <w:divId w:val="184565436"/>
        <w:rPr>
          <w:rFonts w:eastAsia="Times New Roman"/>
        </w:rPr>
      </w:pPr>
    </w:p>
    <w:p w:rsidR="00000000" w:rsidRDefault="00CB61D5">
      <w:pPr>
        <w:jc w:val="both"/>
        <w:rPr>
          <w:rFonts w:eastAsia="Times New Roman"/>
        </w:rPr>
      </w:pPr>
      <w:r>
        <w:rPr>
          <w:rFonts w:eastAsia="Times New Roman"/>
          <w:color w:val="000000"/>
          <w:sz w:val="20"/>
          <w:szCs w:val="20"/>
        </w:rPr>
        <w:t>Management assessed the effectiveness of the Company’s internal control over financial reporting as of December 28, 2019.  In making this assessment, management used the criteria established in Internal Control-Integrated Framew</w:t>
      </w:r>
      <w:r>
        <w:rPr>
          <w:rFonts w:eastAsia="Times New Roman"/>
          <w:color w:val="000000"/>
          <w:sz w:val="20"/>
          <w:szCs w:val="20"/>
        </w:rPr>
        <w:t>ork issued by the Committee of Sponsoring Organizations of the Treadway Commission (2013 framework) (the COSO criteria).  Based on this assessment, management believes that, as of December 28, 2019, the Company’s internal control over financial reporting i</w:t>
      </w:r>
      <w:r>
        <w:rPr>
          <w:rFonts w:eastAsia="Times New Roman"/>
          <w:color w:val="000000"/>
          <w:sz w:val="20"/>
          <w:szCs w:val="20"/>
        </w:rPr>
        <w:t>s effective based on those criteria</w:t>
      </w:r>
      <w:r>
        <w:rPr>
          <w:rFonts w:eastAsia="Times New Roman"/>
          <w:color w:val="000000"/>
          <w:sz w:val="20"/>
          <w:szCs w:val="20"/>
        </w:rPr>
        <w:t>.</w:t>
      </w:r>
    </w:p>
    <w:p w:rsidR="00000000" w:rsidRDefault="00CB61D5">
      <w:pPr>
        <w:divId w:val="1526477867"/>
        <w:rPr>
          <w:rFonts w:eastAsia="Times New Roman"/>
        </w:rPr>
      </w:pPr>
    </w:p>
    <w:p w:rsidR="00000000" w:rsidRDefault="00CB61D5">
      <w:pPr>
        <w:jc w:val="both"/>
        <w:rPr>
          <w:rFonts w:eastAsia="Times New Roman"/>
        </w:rPr>
      </w:pPr>
      <w:r>
        <w:rPr>
          <w:rFonts w:eastAsia="Times New Roman"/>
          <w:color w:val="000000"/>
          <w:sz w:val="20"/>
          <w:szCs w:val="20"/>
        </w:rPr>
        <w:t xml:space="preserve">Ernst &amp; Young LLP, the independent registered public accounting firm which also audited the Company’s Consolidated Financial Statements, has issued a report on the Company’s internal control over financial reporting, </w:t>
      </w:r>
      <w:r>
        <w:rPr>
          <w:rFonts w:eastAsia="Times New Roman"/>
          <w:color w:val="000000"/>
          <w:sz w:val="20"/>
          <w:szCs w:val="20"/>
        </w:rPr>
        <w:t>which is included herein</w:t>
      </w:r>
      <w:r>
        <w:rPr>
          <w:rFonts w:eastAsia="Times New Roman"/>
          <w:color w:val="000000"/>
          <w:sz w:val="20"/>
          <w:szCs w:val="20"/>
        </w:rPr>
        <w:t>.</w:t>
      </w:r>
    </w:p>
    <w:p w:rsidR="00000000" w:rsidRDefault="00CB61D5">
      <w:pPr>
        <w:divId w:val="1850291123"/>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3620"/>
        <w:gridCol w:w="71"/>
        <w:gridCol w:w="36"/>
        <w:gridCol w:w="56"/>
        <w:gridCol w:w="36"/>
        <w:gridCol w:w="71"/>
        <w:gridCol w:w="146"/>
        <w:gridCol w:w="71"/>
        <w:gridCol w:w="36"/>
        <w:gridCol w:w="56"/>
        <w:gridCol w:w="36"/>
        <w:gridCol w:w="71"/>
        <w:gridCol w:w="3643"/>
        <w:gridCol w:w="71"/>
        <w:gridCol w:w="36"/>
        <w:gridCol w:w="36"/>
        <w:gridCol w:w="36"/>
        <w:gridCol w:w="36"/>
        <w:gridCol w:w="36"/>
        <w:gridCol w:w="36"/>
      </w:tblGrid>
      <w:tr w:rsidR="00000000">
        <w:trPr>
          <w:gridAfter w:val="6"/>
          <w:divId w:val="2083407212"/>
          <w:jc w:val="center"/>
        </w:trPr>
        <w:tc>
          <w:tcPr>
            <w:tcW w:w="50" w:type="pct"/>
            <w:vAlign w:val="center"/>
            <w:hideMark/>
          </w:tcPr>
          <w:p w:rsidR="00000000" w:rsidRDefault="00CB61D5">
            <w:pPr>
              <w:rPr>
                <w:rFonts w:eastAsia="Times New Roman"/>
              </w:rPr>
            </w:pPr>
          </w:p>
        </w:tc>
        <w:tc>
          <w:tcPr>
            <w:tcW w:w="22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41"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9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41"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25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6"/>
          <w:divId w:val="2083407212"/>
          <w:trHeight w:val="78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83407212"/>
          <w:trHeight w:val="24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83407212"/>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    Harry A. Lawton II</w:t>
            </w:r>
            <w:r>
              <w:rPr>
                <w:rFonts w:eastAsia="Times New Roman"/>
                <w:color w:val="000000"/>
                <w:sz w:val="20"/>
                <w:szCs w:val="20"/>
              </w:rPr>
              <w:t>I</w:t>
            </w:r>
            <w:r>
              <w:rPr>
                <w:rFonts w:eastAsia="Times New Roman"/>
                <w:color w:val="000000"/>
                <w:sz w:val="14"/>
                <w:szCs w:val="14"/>
              </w:rPr>
              <w:t xml:space="preserve">   </w:t>
            </w:r>
            <w:r>
              <w:rPr>
                <w:rFonts w:eastAsia="Times New Roman"/>
                <w:color w:val="000000"/>
                <w:sz w:val="14"/>
                <w:szCs w:val="14"/>
              </w:rPr>
              <w:t> </w:t>
            </w: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4"/>
                <w:szCs w:val="14"/>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    Kurt D. Barto</w:t>
            </w:r>
            <w:r>
              <w:rPr>
                <w:rFonts w:eastAsia="Times New Roman"/>
                <w:color w:val="000000"/>
                <w:sz w:val="20"/>
                <w:szCs w:val="20"/>
              </w:rPr>
              <w:t>n</w:t>
            </w:r>
            <w:r>
              <w:rPr>
                <w:rFonts w:eastAsia="Times New Roman"/>
                <w:color w:val="000000"/>
                <w:sz w:val="14"/>
                <w:szCs w:val="14"/>
              </w:rPr>
              <w:t> </w:t>
            </w:r>
            <w:r>
              <w:rPr>
                <w:rFonts w:eastAsia="Times New Roman"/>
                <w:color w:val="000000"/>
                <w:sz w:val="14"/>
                <w:szCs w:val="14"/>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340721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CB61D5">
            <w:pPr>
              <w:jc w:val="center"/>
              <w:rPr>
                <w:rFonts w:eastAsia="Times New Roman"/>
              </w:rPr>
            </w:pPr>
            <w:r>
              <w:rPr>
                <w:rFonts w:eastAsia="Times New Roman"/>
                <w:b/>
                <w:bCs/>
                <w:color w:val="000000"/>
                <w:sz w:val="18"/>
                <w:szCs w:val="18"/>
              </w:rPr>
              <w:t>Harry A. Lawton II</w:t>
            </w:r>
            <w:r>
              <w:rPr>
                <w:rFonts w:eastAsia="Times New Roman"/>
                <w:b/>
                <w:bCs/>
                <w:color w:val="000000"/>
                <w:sz w:val="18"/>
                <w:szCs w:val="18"/>
              </w:rPr>
              <w:t>I</w:t>
            </w:r>
          </w:p>
          <w:p w:rsidR="00000000" w:rsidRDefault="00CB61D5">
            <w:pPr>
              <w:jc w:val="center"/>
              <w:rPr>
                <w:rFonts w:eastAsia="Times New Roman"/>
              </w:rPr>
            </w:pPr>
            <w:r>
              <w:rPr>
                <w:rFonts w:eastAsia="Times New Roman"/>
                <w:b/>
                <w:bCs/>
                <w:color w:val="000000"/>
                <w:sz w:val="18"/>
                <w:szCs w:val="18"/>
              </w:rPr>
              <w:t>President and Chief Executive Office</w:t>
            </w:r>
            <w:r>
              <w:rPr>
                <w:rFonts w:eastAsia="Times New Roman"/>
                <w:b/>
                <w:bCs/>
                <w:color w:val="000000"/>
                <w:sz w:val="18"/>
                <w:szCs w:val="18"/>
              </w:rPr>
              <w:t>r</w:t>
            </w: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Kurt D. Barto</w:t>
            </w:r>
            <w:r>
              <w:rPr>
                <w:rFonts w:eastAsia="Times New Roman"/>
                <w:b/>
                <w:bCs/>
                <w:color w:val="000000"/>
                <w:sz w:val="18"/>
                <w:szCs w:val="18"/>
              </w:rPr>
              <w:t>n</w:t>
            </w:r>
          </w:p>
          <w:p w:rsidR="00000000" w:rsidRDefault="00CB61D5">
            <w:pPr>
              <w:jc w:val="center"/>
              <w:rPr>
                <w:rFonts w:eastAsia="Times New Roman"/>
              </w:rPr>
            </w:pPr>
            <w:r>
              <w:rPr>
                <w:rFonts w:eastAsia="Times New Roman"/>
                <w:b/>
                <w:bCs/>
                <w:color w:val="000000"/>
                <w:sz w:val="18"/>
                <w:szCs w:val="18"/>
              </w:rPr>
              <w:t xml:space="preserve">Executive Vice President </w:t>
            </w:r>
            <w:r>
              <w:rPr>
                <w:rFonts w:eastAsia="Times New Roman"/>
                <w:b/>
                <w:bCs/>
                <w:color w:val="000000"/>
                <w:sz w:val="18"/>
                <w:szCs w:val="18"/>
              </w:rPr>
              <w:t>-</w:t>
            </w:r>
          </w:p>
          <w:p w:rsidR="00000000" w:rsidRDefault="00CB61D5">
            <w:pPr>
              <w:jc w:val="center"/>
              <w:divId w:val="2006468000"/>
              <w:rPr>
                <w:rFonts w:eastAsia="Times New Roman"/>
              </w:rPr>
            </w:pPr>
            <w:r>
              <w:rPr>
                <w:rFonts w:eastAsia="Times New Roman"/>
                <w:b/>
                <w:bCs/>
                <w:color w:val="000000"/>
                <w:sz w:val="18"/>
                <w:szCs w:val="18"/>
              </w:rPr>
              <w:t>Chief Financial Officer and Treasure</w:t>
            </w:r>
            <w:r>
              <w:rPr>
                <w:rFonts w:eastAsia="Times New Roman"/>
                <w:b/>
                <w:bCs/>
                <w:color w:val="000000"/>
                <w:sz w:val="18"/>
                <w:szCs w:val="18"/>
              </w:rPr>
              <w:t>r</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83407212"/>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February 20, 202</w:t>
            </w:r>
            <w:r>
              <w:rPr>
                <w:rFonts w:eastAsia="Times New Roman"/>
                <w:b/>
                <w:bCs/>
                <w:color w:val="000000"/>
                <w:sz w:val="18"/>
                <w:szCs w:val="18"/>
              </w:rPr>
              <w:t>0</w:t>
            </w: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February 20, 202</w:t>
            </w:r>
            <w:r>
              <w:rPr>
                <w:rFonts w:eastAsia="Times New Roman"/>
                <w:b/>
                <w:bCs/>
                <w:color w:val="000000"/>
                <w:sz w:val="18"/>
                <w:szCs w:val="18"/>
              </w:rPr>
              <w:t>0</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405445557"/>
        <w:rPr>
          <w:rFonts w:eastAsia="Times New Roman"/>
        </w:rPr>
      </w:pPr>
    </w:p>
    <w:p w:rsidR="00000000" w:rsidRDefault="00CB61D5">
      <w:pPr>
        <w:jc w:val="center"/>
        <w:divId w:val="1695418768"/>
        <w:rPr>
          <w:rFonts w:eastAsia="Times New Roman"/>
        </w:rPr>
      </w:pPr>
      <w:r>
        <w:rPr>
          <w:rFonts w:eastAsia="Times New Roman"/>
          <w:color w:val="000000"/>
          <w:sz w:val="20"/>
          <w:szCs w:val="20"/>
        </w:rPr>
        <w:t>4</w:t>
      </w:r>
      <w:r>
        <w:rPr>
          <w:rFonts w:eastAsia="Times New Roman"/>
          <w:color w:val="000000"/>
          <w:sz w:val="20"/>
          <w:szCs w:val="20"/>
        </w:rPr>
        <w:t>0</w:t>
      </w:r>
    </w:p>
    <w:p w:rsidR="00000000" w:rsidRDefault="00CB61D5">
      <w:pPr>
        <w:rPr>
          <w:rFonts w:eastAsia="Times New Roman"/>
        </w:rPr>
      </w:pPr>
      <w:r>
        <w:rPr>
          <w:rFonts w:eastAsia="Times New Roman"/>
        </w:rPr>
        <w:pict>
          <v:rect id="_x0000_i1069" style="width:0;height:1.5pt" o:hralign="center" o:hrstd="t" o:hr="t" fillcolor="#a0a0a0" stroked="f"/>
        </w:pict>
      </w:r>
    </w:p>
    <w:p w:rsidR="00000000" w:rsidRDefault="00CB61D5">
      <w:pPr>
        <w:divId w:val="276522159"/>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CB61D5">
      <w:pPr>
        <w:divId w:val="1454129210"/>
        <w:rPr>
          <w:rFonts w:eastAsia="Times New Roman"/>
        </w:rPr>
      </w:pPr>
    </w:p>
    <w:p w:rsidR="00000000" w:rsidRDefault="00CB61D5">
      <w:pPr>
        <w:divId w:val="7680819"/>
        <w:rPr>
          <w:rFonts w:eastAsia="Times New Roman"/>
        </w:rPr>
      </w:pPr>
    </w:p>
    <w:p w:rsidR="00000000" w:rsidRDefault="00CB61D5">
      <w:pPr>
        <w:divId w:val="1171870661"/>
        <w:rPr>
          <w:rFonts w:eastAsia="Times New Roman"/>
        </w:rPr>
      </w:pPr>
      <w:r>
        <w:rPr>
          <w:rFonts w:eastAsia="Times New Roman"/>
          <w:b/>
          <w:bCs/>
          <w:color w:val="000000"/>
          <w:sz w:val="20"/>
          <w:szCs w:val="20"/>
        </w:rPr>
        <w:t>To the Shareholders and the Board of Directors of Tractor Supply Compan</w:t>
      </w:r>
      <w:r>
        <w:rPr>
          <w:rFonts w:eastAsia="Times New Roman"/>
          <w:b/>
          <w:bCs/>
          <w:color w:val="000000"/>
          <w:sz w:val="20"/>
          <w:szCs w:val="20"/>
        </w:rPr>
        <w:t>y</w:t>
      </w:r>
    </w:p>
    <w:p w:rsidR="00000000" w:rsidRDefault="00CB61D5">
      <w:pPr>
        <w:divId w:val="1104571925"/>
        <w:rPr>
          <w:rFonts w:eastAsia="Times New Roman"/>
        </w:rPr>
      </w:pPr>
    </w:p>
    <w:p w:rsidR="00000000" w:rsidRDefault="00CB61D5">
      <w:pPr>
        <w:divId w:val="1450318849"/>
        <w:rPr>
          <w:rFonts w:eastAsia="Times New Roman"/>
        </w:rPr>
      </w:pPr>
      <w:r>
        <w:rPr>
          <w:rFonts w:eastAsia="Times New Roman"/>
          <w:b/>
          <w:bCs/>
          <w:color w:val="000000"/>
          <w:sz w:val="20"/>
          <w:szCs w:val="20"/>
        </w:rPr>
        <w:t>Opinion on the Internal Control Over Financial Reportin</w:t>
      </w:r>
      <w:r>
        <w:rPr>
          <w:rFonts w:eastAsia="Times New Roman"/>
          <w:b/>
          <w:bCs/>
          <w:color w:val="000000"/>
          <w:sz w:val="20"/>
          <w:szCs w:val="20"/>
        </w:rPr>
        <w:t>g</w:t>
      </w:r>
    </w:p>
    <w:p w:rsidR="00000000" w:rsidRDefault="00CB61D5">
      <w:pPr>
        <w:jc w:val="both"/>
        <w:rPr>
          <w:rFonts w:eastAsia="Times New Roman"/>
        </w:rPr>
      </w:pPr>
      <w:r>
        <w:rPr>
          <w:rFonts w:eastAsia="Times New Roman"/>
          <w:color w:val="000000"/>
          <w:sz w:val="20"/>
          <w:szCs w:val="20"/>
        </w:rPr>
        <w:t>We have audited Tractor Supply Company’</w:t>
      </w:r>
      <w:r>
        <w:rPr>
          <w:rFonts w:eastAsia="Times New Roman"/>
          <w:color w:val="000000"/>
          <w:sz w:val="20"/>
          <w:szCs w:val="20"/>
        </w:rPr>
        <w:t>s internal control over financial reporting as of December 28, 2019, based on criteria established in Internal Control-Integrated Framework issued by the Committee of Sponsoring Organizations of the Treadway Commission (2013 framework) (the COSO criteria).</w:t>
      </w:r>
      <w:r>
        <w:rPr>
          <w:rFonts w:eastAsia="Times New Roman"/>
          <w:color w:val="000000"/>
          <w:sz w:val="20"/>
          <w:szCs w:val="20"/>
        </w:rPr>
        <w:t xml:space="preserve"> In our opinion, Tractor Supply Company (the Company) maintained, in all material respects, effective internal control over financial reporting as of December 28, 2019, based on the COSO criteria</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also have audited, in accordance with the standards of</w:t>
      </w:r>
      <w:r>
        <w:rPr>
          <w:rFonts w:eastAsia="Times New Roman"/>
          <w:color w:val="000000"/>
          <w:sz w:val="20"/>
          <w:szCs w:val="20"/>
        </w:rPr>
        <w:t xml:space="preserve"> the Public Company Accounting Oversight Board (United States) (PCAOB), the Consolidated Balance Sheets of Tractor Supply Company as of December 28, 2019 and December 29, 2018, and the related Consolidated Statements of Income, Comprehensive Income, Stockh</w:t>
      </w:r>
      <w:r>
        <w:rPr>
          <w:rFonts w:eastAsia="Times New Roman"/>
          <w:color w:val="000000"/>
          <w:sz w:val="20"/>
          <w:szCs w:val="20"/>
        </w:rPr>
        <w:t>olders’ Equity, and Cash Flows for each of the three fiscal years in the period ended December 28, 2019, and the related notes and our report dated February 20, 2020, expressed an unqualified opinion thereon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CB61D5">
      <w:pPr>
        <w:jc w:val="both"/>
        <w:rPr>
          <w:rFonts w:eastAsia="Times New Roman"/>
        </w:rPr>
      </w:pPr>
      <w:r>
        <w:rPr>
          <w:rFonts w:eastAsia="Times New Roman"/>
          <w:color w:val="000000"/>
          <w:sz w:val="20"/>
          <w:szCs w:val="20"/>
        </w:rPr>
        <w:t>The Company’s management is</w:t>
      </w:r>
      <w:r>
        <w:rPr>
          <w:rFonts w:eastAsia="Times New Roman"/>
          <w:color w:val="000000"/>
          <w:sz w:val="20"/>
          <w:szCs w:val="20"/>
        </w:rPr>
        <w:t xml:space="preserve"> responsible for maintaining effective internal control over financial reporting, and for its assessment of the effectiveness of internal control over financial reporting included in the accompanying Management’s Report on Internal Control Over Financial R</w:t>
      </w:r>
      <w:r>
        <w:rPr>
          <w:rFonts w:eastAsia="Times New Roman"/>
          <w:color w:val="000000"/>
          <w:sz w:val="20"/>
          <w:szCs w:val="20"/>
        </w:rPr>
        <w:t>eporting. Our responsibility is to express an opinion on the Company’s internal control over financial reporting based on our audit. We are a public accounting firm registered with the PCAOB and are required to be independent with respect to the Company in</w:t>
      </w:r>
      <w:r>
        <w:rPr>
          <w:rFonts w:eastAsia="Times New Roman"/>
          <w:color w:val="000000"/>
          <w:sz w:val="20"/>
          <w:szCs w:val="20"/>
        </w:rPr>
        <w:t xml:space="preserve"> accordance with U.S. federal securities laws and the applicable rules and regulations of the Securities and Exchange Commission and the PCAOB</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conducted our audit in accordance with the standards of the PCAOB. Those standards require that we plan and</w:t>
      </w:r>
      <w:r>
        <w:rPr>
          <w:rFonts w:eastAsia="Times New Roman"/>
          <w:color w:val="000000"/>
          <w:sz w:val="20"/>
          <w:szCs w:val="20"/>
        </w:rPr>
        <w:t xml:space="preserve"> perform the audit to obtain reasonable assurance about whether effective internal control over financial reporting was maintained in all material respects.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Our audit included obtaining an understanding of internal control over financial reporting, asse</w:t>
      </w:r>
      <w:r>
        <w:rPr>
          <w:rFonts w:eastAsia="Times New Roman"/>
          <w:color w:val="000000"/>
          <w:sz w:val="20"/>
          <w:szCs w:val="20"/>
        </w:rPr>
        <w:t>ssing the risk that a material weakness exists, testing and evaluating the design and operating effectiveness of internal control based on the assessed risk, and performing such other procedures as we considered necessary in the circumstances. We believe t</w:t>
      </w:r>
      <w:r>
        <w:rPr>
          <w:rFonts w:eastAsia="Times New Roman"/>
          <w:color w:val="000000"/>
          <w:sz w:val="20"/>
          <w:szCs w:val="20"/>
        </w:rPr>
        <w:t>hat our audit provides a reasonable basis for our opinion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Definition and Limitations of Internal Control Over Financial Reportin</w:t>
      </w:r>
      <w:r>
        <w:rPr>
          <w:rFonts w:eastAsia="Times New Roman"/>
          <w:b/>
          <w:bCs/>
          <w:color w:val="000000"/>
          <w:sz w:val="20"/>
          <w:szCs w:val="20"/>
        </w:rPr>
        <w:t>g</w:t>
      </w:r>
    </w:p>
    <w:p w:rsidR="00000000" w:rsidRDefault="00CB61D5">
      <w:pPr>
        <w:jc w:val="both"/>
        <w:rPr>
          <w:rFonts w:eastAsia="Times New Roman"/>
        </w:rPr>
      </w:pPr>
      <w:r>
        <w:rPr>
          <w:rFonts w:eastAsia="Times New Roman"/>
          <w:color w:val="000000"/>
          <w:sz w:val="20"/>
          <w:szCs w:val="20"/>
        </w:rPr>
        <w:t>A company’s internal control over financial reporting is a process designed to provide reasonable assurance regarding the r</w:t>
      </w:r>
      <w:r>
        <w:rPr>
          <w:rFonts w:eastAsia="Times New Roman"/>
          <w:color w:val="000000"/>
          <w:sz w:val="20"/>
          <w:szCs w:val="20"/>
        </w:rPr>
        <w:t>eliability of financial reporting and the preparation of financial statements for external purposes in accordance with generally accepted accounting principles. A company’s internal control over financial reporting includes those policies and procedures th</w:t>
      </w:r>
      <w:r>
        <w:rPr>
          <w:rFonts w:eastAsia="Times New Roman"/>
          <w:color w:val="000000"/>
          <w:sz w:val="20"/>
          <w:szCs w:val="20"/>
        </w:rPr>
        <w:t>at (1) pertain to the maintenance of records that, in reasonable detail, accurately and fairly reflect the transactions and dispositions of the assets of the company; (2) provide reasonable assurance that transactions are recorded as necessary to permit pr</w:t>
      </w:r>
      <w:r>
        <w:rPr>
          <w:rFonts w:eastAsia="Times New Roman"/>
          <w:color w:val="000000"/>
          <w:sz w:val="20"/>
          <w:szCs w:val="20"/>
        </w:rPr>
        <w:t>eparation of financial statements in accordance with generally accepted accounting principles, and that receipts and expenditures of the company are being made only in accordance with authorizations of management and directors of the company; and (3) provi</w:t>
      </w:r>
      <w:r>
        <w:rPr>
          <w:rFonts w:eastAsia="Times New Roman"/>
          <w:color w:val="000000"/>
          <w:sz w:val="20"/>
          <w:szCs w:val="20"/>
        </w:rPr>
        <w:t>de reasonable assurance regarding prevention or timely detection of unauthorized acquisition, use, or disposition of the company’s assets that could have a material effect on the financial statements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Because of its inherent limitations, internal control</w:t>
      </w:r>
      <w:r>
        <w:rPr>
          <w:rFonts w:eastAsia="Times New Roman"/>
          <w:color w:val="000000"/>
          <w:sz w:val="20"/>
          <w:szCs w:val="20"/>
        </w:rPr>
        <w:t xml:space="preserve"> over financial reporting may not prevent or detect misstatements. Also, projections of any evaluation of effectiveness to future periods are subject to the risk that controls may become inadequate because of changes in conditions, or that the degree of co</w:t>
      </w:r>
      <w:r>
        <w:rPr>
          <w:rFonts w:eastAsia="Times New Roman"/>
          <w:color w:val="000000"/>
          <w:sz w:val="20"/>
          <w:szCs w:val="20"/>
        </w:rPr>
        <w:t>mpliance with the policies or procedures may deteriorate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p>
    <w:p w:rsidR="00000000" w:rsidRDefault="00CB61D5">
      <w:pPr>
        <w:divId w:val="1768499177"/>
        <w:rPr>
          <w:rFonts w:eastAsia="Times New Roman"/>
        </w:rPr>
      </w:pPr>
    </w:p>
    <w:p w:rsidR="00000000" w:rsidRDefault="00CB61D5">
      <w:pPr>
        <w:divId w:val="441342569"/>
        <w:rPr>
          <w:rFonts w:eastAsia="Times New Roman"/>
        </w:rPr>
      </w:pPr>
    </w:p>
    <w:p w:rsidR="00000000" w:rsidRDefault="00CB61D5">
      <w:pPr>
        <w:ind w:firstLine="5040"/>
        <w:jc w:val="both"/>
        <w:rPr>
          <w:rFonts w:eastAsia="Times New Roman"/>
        </w:rPr>
      </w:pPr>
      <w:r>
        <w:rPr>
          <w:rFonts w:eastAsia="Times New Roman"/>
          <w:color w:val="000000"/>
          <w:sz w:val="20"/>
          <w:szCs w:val="20"/>
        </w:rPr>
        <w:t>/s/ Ernst &amp; Young LL</w:t>
      </w:r>
      <w:r>
        <w:rPr>
          <w:rFonts w:eastAsia="Times New Roman"/>
          <w:color w:val="000000"/>
          <w:sz w:val="20"/>
          <w:szCs w:val="20"/>
        </w:rPr>
        <w:t>P</w:t>
      </w:r>
    </w:p>
    <w:p w:rsidR="00000000" w:rsidRDefault="00CB61D5">
      <w:pPr>
        <w:divId w:val="210388104"/>
        <w:rPr>
          <w:rFonts w:eastAsia="Times New Roman"/>
        </w:rPr>
      </w:pPr>
      <w:r>
        <w:rPr>
          <w:rFonts w:eastAsia="Times New Roman"/>
          <w:color w:val="000000"/>
          <w:sz w:val="20"/>
          <w:szCs w:val="20"/>
        </w:rPr>
        <w:t>Nashville, Tennesse</w:t>
      </w:r>
      <w:r>
        <w:rPr>
          <w:rFonts w:eastAsia="Times New Roman"/>
          <w:color w:val="000000"/>
          <w:sz w:val="20"/>
          <w:szCs w:val="20"/>
        </w:rPr>
        <w:t>e</w:t>
      </w:r>
    </w:p>
    <w:p w:rsidR="00000000" w:rsidRDefault="00CB61D5">
      <w:pPr>
        <w:divId w:val="732852810"/>
        <w:rPr>
          <w:rFonts w:eastAsia="Times New Roman"/>
        </w:rPr>
      </w:pPr>
      <w:r>
        <w:rPr>
          <w:rFonts w:eastAsia="Times New Roman"/>
          <w:color w:val="000000"/>
          <w:sz w:val="20"/>
          <w:szCs w:val="20"/>
        </w:rPr>
        <w:t>February 20, 2020</w:t>
      </w:r>
      <w:r>
        <w:rPr>
          <w:rFonts w:eastAsia="Times New Roman"/>
          <w:color w:val="000000"/>
          <w:sz w:val="20"/>
          <w:szCs w:val="20"/>
        </w:rPr>
        <w:t xml:space="preserve"> </w:t>
      </w:r>
    </w:p>
    <w:p w:rsidR="00000000" w:rsidRDefault="00CB61D5">
      <w:pPr>
        <w:jc w:val="center"/>
        <w:divId w:val="928269900"/>
        <w:rPr>
          <w:rFonts w:eastAsia="Times New Roman"/>
        </w:rPr>
      </w:pPr>
      <w:r>
        <w:rPr>
          <w:rFonts w:eastAsia="Times New Roman"/>
          <w:color w:val="000000"/>
          <w:sz w:val="20"/>
          <w:szCs w:val="20"/>
        </w:rPr>
        <w:t>4</w:t>
      </w:r>
      <w:r>
        <w:rPr>
          <w:rFonts w:eastAsia="Times New Roman"/>
          <w:color w:val="000000"/>
          <w:sz w:val="20"/>
          <w:szCs w:val="20"/>
        </w:rPr>
        <w:t>1</w:t>
      </w:r>
    </w:p>
    <w:p w:rsidR="00000000" w:rsidRDefault="00CB61D5">
      <w:pPr>
        <w:rPr>
          <w:rFonts w:eastAsia="Times New Roman"/>
        </w:rPr>
      </w:pPr>
      <w:r>
        <w:rPr>
          <w:rFonts w:eastAsia="Times New Roman"/>
        </w:rPr>
        <w:pict>
          <v:rect id="_x0000_i1070" style="width:0;height:1.5pt" o:hralign="center" o:hrstd="t" o:hr="t" fillcolor="#a0a0a0" stroked="f"/>
        </w:pict>
      </w:r>
    </w:p>
    <w:p w:rsidR="00000000" w:rsidRDefault="00CB61D5">
      <w:pPr>
        <w:divId w:val="236327714"/>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CB61D5">
      <w:pPr>
        <w:divId w:val="836117606"/>
        <w:rPr>
          <w:rFonts w:eastAsia="Times New Roman"/>
        </w:rPr>
      </w:pPr>
    </w:p>
    <w:p w:rsidR="00000000" w:rsidRDefault="00CB61D5">
      <w:pPr>
        <w:divId w:val="1668828010"/>
        <w:rPr>
          <w:rFonts w:eastAsia="Times New Roman"/>
        </w:rPr>
      </w:pPr>
    </w:p>
    <w:p w:rsidR="00000000" w:rsidRDefault="00CB61D5">
      <w:pPr>
        <w:divId w:val="1268271229"/>
        <w:rPr>
          <w:rFonts w:eastAsia="Times New Roman"/>
        </w:rPr>
      </w:pPr>
      <w:r>
        <w:rPr>
          <w:rFonts w:eastAsia="Times New Roman"/>
          <w:b/>
          <w:bCs/>
          <w:color w:val="000000"/>
          <w:sz w:val="20"/>
          <w:szCs w:val="20"/>
        </w:rPr>
        <w:t>To the Shareholders and the Board of Directors of Tractor Supply Compan</w:t>
      </w:r>
      <w:r>
        <w:rPr>
          <w:rFonts w:eastAsia="Times New Roman"/>
          <w:b/>
          <w:bCs/>
          <w:color w:val="000000"/>
          <w:sz w:val="20"/>
          <w:szCs w:val="20"/>
        </w:rPr>
        <w:t>y</w:t>
      </w:r>
    </w:p>
    <w:p w:rsidR="00000000" w:rsidRDefault="00CB61D5">
      <w:pPr>
        <w:divId w:val="210583064"/>
        <w:rPr>
          <w:rFonts w:eastAsia="Times New Roman"/>
        </w:rPr>
      </w:pPr>
    </w:p>
    <w:p w:rsidR="00000000" w:rsidRDefault="00CB61D5">
      <w:pPr>
        <w:divId w:val="886331184"/>
        <w:rPr>
          <w:rFonts w:eastAsia="Times New Roman"/>
        </w:rPr>
      </w:pPr>
      <w:r>
        <w:rPr>
          <w:rFonts w:eastAsia="Times New Roman"/>
          <w:b/>
          <w:bCs/>
          <w:color w:val="000000"/>
          <w:sz w:val="20"/>
          <w:szCs w:val="20"/>
        </w:rPr>
        <w:t>Opinion on the Financial Statement</w:t>
      </w:r>
      <w:r>
        <w:rPr>
          <w:rFonts w:eastAsia="Times New Roman"/>
          <w:b/>
          <w:bCs/>
          <w:color w:val="000000"/>
          <w:sz w:val="20"/>
          <w:szCs w:val="20"/>
        </w:rPr>
        <w:t>s</w:t>
      </w:r>
    </w:p>
    <w:p w:rsidR="00000000" w:rsidRDefault="00CB61D5">
      <w:pPr>
        <w:jc w:val="both"/>
        <w:rPr>
          <w:rFonts w:eastAsia="Times New Roman"/>
        </w:rPr>
      </w:pPr>
      <w:r>
        <w:rPr>
          <w:rFonts w:eastAsia="Times New Roman"/>
          <w:color w:val="000000"/>
          <w:sz w:val="20"/>
          <w:szCs w:val="20"/>
        </w:rPr>
        <w:t>We have audited</w:t>
      </w:r>
      <w:r>
        <w:rPr>
          <w:rFonts w:eastAsia="Times New Roman"/>
          <w:color w:val="000000"/>
          <w:sz w:val="20"/>
          <w:szCs w:val="20"/>
        </w:rPr>
        <w:t xml:space="preserve"> the accompanying Consolidated Balance Sheets of Tractor Supply Company (the Company) as of December 28, 2019 and December 29, 2018, the related Consolidated Statements of Income, Comprehensive Income, Stockholders’ Equity, and Cash Flows for each of the t</w:t>
      </w:r>
      <w:r>
        <w:rPr>
          <w:rFonts w:eastAsia="Times New Roman"/>
          <w:color w:val="000000"/>
          <w:sz w:val="20"/>
          <w:szCs w:val="20"/>
        </w:rPr>
        <w:t>hree fiscal years in the period ended December 28, 2019, and the related notes (collectively referred to as the “consolidated financial statements”). In our opinion, the consolidated financial statements present fairly, in all material respects, the financ</w:t>
      </w:r>
      <w:r>
        <w:rPr>
          <w:rFonts w:eastAsia="Times New Roman"/>
          <w:color w:val="000000"/>
          <w:sz w:val="20"/>
          <w:szCs w:val="20"/>
        </w:rPr>
        <w:t>ial position of the Company at December 28, 2019 and December 29, 2018, and the results of its operations and its cash flows for each of the three fiscal years in the period ended December 28, 2019, in conformity with U.S. generally accepted accounting pri</w:t>
      </w:r>
      <w:r>
        <w:rPr>
          <w:rFonts w:eastAsia="Times New Roman"/>
          <w:color w:val="000000"/>
          <w:sz w:val="20"/>
          <w:szCs w:val="20"/>
        </w:rPr>
        <w:t>nciples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28, 2019, based on criteria established in In</w:t>
      </w:r>
      <w:r>
        <w:rPr>
          <w:rFonts w:eastAsia="Times New Roman"/>
          <w:color w:val="000000"/>
          <w:sz w:val="20"/>
          <w:szCs w:val="20"/>
        </w:rPr>
        <w:t>ternal Control-Integrated Framework issued by the Committee of Sponsoring Organizations of the Treadway Commission (2013 framework) and our report dated February 20, 2020, expressed an unqualified opinion thereon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Adoption of New Accounting Standar</w:t>
      </w:r>
      <w:r>
        <w:rPr>
          <w:rFonts w:eastAsia="Times New Roman"/>
          <w:b/>
          <w:bCs/>
          <w:color w:val="000000"/>
          <w:sz w:val="20"/>
          <w:szCs w:val="20"/>
        </w:rPr>
        <w:t>d</w:t>
      </w:r>
    </w:p>
    <w:p w:rsidR="00000000" w:rsidRDefault="00CB61D5">
      <w:pPr>
        <w:jc w:val="both"/>
        <w:rPr>
          <w:rFonts w:eastAsia="Times New Roman"/>
        </w:rPr>
      </w:pPr>
      <w:r>
        <w:rPr>
          <w:rFonts w:eastAsia="Times New Roman"/>
          <w:color w:val="000000"/>
          <w:sz w:val="20"/>
          <w:szCs w:val="20"/>
        </w:rPr>
        <w:t>As d</w:t>
      </w:r>
      <w:r>
        <w:rPr>
          <w:rFonts w:eastAsia="Times New Roman"/>
          <w:color w:val="000000"/>
          <w:sz w:val="20"/>
          <w:szCs w:val="20"/>
        </w:rPr>
        <w:t>iscussed in Note 1, Note 6, and Note 14 to the consolidated financial statements, the Company changed its method of accounting for leases in fiscal 2019 due to the adoption of Accounting Standards Update (“ASU”) 2016-02, “Leases (Topic 842)”. See below for</w:t>
      </w:r>
      <w:r>
        <w:rPr>
          <w:rFonts w:eastAsia="Times New Roman"/>
          <w:color w:val="000000"/>
          <w:sz w:val="20"/>
          <w:szCs w:val="20"/>
        </w:rPr>
        <w:t xml:space="preserve"> discussion of our related critical audit matter</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CB61D5">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w:t>
      </w:r>
      <w:r>
        <w:rPr>
          <w:rFonts w:eastAsia="Times New Roman"/>
          <w:color w:val="000000"/>
          <w:sz w:val="20"/>
          <w:szCs w:val="20"/>
        </w:rPr>
        <w:t xml:space="preserve">re a public accounting firm registered with the PCAOB and are required to be independent with respect to the Company in accordance with the U.S. federal securities laws and the applicable rules and regulations of the Securities and Exchange Commission and </w:t>
      </w:r>
      <w:r>
        <w:rPr>
          <w:rFonts w:eastAsia="Times New Roman"/>
          <w:color w:val="000000"/>
          <w:sz w:val="20"/>
          <w:szCs w:val="20"/>
        </w:rPr>
        <w:t>the PCAOB</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w:t>
      </w:r>
      <w:r>
        <w:rPr>
          <w:rFonts w:eastAsia="Times New Roman"/>
          <w:color w:val="000000"/>
          <w:sz w:val="20"/>
          <w:szCs w:val="20"/>
        </w:rPr>
        <w:t>due to error or fraud. Our audits included performing procedures to assess the risks of material misstatement of the financial statements, whether due to error or fraud, and performing procedures that respond to those risks. Such procedures include examini</w:t>
      </w:r>
      <w:r>
        <w:rPr>
          <w:rFonts w:eastAsia="Times New Roman"/>
          <w:color w:val="000000"/>
          <w:sz w:val="20"/>
          <w:szCs w:val="20"/>
        </w:rPr>
        <w:t>ng, on a test basis, evidence regarding the amounts and disclosures in the financial statements. Our audits also included evaluating the accounting principles used and significant estimates made by management, as well as evaluating the overall presentation</w:t>
      </w:r>
      <w:r>
        <w:rPr>
          <w:rFonts w:eastAsia="Times New Roman"/>
          <w:color w:val="000000"/>
          <w:sz w:val="20"/>
          <w:szCs w:val="20"/>
        </w:rPr>
        <w:t xml:space="preserve"> of the financial statements. We believe that our audits provide a reasonable basis for our opinion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Critical Audit Matter</w:t>
      </w:r>
      <w:r>
        <w:rPr>
          <w:rFonts w:eastAsia="Times New Roman"/>
          <w:b/>
          <w:bCs/>
          <w:color w:val="000000"/>
          <w:sz w:val="20"/>
          <w:szCs w:val="20"/>
        </w:rPr>
        <w:t>s</w:t>
      </w:r>
    </w:p>
    <w:p w:rsidR="00000000" w:rsidRDefault="00CB61D5">
      <w:pPr>
        <w:jc w:val="both"/>
        <w:rPr>
          <w:rFonts w:eastAsia="Times New Roman"/>
        </w:rPr>
      </w:pPr>
      <w:r>
        <w:rPr>
          <w:rFonts w:eastAsia="Times New Roman"/>
          <w:color w:val="000000"/>
          <w:sz w:val="20"/>
          <w:szCs w:val="20"/>
        </w:rPr>
        <w:t>The critical audit matters communicated below are matters arising from the current period audit of the financial statements that w</w:t>
      </w:r>
      <w:r>
        <w:rPr>
          <w:rFonts w:eastAsia="Times New Roman"/>
          <w:color w:val="000000"/>
          <w:sz w:val="20"/>
          <w:szCs w:val="20"/>
        </w:rPr>
        <w:t>ere communicated or required to be communicated to the audit committee and that: (1) relate to accounts or disclosures that are material to the financial statements and (2) involved our especially challenging, subjective or complex judgments. The communica</w:t>
      </w:r>
      <w:r>
        <w:rPr>
          <w:rFonts w:eastAsia="Times New Roman"/>
          <w:color w:val="000000"/>
          <w:sz w:val="20"/>
          <w:szCs w:val="20"/>
        </w:rPr>
        <w:t>tion of critical audit matters does not alter in any way our opinion on the consolidated financial statements, taken as a whole, and we are not, by communicating the critical audit matters below, providing separate opinions on the critical audit matters or</w:t>
      </w:r>
      <w:r>
        <w:rPr>
          <w:rFonts w:eastAsia="Times New Roman"/>
          <w:color w:val="000000"/>
          <w:sz w:val="20"/>
          <w:szCs w:val="20"/>
        </w:rPr>
        <w:t xml:space="preserve"> on the accounts or disclosures to which they relate.</w:t>
      </w:r>
      <w:r>
        <w:rPr>
          <w:rFonts w:eastAsia="Times New Roman"/>
          <w:color w:val="000000"/>
          <w:sz w:val="20"/>
          <w:szCs w:val="20"/>
        </w:rPr>
        <w:t xml:space="preserve"> </w:t>
      </w:r>
    </w:p>
    <w:p w:rsidR="00000000" w:rsidRDefault="00CB61D5">
      <w:pPr>
        <w:divId w:val="20654461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3"/>
        <w:gridCol w:w="1181"/>
        <w:gridCol w:w="83"/>
        <w:gridCol w:w="83"/>
        <w:gridCol w:w="6793"/>
        <w:gridCol w:w="83"/>
      </w:tblGrid>
      <w:tr w:rsidR="00000000">
        <w:trPr>
          <w:divId w:val="352265002"/>
        </w:trPr>
        <w:tc>
          <w:tcPr>
            <w:tcW w:w="50" w:type="pct"/>
            <w:vAlign w:val="center"/>
            <w:hideMark/>
          </w:tcPr>
          <w:p w:rsidR="00000000" w:rsidRDefault="00CB61D5">
            <w:pPr>
              <w:rPr>
                <w:rFonts w:eastAsia="Times New Roman"/>
              </w:rPr>
            </w:pPr>
          </w:p>
        </w:tc>
        <w:tc>
          <w:tcPr>
            <w:tcW w:w="71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0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352265002"/>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i/>
                <w:iCs/>
                <w:color w:val="000000"/>
                <w:sz w:val="20"/>
                <w:szCs w:val="20"/>
              </w:rPr>
              <w:t>Estimate of Workers' Compensation and General Liability Self-Insurance Reserve</w:t>
            </w:r>
            <w:r>
              <w:rPr>
                <w:rFonts w:eastAsia="Times New Roman"/>
                <w:b/>
                <w:bCs/>
                <w:i/>
                <w:iCs/>
                <w:color w:val="000000"/>
                <w:sz w:val="20"/>
                <w:szCs w:val="20"/>
              </w:rPr>
              <w:t>s</w:t>
            </w:r>
          </w:p>
        </w:tc>
      </w:tr>
      <w:tr w:rsidR="00000000">
        <w:trPr>
          <w:divId w:val="352265002"/>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Description of the Matte</w:t>
            </w:r>
            <w:r>
              <w:rPr>
                <w:rFonts w:eastAsia="Times New Roman"/>
                <w:i/>
                <w:iCs/>
                <w:color w:val="000000"/>
                <w:sz w:val="20"/>
                <w:szCs w:val="20"/>
              </w:rPr>
              <w:t>r</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At December 28, 2019, the Company’</w:t>
            </w:r>
            <w:r>
              <w:rPr>
                <w:rFonts w:eastAsia="Times New Roman"/>
                <w:color w:val="000000"/>
                <w:sz w:val="20"/>
                <w:szCs w:val="20"/>
              </w:rPr>
              <w:t>s net reserves for workers’ compensation and general liability self-insurance risks were $64.6 million. As discussed in Note 1 of the consolidated financial statements, the Company retains a significant portion of risk for its workers’ compensation and gen</w:t>
            </w:r>
            <w:r>
              <w:rPr>
                <w:rFonts w:eastAsia="Times New Roman"/>
                <w:color w:val="000000"/>
                <w:sz w:val="20"/>
                <w:szCs w:val="20"/>
              </w:rPr>
              <w:t>eral liability exposures. Accordingly, provisions are recorded based upon periodic estimates of such losses, as determined by management. The future claim costs for the workers’ compensation and general liability exposures are estimated using actuarial met</w:t>
            </w:r>
            <w:r>
              <w:rPr>
                <w:rFonts w:eastAsia="Times New Roman"/>
                <w:color w:val="000000"/>
                <w:sz w:val="20"/>
                <w:szCs w:val="20"/>
              </w:rPr>
              <w:t>hods that consider assumptions for a number of factors including, but not limited to, historical claims experience, loss development factors, and severity factors.</w:t>
            </w:r>
            <w:r>
              <w:rPr>
                <w:rFonts w:eastAsia="Times New Roman"/>
                <w:color w:val="000000"/>
                <w:sz w:val="20"/>
                <w:szCs w:val="20"/>
              </w:rPr>
              <w:t xml:space="preserve"> </w:t>
            </w:r>
          </w:p>
        </w:tc>
      </w:tr>
      <w:tr w:rsidR="00000000">
        <w:trPr>
          <w:divId w:val="352265002"/>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jc w:val="center"/>
        <w:divId w:val="400249624"/>
        <w:rPr>
          <w:rFonts w:eastAsia="Times New Roman"/>
        </w:rPr>
      </w:pPr>
      <w:r>
        <w:rPr>
          <w:rFonts w:eastAsia="Times New Roman"/>
          <w:color w:val="000000"/>
          <w:sz w:val="20"/>
          <w:szCs w:val="20"/>
        </w:rPr>
        <w:t>4</w:t>
      </w:r>
      <w:r>
        <w:rPr>
          <w:rFonts w:eastAsia="Times New Roman"/>
          <w:color w:val="000000"/>
          <w:sz w:val="20"/>
          <w:szCs w:val="20"/>
        </w:rPr>
        <w:t>2</w:t>
      </w:r>
    </w:p>
    <w:p w:rsidR="00000000" w:rsidRDefault="00CB61D5">
      <w:pPr>
        <w:rPr>
          <w:rFonts w:eastAsia="Times New Roman"/>
        </w:rPr>
      </w:pPr>
      <w:r>
        <w:rPr>
          <w:rFonts w:eastAsia="Times New Roman"/>
        </w:rPr>
        <w:pict>
          <v:rect id="_x0000_i1071" style="width:0;height:1.5pt" o:hralign="center" o:hrstd="t" o:hr="t" fillcolor="#a0a0a0" stroked="f"/>
        </w:pict>
      </w:r>
    </w:p>
    <w:p w:rsidR="00000000" w:rsidRDefault="00CB61D5">
      <w:pPr>
        <w:divId w:val="711345148"/>
        <w:rPr>
          <w:rFonts w:eastAsia="Times New Roman"/>
        </w:rPr>
      </w:pPr>
      <w:hyperlink w:anchor="i_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3"/>
        <w:gridCol w:w="1181"/>
        <w:gridCol w:w="83"/>
        <w:gridCol w:w="83"/>
        <w:gridCol w:w="6793"/>
        <w:gridCol w:w="83"/>
      </w:tblGrid>
      <w:tr w:rsidR="00000000">
        <w:trPr>
          <w:divId w:val="802502219"/>
        </w:trPr>
        <w:tc>
          <w:tcPr>
            <w:tcW w:w="50" w:type="pct"/>
            <w:vAlign w:val="center"/>
            <w:hideMark/>
          </w:tcPr>
          <w:p w:rsidR="00000000" w:rsidRDefault="00CB61D5">
            <w:pPr>
              <w:rPr>
                <w:rFonts w:eastAsia="Times New Roman"/>
              </w:rPr>
            </w:pPr>
          </w:p>
        </w:tc>
        <w:tc>
          <w:tcPr>
            <w:tcW w:w="71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0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80250221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Auditing management’s estimate of the recorded workers’ compensation and general liability self-insurance reserves was complex and judgmental due to the significant assumptions</w:t>
            </w:r>
            <w:r>
              <w:rPr>
                <w:rFonts w:eastAsia="Times New Roman"/>
                <w:color w:val="000000"/>
                <w:sz w:val="20"/>
                <w:szCs w:val="20"/>
              </w:rPr>
              <w:t xml:space="preserve"> and judgments required by management in projecting the exposure on incurred claims that remain unresolved, including those which have not yet been reported to the Company</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How We Addressed the Matter in Our Audi</w:t>
            </w:r>
            <w:r>
              <w:rPr>
                <w:rFonts w:eastAsia="Times New Roman"/>
                <w:i/>
                <w:iCs/>
                <w:color w:val="000000"/>
                <w:sz w:val="20"/>
                <w:szCs w:val="20"/>
              </w:rPr>
              <w:t>t</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obtained an understanding, evaluated the design, and tested the operating effectiveness of controls over the Company’s accounting for self-insurance exposures. For example, we tested controls over the appropria</w:t>
            </w:r>
            <w:r>
              <w:rPr>
                <w:rFonts w:eastAsia="Times New Roman"/>
                <w:color w:val="000000"/>
                <w:sz w:val="20"/>
                <w:szCs w:val="20"/>
              </w:rPr>
              <w:t>teness of management’s review of the significant assumptions described above, including the completeness and accuracy of the underlying data, as well as management’s review of the actuarial calculations</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To test the Company’</w:t>
            </w:r>
            <w:r>
              <w:rPr>
                <w:rFonts w:eastAsia="Times New Roman"/>
                <w:color w:val="000000"/>
                <w:sz w:val="20"/>
                <w:szCs w:val="20"/>
              </w:rPr>
              <w:t>s estimate of the self-insurance reserves, we performed audit procedures that included, among others, assessing the actuarial valuation methodologies utilized by management, testing the significant assumptions described above, testing the related underlyin</w:t>
            </w:r>
            <w:r>
              <w:rPr>
                <w:rFonts w:eastAsia="Times New Roman"/>
                <w:color w:val="000000"/>
                <w:sz w:val="20"/>
                <w:szCs w:val="20"/>
              </w:rPr>
              <w:t>g data used by the Company in its evaluation for completeness and accuracy, and testing the mathematical accuracy of the calculations. Our audit procedures also included, among others, comparing the significant assumptions used by management to industry ac</w:t>
            </w:r>
            <w:r>
              <w:rPr>
                <w:rFonts w:eastAsia="Times New Roman"/>
                <w:color w:val="000000"/>
                <w:sz w:val="20"/>
                <w:szCs w:val="20"/>
              </w:rPr>
              <w:t>cepted actuarial assumptions and reassessing the accuracy of management’s historical estimates utilized in prior period evaluations. We involved our actuarial valuation specialists to assist in assessing the valuation methodologies and significant assumpti</w:t>
            </w:r>
            <w:r>
              <w:rPr>
                <w:rFonts w:eastAsia="Times New Roman"/>
                <w:color w:val="000000"/>
                <w:sz w:val="20"/>
                <w:szCs w:val="20"/>
              </w:rPr>
              <w:t>ons noted above and to develop an independent range of estimates for the insurance reserves which were then compared to management’s estimates</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i/>
                <w:iCs/>
                <w:color w:val="000000"/>
                <w:sz w:val="20"/>
                <w:szCs w:val="20"/>
              </w:rPr>
              <w:t>Valuation of Goodwil</w:t>
            </w:r>
            <w:r>
              <w:rPr>
                <w:rFonts w:eastAsia="Times New Roman"/>
                <w:b/>
                <w:bCs/>
                <w:i/>
                <w:iCs/>
                <w:color w:val="000000"/>
                <w:sz w:val="20"/>
                <w:szCs w:val="20"/>
              </w:rPr>
              <w:t>l</w:t>
            </w:r>
          </w:p>
        </w:tc>
      </w:tr>
      <w:tr w:rsidR="00000000">
        <w:trPr>
          <w:divId w:val="80250221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Description of the Matte</w:t>
            </w:r>
            <w:r>
              <w:rPr>
                <w:rFonts w:eastAsia="Times New Roman"/>
                <w:i/>
                <w:iCs/>
                <w:color w:val="000000"/>
                <w:sz w:val="20"/>
                <w:szCs w:val="20"/>
              </w:rPr>
              <w:t>r</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At December 28, 2019, the Company had $93.2 mi</w:t>
            </w:r>
            <w:r>
              <w:rPr>
                <w:rFonts w:eastAsia="Times New Roman"/>
                <w:color w:val="000000"/>
                <w:sz w:val="20"/>
                <w:szCs w:val="20"/>
              </w:rPr>
              <w:t>llion in goodwill, which was assigned at the time of the respective acquisitions. As discussed in Note 1 and Note 3 of the consolidated financial statements, goodwill is qualitatively or quantitatively tested for impairment at the reporting unit level at l</w:t>
            </w:r>
            <w:r>
              <w:rPr>
                <w:rFonts w:eastAsia="Times New Roman"/>
                <w:color w:val="000000"/>
                <w:sz w:val="20"/>
                <w:szCs w:val="20"/>
              </w:rPr>
              <w:t>east annually, during the fourth quarter, or whenever events or changes in circumstances indicate that the carrying value may not be recoverable. The quantitative evaluation involves the comparison of the carrying value of the reporting unit to its fair va</w:t>
            </w:r>
            <w:r>
              <w:rPr>
                <w:rFonts w:eastAsia="Times New Roman"/>
                <w:color w:val="000000"/>
                <w:sz w:val="20"/>
                <w:szCs w:val="20"/>
              </w:rPr>
              <w:t>lue, as determined by management</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Auditing management’</w:t>
            </w:r>
            <w:r>
              <w:rPr>
                <w:rFonts w:eastAsia="Times New Roman"/>
                <w:color w:val="000000"/>
                <w:sz w:val="20"/>
                <w:szCs w:val="20"/>
              </w:rPr>
              <w:t>s annual goodwill impairment analysis was complex due to the significant estimation required by management in determining the fair value of a reporting unit. In particular, the fair value estimates are sensitive to significant assumptions such as projected</w:t>
            </w:r>
            <w:r>
              <w:rPr>
                <w:rFonts w:eastAsia="Times New Roman"/>
                <w:color w:val="000000"/>
                <w:sz w:val="20"/>
                <w:szCs w:val="20"/>
              </w:rPr>
              <w:t xml:space="preserve"> financial information (revenue growth rates, profit margins, tax rates, and capital expenditures) and the discount rate, which are affected by expectations about future market or economic conditions</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How We Addressed the Matter in Our Audi</w:t>
            </w:r>
            <w:r>
              <w:rPr>
                <w:rFonts w:eastAsia="Times New Roman"/>
                <w:i/>
                <w:iCs/>
                <w:color w:val="000000"/>
                <w:sz w:val="20"/>
                <w:szCs w:val="20"/>
              </w:rPr>
              <w:t>t</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w:t>
            </w:r>
            <w:r>
              <w:rPr>
                <w:rFonts w:eastAsia="Times New Roman"/>
                <w:color w:val="000000"/>
                <w:sz w:val="20"/>
                <w:szCs w:val="20"/>
              </w:rPr>
              <w:t xml:space="preserve"> obtained an understanding, evaluated the design and tested the operating effectiveness of controls over the Company’s goodwill impairment review process, including controls over management’s review of the significant assumptions described above, as well a</w:t>
            </w:r>
            <w:r>
              <w:rPr>
                <w:rFonts w:eastAsia="Times New Roman"/>
                <w:color w:val="000000"/>
                <w:sz w:val="20"/>
                <w:szCs w:val="20"/>
              </w:rPr>
              <w:t>s the review of the fair value methodologies utilized. For example, we tested controls over management’s identification of reporting units and review of significant assumptions utilized within the fair value model, including the development of the projecte</w:t>
            </w:r>
            <w:r>
              <w:rPr>
                <w:rFonts w:eastAsia="Times New Roman"/>
                <w:color w:val="000000"/>
                <w:sz w:val="20"/>
                <w:szCs w:val="20"/>
              </w:rPr>
              <w:t>d financial information and determination of the discount rate</w:t>
            </w:r>
            <w:r>
              <w:rPr>
                <w:rFonts w:eastAsia="Times New Roman"/>
                <w:color w:val="000000"/>
                <w:sz w:val="20"/>
                <w:szCs w:val="20"/>
              </w:rPr>
              <w:t>.</w:t>
            </w:r>
          </w:p>
        </w:tc>
      </w:tr>
      <w:tr w:rsidR="00000000">
        <w:trPr>
          <w:divId w:val="80250221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0250221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To test the estimated fair value of a reporting unit, we performed audit procedures that included, among others, involvement of our valuation specialists to assess fair value methodologies, including the significant assumptions discussed above. Specificall</w:t>
            </w:r>
            <w:r>
              <w:rPr>
                <w:rFonts w:eastAsia="Times New Roman"/>
                <w:color w:val="000000"/>
                <w:sz w:val="20"/>
                <w:szCs w:val="20"/>
              </w:rPr>
              <w:t>y, we compared significant assumptions used by management to current industry and economic trends and changes to the Company’s business model. As part of this assessment, we also compared the discount rate to rates for hypothetical market participants base</w:t>
            </w:r>
            <w:r>
              <w:rPr>
                <w:rFonts w:eastAsia="Times New Roman"/>
                <w:color w:val="000000"/>
                <w:sz w:val="20"/>
                <w:szCs w:val="20"/>
              </w:rPr>
              <w:t xml:space="preserve">d on the capital structure of the Company and its related peer group. We assessed the historical accuracy of management’s estimates and performed sensitivity analyses of significant assumptions to evaluate the changes in the fair value of a reporting unit </w:t>
            </w:r>
            <w:r>
              <w:rPr>
                <w:rFonts w:eastAsia="Times New Roman"/>
                <w:color w:val="000000"/>
                <w:sz w:val="20"/>
                <w:szCs w:val="20"/>
              </w:rPr>
              <w:t>that would result from changes in the assumptions, as well as corroborated the estimated fair value by comparing it with peer company trading and transaction multiples. In addition, we tested management’s reconciliation of the fair value of the reporting u</w:t>
            </w:r>
            <w:r>
              <w:rPr>
                <w:rFonts w:eastAsia="Times New Roman"/>
                <w:color w:val="000000"/>
                <w:sz w:val="20"/>
                <w:szCs w:val="20"/>
              </w:rPr>
              <w:t>nits to the market capitalization of the Company</w:t>
            </w:r>
            <w:r>
              <w:rPr>
                <w:rFonts w:eastAsia="Times New Roman"/>
                <w:color w:val="000000"/>
                <w:sz w:val="20"/>
                <w:szCs w:val="20"/>
              </w:rPr>
              <w:t>.</w:t>
            </w:r>
          </w:p>
        </w:tc>
      </w:tr>
      <w:tr w:rsidR="00000000">
        <w:trPr>
          <w:divId w:val="802502219"/>
          <w:trHeight w:val="9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jc w:val="center"/>
        <w:divId w:val="1764179111"/>
        <w:rPr>
          <w:rFonts w:eastAsia="Times New Roman"/>
        </w:rPr>
      </w:pPr>
      <w:r>
        <w:rPr>
          <w:rFonts w:eastAsia="Times New Roman"/>
          <w:color w:val="000000"/>
          <w:sz w:val="20"/>
          <w:szCs w:val="20"/>
        </w:rPr>
        <w:t>4</w:t>
      </w:r>
      <w:r>
        <w:rPr>
          <w:rFonts w:eastAsia="Times New Roman"/>
          <w:color w:val="000000"/>
          <w:sz w:val="20"/>
          <w:szCs w:val="20"/>
        </w:rPr>
        <w:t>3</w:t>
      </w:r>
    </w:p>
    <w:p w:rsidR="00000000" w:rsidRDefault="00CB61D5">
      <w:pPr>
        <w:rPr>
          <w:rFonts w:eastAsia="Times New Roman"/>
        </w:rPr>
      </w:pPr>
      <w:r>
        <w:rPr>
          <w:rFonts w:eastAsia="Times New Roman"/>
        </w:rPr>
        <w:pict>
          <v:rect id="_x0000_i1072" style="width:0;height:1.5pt" o:hralign="center" o:hrstd="t" o:hr="t" fillcolor="#a0a0a0" stroked="f"/>
        </w:pict>
      </w:r>
    </w:p>
    <w:p w:rsidR="00000000" w:rsidRDefault="00CB61D5">
      <w:pPr>
        <w:divId w:val="2056389338"/>
        <w:rPr>
          <w:rFonts w:eastAsia="Times New Roman"/>
        </w:rPr>
      </w:pPr>
      <w:hyperlink w:anchor="i_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3"/>
        <w:gridCol w:w="1181"/>
        <w:gridCol w:w="83"/>
        <w:gridCol w:w="83"/>
        <w:gridCol w:w="6793"/>
        <w:gridCol w:w="83"/>
      </w:tblGrid>
      <w:tr w:rsidR="00000000">
        <w:trPr>
          <w:divId w:val="698941779"/>
        </w:trPr>
        <w:tc>
          <w:tcPr>
            <w:tcW w:w="50" w:type="pct"/>
            <w:vAlign w:val="center"/>
            <w:hideMark/>
          </w:tcPr>
          <w:p w:rsidR="00000000" w:rsidRDefault="00CB61D5">
            <w:pPr>
              <w:rPr>
                <w:rFonts w:eastAsia="Times New Roman"/>
              </w:rPr>
            </w:pPr>
          </w:p>
        </w:tc>
        <w:tc>
          <w:tcPr>
            <w:tcW w:w="71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0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69894177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b/>
                <w:bCs/>
                <w:i/>
                <w:iCs/>
                <w:color w:val="000000"/>
                <w:sz w:val="20"/>
                <w:szCs w:val="20"/>
              </w:rPr>
              <w:t>Adoption of New Lease Accounting Standar</w:t>
            </w:r>
            <w:r>
              <w:rPr>
                <w:rFonts w:eastAsia="Times New Roman"/>
                <w:b/>
                <w:bCs/>
                <w:i/>
                <w:iCs/>
                <w:color w:val="000000"/>
                <w:sz w:val="20"/>
                <w:szCs w:val="20"/>
              </w:rPr>
              <w:t>d</w:t>
            </w:r>
          </w:p>
        </w:tc>
      </w:tr>
      <w:tr w:rsidR="00000000">
        <w:trPr>
          <w:divId w:val="69894177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Description of the Matte</w:t>
            </w:r>
            <w:r>
              <w:rPr>
                <w:rFonts w:eastAsia="Times New Roman"/>
                <w:i/>
                <w:iCs/>
                <w:color w:val="000000"/>
                <w:sz w:val="20"/>
                <w:szCs w:val="20"/>
              </w:rPr>
              <w:t>r</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As discussed above and in Note 1, Note 6, and Note 14 to the consolidated financial statements, the Company adopted Topic 842 in the first quarter of fiscal 2019, which resulted in the recognition of operating lease right-of-use assets and liabilities of a</w:t>
            </w:r>
            <w:r>
              <w:rPr>
                <w:rFonts w:eastAsia="Times New Roman"/>
                <w:color w:val="000000"/>
                <w:sz w:val="20"/>
                <w:szCs w:val="20"/>
              </w:rPr>
              <w:t>pproximately $2.08 billion. As part of the adoption, the Company was required to make certain elections and develop assumptions in order to appropriately recognize right-of-use assets and liabilities. In particular, as most of the Company’s leases do not p</w:t>
            </w:r>
            <w:r>
              <w:rPr>
                <w:rFonts w:eastAsia="Times New Roman"/>
                <w:color w:val="000000"/>
                <w:sz w:val="20"/>
                <w:szCs w:val="20"/>
              </w:rPr>
              <w:t>rovide a determinable implicit rate, the Company developed certain significant assumptions to estimate the incremental borrowing rate (IBR), which was used to calculate the operating lease right-of-use assets and liabilities upon adoption</w:t>
            </w:r>
            <w:r>
              <w:rPr>
                <w:rFonts w:eastAsia="Times New Roman"/>
                <w:color w:val="000000"/>
                <w:sz w:val="20"/>
                <w:szCs w:val="20"/>
              </w:rPr>
              <w:t>.</w:t>
            </w:r>
          </w:p>
        </w:tc>
      </w:tr>
      <w:tr w:rsidR="00000000">
        <w:trPr>
          <w:divId w:val="69894177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69894177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Aud</w:t>
            </w:r>
            <w:r>
              <w:rPr>
                <w:rFonts w:eastAsia="Times New Roman"/>
                <w:color w:val="000000"/>
                <w:sz w:val="20"/>
                <w:szCs w:val="20"/>
              </w:rPr>
              <w:t>iting the Company’s adoption of Topic 842 was complex as certain aspects of adopting Topic 842 required management to exercise judgment in applying the new standard to its portfolio of lease contracts. In particular, the estimate of the IBR is sensitive to</w:t>
            </w:r>
            <w:r>
              <w:rPr>
                <w:rFonts w:eastAsia="Times New Roman"/>
                <w:color w:val="000000"/>
                <w:sz w:val="20"/>
                <w:szCs w:val="20"/>
              </w:rPr>
              <w:t xml:space="preserve"> significant assumptions such as determination of a synthetic credit rating and selection of associated benchmark yield curve, reflective of a collateralized obligation</w:t>
            </w:r>
            <w:r>
              <w:rPr>
                <w:rFonts w:eastAsia="Times New Roman"/>
                <w:color w:val="000000"/>
                <w:sz w:val="20"/>
                <w:szCs w:val="20"/>
              </w:rPr>
              <w:t>.</w:t>
            </w:r>
          </w:p>
        </w:tc>
      </w:tr>
      <w:tr w:rsidR="00000000">
        <w:trPr>
          <w:divId w:val="69894177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698941779"/>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i/>
                <w:iCs/>
                <w:color w:val="000000"/>
                <w:sz w:val="20"/>
                <w:szCs w:val="20"/>
              </w:rPr>
              <w:t>How We Addressed the Matter in Our Audi</w:t>
            </w:r>
            <w:r>
              <w:rPr>
                <w:rFonts w:eastAsia="Times New Roman"/>
                <w:i/>
                <w:iCs/>
                <w:color w:val="000000"/>
                <w:sz w:val="20"/>
                <w:szCs w:val="20"/>
              </w:rPr>
              <w:t>t</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We obtained an understanding, evaluated the design, and tested the operating effectiveness of controls over the Company’s accounting for the adoption of Topic 842. For example, we tested controls over management’s</w:t>
            </w:r>
            <w:r>
              <w:rPr>
                <w:rFonts w:eastAsia="Times New Roman"/>
                <w:color w:val="000000"/>
                <w:sz w:val="20"/>
                <w:szCs w:val="20"/>
              </w:rPr>
              <w:t xml:space="preserve"> review of the IBR and significant assumptions noted above</w:t>
            </w:r>
            <w:r>
              <w:rPr>
                <w:rFonts w:eastAsia="Times New Roman"/>
                <w:color w:val="000000"/>
                <w:sz w:val="20"/>
                <w:szCs w:val="20"/>
              </w:rPr>
              <w:t>.</w:t>
            </w:r>
          </w:p>
        </w:tc>
      </w:tr>
      <w:tr w:rsidR="00000000">
        <w:trPr>
          <w:divId w:val="698941779"/>
          <w:trHeight w:val="3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69894177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To test the Company’s adoption of Topic 842, we performed audit procedures that included, among others, involving our valuation specialists to assess management’s significant assumpti</w:t>
            </w:r>
            <w:r>
              <w:rPr>
                <w:rFonts w:eastAsia="Times New Roman"/>
                <w:color w:val="000000"/>
                <w:sz w:val="20"/>
                <w:szCs w:val="20"/>
              </w:rPr>
              <w:t>ons and methodology for determining their synthetic credit rating, assessing the selection of a benchmark yield curve, and evaluating methodologies used to reflect a collateralized borrowing. We also assessed management’s development of IBR ranges based on</w:t>
            </w:r>
            <w:r>
              <w:rPr>
                <w:rFonts w:eastAsia="Times New Roman"/>
                <w:color w:val="000000"/>
                <w:sz w:val="20"/>
                <w:szCs w:val="20"/>
              </w:rPr>
              <w:t xml:space="preserve"> varying lease terms at the date of adoption, including comparing the Company’s IBRs to ranges developed independently by our valuation specialists, as well as performing tests of the IBR application to remaining lease payments, with respect to the remaini</w:t>
            </w:r>
            <w:r>
              <w:rPr>
                <w:rFonts w:eastAsia="Times New Roman"/>
                <w:color w:val="000000"/>
                <w:sz w:val="20"/>
                <w:szCs w:val="20"/>
              </w:rPr>
              <w:t>ng term of the lease</w:t>
            </w:r>
            <w:r>
              <w:rPr>
                <w:rFonts w:eastAsia="Times New Roman"/>
                <w:color w:val="000000"/>
                <w:sz w:val="20"/>
                <w:szCs w:val="20"/>
              </w:rPr>
              <w:t>.</w:t>
            </w:r>
          </w:p>
        </w:tc>
      </w:tr>
    </w:tbl>
    <w:p w:rsidR="00000000" w:rsidRDefault="00CB61D5">
      <w:pPr>
        <w:divId w:val="1505823262"/>
        <w:rPr>
          <w:rFonts w:eastAsia="Times New Roman"/>
        </w:rPr>
      </w:pPr>
    </w:p>
    <w:p w:rsidR="00000000" w:rsidRDefault="00CB61D5">
      <w:pPr>
        <w:divId w:val="604921872"/>
        <w:rPr>
          <w:rFonts w:eastAsia="Times New Roman"/>
        </w:rPr>
      </w:pPr>
    </w:p>
    <w:p w:rsidR="00000000" w:rsidRDefault="00CB61D5">
      <w:pPr>
        <w:ind w:firstLine="5040"/>
        <w:jc w:val="both"/>
        <w:rPr>
          <w:rFonts w:eastAsia="Times New Roman"/>
        </w:rPr>
      </w:pPr>
      <w:r>
        <w:rPr>
          <w:rFonts w:eastAsia="Times New Roman"/>
          <w:color w:val="000000"/>
          <w:sz w:val="20"/>
          <w:szCs w:val="20"/>
        </w:rPr>
        <w:t>/s/ Ernst &amp; Young LL</w:t>
      </w:r>
      <w:r>
        <w:rPr>
          <w:rFonts w:eastAsia="Times New Roman"/>
          <w:color w:val="000000"/>
          <w:sz w:val="20"/>
          <w:szCs w:val="20"/>
        </w:rPr>
        <w:t>P</w:t>
      </w:r>
    </w:p>
    <w:p w:rsidR="00000000" w:rsidRDefault="00CB61D5">
      <w:pPr>
        <w:divId w:val="1914468861"/>
        <w:rPr>
          <w:rFonts w:eastAsia="Times New Roman"/>
        </w:rPr>
      </w:pPr>
    </w:p>
    <w:p w:rsidR="00000000" w:rsidRDefault="00CB61D5">
      <w:pPr>
        <w:divId w:val="2103867421"/>
        <w:rPr>
          <w:rFonts w:eastAsia="Times New Roman"/>
        </w:rPr>
      </w:pPr>
      <w:r>
        <w:rPr>
          <w:rFonts w:eastAsia="Times New Roman"/>
          <w:color w:val="000000"/>
          <w:sz w:val="20"/>
          <w:szCs w:val="20"/>
        </w:rPr>
        <w:t>We have served as the Company’s auditor since 2001</w:t>
      </w:r>
      <w:r>
        <w:rPr>
          <w:rFonts w:eastAsia="Times New Roman"/>
          <w:color w:val="000000"/>
          <w:sz w:val="20"/>
          <w:szCs w:val="20"/>
        </w:rPr>
        <w:t>.</w:t>
      </w:r>
    </w:p>
    <w:p w:rsidR="00000000" w:rsidRDefault="00CB61D5">
      <w:pPr>
        <w:divId w:val="388922530"/>
        <w:rPr>
          <w:rFonts w:eastAsia="Times New Roman"/>
        </w:rPr>
      </w:pPr>
      <w:r>
        <w:rPr>
          <w:rFonts w:eastAsia="Times New Roman"/>
          <w:color w:val="000000"/>
          <w:sz w:val="20"/>
          <w:szCs w:val="20"/>
        </w:rPr>
        <w:t>Nashville, Tennesse</w:t>
      </w:r>
      <w:r>
        <w:rPr>
          <w:rFonts w:eastAsia="Times New Roman"/>
          <w:color w:val="000000"/>
          <w:sz w:val="20"/>
          <w:szCs w:val="20"/>
        </w:rPr>
        <w:t>e</w:t>
      </w:r>
    </w:p>
    <w:p w:rsidR="00000000" w:rsidRDefault="00CB61D5">
      <w:pPr>
        <w:divId w:val="233786823"/>
        <w:rPr>
          <w:rFonts w:eastAsia="Times New Roman"/>
        </w:rPr>
      </w:pPr>
      <w:r>
        <w:rPr>
          <w:rFonts w:eastAsia="Times New Roman"/>
          <w:color w:val="000000"/>
          <w:sz w:val="20"/>
          <w:szCs w:val="20"/>
        </w:rPr>
        <w:t>February 20, 2020</w:t>
      </w:r>
      <w:r>
        <w:rPr>
          <w:rFonts w:eastAsia="Times New Roman"/>
          <w:color w:val="000000"/>
          <w:sz w:val="20"/>
          <w:szCs w:val="20"/>
        </w:rPr>
        <w:t xml:space="preserve"> </w:t>
      </w:r>
    </w:p>
    <w:p w:rsidR="00000000" w:rsidRDefault="00CB61D5">
      <w:pPr>
        <w:jc w:val="center"/>
        <w:divId w:val="1869223399"/>
        <w:rPr>
          <w:rFonts w:eastAsia="Times New Roman"/>
        </w:rPr>
      </w:pPr>
      <w:r>
        <w:rPr>
          <w:rFonts w:eastAsia="Times New Roman"/>
          <w:color w:val="000000"/>
          <w:sz w:val="20"/>
          <w:szCs w:val="20"/>
        </w:rPr>
        <w:t>4</w:t>
      </w:r>
      <w:r>
        <w:rPr>
          <w:rFonts w:eastAsia="Times New Roman"/>
          <w:color w:val="000000"/>
          <w:sz w:val="20"/>
          <w:szCs w:val="20"/>
        </w:rPr>
        <w:t>4</w:t>
      </w:r>
    </w:p>
    <w:p w:rsidR="00000000" w:rsidRDefault="00CB61D5">
      <w:pPr>
        <w:rPr>
          <w:rFonts w:eastAsia="Times New Roman"/>
        </w:rPr>
      </w:pPr>
      <w:r>
        <w:rPr>
          <w:rFonts w:eastAsia="Times New Roman"/>
        </w:rPr>
        <w:pict>
          <v:rect id="_x0000_i1073" style="width:0;height:1.5pt" o:hralign="center" o:hrstd="t" o:hr="t" fillcolor="#a0a0a0" stroked="f"/>
        </w:pict>
      </w:r>
    </w:p>
    <w:p w:rsidR="00000000" w:rsidRDefault="00CB61D5">
      <w:pPr>
        <w:divId w:val="30344004"/>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CONSOLIDATED STATEMENTS OF INCOM</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rsidR="00000000" w:rsidRDefault="00CB61D5">
      <w:pPr>
        <w:divId w:val="54062748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4314"/>
        <w:gridCol w:w="37"/>
        <w:gridCol w:w="135"/>
        <w:gridCol w:w="865"/>
        <w:gridCol w:w="85"/>
        <w:gridCol w:w="36"/>
        <w:gridCol w:w="36"/>
        <w:gridCol w:w="36"/>
        <w:gridCol w:w="135"/>
        <w:gridCol w:w="865"/>
        <w:gridCol w:w="85"/>
        <w:gridCol w:w="36"/>
        <w:gridCol w:w="36"/>
        <w:gridCol w:w="36"/>
        <w:gridCol w:w="135"/>
        <w:gridCol w:w="865"/>
        <w:gridCol w:w="85"/>
        <w:gridCol w:w="36"/>
        <w:gridCol w:w="36"/>
        <w:gridCol w:w="36"/>
        <w:gridCol w:w="36"/>
        <w:gridCol w:w="36"/>
        <w:gridCol w:w="36"/>
        <w:gridCol w:w="36"/>
        <w:gridCol w:w="36"/>
        <w:gridCol w:w="36"/>
        <w:gridCol w:w="36"/>
        <w:gridCol w:w="36"/>
        <w:gridCol w:w="36"/>
      </w:tblGrid>
      <w:tr w:rsidR="00000000">
        <w:trPr>
          <w:gridAfter w:val="12"/>
          <w:divId w:val="1953634796"/>
        </w:trPr>
        <w:tc>
          <w:tcPr>
            <w:tcW w:w="50" w:type="pct"/>
            <w:vAlign w:val="center"/>
            <w:hideMark/>
          </w:tcPr>
          <w:p w:rsidR="00000000" w:rsidRDefault="00CB61D5">
            <w:pPr>
              <w:rPr>
                <w:rFonts w:eastAsia="Times New Roman"/>
              </w:rPr>
            </w:pPr>
          </w:p>
        </w:tc>
        <w:tc>
          <w:tcPr>
            <w:tcW w:w="28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7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7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7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953634796"/>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953634796"/>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Net sale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8,351,931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7,911,046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7,256,382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Cost of merchandise sol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5,480,161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5,208,518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4,764,417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Gross profi</w:t>
            </w:r>
            <w:r>
              <w:rPr>
                <w:rFonts w:eastAsia="Times New Roman"/>
                <w:b/>
                <w:bCs/>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2,871,770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2,702,528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2,491,965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1,932,572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1,823,440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1,639,749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195,978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177,351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165,834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Operating incom</w:t>
            </w:r>
            <w:r>
              <w:rPr>
                <w:rFonts w:eastAsia="Times New Roman"/>
                <w:b/>
                <w:bCs/>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743,220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701,737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686,382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19,843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18,352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13,859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Income before income taxe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723,377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683,385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672,523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161,023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151,028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249,924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Net incom</w:t>
            </w:r>
            <w:r>
              <w:rPr>
                <w:rFonts w:eastAsia="Times New Roman"/>
                <w:b/>
                <w:bCs/>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422,599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Height w:val="28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Net income per share – basi</w:t>
            </w:r>
            <w:r>
              <w:rPr>
                <w:rFonts w:eastAsia="Times New Roman"/>
                <w:b/>
                <w:bCs/>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Net income per share – dilute</w:t>
            </w:r>
            <w:r>
              <w:rPr>
                <w:rFonts w:eastAsia="Times New Roman"/>
                <w:b/>
                <w:bCs/>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4.66</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Height w:val="28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Weighted average shares outstandin</w:t>
            </w:r>
            <w:r>
              <w:rPr>
                <w:rFonts w:eastAsia="Times New Roman"/>
                <w:b/>
                <w:bCs/>
                <w:color w:val="000000"/>
                <w:sz w:val="20"/>
                <w:szCs w:val="20"/>
              </w:rPr>
              <w:t>g</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119,727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122,651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127,588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120,743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123,471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128,204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Height w:val="28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95363479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Dividends declared per common share outstandin</w:t>
            </w:r>
            <w:r>
              <w:rPr>
                <w:rFonts w:eastAsia="Times New Roman"/>
                <w:b/>
                <w:bCs/>
                <w:color w:val="000000"/>
                <w:sz w:val="20"/>
                <w:szCs w:val="20"/>
              </w:rPr>
              <w:t>g</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2093624445"/>
        <w:rPr>
          <w:rFonts w:eastAsia="Times New Roman"/>
        </w:rPr>
      </w:pPr>
    </w:p>
    <w:p w:rsidR="00000000" w:rsidRDefault="00CB61D5">
      <w:pPr>
        <w:jc w:val="center"/>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CB61D5">
      <w:pPr>
        <w:jc w:val="center"/>
        <w:divId w:val="1567841806"/>
        <w:rPr>
          <w:rFonts w:eastAsia="Times New Roman"/>
        </w:rPr>
      </w:pPr>
      <w:r>
        <w:rPr>
          <w:rFonts w:eastAsia="Times New Roman"/>
          <w:color w:val="000000"/>
          <w:sz w:val="20"/>
          <w:szCs w:val="20"/>
        </w:rPr>
        <w:t>4</w:t>
      </w:r>
      <w:r>
        <w:rPr>
          <w:rFonts w:eastAsia="Times New Roman"/>
          <w:color w:val="000000"/>
          <w:sz w:val="20"/>
          <w:szCs w:val="20"/>
        </w:rPr>
        <w:t>5</w:t>
      </w:r>
    </w:p>
    <w:p w:rsidR="00000000" w:rsidRDefault="00CB61D5">
      <w:pPr>
        <w:rPr>
          <w:rFonts w:eastAsia="Times New Roman"/>
        </w:rPr>
      </w:pPr>
      <w:r>
        <w:rPr>
          <w:rFonts w:eastAsia="Times New Roman"/>
        </w:rPr>
        <w:pict>
          <v:rect id="_x0000_i1074" style="width:0;height:1.5pt" o:hralign="center" o:hrstd="t" o:hr="t" fillcolor="#a0a0a0" stroked="f"/>
        </w:pict>
      </w:r>
    </w:p>
    <w:p w:rsidR="00000000" w:rsidRDefault="00CB61D5">
      <w:pPr>
        <w:divId w:val="938682968"/>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 xml:space="preserve">CONSOLIDATED </w:t>
      </w:r>
      <w:r>
        <w:rPr>
          <w:rFonts w:eastAsia="Times New Roman"/>
          <w:b/>
          <w:bCs/>
          <w:color w:val="000000"/>
          <w:sz w:val="20"/>
          <w:szCs w:val="20"/>
        </w:rPr>
        <w:t>STATEMENTS OF COMPREHENSIVE INCOM</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CB61D5">
      <w:pPr>
        <w:divId w:val="192283016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469"/>
        <w:gridCol w:w="41"/>
        <w:gridCol w:w="135"/>
        <w:gridCol w:w="829"/>
        <w:gridCol w:w="85"/>
        <w:gridCol w:w="36"/>
        <w:gridCol w:w="36"/>
        <w:gridCol w:w="36"/>
        <w:gridCol w:w="135"/>
        <w:gridCol w:w="797"/>
        <w:gridCol w:w="85"/>
        <w:gridCol w:w="36"/>
        <w:gridCol w:w="36"/>
        <w:gridCol w:w="36"/>
        <w:gridCol w:w="135"/>
        <w:gridCol w:w="797"/>
        <w:gridCol w:w="85"/>
        <w:gridCol w:w="36"/>
        <w:gridCol w:w="36"/>
        <w:gridCol w:w="36"/>
        <w:gridCol w:w="36"/>
        <w:gridCol w:w="36"/>
        <w:gridCol w:w="36"/>
        <w:gridCol w:w="36"/>
        <w:gridCol w:w="36"/>
        <w:gridCol w:w="36"/>
        <w:gridCol w:w="36"/>
        <w:gridCol w:w="36"/>
        <w:gridCol w:w="36"/>
      </w:tblGrid>
      <w:tr w:rsidR="00000000">
        <w:trPr>
          <w:gridAfter w:val="12"/>
          <w:divId w:val="1145470001"/>
        </w:trPr>
        <w:tc>
          <w:tcPr>
            <w:tcW w:w="50" w:type="pct"/>
            <w:vAlign w:val="center"/>
            <w:hideMark/>
          </w:tcPr>
          <w:p w:rsidR="00000000" w:rsidRDefault="00CB61D5">
            <w:pPr>
              <w:rPr>
                <w:rFonts w:eastAsia="Times New Roman"/>
              </w:rPr>
            </w:pPr>
          </w:p>
        </w:tc>
        <w:tc>
          <w:tcPr>
            <w:tcW w:w="286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4547000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25"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4547000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422,599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Height w:val="16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comprehensive (loss)/income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Change in fair value of interest rate swaps, net of taxe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Reclassification of stranded tax effects (ASU 2018-02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other comprehensive (loss)/incom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1,966</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4547000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Total comprehensive incom</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558,022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532,813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424,565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223371434"/>
        <w:rPr>
          <w:rFonts w:eastAsia="Times New Roman"/>
        </w:rPr>
      </w:pPr>
    </w:p>
    <w:p w:rsidR="00000000" w:rsidRDefault="00CB61D5">
      <w:pPr>
        <w:jc w:val="center"/>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CB61D5">
      <w:pPr>
        <w:divId w:val="232784903"/>
        <w:rPr>
          <w:rFonts w:eastAsia="Times New Roman"/>
        </w:rPr>
      </w:pPr>
    </w:p>
    <w:p w:rsidR="00000000" w:rsidRDefault="00CB61D5">
      <w:pPr>
        <w:jc w:val="center"/>
        <w:divId w:val="237138066"/>
        <w:rPr>
          <w:rFonts w:eastAsia="Times New Roman"/>
        </w:rPr>
      </w:pPr>
      <w:r>
        <w:rPr>
          <w:rFonts w:eastAsia="Times New Roman"/>
          <w:color w:val="000000"/>
          <w:sz w:val="20"/>
          <w:szCs w:val="20"/>
        </w:rPr>
        <w:t>4</w:t>
      </w:r>
      <w:r>
        <w:rPr>
          <w:rFonts w:eastAsia="Times New Roman"/>
          <w:color w:val="000000"/>
          <w:sz w:val="20"/>
          <w:szCs w:val="20"/>
        </w:rPr>
        <w:t>6</w:t>
      </w:r>
    </w:p>
    <w:p w:rsidR="00000000" w:rsidRDefault="00CB61D5">
      <w:pPr>
        <w:rPr>
          <w:rFonts w:eastAsia="Times New Roman"/>
        </w:rPr>
      </w:pPr>
      <w:r>
        <w:rPr>
          <w:rFonts w:eastAsia="Times New Roman"/>
        </w:rPr>
        <w:pict>
          <v:rect id="_x0000_i1075" style="width:0;height:1.5pt" o:hralign="center" o:hrstd="t" o:hr="t" fillcolor="#a0a0a0" stroked="f"/>
        </w:pict>
      </w:r>
    </w:p>
    <w:p w:rsidR="00000000" w:rsidRDefault="00CB61D5">
      <w:pPr>
        <w:divId w:val="1776049174"/>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rsidR="00000000" w:rsidRDefault="00CB61D5">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0"/>
        <w:gridCol w:w="5896"/>
        <w:gridCol w:w="59"/>
        <w:gridCol w:w="135"/>
        <w:gridCol w:w="865"/>
        <w:gridCol w:w="85"/>
        <w:gridCol w:w="36"/>
        <w:gridCol w:w="36"/>
        <w:gridCol w:w="36"/>
        <w:gridCol w:w="135"/>
        <w:gridCol w:w="865"/>
        <w:gridCol w:w="85"/>
      </w:tblGrid>
      <w:tr w:rsidR="00000000">
        <w:trPr>
          <w:divId w:val="1836799622"/>
        </w:trPr>
        <w:tc>
          <w:tcPr>
            <w:tcW w:w="50" w:type="pct"/>
            <w:vAlign w:val="center"/>
            <w:hideMark/>
          </w:tcPr>
          <w:p w:rsidR="00000000" w:rsidRDefault="00CB61D5">
            <w:pPr>
              <w:jc w:val="center"/>
              <w:rPr>
                <w:rFonts w:eastAsia="Times New Roman"/>
              </w:rPr>
            </w:pPr>
          </w:p>
        </w:tc>
        <w:tc>
          <w:tcPr>
            <w:tcW w:w="358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83679962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 201</w:t>
            </w:r>
            <w:r>
              <w:rPr>
                <w:rFonts w:eastAsia="Times New Roman"/>
                <w:b/>
                <w:bCs/>
                <w:color w:val="000000"/>
                <w:sz w:val="20"/>
                <w:szCs w:val="20"/>
              </w:rPr>
              <w:t>8</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1,602,781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1,589,542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114,447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1,787,887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1,794,399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Height w:val="10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1,163,956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1,134,464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2,188,802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Goodwill and other intangible assets                                                                            </w:t>
            </w: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6,607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3,085,262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Height w:val="10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liabilities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643,036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619,981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39,755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54,046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247,690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232,416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277,099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836799622"/>
        </w:trPr>
        <w:tc>
          <w:tcPr>
            <w:tcW w:w="0" w:type="auto"/>
            <w:gridSpan w:val="3"/>
            <w:shd w:val="clear" w:color="auto" w:fill="CCEEFF"/>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1,247,600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938,107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Height w:val="10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836799622"/>
        </w:trPr>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366,480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Finance lease liabilities, less current portio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29,270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lease liabilities, less current portio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2,001,162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ren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107,038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76,361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67,927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3,722,145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1,523,442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Height w:val="10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20" w:type="dxa"/>
              <w:bottom w:w="30" w:type="dxa"/>
              <w:right w:w="20" w:type="dxa"/>
            </w:tcMar>
            <w:vAlign w:val="bottom"/>
            <w:hideMark/>
          </w:tcPr>
          <w:p w:rsidR="00000000" w:rsidRDefault="00CB61D5">
            <w:pPr>
              <w:ind w:hanging="180"/>
              <w:divId w:val="546723532"/>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966,698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823,413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Treasury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(3,013,996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(2,480,677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Accumulated other comprehensive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3,612,833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3,213,895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1,567,123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1,561,820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836799622"/>
        </w:trPr>
        <w:tc>
          <w:tcPr>
            <w:tcW w:w="0" w:type="auto"/>
            <w:gridSpan w:val="3"/>
            <w:shd w:val="clear" w:color="auto" w:fill="CCEEFF"/>
            <w:tcMar>
              <w:top w:w="30" w:type="dxa"/>
              <w:left w:w="58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3,085,262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ind w:hanging="1260"/>
        <w:divId w:val="1897276083"/>
        <w:rPr>
          <w:rFonts w:eastAsia="Times New Roman"/>
        </w:rPr>
      </w:pPr>
      <w:r>
        <w:rPr>
          <w:rFonts w:eastAsia="Times New Roman"/>
          <w:b/>
          <w:bCs/>
          <w:color w:val="000000"/>
          <w:sz w:val="16"/>
          <w:szCs w:val="16"/>
        </w:rPr>
        <w:t>Preferred Stock (shares in thousands)</w:t>
      </w:r>
      <w:r>
        <w:rPr>
          <w:rFonts w:eastAsia="Times New Roman"/>
          <w:b/>
          <w:bCs/>
          <w:color w:val="000000"/>
          <w:sz w:val="16"/>
          <w:szCs w:val="16"/>
        </w:rPr>
        <w:t>:</w:t>
      </w:r>
      <w:r>
        <w:rPr>
          <w:rFonts w:eastAsia="Times New Roman"/>
          <w:color w:val="000000"/>
          <w:sz w:val="16"/>
          <w:szCs w:val="16"/>
        </w:rPr>
        <w:t xml:space="preserve"> $1.00 par value; 40 shares authorized; no shares were issued or outstanding during any period presented</w:t>
      </w:r>
      <w:r>
        <w:rPr>
          <w:rFonts w:eastAsia="Times New Roman"/>
          <w:color w:val="000000"/>
          <w:sz w:val="16"/>
          <w:szCs w:val="16"/>
        </w:rPr>
        <w:t>.</w:t>
      </w:r>
    </w:p>
    <w:p w:rsidR="00000000" w:rsidRDefault="00CB61D5">
      <w:pPr>
        <w:ind w:hanging="1260"/>
        <w:divId w:val="812715472"/>
        <w:rPr>
          <w:rFonts w:eastAsia="Times New Roman"/>
        </w:rPr>
      </w:pPr>
      <w:r>
        <w:rPr>
          <w:rFonts w:eastAsia="Times New Roman"/>
          <w:b/>
          <w:bCs/>
          <w:color w:val="000000"/>
          <w:sz w:val="16"/>
          <w:szCs w:val="16"/>
        </w:rPr>
        <w:t>Common Stock (shares in thousands)</w:t>
      </w:r>
      <w:r>
        <w:rPr>
          <w:rFonts w:eastAsia="Times New Roman"/>
          <w:b/>
          <w:bCs/>
          <w:color w:val="000000"/>
          <w:sz w:val="16"/>
          <w:szCs w:val="16"/>
        </w:rPr>
        <w:t>:</w:t>
      </w:r>
      <w:r>
        <w:rPr>
          <w:rFonts w:eastAsia="Times New Roman"/>
          <w:color w:val="000000"/>
          <w:sz w:val="16"/>
          <w:szCs w:val="16"/>
        </w:rPr>
        <w:t xml:space="preserve"> $0.008 par value; 400,000 </w:t>
      </w:r>
      <w:r>
        <w:rPr>
          <w:rFonts w:eastAsia="Times New Roman"/>
          <w:color w:val="000000"/>
          <w:sz w:val="16"/>
          <w:szCs w:val="16"/>
        </w:rPr>
        <w:t>shares authorized at all periods presented. 173,608 and 171,887 shares issued; 118,165 and 121,828 shares outstanding at December 28, 2019 and December 29, 2018, respectively</w:t>
      </w:r>
      <w:r>
        <w:rPr>
          <w:rFonts w:eastAsia="Times New Roman"/>
          <w:color w:val="000000"/>
          <w:sz w:val="16"/>
          <w:szCs w:val="16"/>
        </w:rPr>
        <w:t>.</w:t>
      </w:r>
    </w:p>
    <w:p w:rsidR="00000000" w:rsidRDefault="00CB61D5">
      <w:pPr>
        <w:ind w:hanging="1260"/>
        <w:divId w:val="1963147938"/>
        <w:rPr>
          <w:rFonts w:eastAsia="Times New Roman"/>
        </w:rPr>
      </w:pPr>
      <w:r>
        <w:rPr>
          <w:rFonts w:eastAsia="Times New Roman"/>
          <w:b/>
          <w:bCs/>
          <w:color w:val="000000"/>
          <w:sz w:val="16"/>
          <w:szCs w:val="16"/>
        </w:rPr>
        <w:t>Treasury Stock (at cost, shares in thousands):</w:t>
      </w:r>
      <w:r>
        <w:rPr>
          <w:rFonts w:eastAsia="Times New Roman"/>
          <w:b/>
          <w:bCs/>
          <w:color w:val="000000"/>
          <w:sz w:val="16"/>
          <w:szCs w:val="16"/>
        </w:rPr>
        <w:t xml:space="preserve"> </w:t>
      </w:r>
      <w:r>
        <w:rPr>
          <w:rFonts w:eastAsia="Times New Roman"/>
          <w:color w:val="000000"/>
          <w:sz w:val="16"/>
          <w:szCs w:val="16"/>
        </w:rPr>
        <w:t>55,443 and 50,059 shares at Decem</w:t>
      </w:r>
      <w:r>
        <w:rPr>
          <w:rFonts w:eastAsia="Times New Roman"/>
          <w:color w:val="000000"/>
          <w:sz w:val="16"/>
          <w:szCs w:val="16"/>
        </w:rPr>
        <w:t>ber 28, 2019 and December 29, 2018, respectively</w:t>
      </w:r>
      <w:r>
        <w:rPr>
          <w:rFonts w:eastAsia="Times New Roman"/>
          <w:color w:val="000000"/>
          <w:sz w:val="16"/>
          <w:szCs w:val="16"/>
        </w:rPr>
        <w:t>.</w:t>
      </w:r>
    </w:p>
    <w:p w:rsidR="00000000" w:rsidRDefault="00CB61D5">
      <w:pPr>
        <w:ind w:hanging="1260"/>
        <w:divId w:val="1797600446"/>
        <w:rPr>
          <w:rFonts w:eastAsia="Times New Roman"/>
        </w:rPr>
      </w:pPr>
    </w:p>
    <w:p w:rsidR="00000000" w:rsidRDefault="00CB61D5">
      <w:pPr>
        <w:jc w:val="center"/>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CB61D5">
      <w:pPr>
        <w:jc w:val="center"/>
        <w:divId w:val="2113090741"/>
        <w:rPr>
          <w:rFonts w:eastAsia="Times New Roman"/>
        </w:rPr>
      </w:pPr>
      <w:r>
        <w:rPr>
          <w:rFonts w:eastAsia="Times New Roman"/>
          <w:color w:val="000000"/>
          <w:sz w:val="20"/>
          <w:szCs w:val="20"/>
        </w:rPr>
        <w:t>4</w:t>
      </w:r>
      <w:r>
        <w:rPr>
          <w:rFonts w:eastAsia="Times New Roman"/>
          <w:color w:val="000000"/>
          <w:sz w:val="20"/>
          <w:szCs w:val="20"/>
        </w:rPr>
        <w:t>7</w:t>
      </w:r>
    </w:p>
    <w:p w:rsidR="00000000" w:rsidRDefault="00CB61D5">
      <w:pPr>
        <w:rPr>
          <w:rFonts w:eastAsia="Times New Roman"/>
        </w:rPr>
      </w:pPr>
      <w:r>
        <w:rPr>
          <w:rFonts w:eastAsia="Times New Roman"/>
        </w:rPr>
        <w:pict>
          <v:rect id="_x0000_i1076" style="width:0;height:1.5pt" o:hralign="center" o:hrstd="t" o:hr="t" fillcolor="#a0a0a0" stroked="f"/>
        </w:pict>
      </w:r>
    </w:p>
    <w:p w:rsidR="00000000" w:rsidRDefault="00CB61D5">
      <w:pPr>
        <w:divId w:val="1430733685"/>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CONSOLIDATED STATEM</w:t>
      </w:r>
      <w:r>
        <w:rPr>
          <w:rFonts w:eastAsia="Times New Roman"/>
          <w:b/>
          <w:bCs/>
          <w:color w:val="000000"/>
          <w:sz w:val="20"/>
          <w:szCs w:val="20"/>
        </w:rPr>
        <w:t>ENTS OF STOCKHOLDERS’ EQUIT</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3"/>
        <w:gridCol w:w="1106"/>
        <w:gridCol w:w="43"/>
        <w:gridCol w:w="97"/>
        <w:gridCol w:w="553"/>
        <w:gridCol w:w="80"/>
        <w:gridCol w:w="36"/>
        <w:gridCol w:w="36"/>
        <w:gridCol w:w="36"/>
        <w:gridCol w:w="125"/>
        <w:gridCol w:w="465"/>
        <w:gridCol w:w="85"/>
        <w:gridCol w:w="36"/>
        <w:gridCol w:w="36"/>
        <w:gridCol w:w="36"/>
        <w:gridCol w:w="125"/>
        <w:gridCol w:w="645"/>
        <w:gridCol w:w="80"/>
        <w:gridCol w:w="36"/>
        <w:gridCol w:w="36"/>
        <w:gridCol w:w="36"/>
        <w:gridCol w:w="125"/>
        <w:gridCol w:w="855"/>
        <w:gridCol w:w="80"/>
        <w:gridCol w:w="36"/>
        <w:gridCol w:w="36"/>
        <w:gridCol w:w="36"/>
        <w:gridCol w:w="126"/>
        <w:gridCol w:w="607"/>
        <w:gridCol w:w="80"/>
        <w:gridCol w:w="36"/>
        <w:gridCol w:w="36"/>
        <w:gridCol w:w="36"/>
        <w:gridCol w:w="125"/>
        <w:gridCol w:w="780"/>
        <w:gridCol w:w="80"/>
        <w:gridCol w:w="36"/>
        <w:gridCol w:w="36"/>
        <w:gridCol w:w="36"/>
        <w:gridCol w:w="125"/>
        <w:gridCol w:w="780"/>
        <w:gridCol w:w="80"/>
        <w:gridCol w:w="36"/>
        <w:gridCol w:w="36"/>
        <w:gridCol w:w="36"/>
        <w:gridCol w:w="367"/>
        <w:gridCol w:w="367"/>
        <w:gridCol w:w="367"/>
        <w:gridCol w:w="36"/>
        <w:gridCol w:w="36"/>
        <w:gridCol w:w="36"/>
        <w:gridCol w:w="36"/>
        <w:gridCol w:w="36"/>
        <w:gridCol w:w="36"/>
        <w:gridCol w:w="36"/>
        <w:gridCol w:w="36"/>
        <w:gridCol w:w="36"/>
      </w:tblGrid>
      <w:tr w:rsidR="00000000">
        <w:trPr>
          <w:gridAfter w:val="15"/>
          <w:divId w:val="896284540"/>
        </w:trPr>
        <w:tc>
          <w:tcPr>
            <w:tcW w:w="50" w:type="pct"/>
            <w:vAlign w:val="center"/>
            <w:hideMark/>
          </w:tcPr>
          <w:p w:rsidR="00000000" w:rsidRDefault="00CB61D5">
            <w:pPr>
              <w:jc w:val="center"/>
              <w:rPr>
                <w:rFonts w:eastAsia="Times New Roman"/>
              </w:rPr>
            </w:pPr>
          </w:p>
        </w:tc>
        <w:tc>
          <w:tcPr>
            <w:tcW w:w="131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2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36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9"/>
          <w:divId w:val="89628454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rsidR="00000000" w:rsidRDefault="00CB61D5">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rsidR="00000000" w:rsidRDefault="00CB61D5">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rsidR="00000000" w:rsidRDefault="00CB61D5">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Accum. Other Comp. Incom</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rsidR="00000000" w:rsidRDefault="00CB61D5">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rsidR="00000000" w:rsidRDefault="00CB61D5">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rsidR="00000000" w:rsidRDefault="00CB61D5">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trPr>
          <w:divId w:val="89628454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CB61D5">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31, 201</w:t>
            </w:r>
            <w:r>
              <w:rPr>
                <w:rFonts w:eastAsia="Times New Roman"/>
                <w:b/>
                <w:bCs/>
                <w:color w:val="000000"/>
                <w:sz w:val="18"/>
                <w:szCs w:val="18"/>
              </w:rPr>
              <w:t>6</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130,795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671,515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(1,761,498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2,540,449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1,453,218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Height w:val="6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16,327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16,330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FFFF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29,202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29,202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(5,924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(369,403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(369,403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(133,828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(133,828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422,599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422,599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Reclassification of stranded tax effects as a result of ASU 2018-02 adoptio</w:t>
            </w:r>
            <w:r>
              <w:rPr>
                <w:rFonts w:eastAsia="Times New Roman"/>
                <w:color w:val="000000"/>
                <w:sz w:val="18"/>
                <w:szCs w:val="18"/>
              </w:rPr>
              <w:t>n</w:t>
            </w:r>
          </w:p>
        </w:tc>
        <w:tc>
          <w:tcPr>
            <w:tcW w:w="0" w:type="auto"/>
            <w:gridSpan w:val="2"/>
            <w:shd w:val="clear" w:color="auto" w:fill="FFFF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(595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30, 201</w:t>
            </w:r>
            <w:r>
              <w:rPr>
                <w:rFonts w:eastAsia="Times New Roman"/>
                <w:b/>
                <w:bCs/>
                <w:color w:val="000000"/>
                <w:sz w:val="18"/>
                <w:szCs w:val="18"/>
              </w:rPr>
              <w:t>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125,303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716,228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(2,130,901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3,358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2,828,625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1,418,673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Height w:val="10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79,631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79,643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FFFF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28,921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28,921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(1,367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(4,987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(349,776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(349,776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(147,087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(147,087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532,357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532,357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w:t>
            </w:r>
            <w:r>
              <w:rPr>
                <w:rFonts w:eastAsia="Times New Roman"/>
                <w:b/>
                <w:bCs/>
                <w:color w:val="000000"/>
                <w:sz w:val="18"/>
                <w:szCs w:val="18"/>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121,828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1,375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823,413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(2,480,677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3,814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3,213,895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1,561,820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Height w:val="12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1,721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115,967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115,981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FFFF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31,136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31,136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(3,818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(3,818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(533,319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(533,319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(162,699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(162,699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2"/>
            <w:shd w:val="clear" w:color="auto" w:fill="FFFF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(4,332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tcMar>
              <w:top w:w="15" w:type="dxa"/>
              <w:left w:w="20" w:type="dxa"/>
              <w:bottom w:w="15" w:type="dxa"/>
              <w:right w:w="0" w:type="dxa"/>
            </w:tcMar>
            <w:vAlign w:val="bottom"/>
            <w:hideMark/>
          </w:tcPr>
          <w:p w:rsidR="00000000" w:rsidRDefault="00CB61D5">
            <w:pPr>
              <w:rPr>
                <w:rFonts w:eastAsia="Times New Roman"/>
              </w:rPr>
            </w:pPr>
          </w:p>
        </w:tc>
        <w:tc>
          <w:tcPr>
            <w:tcW w:w="0" w:type="auto"/>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562,354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562,354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18"/>
                <w:szCs w:val="18"/>
              </w:rPr>
              <w:t>Cumulative adjustment as a result of ASU 2017-12 adoptio</w:t>
            </w:r>
            <w:r>
              <w:rPr>
                <w:rFonts w:eastAsia="Times New Roman"/>
                <w:color w:val="000000"/>
                <w:sz w:val="18"/>
                <w:szCs w:val="18"/>
              </w:rPr>
              <w:t>n</w:t>
            </w:r>
          </w:p>
        </w:tc>
        <w:tc>
          <w:tcPr>
            <w:tcW w:w="0" w:type="auto"/>
            <w:gridSpan w:val="2"/>
            <w:shd w:val="clear" w:color="auto" w:fill="CCEEFF"/>
            <w:tcMar>
              <w:top w:w="15" w:type="dxa"/>
              <w:left w:w="20" w:type="dxa"/>
              <w:bottom w:w="15" w:type="dxa"/>
              <w:right w:w="0" w:type="dxa"/>
            </w:tcMar>
            <w:vAlign w:val="bottom"/>
            <w:hideMark/>
          </w:tcPr>
          <w:p w:rsidR="00000000" w:rsidRDefault="00CB61D5">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CCEEFF"/>
            <w:tcMar>
              <w:top w:w="15" w:type="dxa"/>
              <w:left w:w="20" w:type="dxa"/>
              <w:bottom w:w="15" w:type="dxa"/>
              <w:right w:w="0" w:type="dxa"/>
            </w:tcMar>
            <w:vAlign w:val="bottom"/>
            <w:hideMark/>
          </w:tcPr>
          <w:p w:rsidR="00000000" w:rsidRDefault="00CB61D5">
            <w:pPr>
              <w:jc w:val="right"/>
              <w:rPr>
                <w:rFonts w:eastAsia="Times New Roman"/>
                <w:sz w:val="20"/>
                <w:szCs w:val="20"/>
              </w:rPr>
            </w:pPr>
          </w:p>
        </w:tc>
        <w:tc>
          <w:tcPr>
            <w:tcW w:w="0" w:type="auto"/>
            <w:shd w:val="clear" w:color="auto" w:fill="CCEEFF"/>
            <w:tcMar>
              <w:top w:w="15" w:type="dxa"/>
              <w:left w:w="15" w:type="dxa"/>
              <w:bottom w:w="15" w:type="dxa"/>
              <w:right w:w="20" w:type="dxa"/>
            </w:tcMar>
            <w:vAlign w:val="bottom"/>
            <w:hideMark/>
          </w:tcPr>
          <w:p w:rsidR="00000000" w:rsidRDefault="00CB61D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(717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9628454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w:t>
            </w:r>
            <w:r>
              <w:rPr>
                <w:rFonts w:eastAsia="Times New Roman"/>
                <w:b/>
                <w:bCs/>
                <w:color w:val="000000"/>
                <w:sz w:val="18"/>
                <w:szCs w:val="18"/>
              </w:rPr>
              <w:t>9</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118,165</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1,389</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966,698</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(3,013,996</w:t>
            </w: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199</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3,612,833</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18"/>
                <w:szCs w:val="18"/>
              </w:rPr>
              <w:t>1,567,123</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18"/>
                <w:szCs w:val="18"/>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865755118"/>
        <w:rPr>
          <w:rFonts w:eastAsia="Times New Roman"/>
        </w:rPr>
      </w:pPr>
    </w:p>
    <w:p w:rsidR="00000000" w:rsidRDefault="00CB61D5">
      <w:pPr>
        <w:jc w:val="center"/>
        <w:rPr>
          <w:rFonts w:eastAsia="Times New Roman"/>
        </w:rPr>
      </w:pPr>
      <w:r>
        <w:rPr>
          <w:rFonts w:eastAsia="Times New Roman"/>
          <w:color w:val="000000"/>
          <w:sz w:val="20"/>
          <w:szCs w:val="20"/>
        </w:rPr>
        <w:t>T</w:t>
      </w:r>
      <w:r>
        <w:rPr>
          <w:rFonts w:eastAsia="Times New Roman"/>
          <w:color w:val="000000"/>
          <w:sz w:val="20"/>
          <w:szCs w:val="20"/>
        </w:rPr>
        <w:t>he accompanying notes are an integral part of these Consolidated Financial Statements</w:t>
      </w:r>
      <w:r>
        <w:rPr>
          <w:rFonts w:eastAsia="Times New Roman"/>
          <w:color w:val="000000"/>
          <w:sz w:val="20"/>
          <w:szCs w:val="20"/>
        </w:rPr>
        <w:t>.</w:t>
      </w:r>
    </w:p>
    <w:p w:rsidR="00000000" w:rsidRDefault="00CB61D5">
      <w:pPr>
        <w:jc w:val="center"/>
        <w:divId w:val="1447843547"/>
        <w:rPr>
          <w:rFonts w:eastAsia="Times New Roman"/>
        </w:rPr>
      </w:pPr>
      <w:r>
        <w:rPr>
          <w:rFonts w:eastAsia="Times New Roman"/>
          <w:color w:val="000000"/>
          <w:sz w:val="20"/>
          <w:szCs w:val="20"/>
        </w:rPr>
        <w:t>4</w:t>
      </w:r>
      <w:r>
        <w:rPr>
          <w:rFonts w:eastAsia="Times New Roman"/>
          <w:color w:val="000000"/>
          <w:sz w:val="20"/>
          <w:szCs w:val="20"/>
        </w:rPr>
        <w:t>8</w:t>
      </w:r>
    </w:p>
    <w:p w:rsidR="00000000" w:rsidRDefault="00CB61D5">
      <w:pPr>
        <w:rPr>
          <w:rFonts w:eastAsia="Times New Roman"/>
        </w:rPr>
      </w:pPr>
      <w:r>
        <w:rPr>
          <w:rFonts w:eastAsia="Times New Roman"/>
        </w:rPr>
        <w:pict>
          <v:rect id="_x0000_i1077" style="width:0;height:1.5pt" o:hralign="center" o:hrstd="t" o:hr="t" fillcolor="#a0a0a0" stroked="f"/>
        </w:pict>
      </w:r>
    </w:p>
    <w:p w:rsidR="00000000" w:rsidRDefault="00CB61D5">
      <w:pPr>
        <w:divId w:val="1498156041"/>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CB61D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4262"/>
        <w:gridCol w:w="69"/>
        <w:gridCol w:w="137"/>
        <w:gridCol w:w="864"/>
        <w:gridCol w:w="85"/>
        <w:gridCol w:w="36"/>
        <w:gridCol w:w="36"/>
        <w:gridCol w:w="36"/>
        <w:gridCol w:w="137"/>
        <w:gridCol w:w="864"/>
        <w:gridCol w:w="85"/>
        <w:gridCol w:w="36"/>
        <w:gridCol w:w="36"/>
        <w:gridCol w:w="36"/>
        <w:gridCol w:w="137"/>
        <w:gridCol w:w="864"/>
        <w:gridCol w:w="85"/>
        <w:gridCol w:w="36"/>
        <w:gridCol w:w="36"/>
        <w:gridCol w:w="36"/>
        <w:gridCol w:w="36"/>
        <w:gridCol w:w="36"/>
        <w:gridCol w:w="36"/>
        <w:gridCol w:w="36"/>
        <w:gridCol w:w="36"/>
        <w:gridCol w:w="36"/>
        <w:gridCol w:w="36"/>
        <w:gridCol w:w="36"/>
        <w:gridCol w:w="36"/>
      </w:tblGrid>
      <w:tr w:rsidR="00000000">
        <w:trPr>
          <w:gridAfter w:val="12"/>
          <w:divId w:val="405885405"/>
        </w:trPr>
        <w:tc>
          <w:tcPr>
            <w:tcW w:w="50" w:type="pct"/>
            <w:vAlign w:val="center"/>
            <w:hideMark/>
          </w:tcPr>
          <w:p w:rsidR="00000000" w:rsidRDefault="00CB61D5">
            <w:pPr>
              <w:jc w:val="center"/>
              <w:rPr>
                <w:rFonts w:eastAsia="Times New Roman"/>
              </w:rPr>
            </w:pPr>
          </w:p>
        </w:tc>
        <w:tc>
          <w:tcPr>
            <w:tcW w:w="307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8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40588540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40588540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(52 weeks</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422,599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195,978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177,351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165,834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Gain on disposition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31,136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28,921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29,202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6,760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11,887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26,724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Change in assets and liabilities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(13,239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(136,334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(83,552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13,582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(26,195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43,413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57,046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(14,291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22,373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36,406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(10,338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13,137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10,533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811,716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694,394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631,450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(217,450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(278,530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(250,401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Proceeds from sale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Acquisition of Petsense, net of cash acquire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(214,961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(276,314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(237,956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Borrowings under debt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1,180,000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Repayments under debt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(1,013,250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(1,212,250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(1,027,500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Principal payments under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Repurchase of shares to satisfy tax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(533,319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(349,776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(369,403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115,981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(162,699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(147,087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(133,828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7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(598,813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(440,929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(338,262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Net change in cash and cash equivalent</w:t>
            </w:r>
            <w:r>
              <w:rPr>
                <w:rFonts w:eastAsia="Times New Roman"/>
                <w:b/>
                <w:bCs/>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(22,849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55,232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and cash equivalents at beginning of yea</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109,148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and cash equivalents at end of yea</w:t>
            </w:r>
            <w:r>
              <w:rPr>
                <w:rFonts w:eastAsia="Times New Roman"/>
                <w:color w:val="000000"/>
                <w:sz w:val="20"/>
                <w:szCs w:val="20"/>
              </w:rPr>
              <w:t>r</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109,148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Height w:val="10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Supplemental disclosures of cash flow information</w:t>
            </w: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paid during the year for</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w:t>
            </w: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18,069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10,481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144,377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146,918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219,081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Height w:val="10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Supplemental disclosures of non-cash activities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Non-cash accruals for construction in progres</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7,924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8,647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lease assets and liabilities recognized upon adoption of ASC 84</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2,084,880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Increase of operating lease assets and liabilities from new or modified 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365,233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40588540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Increase of finance lease assets and liabilities from new or modified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center"/>
        <w:rPr>
          <w:rFonts w:eastAsia="Times New Roman"/>
        </w:rPr>
      </w:pPr>
    </w:p>
    <w:p w:rsidR="00000000" w:rsidRDefault="00CB61D5">
      <w:pPr>
        <w:jc w:val="center"/>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CB61D5">
      <w:pPr>
        <w:jc w:val="center"/>
        <w:divId w:val="634485399"/>
        <w:rPr>
          <w:rFonts w:eastAsia="Times New Roman"/>
        </w:rPr>
      </w:pPr>
      <w:r>
        <w:rPr>
          <w:rFonts w:eastAsia="Times New Roman"/>
          <w:color w:val="000000"/>
          <w:sz w:val="20"/>
          <w:szCs w:val="20"/>
        </w:rPr>
        <w:t>4</w:t>
      </w:r>
      <w:r>
        <w:rPr>
          <w:rFonts w:eastAsia="Times New Roman"/>
          <w:color w:val="000000"/>
          <w:sz w:val="20"/>
          <w:szCs w:val="20"/>
        </w:rPr>
        <w:t>9</w:t>
      </w:r>
    </w:p>
    <w:p w:rsidR="00000000" w:rsidRDefault="00CB61D5">
      <w:pPr>
        <w:rPr>
          <w:rFonts w:eastAsia="Times New Roman"/>
        </w:rPr>
      </w:pPr>
      <w:r>
        <w:rPr>
          <w:rFonts w:eastAsia="Times New Roman"/>
        </w:rPr>
        <w:pict>
          <v:rect id="_x0000_i1078" style="width:0;height:1.5pt" o:hralign="center" o:hrstd="t" o:hr="t" fillcolor="#a0a0a0" stroked="f"/>
        </w:pict>
      </w:r>
    </w:p>
    <w:p w:rsidR="00000000" w:rsidRDefault="00CB61D5">
      <w:pPr>
        <w:divId w:val="141624492"/>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CB61D5">
      <w:pPr>
        <w:jc w:val="center"/>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CB61D5">
      <w:pPr>
        <w:jc w:val="center"/>
        <w:rPr>
          <w:rFonts w:eastAsia="Times New Roman"/>
        </w:rPr>
      </w:pPr>
    </w:p>
    <w:p w:rsidR="00000000" w:rsidRDefault="00CB61D5">
      <w:pPr>
        <w:divId w:val="856309287"/>
        <w:rPr>
          <w:rFonts w:eastAsia="Times New Roman"/>
        </w:rPr>
      </w:pPr>
      <w:r>
        <w:rPr>
          <w:rFonts w:eastAsia="Times New Roman"/>
          <w:b/>
          <w:bCs/>
          <w:color w:val="000000"/>
          <w:sz w:val="20"/>
          <w:szCs w:val="20"/>
        </w:rPr>
        <w:t>Note 1 – Significant Accounting Policies</w:t>
      </w:r>
      <w:r>
        <w:rPr>
          <w:rFonts w:eastAsia="Times New Roman"/>
          <w:b/>
          <w:bCs/>
          <w:color w:val="000000"/>
          <w:sz w:val="20"/>
          <w:szCs w:val="20"/>
        </w:rPr>
        <w:t>:</w:t>
      </w:r>
    </w:p>
    <w:p w:rsidR="00000000" w:rsidRDefault="00CB61D5">
      <w:pPr>
        <w:divId w:val="2076467368"/>
        <w:rPr>
          <w:rFonts w:eastAsia="Times New Roman"/>
        </w:rPr>
      </w:pPr>
    </w:p>
    <w:p w:rsidR="00000000" w:rsidRDefault="00CB61D5">
      <w:pPr>
        <w:jc w:val="both"/>
        <w:rPr>
          <w:rFonts w:eastAsia="Times New Roman"/>
        </w:rPr>
      </w:pPr>
      <w:r>
        <w:rPr>
          <w:rFonts w:eastAsia="Times New Roman"/>
          <w:b/>
          <w:bCs/>
          <w:i/>
          <w:iCs/>
          <w:color w:val="000000"/>
          <w:sz w:val="20"/>
          <w:szCs w:val="20"/>
        </w:rPr>
        <w:t>Nature of Busines</w:t>
      </w:r>
      <w:r>
        <w:rPr>
          <w:rFonts w:eastAsia="Times New Roman"/>
          <w:b/>
          <w:bCs/>
          <w:i/>
          <w:iCs/>
          <w:color w:val="000000"/>
          <w:sz w:val="20"/>
          <w:szCs w:val="20"/>
        </w:rPr>
        <w:t>s</w:t>
      </w:r>
    </w:p>
    <w:p w:rsidR="00000000" w:rsidRDefault="00CB61D5">
      <w:pPr>
        <w:divId w:val="927466051"/>
        <w:rPr>
          <w:rFonts w:eastAsia="Times New Roman"/>
        </w:rPr>
      </w:pPr>
    </w:p>
    <w:p w:rsidR="00000000" w:rsidRDefault="00CB61D5">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those who enjo</w:t>
      </w:r>
      <w:r>
        <w:rPr>
          <w:rFonts w:eastAsia="Times New Roman"/>
          <w:color w:val="000000"/>
          <w:sz w:val="20"/>
          <w:szCs w:val="20"/>
        </w:rPr>
        <w:t xml:space="preserve">y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 well as tradesmen and small businesses.  Stores are located primarily in towns outlying major metropolitan markets and in rural communities. The Company also owns and operates</w:t>
      </w:r>
      <w:r>
        <w:rPr>
          <w:rFonts w:eastAsia="Times New Roman"/>
          <w:color w:val="000000"/>
          <w:sz w:val="20"/>
          <w:szCs w:val="20"/>
        </w:rPr>
        <w:t xml:space="preserve"> Petsense, LLC (“Petsense”), a small-box pet specialty supply retailer focused on meeting the needs of pet owners, primarily in small and mid-sized communities, and offering a variety of pet products and services.  At December 28, 2019, the Company operate</w:t>
      </w:r>
      <w:r>
        <w:rPr>
          <w:rFonts w:eastAsia="Times New Roman"/>
          <w:color w:val="000000"/>
          <w:sz w:val="20"/>
          <w:szCs w:val="20"/>
        </w:rPr>
        <w:t>d a total of 2,024 retail stores in 49 states (1,844 Tractor Supply and Del’s retail stores and 180 Petsense retail stores) and also offered an expanded assortment of products online at</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Basis of Presentatio</w:t>
      </w:r>
      <w:r>
        <w:rPr>
          <w:rFonts w:eastAsia="Times New Roman"/>
          <w:b/>
          <w:bCs/>
          <w:i/>
          <w:iCs/>
          <w:color w:val="000000"/>
          <w:sz w:val="20"/>
          <w:szCs w:val="20"/>
        </w:rPr>
        <w:t>n</w:t>
      </w:r>
    </w:p>
    <w:p w:rsidR="00000000" w:rsidRDefault="00CB61D5">
      <w:pPr>
        <w:divId w:val="1267617246"/>
        <w:rPr>
          <w:rFonts w:eastAsia="Times New Roman"/>
        </w:rPr>
      </w:pPr>
    </w:p>
    <w:p w:rsidR="00000000" w:rsidRDefault="00CB61D5">
      <w:pPr>
        <w:jc w:val="both"/>
        <w:rPr>
          <w:rFonts w:eastAsia="Times New Roman"/>
        </w:rPr>
      </w:pPr>
      <w:r>
        <w:rPr>
          <w:rFonts w:eastAsia="Times New Roman"/>
          <w:color w:val="000000"/>
          <w:sz w:val="20"/>
          <w:szCs w:val="20"/>
        </w:rPr>
        <w:t>In the f</w:t>
      </w:r>
      <w:r>
        <w:rPr>
          <w:rFonts w:eastAsia="Times New Roman"/>
          <w:color w:val="000000"/>
          <w:sz w:val="20"/>
          <w:szCs w:val="20"/>
        </w:rPr>
        <w:t>irst quarter of fiscal 2019, the Company adopted lease accounting guidance as discussed in Note 6 and Note 14 to the Consolidated Financial Statements. Adoption of the new lease accounting guidance had a material impact to our Consolidated Balance Sheets a</w:t>
      </w:r>
      <w:r>
        <w:rPr>
          <w:rFonts w:eastAsia="Times New Roman"/>
          <w:color w:val="000000"/>
          <w:sz w:val="20"/>
          <w:szCs w:val="20"/>
        </w:rPr>
        <w:t>nd related disclosures, and resulted in the recording of additional right-of-use assets and lease liabilities of approximately $2.08 billion as of the date of adoption. This guidance was applied using the optional transition method which allowed the Compan</w:t>
      </w:r>
      <w:r>
        <w:rPr>
          <w:rFonts w:eastAsia="Times New Roman"/>
          <w:color w:val="000000"/>
          <w:sz w:val="20"/>
          <w:szCs w:val="20"/>
        </w:rPr>
        <w:t>y to not recast comparative financial information but rather recognize a cumulative-effect adjustment to retained earnings as of the effective date in the period of adoption. No adjustment to retained earnings was made as a result of the adoption of this g</w:t>
      </w:r>
      <w:r>
        <w:rPr>
          <w:rFonts w:eastAsia="Times New Roman"/>
          <w:color w:val="000000"/>
          <w:sz w:val="20"/>
          <w:szCs w:val="20"/>
        </w:rPr>
        <w:t>uidance. Consistent with the optional transition method, the financial information in the Consolidated Balance Sheets prior to the adoption of this new lease accounting guidance has not been adjusted and is therefore not comparable to the current period pr</w:t>
      </w:r>
      <w:r>
        <w:rPr>
          <w:rFonts w:eastAsia="Times New Roman"/>
          <w:color w:val="000000"/>
          <w:sz w:val="20"/>
          <w:szCs w:val="20"/>
        </w:rPr>
        <w:t>esented. The standard did not materially impact our Consolidated Statements of Income, Comprehensive Income, Stockholders’ Equity, or Cash Flows. For additional information, including the required disclosures, related to the impact of adopting this standar</w:t>
      </w:r>
      <w:r>
        <w:rPr>
          <w:rFonts w:eastAsia="Times New Roman"/>
          <w:color w:val="000000"/>
          <w:sz w:val="20"/>
          <w:szCs w:val="20"/>
        </w:rPr>
        <w:t>d, see Note 6 and Note 14 to the Consolidated Financial Statements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the first quarter of fiscal 2019, the Company adopted Accounting Standards Update 2017-12, “Derivatives and Hedging (Topic 815): Targeted Improvements to Accounting for Hedging Activi</w:t>
      </w:r>
      <w:r>
        <w:rPr>
          <w:rFonts w:eastAsia="Times New Roman"/>
          <w:color w:val="000000"/>
          <w:sz w:val="20"/>
          <w:szCs w:val="20"/>
        </w:rPr>
        <w:t>ties,” using the modified retrospective transition method. This method allows for a cumulative effect adjustment to retained earnings, as of the effective date in the period of adoption, for previously recorded amounts of hedge ineffectiveness. Upon adopti</w:t>
      </w:r>
      <w:r>
        <w:rPr>
          <w:rFonts w:eastAsia="Times New Roman"/>
          <w:color w:val="000000"/>
          <w:sz w:val="20"/>
          <w:szCs w:val="20"/>
        </w:rPr>
        <w:t>on of the guidance, we recognized a cumulative-effect adjustment of $0.7 million from retained earnings to accumulated other comprehensive income. The adoption of this guidance did not have a material impact on our Consolidated Financial Statements and rel</w:t>
      </w:r>
      <w:r>
        <w:rPr>
          <w:rFonts w:eastAsia="Times New Roman"/>
          <w:color w:val="000000"/>
          <w:sz w:val="20"/>
          <w:szCs w:val="20"/>
        </w:rPr>
        <w:t>ated disclosures. For additional information on the required disclosures related to the impact of adopting this guidance, see Note 5 and Note 14 to the Consolidated Financial Statements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the first quarter of fiscal 2018, the Company adopted accounting</w:t>
      </w:r>
      <w:r>
        <w:rPr>
          <w:rFonts w:eastAsia="Times New Roman"/>
          <w:color w:val="000000"/>
          <w:sz w:val="20"/>
          <w:szCs w:val="20"/>
        </w:rPr>
        <w:t xml:space="preserve"> guidance that allowed for a reclassification from accumulated other comprehensive income to retained earnings for stranded tax effects resulting from the U.S. Tax Cuts and Jobs Act (the “TCJA”). This guidance was applied retrospectively, which resulted in</w:t>
      </w:r>
      <w:r>
        <w:rPr>
          <w:rFonts w:eastAsia="Times New Roman"/>
          <w:color w:val="000000"/>
          <w:sz w:val="20"/>
          <w:szCs w:val="20"/>
        </w:rPr>
        <w:t xml:space="preserve"> the reclassification of $0.6 million from accumulated other comprehensive income to retained earnings in the Consolidated Balance Sheets, Statements of Stockholders’ Equity, and Statements of Comprehensive Income as of and for the fiscal year ended Decemb</w:t>
      </w:r>
      <w:r>
        <w:rPr>
          <w:rFonts w:eastAsia="Times New Roman"/>
          <w:color w:val="000000"/>
          <w:sz w:val="20"/>
          <w:szCs w:val="20"/>
        </w:rPr>
        <w:t>er 30, 2017. No other periods presented were affected by the adoption of this accounting guidance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Fiscal Yea</w:t>
      </w:r>
      <w:r>
        <w:rPr>
          <w:rFonts w:eastAsia="Times New Roman"/>
          <w:b/>
          <w:bCs/>
          <w:i/>
          <w:iCs/>
          <w:color w:val="000000"/>
          <w:sz w:val="20"/>
          <w:szCs w:val="20"/>
        </w:rPr>
        <w:t>r</w:t>
      </w:r>
    </w:p>
    <w:p w:rsidR="00000000" w:rsidRDefault="00CB61D5">
      <w:pPr>
        <w:divId w:val="1634215686"/>
        <w:rPr>
          <w:rFonts w:eastAsia="Times New Roman"/>
        </w:rPr>
      </w:pPr>
    </w:p>
    <w:p w:rsidR="00000000" w:rsidRDefault="00CB61D5">
      <w:pPr>
        <w:jc w:val="both"/>
        <w:rPr>
          <w:rFonts w:eastAsia="Times New Roman"/>
        </w:rPr>
      </w:pPr>
      <w:r>
        <w:rPr>
          <w:rFonts w:eastAsia="Times New Roman"/>
          <w:color w:val="000000"/>
          <w:sz w:val="20"/>
          <w:szCs w:val="20"/>
        </w:rPr>
        <w:t>The Company’s fiscal year includes 52 or 53 weeks and ends on the last Saturday of the calendar year.  The fiscal years ended December 28, 20</w:t>
      </w:r>
      <w:r>
        <w:rPr>
          <w:rFonts w:eastAsia="Times New Roman"/>
          <w:color w:val="000000"/>
          <w:sz w:val="20"/>
          <w:szCs w:val="20"/>
        </w:rPr>
        <w:t>19, December 29, 2018, and December 30, 2017, all consisted of 52 weeks</w:t>
      </w:r>
      <w:r>
        <w:rPr>
          <w:rFonts w:eastAsia="Times New Roman"/>
          <w:color w:val="000000"/>
          <w:sz w:val="20"/>
          <w:szCs w:val="20"/>
        </w:rPr>
        <w:t>.</w:t>
      </w:r>
    </w:p>
    <w:p w:rsidR="00000000" w:rsidRDefault="00CB61D5">
      <w:pPr>
        <w:divId w:val="852257563"/>
        <w:rPr>
          <w:rFonts w:eastAsia="Times New Roman"/>
        </w:rPr>
      </w:pPr>
    </w:p>
    <w:p w:rsidR="00000000" w:rsidRDefault="00CB61D5">
      <w:pPr>
        <w:jc w:val="both"/>
        <w:rPr>
          <w:rFonts w:eastAsia="Times New Roman"/>
        </w:rPr>
      </w:pPr>
      <w:r>
        <w:rPr>
          <w:rFonts w:eastAsia="Times New Roman"/>
          <w:b/>
          <w:bCs/>
          <w:i/>
          <w:iCs/>
          <w:color w:val="000000"/>
          <w:sz w:val="20"/>
          <w:szCs w:val="20"/>
        </w:rPr>
        <w:t>Principles of Consolidatio</w:t>
      </w:r>
      <w:r>
        <w:rPr>
          <w:rFonts w:eastAsia="Times New Roman"/>
          <w:b/>
          <w:bCs/>
          <w:i/>
          <w:iCs/>
          <w:color w:val="000000"/>
          <w:sz w:val="20"/>
          <w:szCs w:val="20"/>
        </w:rPr>
        <w:t>n</w:t>
      </w:r>
    </w:p>
    <w:p w:rsidR="00000000" w:rsidRDefault="00CB61D5">
      <w:pPr>
        <w:divId w:val="382952572"/>
        <w:rPr>
          <w:rFonts w:eastAsia="Times New Roman"/>
        </w:rPr>
      </w:pPr>
    </w:p>
    <w:p w:rsidR="00000000" w:rsidRDefault="00CB61D5">
      <w:pPr>
        <w:jc w:val="both"/>
        <w:rPr>
          <w:rFonts w:eastAsia="Times New Roman"/>
        </w:rPr>
      </w:pPr>
      <w:r>
        <w:rPr>
          <w:rFonts w:eastAsia="Times New Roman"/>
          <w:color w:val="000000"/>
          <w:sz w:val="20"/>
          <w:szCs w:val="20"/>
        </w:rPr>
        <w:t>The accompanying Consolidated Financial Statements include the accounts of the Company and its subsidiaries.  All intercompany accounts and transaction</w:t>
      </w:r>
      <w:r>
        <w:rPr>
          <w:rFonts w:eastAsia="Times New Roman"/>
          <w:color w:val="000000"/>
          <w:sz w:val="20"/>
          <w:szCs w:val="20"/>
        </w:rPr>
        <w:t>s have been eliminated</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374700954"/>
        <w:rPr>
          <w:rFonts w:eastAsia="Times New Roman"/>
        </w:rPr>
      </w:pPr>
      <w:r>
        <w:rPr>
          <w:rFonts w:eastAsia="Times New Roman"/>
          <w:color w:val="000000"/>
          <w:sz w:val="20"/>
          <w:szCs w:val="20"/>
        </w:rPr>
        <w:t>5</w:t>
      </w:r>
      <w:r>
        <w:rPr>
          <w:rFonts w:eastAsia="Times New Roman"/>
          <w:color w:val="000000"/>
          <w:sz w:val="20"/>
          <w:szCs w:val="20"/>
        </w:rPr>
        <w:t>0</w:t>
      </w:r>
    </w:p>
    <w:p w:rsidR="00000000" w:rsidRDefault="00CB61D5">
      <w:pPr>
        <w:rPr>
          <w:rFonts w:eastAsia="Times New Roman"/>
        </w:rPr>
      </w:pPr>
      <w:r>
        <w:rPr>
          <w:rFonts w:eastAsia="Times New Roman"/>
        </w:rPr>
        <w:pict>
          <v:rect id="_x0000_i1079" style="width:0;height:1.5pt" o:hralign="center" o:hrstd="t" o:hr="t" fillcolor="#a0a0a0" stroked="f"/>
        </w:pict>
      </w:r>
    </w:p>
    <w:p w:rsidR="00000000" w:rsidRDefault="00CB61D5">
      <w:pPr>
        <w:divId w:val="1005209027"/>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i/>
          <w:iCs/>
          <w:color w:val="000000"/>
          <w:sz w:val="20"/>
          <w:szCs w:val="20"/>
        </w:rPr>
        <w:t>Management Estimate</w:t>
      </w:r>
      <w:r>
        <w:rPr>
          <w:rFonts w:eastAsia="Times New Roman"/>
          <w:b/>
          <w:bCs/>
          <w:i/>
          <w:iCs/>
          <w:color w:val="000000"/>
          <w:sz w:val="20"/>
          <w:szCs w:val="20"/>
        </w:rPr>
        <w:t>s</w:t>
      </w:r>
    </w:p>
    <w:p w:rsidR="00000000" w:rsidRDefault="00CB61D5">
      <w:pPr>
        <w:divId w:val="585917054"/>
        <w:rPr>
          <w:rFonts w:eastAsia="Times New Roman"/>
        </w:rPr>
      </w:pPr>
    </w:p>
    <w:p w:rsidR="00000000" w:rsidRDefault="00CB61D5">
      <w:pPr>
        <w:jc w:val="both"/>
        <w:rPr>
          <w:rFonts w:eastAsia="Times New Roman"/>
        </w:rPr>
      </w:pPr>
      <w:r>
        <w:rPr>
          <w:rFonts w:eastAsia="Times New Roman"/>
          <w:color w:val="000000"/>
          <w:sz w:val="20"/>
          <w:szCs w:val="20"/>
        </w:rPr>
        <w:t>The preparation of Consolidated Financial Statements in conformity with accounting principles generally accepted in the United States (“U.S. GAAP”) inherently requ</w:t>
      </w:r>
      <w:r>
        <w:rPr>
          <w:rFonts w:eastAsia="Times New Roman"/>
          <w:color w:val="000000"/>
          <w:sz w:val="20"/>
          <w:szCs w:val="20"/>
        </w:rPr>
        <w:t>ires estimates and assumptions by management of the Company that affect the reported amounts of assets and liabilities, revenues and expenses and related disclosures.  Actual results could differ from those estimates</w:t>
      </w:r>
      <w:r>
        <w:rPr>
          <w:rFonts w:eastAsia="Times New Roman"/>
          <w:color w:val="000000"/>
          <w:sz w:val="20"/>
          <w:szCs w:val="20"/>
        </w:rPr>
        <w:t>.</w:t>
      </w:r>
    </w:p>
    <w:p w:rsidR="00000000" w:rsidRDefault="00CB61D5">
      <w:pPr>
        <w:divId w:val="335573688"/>
        <w:rPr>
          <w:rFonts w:eastAsia="Times New Roman"/>
        </w:rPr>
      </w:pPr>
    </w:p>
    <w:p w:rsidR="00000000" w:rsidRDefault="00CB61D5">
      <w:pPr>
        <w:divId w:val="560212338"/>
        <w:rPr>
          <w:rFonts w:eastAsia="Times New Roman"/>
        </w:rPr>
      </w:pPr>
      <w:r>
        <w:rPr>
          <w:rFonts w:eastAsia="Times New Roman"/>
          <w:color w:val="000000"/>
          <w:sz w:val="20"/>
          <w:szCs w:val="20"/>
        </w:rPr>
        <w:t>Significant estimates and assumption</w:t>
      </w:r>
      <w:r>
        <w:rPr>
          <w:rFonts w:eastAsia="Times New Roman"/>
          <w:color w:val="000000"/>
          <w:sz w:val="20"/>
          <w:szCs w:val="20"/>
        </w:rPr>
        <w:t>s by management primarily impact the following key financial statement areas</w:t>
      </w:r>
      <w:r>
        <w:rPr>
          <w:rFonts w:eastAsia="Times New Roman"/>
          <w:color w:val="000000"/>
          <w:sz w:val="20"/>
          <w:szCs w:val="20"/>
        </w:rPr>
        <w:t>:</w:t>
      </w:r>
    </w:p>
    <w:p w:rsidR="00000000" w:rsidRDefault="00CB61D5">
      <w:pPr>
        <w:divId w:val="453715425"/>
        <w:rPr>
          <w:rFonts w:eastAsia="Times New Roman"/>
        </w:rPr>
      </w:pPr>
    </w:p>
    <w:p w:rsidR="00000000" w:rsidRDefault="00CB61D5">
      <w:pPr>
        <w:jc w:val="both"/>
        <w:rPr>
          <w:rFonts w:eastAsia="Times New Roman"/>
        </w:rPr>
      </w:pPr>
      <w:r>
        <w:rPr>
          <w:rFonts w:eastAsia="Times New Roman"/>
          <w:i/>
          <w:iCs/>
          <w:color w:val="000000"/>
          <w:sz w:val="20"/>
          <w:szCs w:val="20"/>
        </w:rPr>
        <w:t>Inventory Valuatio</w:t>
      </w:r>
      <w:r>
        <w:rPr>
          <w:rFonts w:eastAsia="Times New Roman"/>
          <w:i/>
          <w:iCs/>
          <w:color w:val="000000"/>
          <w:sz w:val="20"/>
          <w:szCs w:val="20"/>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u w:val="single"/>
        </w:rPr>
        <w:t>Inventory Impairment Ris</w:t>
      </w:r>
      <w:r>
        <w:rPr>
          <w:rFonts w:eastAsia="Times New Roman"/>
          <w:color w:val="000000"/>
          <w:sz w:val="20"/>
          <w:szCs w:val="20"/>
          <w:u w:val="single"/>
        </w:rPr>
        <w:t>k</w:t>
      </w:r>
    </w:p>
    <w:p w:rsidR="00000000" w:rsidRDefault="00CB61D5">
      <w:pPr>
        <w:jc w:val="both"/>
        <w:rPr>
          <w:rFonts w:eastAsia="Times New Roman"/>
        </w:rPr>
      </w:pPr>
      <w:r>
        <w:rPr>
          <w:rFonts w:eastAsia="Times New Roman"/>
          <w:color w:val="000000"/>
          <w:sz w:val="20"/>
          <w:szCs w:val="20"/>
        </w:rPr>
        <w:t>The Company identifies potentially excess and slow-moving inventory by evaluating turn rates, historical and expected future sales trends, age of merchandise, overall inventory levels, current cost of inventory, and other benchmarks.  The Company has estab</w:t>
      </w:r>
      <w:r>
        <w:rPr>
          <w:rFonts w:eastAsia="Times New Roman"/>
          <w:color w:val="000000"/>
          <w:sz w:val="20"/>
          <w:szCs w:val="20"/>
        </w:rPr>
        <w:t>lished an inventory valuation reserve to recognize the estimated impairment in value (i.e., an inability to realize the full carrying value) based on the Company’s aggregate assessment of these valuation indicators under prevailing market conditions and cu</w:t>
      </w:r>
      <w:r>
        <w:rPr>
          <w:rFonts w:eastAsia="Times New Roman"/>
          <w:color w:val="000000"/>
          <w:sz w:val="20"/>
          <w:szCs w:val="20"/>
        </w:rPr>
        <w:t>rrent merchandising strategies. The Company does not believe its merchandise inventories are subject to significant risk of obsolescence in the near term.  However, changes in market conditions or consumer purchasing patterns could result in the need for a</w:t>
      </w:r>
      <w:r>
        <w:rPr>
          <w:rFonts w:eastAsia="Times New Roman"/>
          <w:color w:val="000000"/>
          <w:sz w:val="20"/>
          <w:szCs w:val="20"/>
        </w:rPr>
        <w:t>dditional reserves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u w:val="single"/>
        </w:rPr>
        <w:t>Shrinkag</w:t>
      </w:r>
      <w:r>
        <w:rPr>
          <w:rFonts w:eastAsia="Times New Roman"/>
          <w:color w:val="000000"/>
          <w:sz w:val="20"/>
          <w:szCs w:val="20"/>
          <w:u w:val="single"/>
        </w:rPr>
        <w:t>e</w:t>
      </w:r>
    </w:p>
    <w:p w:rsidR="00000000" w:rsidRDefault="00CB61D5">
      <w:pPr>
        <w:jc w:val="both"/>
        <w:rPr>
          <w:rFonts w:eastAsia="Times New Roman"/>
        </w:rPr>
      </w:pPr>
      <w:r>
        <w:rPr>
          <w:rFonts w:eastAsia="Times New Roman"/>
          <w:color w:val="000000"/>
          <w:sz w:val="20"/>
          <w:szCs w:val="20"/>
        </w:rPr>
        <w:t>The Company performs physical inventories at least once a year for each store that has been open more than 12 months, and the Company has established a reserve for estimating inventory shrinkage between physical inventory co</w:t>
      </w:r>
      <w:r>
        <w:rPr>
          <w:rFonts w:eastAsia="Times New Roman"/>
          <w:color w:val="000000"/>
          <w:sz w:val="20"/>
          <w:szCs w:val="20"/>
        </w:rPr>
        <w:t>unts.  The reserve is established by assessing the chain-wide average shrinkage experience rate, applied to the related periods’ sales volumes.  Such assessments are updated on a regular basis for the most recent individual store experiences.  The estimate</w:t>
      </w:r>
      <w:r>
        <w:rPr>
          <w:rFonts w:eastAsia="Times New Roman"/>
          <w:color w:val="000000"/>
          <w:sz w:val="20"/>
          <w:szCs w:val="20"/>
        </w:rPr>
        <w:t>d store inventory shrink rate is based on historical experience.  The Company believes historical rates are a reasonably accurate reflection of future trends</w:t>
      </w:r>
      <w:r>
        <w:rPr>
          <w:rFonts w:eastAsia="Times New Roman"/>
          <w:color w:val="000000"/>
          <w:sz w:val="20"/>
          <w:szCs w:val="20"/>
        </w:rPr>
        <w:t>.</w:t>
      </w:r>
    </w:p>
    <w:p w:rsidR="00000000" w:rsidRDefault="00CB61D5">
      <w:pPr>
        <w:jc w:val="both"/>
        <w:rPr>
          <w:rFonts w:eastAsia="Times New Roman"/>
        </w:rPr>
      </w:pPr>
    </w:p>
    <w:p w:rsidR="00000000" w:rsidRDefault="00CB61D5">
      <w:pPr>
        <w:ind w:firstLine="360"/>
        <w:divId w:val="1159348259"/>
        <w:rPr>
          <w:rFonts w:eastAsia="Times New Roman"/>
        </w:rPr>
      </w:pPr>
      <w:r>
        <w:rPr>
          <w:rFonts w:eastAsia="Times New Roman"/>
          <w:color w:val="000000"/>
          <w:sz w:val="20"/>
          <w:szCs w:val="20"/>
          <w:u w:val="single"/>
        </w:rPr>
        <w:t>Vendor Fundin</w:t>
      </w:r>
      <w:r>
        <w:rPr>
          <w:rFonts w:eastAsia="Times New Roman"/>
          <w:color w:val="000000"/>
          <w:sz w:val="20"/>
          <w:szCs w:val="20"/>
          <w:u w:val="single"/>
        </w:rPr>
        <w:t>g</w:t>
      </w:r>
    </w:p>
    <w:p w:rsidR="00000000" w:rsidRDefault="00CB61D5">
      <w:pPr>
        <w:jc w:val="both"/>
        <w:rPr>
          <w:rFonts w:eastAsia="Times New Roman"/>
        </w:rPr>
      </w:pPr>
      <w:r>
        <w:rPr>
          <w:rFonts w:eastAsia="Times New Roman"/>
          <w:color w:val="000000"/>
          <w:sz w:val="20"/>
          <w:szCs w:val="20"/>
        </w:rPr>
        <w:t>The Company receives funding from substantially all of its significant merchandi</w:t>
      </w:r>
      <w:r>
        <w:rPr>
          <w:rFonts w:eastAsia="Times New Roman"/>
          <w:color w:val="000000"/>
          <w:sz w:val="20"/>
          <w:szCs w:val="20"/>
        </w:rPr>
        <w:t>se vendors, in support of its business initiatives, through a variety of programs and arrangements, including guaranteed vendor support funds (“vendor support”) and volume-based rebate funds (“volume rebates”).  The amounts received are subject to terms of</w:t>
      </w:r>
      <w:r>
        <w:rPr>
          <w:rFonts w:eastAsia="Times New Roman"/>
          <w:color w:val="000000"/>
          <w:sz w:val="20"/>
          <w:szCs w:val="20"/>
        </w:rPr>
        <w:t xml:space="preserve"> vendor agreements, most of which are “evergreen,” reflecting the on-going relationship with our significant merchandise vendors. Certain of the Company’s agreements, primarily volume rebates, are renegotiated annually, based on expected annual purchases o</w:t>
      </w:r>
      <w:r>
        <w:rPr>
          <w:rFonts w:eastAsia="Times New Roman"/>
          <w:color w:val="000000"/>
          <w:sz w:val="20"/>
          <w:szCs w:val="20"/>
        </w:rPr>
        <w:t>f the vendor’s product.  Vendor funding is initially deferred as a reduction of the purchase price of inventory, and then recognized as a reduction of cost of merchandise as the related inventory is sold. </w:t>
      </w:r>
      <w:r>
        <w:rPr>
          <w:rFonts w:eastAsia="Times New Roman"/>
          <w:color w:val="000000"/>
          <w:sz w:val="20"/>
          <w:szCs w:val="20"/>
        </w:rPr>
        <w:t>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During interim periods, the amount of vendor su</w:t>
      </w:r>
      <w:r>
        <w:rPr>
          <w:rFonts w:eastAsia="Times New Roman"/>
          <w:color w:val="000000"/>
          <w:sz w:val="20"/>
          <w:szCs w:val="20"/>
        </w:rPr>
        <w:t>pport and volume rebates are estimated based upon initial commitments and anticipated purchase levels with applicable vendors.  The estimated purchase volume (and related vendor funding) is based on the Company’s current knowledge of inventory levels, sale</w:t>
      </w:r>
      <w:r>
        <w:rPr>
          <w:rFonts w:eastAsia="Times New Roman"/>
          <w:color w:val="000000"/>
          <w:sz w:val="20"/>
          <w:szCs w:val="20"/>
        </w:rPr>
        <w:t>s trends and expected customer demand, as well as planned new store openings and relocations.  Although the Company believes it can reasonably estimate purchase volume and related volume rebates at interim periods, it is possible that actual year-end resul</w:t>
      </w:r>
      <w:r>
        <w:rPr>
          <w:rFonts w:eastAsia="Times New Roman"/>
          <w:color w:val="000000"/>
          <w:sz w:val="20"/>
          <w:szCs w:val="20"/>
        </w:rPr>
        <w:t>ts could be different from previously estimated amounts</w:t>
      </w:r>
      <w:r>
        <w:rPr>
          <w:rFonts w:eastAsia="Times New Roman"/>
          <w:color w:val="000000"/>
          <w:sz w:val="20"/>
          <w:szCs w:val="20"/>
        </w:rPr>
        <w:t>.</w:t>
      </w:r>
    </w:p>
    <w:p w:rsidR="00000000" w:rsidRDefault="00CB61D5">
      <w:pPr>
        <w:jc w:val="both"/>
        <w:rPr>
          <w:rFonts w:eastAsia="Times New Roman"/>
        </w:rPr>
      </w:pPr>
    </w:p>
    <w:p w:rsidR="00000000" w:rsidRDefault="00CB61D5">
      <w:pPr>
        <w:ind w:firstLine="360"/>
        <w:divId w:val="725102441"/>
        <w:rPr>
          <w:rFonts w:eastAsia="Times New Roman"/>
        </w:rPr>
      </w:pPr>
      <w:r>
        <w:rPr>
          <w:rFonts w:eastAsia="Times New Roman"/>
          <w:color w:val="000000"/>
          <w:sz w:val="20"/>
          <w:szCs w:val="20"/>
          <w:u w:val="single"/>
        </w:rPr>
        <w:t>Freigh</w:t>
      </w:r>
      <w:r>
        <w:rPr>
          <w:rFonts w:eastAsia="Times New Roman"/>
          <w:color w:val="000000"/>
          <w:sz w:val="20"/>
          <w:szCs w:val="20"/>
          <w:u w:val="single"/>
        </w:rPr>
        <w:t>t</w:t>
      </w:r>
    </w:p>
    <w:p w:rsidR="00000000" w:rsidRDefault="00CB61D5">
      <w:pPr>
        <w:jc w:val="both"/>
        <w:rPr>
          <w:rFonts w:eastAsia="Times New Roman"/>
        </w:rPr>
      </w:pPr>
      <w:r>
        <w:rPr>
          <w:rFonts w:eastAsia="Times New Roman"/>
          <w:color w:val="000000"/>
          <w:sz w:val="20"/>
          <w:szCs w:val="20"/>
        </w:rPr>
        <w:t>The Company incurs various types of transportation and delivery costs in connection with inventory purchases and distribution.  Such costs are included as a component of the overall cost of</w:t>
      </w:r>
      <w:r>
        <w:rPr>
          <w:rFonts w:eastAsia="Times New Roman"/>
          <w:color w:val="000000"/>
          <w:sz w:val="20"/>
          <w:szCs w:val="20"/>
        </w:rPr>
        <w:t xml:space="preserve"> inventories (on an aggregate basis) and recognized as a component of cost of merchandise sold as the related inventory is sold</w:t>
      </w:r>
      <w:r>
        <w:rPr>
          <w:rFonts w:eastAsia="Times New Roman"/>
          <w:color w:val="000000"/>
          <w:sz w:val="20"/>
          <w:szCs w:val="20"/>
        </w:rPr>
        <w:t>.</w:t>
      </w:r>
    </w:p>
    <w:p w:rsidR="00000000" w:rsidRDefault="00CB61D5">
      <w:pPr>
        <w:divId w:val="1604803195"/>
        <w:rPr>
          <w:rFonts w:eastAsia="Times New Roman"/>
        </w:rPr>
      </w:pPr>
    </w:p>
    <w:p w:rsidR="00000000" w:rsidRDefault="00CB61D5">
      <w:pPr>
        <w:ind w:firstLine="360"/>
        <w:jc w:val="both"/>
        <w:rPr>
          <w:rFonts w:eastAsia="Times New Roman"/>
        </w:rPr>
      </w:pPr>
      <w:r>
        <w:rPr>
          <w:rFonts w:eastAsia="Times New Roman"/>
          <w:i/>
          <w:iCs/>
          <w:color w:val="000000"/>
          <w:sz w:val="20"/>
          <w:szCs w:val="20"/>
        </w:rPr>
        <w:t>Self-Insurance Reserve</w:t>
      </w:r>
      <w:r>
        <w:rPr>
          <w:rFonts w:eastAsia="Times New Roman"/>
          <w:i/>
          <w:iCs/>
          <w:color w:val="000000"/>
          <w:sz w:val="20"/>
          <w:szCs w:val="20"/>
        </w:rPr>
        <w:t>s</w:t>
      </w:r>
    </w:p>
    <w:p w:rsidR="00000000" w:rsidRDefault="00CB61D5">
      <w:pPr>
        <w:ind w:firstLine="360"/>
        <w:jc w:val="both"/>
        <w:rPr>
          <w:rFonts w:eastAsia="Times New Roman"/>
        </w:rPr>
      </w:pPr>
    </w:p>
    <w:p w:rsidR="00000000" w:rsidRDefault="00CB61D5">
      <w:pPr>
        <w:jc w:val="both"/>
        <w:rPr>
          <w:rFonts w:eastAsia="Times New Roman"/>
        </w:rPr>
      </w:pPr>
      <w:r>
        <w:rPr>
          <w:rFonts w:eastAsia="Times New Roman"/>
          <w:color w:val="000000"/>
          <w:sz w:val="20"/>
          <w:szCs w:val="20"/>
        </w:rPr>
        <w:t>The Company self-insures a significant portion of its workers’ compensation and general liability (including product liability) insurance plans.  The Company has stop-loss insurance policies to protect it from individual losses over specified dollar values</w:t>
      </w:r>
      <w:r>
        <w:rPr>
          <w:rFonts w:eastAsia="Times New Roman"/>
          <w:color w:val="000000"/>
          <w:sz w:val="20"/>
          <w:szCs w:val="20"/>
        </w:rPr>
        <w:t>. Our deductible or self-insured retention, as applicable, for each claim involving workers’ compensation insurance and general liability insurance is limited to $500,000 and our Texas Work Injury Policy is limited to $500,000. Further, we maintain a comme</w:t>
      </w:r>
      <w:r>
        <w:rPr>
          <w:rFonts w:eastAsia="Times New Roman"/>
          <w:color w:val="000000"/>
          <w:sz w:val="20"/>
          <w:szCs w:val="20"/>
        </w:rPr>
        <w:t>rcially reasonable umbrella/excess policy that covers liabilities in excess of the primary insurance policy limits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021709347"/>
        <w:rPr>
          <w:rFonts w:eastAsia="Times New Roman"/>
        </w:rPr>
      </w:pPr>
      <w:r>
        <w:rPr>
          <w:rFonts w:eastAsia="Times New Roman"/>
          <w:color w:val="000000"/>
          <w:sz w:val="20"/>
          <w:szCs w:val="20"/>
        </w:rPr>
        <w:t>5</w:t>
      </w:r>
      <w:r>
        <w:rPr>
          <w:rFonts w:eastAsia="Times New Roman"/>
          <w:color w:val="000000"/>
          <w:sz w:val="20"/>
          <w:szCs w:val="20"/>
        </w:rPr>
        <w:t>1</w:t>
      </w:r>
    </w:p>
    <w:p w:rsidR="00000000" w:rsidRDefault="00CB61D5">
      <w:pPr>
        <w:rPr>
          <w:rFonts w:eastAsia="Times New Roman"/>
        </w:rPr>
      </w:pPr>
      <w:r>
        <w:rPr>
          <w:rFonts w:eastAsia="Times New Roman"/>
        </w:rPr>
        <w:pict>
          <v:rect id="_x0000_i1080" style="width:0;height:1.5pt" o:hralign="center" o:hrstd="t" o:hr="t" fillcolor="#a0a0a0" stroked="f"/>
        </w:pict>
      </w:r>
    </w:p>
    <w:p w:rsidR="00000000" w:rsidRDefault="00CB61D5">
      <w:pPr>
        <w:divId w:val="21797680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full extent of certain workers’ compensation and general lia</w:t>
      </w:r>
      <w:r>
        <w:rPr>
          <w:rFonts w:eastAsia="Times New Roman"/>
          <w:color w:val="000000"/>
          <w:sz w:val="20"/>
          <w:szCs w:val="20"/>
        </w:rPr>
        <w:t>bility claims may not become fully determined for several years. Therefore, the Company estimates potential obligations based upon historical claims experience, loss development factors, severity factors, and other actuarial assumptions. Although the Compa</w:t>
      </w:r>
      <w:r>
        <w:rPr>
          <w:rFonts w:eastAsia="Times New Roman"/>
          <w:color w:val="000000"/>
          <w:sz w:val="20"/>
          <w:szCs w:val="20"/>
        </w:rPr>
        <w:t xml:space="preserve">ny believes the reserves established for these obligations are reasonably estimated, any significant change in the number of claims or costs associated with claims made under these plans could have a material effect on the Company’s financial results.  At </w:t>
      </w:r>
      <w:r>
        <w:rPr>
          <w:rFonts w:eastAsia="Times New Roman"/>
          <w:color w:val="000000"/>
          <w:sz w:val="20"/>
          <w:szCs w:val="20"/>
        </w:rPr>
        <w:t>December 28, 2019, the Company had net insurance reserves for workers' compensation and general liability plans of $64.6 million compared to $60.5 million at December 29, 2018.</w:t>
      </w:r>
      <w:r>
        <w:rPr>
          <w:rFonts w:eastAsia="Times New Roman"/>
          <w:color w:val="000000"/>
          <w:sz w:val="20"/>
          <w:szCs w:val="20"/>
        </w:rPr>
        <w:t> </w:t>
      </w:r>
    </w:p>
    <w:p w:rsidR="00000000" w:rsidRDefault="00CB61D5">
      <w:pPr>
        <w:jc w:val="both"/>
        <w:rPr>
          <w:rFonts w:eastAsia="Times New Roman"/>
        </w:rPr>
      </w:pPr>
    </w:p>
    <w:p w:rsidR="00000000" w:rsidRDefault="00CB61D5">
      <w:pPr>
        <w:ind w:firstLine="360"/>
        <w:jc w:val="both"/>
        <w:rPr>
          <w:rFonts w:eastAsia="Times New Roman"/>
        </w:rPr>
      </w:pPr>
      <w:r>
        <w:rPr>
          <w:rFonts w:eastAsia="Times New Roman"/>
          <w:i/>
          <w:iCs/>
          <w:color w:val="000000"/>
          <w:sz w:val="20"/>
          <w:szCs w:val="20"/>
        </w:rPr>
        <w:t>Impairment of Long-Lived Asset</w:t>
      </w:r>
      <w:r>
        <w:rPr>
          <w:rFonts w:eastAsia="Times New Roman"/>
          <w:i/>
          <w:iCs/>
          <w:color w:val="000000"/>
          <w:sz w:val="20"/>
          <w:szCs w:val="20"/>
        </w:rPr>
        <w:t>s</w:t>
      </w:r>
    </w:p>
    <w:p w:rsidR="00000000" w:rsidRDefault="00CB61D5">
      <w:pPr>
        <w:ind w:firstLine="360"/>
        <w:jc w:val="both"/>
        <w:rPr>
          <w:rFonts w:eastAsia="Times New Roman"/>
        </w:rPr>
      </w:pPr>
    </w:p>
    <w:p w:rsidR="00000000" w:rsidRDefault="00CB61D5">
      <w:pPr>
        <w:jc w:val="both"/>
        <w:rPr>
          <w:rFonts w:eastAsia="Times New Roman"/>
        </w:rPr>
      </w:pPr>
      <w:r>
        <w:rPr>
          <w:rFonts w:eastAsia="Times New Roman"/>
          <w:color w:val="000000"/>
          <w:sz w:val="20"/>
          <w:szCs w:val="20"/>
        </w:rPr>
        <w:t>Long-lived assets, including lease assets,</w:t>
      </w:r>
      <w:r>
        <w:rPr>
          <w:rFonts w:eastAsia="Times New Roman"/>
          <w:color w:val="000000"/>
          <w:sz w:val="20"/>
          <w:szCs w:val="20"/>
        </w:rPr>
        <w:t xml:space="preserve"> are evaluated for impairment whenever events or changes in circumstances indicate that the carrying value may not be recoverable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When evaluating long-lived assets for potential impairment, the Company first compares the carrying value of the asset or a</w:t>
      </w:r>
      <w:r>
        <w:rPr>
          <w:rFonts w:eastAsia="Times New Roman"/>
          <w:color w:val="000000"/>
          <w:sz w:val="20"/>
          <w:szCs w:val="20"/>
        </w:rPr>
        <w:t>sset group to its estimated undiscounted future cash flows. The evaluation for long-lived assets is performed at the lowest level of identifiable cash flows, which is generally the individual store level.  The significant assumptions used to determine esti</w:t>
      </w:r>
      <w:r>
        <w:rPr>
          <w:rFonts w:eastAsia="Times New Roman"/>
          <w:color w:val="000000"/>
          <w:sz w:val="20"/>
          <w:szCs w:val="20"/>
        </w:rPr>
        <w:t>mated undiscounted cash flows include cash inflows and outflows directly resulting from the use of those assets in operations, including margin on net sales, payroll and related items, occupancy costs, insurance allocations and other costs to operate a sto</w:t>
      </w:r>
      <w:r>
        <w:rPr>
          <w:rFonts w:eastAsia="Times New Roman"/>
          <w:color w:val="000000"/>
          <w:sz w:val="20"/>
          <w:szCs w:val="20"/>
        </w:rPr>
        <w:t>re.  If the estimated future cash flows are less than the carrying value of the related asset, the Company calculates an impairment loss.  The impairment loss calculation compares the carrying value of the related asset or asset group to its estimated fair</w:t>
      </w:r>
      <w:r>
        <w:rPr>
          <w:rFonts w:eastAsia="Times New Roman"/>
          <w:color w:val="000000"/>
          <w:sz w:val="20"/>
          <w:szCs w:val="20"/>
        </w:rPr>
        <w:t xml:space="preserve"> value, which may be based on an estimated future cash flow model, market valuation, or other valuation technique, as appropriate. The Company recognizes an impairment loss if the amount of the asset’s carrying value exceeds the asset’s estimated fair valu</w:t>
      </w:r>
      <w:r>
        <w:rPr>
          <w:rFonts w:eastAsia="Times New Roman"/>
          <w:color w:val="000000"/>
          <w:sz w:val="20"/>
          <w:szCs w:val="20"/>
        </w:rPr>
        <w:t>e. If the Company recognizes an impairment loss, the adjusted carrying amount of the asset becomes its new cost basis. For a depreciable long-lived asset, the new cost basis will be depreciated (amortized) over the remaining estimated useful life of that a</w:t>
      </w:r>
      <w:r>
        <w:rPr>
          <w:rFonts w:eastAsia="Times New Roman"/>
          <w:color w:val="000000"/>
          <w:sz w:val="20"/>
          <w:szCs w:val="20"/>
        </w:rPr>
        <w:t>sset</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No significant impairment charges were recognized in fiscal 2019, 2018, or 2017.  Impairment charges, if recognized, are included in selling, general and administrative (“SG&amp;A”) expenses in the Consolidated Statements of Income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Impairment of Ind</w:t>
      </w:r>
      <w:r>
        <w:rPr>
          <w:rFonts w:eastAsia="Times New Roman"/>
          <w:i/>
          <w:iCs/>
          <w:color w:val="000000"/>
          <w:sz w:val="20"/>
          <w:szCs w:val="20"/>
        </w:rPr>
        <w:t>efinite-Lived Intangible Asset</w:t>
      </w:r>
      <w:r>
        <w:rPr>
          <w:rFonts w:eastAsia="Times New Roman"/>
          <w:i/>
          <w:iCs/>
          <w:color w:val="000000"/>
          <w:sz w:val="20"/>
          <w:szCs w:val="20"/>
        </w:rPr>
        <w:t>s</w:t>
      </w:r>
    </w:p>
    <w:p w:rsidR="00000000" w:rsidRDefault="00CB61D5">
      <w:pPr>
        <w:jc w:val="both"/>
        <w:rPr>
          <w:rFonts w:eastAsia="Times New Roman"/>
        </w:rPr>
      </w:pPr>
    </w:p>
    <w:p w:rsidR="00000000" w:rsidRDefault="00CB61D5">
      <w:pPr>
        <w:divId w:val="512838625"/>
        <w:rPr>
          <w:rFonts w:eastAsia="Times New Roman"/>
        </w:rPr>
      </w:pPr>
      <w:r>
        <w:rPr>
          <w:rFonts w:eastAsia="Times New Roman"/>
          <w:color w:val="000000"/>
          <w:sz w:val="20"/>
          <w:szCs w:val="20"/>
        </w:rPr>
        <w:t>Goodwill and other indefinite-lived intangible assets are evaluated for impairment annually, or whenever events or changes in circumstances indicate that the carrying value may not be recoverable.</w:t>
      </w:r>
      <w:r>
        <w:rPr>
          <w:rFonts w:eastAsia="Times New Roman"/>
          <w:color w:val="000000"/>
          <w:sz w:val="20"/>
          <w:szCs w:val="20"/>
        </w:rPr>
        <w:t xml:space="preserve"> </w:t>
      </w:r>
    </w:p>
    <w:p w:rsidR="00000000" w:rsidRDefault="00CB61D5">
      <w:pPr>
        <w:jc w:val="both"/>
        <w:rPr>
          <w:rFonts w:eastAsia="Times New Roman"/>
        </w:rPr>
      </w:pPr>
      <w:r>
        <w:rPr>
          <w:rFonts w:eastAsia="Times New Roman"/>
          <w:color w:val="000000"/>
          <w:sz w:val="20"/>
          <w:szCs w:val="20"/>
        </w:rPr>
        <w:t>In accordance with the a</w:t>
      </w:r>
      <w:r>
        <w:rPr>
          <w:rFonts w:eastAsia="Times New Roman"/>
          <w:color w:val="000000"/>
          <w:sz w:val="20"/>
          <w:szCs w:val="20"/>
        </w:rPr>
        <w:t>ccounting standards, an entity has the option first to assess qualitative factors to determine whether events and circumstances indicate that it is more likely than not that goodwill or an indefinite-lived intangible asset is impaired. If after such assess</w:t>
      </w:r>
      <w:r>
        <w:rPr>
          <w:rFonts w:eastAsia="Times New Roman"/>
          <w:color w:val="000000"/>
          <w:sz w:val="20"/>
          <w:szCs w:val="20"/>
        </w:rPr>
        <w:t>ment an entity concludes that the asset is not impaired, then the entity is not required to take further action. However, if an entity concludes otherwise, then it is required to determine the fair value of the asset using a quantitative impairment test, a</w:t>
      </w:r>
      <w:r>
        <w:rPr>
          <w:rFonts w:eastAsia="Times New Roman"/>
          <w:color w:val="000000"/>
          <w:sz w:val="20"/>
          <w:szCs w:val="20"/>
        </w:rPr>
        <w:t>nd if impaired, the associated assets must be written down to fair value.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quantitative impairment test for goodwill compares the fair value of a reporting unit with the carrying value of its net assets, including goodwill.  If the fair value of the </w:t>
      </w:r>
      <w:r>
        <w:rPr>
          <w:rFonts w:eastAsia="Times New Roman"/>
          <w:color w:val="000000"/>
          <w:sz w:val="20"/>
          <w:szCs w:val="20"/>
        </w:rPr>
        <w:t>reporting unit is less than the carrying value of the reporting unit, an impairment charge would be recorded to the Company’s operations, for the amount in which the carrying amount exceeds the reporting unit’s fair value. We determine fair values for each</w:t>
      </w:r>
      <w:r>
        <w:rPr>
          <w:rFonts w:eastAsia="Times New Roman"/>
          <w:color w:val="000000"/>
          <w:sz w:val="20"/>
          <w:szCs w:val="20"/>
        </w:rPr>
        <w:t xml:space="preserve"> reporting unit using the market approach, when available and appropriate, the income approach, or a combination of both. The income approach involves forecasting projected financial information (such as revenue growth rates, profit margins, tax rates, and</w:t>
      </w:r>
      <w:r>
        <w:rPr>
          <w:rFonts w:eastAsia="Times New Roman"/>
          <w:color w:val="000000"/>
          <w:sz w:val="20"/>
          <w:szCs w:val="20"/>
        </w:rPr>
        <w:t xml:space="preserve"> capital expenditures) and selecting a discount rate that reflects the risk inherent in estimated future cash flows. Under the market approach, the fair value is based on observed market data. If multiple valuation methodologies are used, the results are w</w:t>
      </w:r>
      <w:r>
        <w:rPr>
          <w:rFonts w:eastAsia="Times New Roman"/>
          <w:color w:val="000000"/>
          <w:sz w:val="20"/>
          <w:szCs w:val="20"/>
        </w:rPr>
        <w:t>eighted appropriately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quantitative impairment test for other indefinite-lived intangible assets involves comparing the carrying amount of the asset to the sum of the discounted cash flows expected to be generated by the asset. If the implied fair va</w:t>
      </w:r>
      <w:r>
        <w:rPr>
          <w:rFonts w:eastAsia="Times New Roman"/>
          <w:color w:val="000000"/>
          <w:sz w:val="20"/>
          <w:szCs w:val="20"/>
        </w:rPr>
        <w:t>lue of the indefinite-lived intangible asset is less than the carrying value, an impairment charge would be recorded to the Company’s operations.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No significant impairment charges were recognized in fiscal 2019, 2018, or 2017.  Impairment charges, if re</w:t>
      </w:r>
      <w:r>
        <w:rPr>
          <w:rFonts w:eastAsia="Times New Roman"/>
          <w:color w:val="000000"/>
          <w:sz w:val="20"/>
          <w:szCs w:val="20"/>
        </w:rPr>
        <w:t>cognized, are included in SG&amp;A expenses in the Consolidated Statements of Income</w:t>
      </w:r>
      <w:r>
        <w:rPr>
          <w:rFonts w:eastAsia="Times New Roman"/>
          <w:color w:val="000000"/>
          <w:sz w:val="20"/>
          <w:szCs w:val="20"/>
        </w:rPr>
        <w:t>.</w:t>
      </w:r>
    </w:p>
    <w:p w:rsidR="00000000" w:rsidRDefault="00CB61D5">
      <w:pPr>
        <w:divId w:val="575364513"/>
        <w:rPr>
          <w:rFonts w:eastAsia="Times New Roman"/>
        </w:rPr>
      </w:pPr>
    </w:p>
    <w:p w:rsidR="00000000" w:rsidRDefault="00CB61D5">
      <w:pPr>
        <w:jc w:val="center"/>
        <w:divId w:val="210043798"/>
        <w:rPr>
          <w:rFonts w:eastAsia="Times New Roman"/>
        </w:rPr>
      </w:pPr>
      <w:r>
        <w:rPr>
          <w:rFonts w:eastAsia="Times New Roman"/>
          <w:color w:val="000000"/>
          <w:sz w:val="20"/>
          <w:szCs w:val="20"/>
        </w:rPr>
        <w:t>5</w:t>
      </w:r>
      <w:r>
        <w:rPr>
          <w:rFonts w:eastAsia="Times New Roman"/>
          <w:color w:val="000000"/>
          <w:sz w:val="20"/>
          <w:szCs w:val="20"/>
        </w:rPr>
        <w:t>2</w:t>
      </w:r>
    </w:p>
    <w:p w:rsidR="00000000" w:rsidRDefault="00CB61D5">
      <w:pPr>
        <w:rPr>
          <w:rFonts w:eastAsia="Times New Roman"/>
        </w:rPr>
      </w:pPr>
      <w:r>
        <w:rPr>
          <w:rFonts w:eastAsia="Times New Roman"/>
        </w:rPr>
        <w:pict>
          <v:rect id="_x0000_i1081" style="width:0;height:1.5pt" o:hralign="center" o:hrstd="t" o:hr="t" fillcolor="#a0a0a0" stroked="f"/>
        </w:pict>
      </w:r>
    </w:p>
    <w:p w:rsidR="00000000" w:rsidRDefault="00CB61D5">
      <w:pPr>
        <w:divId w:val="128892620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i/>
          <w:iCs/>
          <w:color w:val="000000"/>
          <w:sz w:val="20"/>
          <w:szCs w:val="20"/>
        </w:rPr>
        <w:t>Revenue Recognition and Sales Return</w:t>
      </w:r>
      <w:r>
        <w:rPr>
          <w:rFonts w:eastAsia="Times New Roman"/>
          <w:b/>
          <w:bCs/>
          <w:i/>
          <w:iCs/>
          <w:color w:val="000000"/>
          <w:sz w:val="20"/>
          <w:szCs w:val="20"/>
        </w:rPr>
        <w:t>s</w:t>
      </w:r>
    </w:p>
    <w:p w:rsidR="00000000" w:rsidRDefault="00CB61D5">
      <w:pPr>
        <w:divId w:val="145360969"/>
        <w:rPr>
          <w:rFonts w:eastAsia="Times New Roman"/>
        </w:rPr>
      </w:pPr>
    </w:p>
    <w:p w:rsidR="00000000" w:rsidRDefault="00CB61D5">
      <w:pPr>
        <w:jc w:val="both"/>
        <w:rPr>
          <w:rFonts w:eastAsia="Times New Roman"/>
        </w:rPr>
      </w:pPr>
      <w:r>
        <w:rPr>
          <w:rFonts w:eastAsia="Times New Roman"/>
          <w:color w:val="000000"/>
          <w:sz w:val="20"/>
          <w:szCs w:val="20"/>
        </w:rPr>
        <w:t>The Company recognizes revenue at the time the customer takes possession of merchandise.  If the Company receives payment before completion of its customer obligations (as per the Company’s special order and layaway programs), the revenue is deferred until</w:t>
      </w:r>
      <w:r>
        <w:rPr>
          <w:rFonts w:eastAsia="Times New Roman"/>
          <w:color w:val="000000"/>
          <w:sz w:val="20"/>
          <w:szCs w:val="20"/>
        </w:rPr>
        <w:t xml:space="preserve"> the customer takes possession of the merchandise and the sale is complete</w:t>
      </w:r>
      <w:r>
        <w:rPr>
          <w:rFonts w:eastAsia="Times New Roman"/>
          <w:color w:val="000000"/>
          <w:sz w:val="20"/>
          <w:szCs w:val="20"/>
        </w:rPr>
        <w:t>.</w:t>
      </w:r>
    </w:p>
    <w:p w:rsidR="00000000" w:rsidRDefault="00CB61D5">
      <w:pPr>
        <w:divId w:val="1948077034"/>
        <w:rPr>
          <w:rFonts w:eastAsia="Times New Roman"/>
        </w:rPr>
      </w:pPr>
    </w:p>
    <w:p w:rsidR="00000000" w:rsidRDefault="00CB61D5">
      <w:pPr>
        <w:jc w:val="both"/>
        <w:rPr>
          <w:rFonts w:eastAsia="Times New Roman"/>
        </w:rPr>
      </w:pPr>
      <w:r>
        <w:rPr>
          <w:rFonts w:eastAsia="Times New Roman"/>
          <w:color w:val="000000"/>
          <w:sz w:val="20"/>
          <w:szCs w:val="20"/>
        </w:rPr>
        <w:t>The Company is required to collect certain taxes and fees from customers on behalf of government agencies and remit such collections to the applicable governmental agency on a pe</w:t>
      </w:r>
      <w:r>
        <w:rPr>
          <w:rFonts w:eastAsia="Times New Roman"/>
          <w:color w:val="000000"/>
          <w:sz w:val="20"/>
          <w:szCs w:val="20"/>
        </w:rPr>
        <w:t>riodic basis.  These taxes and fees are collected from customers at the time of purchase, but are not included in net sales.  The Company records a liability upon collection from the customer and relieves the liability when payments are remitted to the app</w:t>
      </w:r>
      <w:r>
        <w:rPr>
          <w:rFonts w:eastAsia="Times New Roman"/>
          <w:color w:val="000000"/>
          <w:sz w:val="20"/>
          <w:szCs w:val="20"/>
        </w:rPr>
        <w:t>licable governmental agency</w:t>
      </w:r>
      <w:r>
        <w:rPr>
          <w:rFonts w:eastAsia="Times New Roman"/>
          <w:color w:val="000000"/>
          <w:sz w:val="20"/>
          <w:szCs w:val="20"/>
        </w:rPr>
        <w:t>.</w:t>
      </w:r>
    </w:p>
    <w:p w:rsidR="00000000" w:rsidRDefault="00CB61D5">
      <w:pPr>
        <w:divId w:val="1616058319"/>
        <w:rPr>
          <w:rFonts w:eastAsia="Times New Roman"/>
        </w:rPr>
      </w:pPr>
    </w:p>
    <w:p w:rsidR="00000000" w:rsidRDefault="00CB61D5">
      <w:pPr>
        <w:jc w:val="both"/>
        <w:rPr>
          <w:rFonts w:eastAsia="Times New Roman"/>
        </w:rPr>
      </w:pPr>
      <w:r>
        <w:rPr>
          <w:rFonts w:eastAsia="Times New Roman"/>
          <w:color w:val="000000"/>
          <w:sz w:val="20"/>
          <w:szCs w:val="20"/>
        </w:rPr>
        <w:t>The Company estimates a liability for sales returns based on a rolling average of historical return trends, and the Company believes that its estimate for sales returns is an accurate reflection of future returns associated w</w:t>
      </w:r>
      <w:r>
        <w:rPr>
          <w:rFonts w:eastAsia="Times New Roman"/>
          <w:color w:val="000000"/>
          <w:sz w:val="20"/>
          <w:szCs w:val="20"/>
        </w:rPr>
        <w:t>ith past sales.  However, as with any estimate, refund activity may vary from estimated amounts.  The Company had a liability for sales returns of $11.9 million and $11.3 million as of December 28, 2019 and December 29, 2018, respectively</w:t>
      </w:r>
      <w:r>
        <w:rPr>
          <w:rFonts w:eastAsia="Times New Roman"/>
          <w:color w:val="000000"/>
          <w:sz w:val="20"/>
          <w:szCs w:val="20"/>
        </w:rPr>
        <w:t>.</w:t>
      </w:r>
    </w:p>
    <w:p w:rsidR="00000000" w:rsidRDefault="00CB61D5">
      <w:pPr>
        <w:divId w:val="1836803222"/>
        <w:rPr>
          <w:rFonts w:eastAsia="Times New Roman"/>
        </w:rPr>
      </w:pPr>
    </w:p>
    <w:p w:rsidR="00000000" w:rsidRDefault="00CB61D5">
      <w:pPr>
        <w:jc w:val="both"/>
        <w:rPr>
          <w:rFonts w:eastAsia="Times New Roman"/>
        </w:rPr>
      </w:pPr>
      <w:r>
        <w:rPr>
          <w:rFonts w:eastAsia="Times New Roman"/>
          <w:color w:val="000000"/>
          <w:sz w:val="20"/>
          <w:szCs w:val="20"/>
        </w:rPr>
        <w:t>The Company re</w:t>
      </w:r>
      <w:r>
        <w:rPr>
          <w:rFonts w:eastAsia="Times New Roman"/>
          <w:color w:val="000000"/>
          <w:sz w:val="20"/>
          <w:szCs w:val="20"/>
        </w:rPr>
        <w:t>cognizes revenue when a gift card or merchandise return card is redeemed by the customer and recognizes income when the likelihood of the gift card or merchandise return card being redeemed by the customer is remote (referred to as “breakage”).  The gift c</w:t>
      </w:r>
      <w:r>
        <w:rPr>
          <w:rFonts w:eastAsia="Times New Roman"/>
          <w:color w:val="000000"/>
          <w:sz w:val="20"/>
          <w:szCs w:val="20"/>
        </w:rPr>
        <w:t>ards and merchandise return card breakage rate is based upon historical redemption patterns and income is recognized for unredeemed gift cards and merchandise return cards in proportion to those historical redemption patterns.  The Company recognized break</w:t>
      </w:r>
      <w:r>
        <w:rPr>
          <w:rFonts w:eastAsia="Times New Roman"/>
          <w:color w:val="000000"/>
          <w:sz w:val="20"/>
          <w:szCs w:val="20"/>
        </w:rPr>
        <w:t>age income of $3.0 million, $2.6 million, and $2.4 million in fiscal 2019, 2018, and 2017, respectively</w:t>
      </w:r>
      <w:r>
        <w:rPr>
          <w:rFonts w:eastAsia="Times New Roman"/>
          <w:color w:val="000000"/>
          <w:sz w:val="20"/>
          <w:szCs w:val="20"/>
        </w:rPr>
        <w:t>.</w:t>
      </w:r>
    </w:p>
    <w:p w:rsidR="00000000" w:rsidRDefault="00CB61D5">
      <w:pPr>
        <w:divId w:val="2114084164"/>
        <w:rPr>
          <w:rFonts w:eastAsia="Times New Roman"/>
        </w:rPr>
      </w:pPr>
    </w:p>
    <w:p w:rsidR="00000000" w:rsidRDefault="00CB61D5">
      <w:pPr>
        <w:jc w:val="both"/>
        <w:rPr>
          <w:rFonts w:eastAsia="Times New Roman"/>
        </w:rPr>
      </w:pPr>
      <w:r>
        <w:rPr>
          <w:rFonts w:eastAsia="Times New Roman"/>
          <w:b/>
          <w:bCs/>
          <w:i/>
          <w:iCs/>
          <w:color w:val="000000"/>
          <w:sz w:val="20"/>
          <w:szCs w:val="20"/>
        </w:rPr>
        <w:t>Cost of Merchandise Sol</w:t>
      </w:r>
      <w:r>
        <w:rPr>
          <w:rFonts w:eastAsia="Times New Roman"/>
          <w:b/>
          <w:bCs/>
          <w:i/>
          <w:iCs/>
          <w:color w:val="000000"/>
          <w:sz w:val="20"/>
          <w:szCs w:val="20"/>
        </w:rPr>
        <w:t>d</w:t>
      </w:r>
    </w:p>
    <w:p w:rsidR="00000000" w:rsidRDefault="00CB61D5">
      <w:pPr>
        <w:divId w:val="661471484"/>
        <w:rPr>
          <w:rFonts w:eastAsia="Times New Roman"/>
        </w:rPr>
      </w:pPr>
    </w:p>
    <w:p w:rsidR="00000000" w:rsidRDefault="00CB61D5">
      <w:pPr>
        <w:jc w:val="both"/>
        <w:rPr>
          <w:rFonts w:eastAsia="Times New Roman"/>
        </w:rPr>
      </w:pPr>
      <w:r>
        <w:rPr>
          <w:rFonts w:eastAsia="Times New Roman"/>
          <w:color w:val="000000"/>
          <w:sz w:val="20"/>
          <w:szCs w:val="20"/>
        </w:rPr>
        <w:t>Cost of merchandise sold includes the total cost of products sold; freight and duty expenses associated with moving mercha</w:t>
      </w:r>
      <w:r>
        <w:rPr>
          <w:rFonts w:eastAsia="Times New Roman"/>
          <w:color w:val="000000"/>
          <w:sz w:val="20"/>
          <w:szCs w:val="20"/>
        </w:rPr>
        <w:t>ndise inventories from vendors to distribution facilities, from distribution facilities to retail stores, from one distribution facility to another, and directly to our customers; tariffs on imported products; vendor support; damaged, junked or defective p</w:t>
      </w:r>
      <w:r>
        <w:rPr>
          <w:rFonts w:eastAsia="Times New Roman"/>
          <w:color w:val="000000"/>
          <w:sz w:val="20"/>
          <w:szCs w:val="20"/>
        </w:rPr>
        <w:t>roduct; cash discounts from payments to merchandise vendors; and adjustments for shrinkage (physical inventory losses), lower of cost or net realizable value, slow moving product, and excess inventory quantities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Selling, General and Administrative Expen</w:t>
      </w:r>
      <w:r>
        <w:rPr>
          <w:rFonts w:eastAsia="Times New Roman"/>
          <w:b/>
          <w:bCs/>
          <w:i/>
          <w:iCs/>
          <w:color w:val="000000"/>
          <w:sz w:val="20"/>
          <w:szCs w:val="20"/>
        </w:rPr>
        <w:t>se</w:t>
      </w:r>
      <w:r>
        <w:rPr>
          <w:rFonts w:eastAsia="Times New Roman"/>
          <w:b/>
          <w:bCs/>
          <w:i/>
          <w:iCs/>
          <w:color w:val="000000"/>
          <w:sz w:val="20"/>
          <w:szCs w:val="20"/>
        </w:rPr>
        <w:t>s</w:t>
      </w:r>
    </w:p>
    <w:p w:rsidR="00000000" w:rsidRDefault="00CB61D5">
      <w:pPr>
        <w:divId w:val="304509705"/>
        <w:rPr>
          <w:rFonts w:eastAsia="Times New Roman"/>
        </w:rPr>
      </w:pPr>
    </w:p>
    <w:p w:rsidR="00000000" w:rsidRDefault="00CB61D5">
      <w:pPr>
        <w:jc w:val="both"/>
        <w:rPr>
          <w:rFonts w:eastAsia="Times New Roman"/>
        </w:rPr>
      </w:pPr>
      <w:r>
        <w:rPr>
          <w:rFonts w:eastAsia="Times New Roman"/>
          <w:color w:val="000000"/>
          <w:sz w:val="20"/>
          <w:szCs w:val="20"/>
        </w:rPr>
        <w:t>SG&amp;A expenses include payroll and benefit costs for retail, distribution facility, and corporate employees; share-based compensation expenses; occupancy costs of retail, distribution, and corporate facilities; advertising; tender costs, including ban</w:t>
      </w:r>
      <w:r>
        <w:rPr>
          <w:rFonts w:eastAsia="Times New Roman"/>
          <w:color w:val="000000"/>
          <w:sz w:val="20"/>
          <w:szCs w:val="20"/>
        </w:rPr>
        <w:t>k charges and costs associated with credit and debit card interchange fees; outside service fees; and other administrative costs, such as computer maintenance, supplies, travel, and lodging</w:t>
      </w:r>
      <w:r>
        <w:rPr>
          <w:rFonts w:eastAsia="Times New Roman"/>
          <w:color w:val="000000"/>
          <w:sz w:val="20"/>
          <w:szCs w:val="20"/>
        </w:rPr>
        <w:t>.</w:t>
      </w:r>
    </w:p>
    <w:p w:rsidR="00000000" w:rsidRDefault="00CB61D5">
      <w:pPr>
        <w:divId w:val="1537082792"/>
        <w:rPr>
          <w:rFonts w:eastAsia="Times New Roman"/>
        </w:rPr>
      </w:pPr>
    </w:p>
    <w:p w:rsidR="00000000" w:rsidRDefault="00CB61D5">
      <w:pPr>
        <w:jc w:val="both"/>
        <w:rPr>
          <w:rFonts w:eastAsia="Times New Roman"/>
        </w:rPr>
      </w:pPr>
      <w:r>
        <w:rPr>
          <w:rFonts w:eastAsia="Times New Roman"/>
          <w:b/>
          <w:bCs/>
          <w:i/>
          <w:iCs/>
          <w:color w:val="000000"/>
          <w:sz w:val="20"/>
          <w:szCs w:val="20"/>
        </w:rPr>
        <w:t>Advertising Cost</w:t>
      </w:r>
      <w:r>
        <w:rPr>
          <w:rFonts w:eastAsia="Times New Roman"/>
          <w:b/>
          <w:bCs/>
          <w:i/>
          <w:iCs/>
          <w:color w:val="000000"/>
          <w:sz w:val="20"/>
          <w:szCs w:val="20"/>
        </w:rPr>
        <w:t>s</w:t>
      </w:r>
    </w:p>
    <w:p w:rsidR="00000000" w:rsidRDefault="00CB61D5">
      <w:pPr>
        <w:divId w:val="102267754"/>
        <w:rPr>
          <w:rFonts w:eastAsia="Times New Roman"/>
        </w:rPr>
      </w:pPr>
    </w:p>
    <w:p w:rsidR="00000000" w:rsidRDefault="00CB61D5">
      <w:pPr>
        <w:jc w:val="both"/>
        <w:rPr>
          <w:rFonts w:eastAsia="Times New Roman"/>
        </w:rPr>
      </w:pPr>
      <w:r>
        <w:rPr>
          <w:rFonts w:eastAsia="Times New Roman"/>
          <w:color w:val="000000"/>
          <w:sz w:val="20"/>
          <w:szCs w:val="20"/>
        </w:rPr>
        <w:t>Advertising costs consist of expenses incur</w:t>
      </w:r>
      <w:r>
        <w:rPr>
          <w:rFonts w:eastAsia="Times New Roman"/>
          <w:color w:val="000000"/>
          <w:sz w:val="20"/>
          <w:szCs w:val="20"/>
        </w:rPr>
        <w:t>red in connection with digital and social media offerings, newspaper circulars, and customer-targeted direct e-mail and direct mail, as well as limited television, radio, and other limited media channels.  Costs are expensed when incurred with the exceptio</w:t>
      </w:r>
      <w:r>
        <w:rPr>
          <w:rFonts w:eastAsia="Times New Roman"/>
          <w:color w:val="000000"/>
          <w:sz w:val="20"/>
          <w:szCs w:val="20"/>
        </w:rPr>
        <w:t>n of television advertising and circular and direct mail promotions, which are expensed upon first showing.  Advertising expenses were approximately $86.6 million, $83.4 million, and $81.3 million for fiscal 2019, 2018, and 2017, respectively.  Prepaid adv</w:t>
      </w:r>
      <w:r>
        <w:rPr>
          <w:rFonts w:eastAsia="Times New Roman"/>
          <w:color w:val="000000"/>
          <w:sz w:val="20"/>
          <w:szCs w:val="20"/>
        </w:rPr>
        <w:t>ertising costs were approximately $0.6 million and $1.3 million as of December 28, 2019, and December 29, 2018, respectively</w:t>
      </w:r>
      <w:r>
        <w:rPr>
          <w:rFonts w:eastAsia="Times New Roman"/>
          <w:color w:val="000000"/>
          <w:sz w:val="20"/>
          <w:szCs w:val="20"/>
        </w:rPr>
        <w:t>.</w:t>
      </w:r>
    </w:p>
    <w:p w:rsidR="00000000" w:rsidRDefault="00CB61D5">
      <w:pPr>
        <w:divId w:val="842357433"/>
        <w:rPr>
          <w:rFonts w:eastAsia="Times New Roman"/>
        </w:rPr>
      </w:pPr>
    </w:p>
    <w:p w:rsidR="00000000" w:rsidRDefault="00CB61D5">
      <w:pPr>
        <w:divId w:val="465468829"/>
        <w:rPr>
          <w:rFonts w:eastAsia="Times New Roman"/>
        </w:rPr>
      </w:pPr>
      <w:r>
        <w:rPr>
          <w:rFonts w:eastAsia="Times New Roman"/>
          <w:b/>
          <w:bCs/>
          <w:i/>
          <w:iCs/>
          <w:color w:val="000000"/>
          <w:sz w:val="20"/>
          <w:szCs w:val="20"/>
        </w:rPr>
        <w:t>Warehousing and Distribution Facility Cost</w:t>
      </w:r>
      <w:r>
        <w:rPr>
          <w:rFonts w:eastAsia="Times New Roman"/>
          <w:b/>
          <w:bCs/>
          <w:i/>
          <w:iCs/>
          <w:color w:val="000000"/>
          <w:sz w:val="20"/>
          <w:szCs w:val="20"/>
        </w:rPr>
        <w:t>s</w:t>
      </w:r>
    </w:p>
    <w:p w:rsidR="00000000" w:rsidRDefault="00CB61D5">
      <w:pPr>
        <w:divId w:val="552541649"/>
        <w:rPr>
          <w:rFonts w:eastAsia="Times New Roman"/>
        </w:rPr>
      </w:pPr>
    </w:p>
    <w:p w:rsidR="00000000" w:rsidRDefault="00CB61D5">
      <w:pPr>
        <w:jc w:val="both"/>
        <w:rPr>
          <w:rFonts w:eastAsia="Times New Roman"/>
        </w:rPr>
      </w:pPr>
      <w:r>
        <w:rPr>
          <w:rFonts w:eastAsia="Times New Roman"/>
          <w:color w:val="000000"/>
          <w:sz w:val="20"/>
          <w:szCs w:val="20"/>
        </w:rPr>
        <w:t>Costs incurred at the Company’s distribution facilities for receiving, warehousing</w:t>
      </w:r>
      <w:r>
        <w:rPr>
          <w:rFonts w:eastAsia="Times New Roman"/>
          <w:color w:val="000000"/>
          <w:sz w:val="20"/>
          <w:szCs w:val="20"/>
        </w:rPr>
        <w:t>, and preparing product for delivery are expensed as incurred and are included in SG&amp;A expenses in the Consolidated Statements of Income.  Because the Company does not include these costs in cost of sales, the Company’s gross margin may not be comparable t</w:t>
      </w:r>
      <w:r>
        <w:rPr>
          <w:rFonts w:eastAsia="Times New Roman"/>
          <w:color w:val="000000"/>
          <w:sz w:val="20"/>
          <w:szCs w:val="20"/>
        </w:rPr>
        <w:t>o other retailers that include these costs in the calculation of gross margin.  Distribution facility costs including depreciation were approximately $231.5 million, $209.7 million, and $182.1 million for fiscal 2019, 2018, and 2017,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2100758200"/>
        <w:rPr>
          <w:rFonts w:eastAsia="Times New Roman"/>
        </w:rPr>
      </w:pPr>
      <w:r>
        <w:rPr>
          <w:rFonts w:eastAsia="Times New Roman"/>
          <w:color w:val="000000"/>
          <w:sz w:val="20"/>
          <w:szCs w:val="20"/>
        </w:rPr>
        <w:t>5</w:t>
      </w:r>
      <w:r>
        <w:rPr>
          <w:rFonts w:eastAsia="Times New Roman"/>
          <w:color w:val="000000"/>
          <w:sz w:val="20"/>
          <w:szCs w:val="20"/>
        </w:rPr>
        <w:t>3</w:t>
      </w:r>
    </w:p>
    <w:p w:rsidR="00000000" w:rsidRDefault="00CB61D5">
      <w:pPr>
        <w:rPr>
          <w:rFonts w:eastAsia="Times New Roman"/>
        </w:rPr>
      </w:pPr>
      <w:r>
        <w:rPr>
          <w:rFonts w:eastAsia="Times New Roman"/>
        </w:rPr>
        <w:pict>
          <v:rect id="_x0000_i1082" style="width:0;height:1.5pt" o:hralign="center" o:hrstd="t" o:hr="t" fillcolor="#a0a0a0" stroked="f"/>
        </w:pict>
      </w:r>
    </w:p>
    <w:p w:rsidR="00000000" w:rsidRDefault="00CB61D5">
      <w:pPr>
        <w:divId w:val="163578841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i/>
          <w:iCs/>
          <w:color w:val="000000"/>
          <w:sz w:val="20"/>
          <w:szCs w:val="20"/>
        </w:rPr>
        <w:t>Pre-Opening Cost</w:t>
      </w:r>
      <w:r>
        <w:rPr>
          <w:rFonts w:eastAsia="Times New Roman"/>
          <w:b/>
          <w:bCs/>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Non-capital expenditures incurred in connection with opening new stores, primarily payroll and rent, are expensed as incurred.  Pre-opening costs were approximately $</w:t>
      </w:r>
      <w:r>
        <w:rPr>
          <w:rFonts w:eastAsia="Times New Roman"/>
          <w:color w:val="000000"/>
          <w:sz w:val="20"/>
          <w:szCs w:val="20"/>
        </w:rPr>
        <w:t>8.1 million, $8.5 million, and $10.8 million for fiscal 2019, 2018, and 2017,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Share-Based Compensatio</w:t>
      </w:r>
      <w:r>
        <w:rPr>
          <w:rFonts w:eastAsia="Times New Roman"/>
          <w:b/>
          <w:bCs/>
          <w:i/>
          <w:iCs/>
          <w:color w:val="000000"/>
          <w:sz w:val="20"/>
          <w:szCs w:val="20"/>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has share-based compensation plans covering certain members of management and non-employee directors, which include incenti</w:t>
      </w:r>
      <w:r>
        <w:rPr>
          <w:rFonts w:eastAsia="Times New Roman"/>
          <w:color w:val="000000"/>
          <w:sz w:val="20"/>
          <w:szCs w:val="20"/>
        </w:rPr>
        <w:t>ve and non-qualified stock options, restricted stock units, and performance-based restricted share units. In addition, the Company offers an Employee Stock Purchase Plan (“ESPP”) to most employees that work at least 20 hours per week</w:t>
      </w:r>
      <w:r>
        <w:rPr>
          <w:rFonts w:eastAsia="Times New Roman"/>
          <w:color w:val="000000"/>
          <w:sz w:val="20"/>
          <w:szCs w:val="20"/>
        </w:rPr>
        <w:t>.</w:t>
      </w:r>
    </w:p>
    <w:p w:rsidR="00000000" w:rsidRDefault="00CB61D5">
      <w:pPr>
        <w:divId w:val="142239797"/>
        <w:rPr>
          <w:rFonts w:eastAsia="Times New Roman"/>
        </w:rPr>
      </w:pPr>
    </w:p>
    <w:p w:rsidR="00000000" w:rsidRDefault="00CB61D5">
      <w:pPr>
        <w:jc w:val="both"/>
        <w:rPr>
          <w:rFonts w:eastAsia="Times New Roman"/>
        </w:rPr>
      </w:pPr>
      <w:r>
        <w:rPr>
          <w:rFonts w:eastAsia="Times New Roman"/>
          <w:color w:val="000000"/>
          <w:sz w:val="20"/>
          <w:szCs w:val="20"/>
        </w:rPr>
        <w:t>The Company estimat</w:t>
      </w:r>
      <w:r>
        <w:rPr>
          <w:rFonts w:eastAsia="Times New Roman"/>
          <w:color w:val="000000"/>
          <w:sz w:val="20"/>
          <w:szCs w:val="20"/>
        </w:rPr>
        <w:t>es the fair value of its stock option awards at the date of grant utilizing a</w:t>
      </w:r>
      <w:r>
        <w:rPr>
          <w:rFonts w:eastAsia="Times New Roman"/>
          <w:color w:val="000000"/>
          <w:sz w:val="20"/>
          <w:szCs w:val="20"/>
        </w:rPr>
        <w:t xml:space="preserve"> </w:t>
      </w:r>
      <w:r>
        <w:rPr>
          <w:rFonts w:eastAsia="Times New Roman"/>
          <w:i/>
          <w:iCs/>
          <w:color w:val="000000"/>
          <w:sz w:val="20"/>
          <w:szCs w:val="20"/>
        </w:rPr>
        <w:t>Black-Schole</w:t>
      </w:r>
      <w:r>
        <w:rPr>
          <w:rFonts w:eastAsia="Times New Roman"/>
          <w:i/>
          <w:iCs/>
          <w:color w:val="000000"/>
          <w:sz w:val="20"/>
          <w:szCs w:val="20"/>
        </w:rPr>
        <w:t>s</w:t>
      </w:r>
      <w:r>
        <w:rPr>
          <w:rFonts w:eastAsia="Times New Roman"/>
          <w:color w:val="000000"/>
          <w:sz w:val="20"/>
          <w:szCs w:val="20"/>
        </w:rPr>
        <w:t xml:space="preserve"> option pricing model. The</w:t>
      </w:r>
      <w:r>
        <w:rPr>
          <w:rFonts w:eastAsia="Times New Roman"/>
          <w:color w:val="000000"/>
          <w:sz w:val="20"/>
          <w:szCs w:val="20"/>
        </w:rPr>
        <w:t xml:space="preserve"> </w:t>
      </w:r>
      <w:r>
        <w:rPr>
          <w:rFonts w:eastAsia="Times New Roman"/>
          <w:i/>
          <w:iCs/>
          <w:color w:val="000000"/>
          <w:sz w:val="20"/>
          <w:szCs w:val="20"/>
        </w:rPr>
        <w:t>Black-Schole</w:t>
      </w:r>
      <w:r>
        <w:rPr>
          <w:rFonts w:eastAsia="Times New Roman"/>
          <w:i/>
          <w:iCs/>
          <w:color w:val="000000"/>
          <w:sz w:val="20"/>
          <w:szCs w:val="20"/>
        </w:rPr>
        <w:t>s</w:t>
      </w:r>
      <w:r>
        <w:rPr>
          <w:rFonts w:eastAsia="Times New Roman"/>
          <w:color w:val="000000"/>
          <w:sz w:val="20"/>
          <w:szCs w:val="20"/>
        </w:rPr>
        <w:t xml:space="preserve"> option valuation model was developed for use in estimating the fair value of short-term traded options that have no vesting </w:t>
      </w:r>
      <w:r>
        <w:rPr>
          <w:rFonts w:eastAsia="Times New Roman"/>
          <w:color w:val="000000"/>
          <w:sz w:val="20"/>
          <w:szCs w:val="20"/>
        </w:rPr>
        <w:t>restrictions and are fully transferable. However, key assumptions used in the</w:t>
      </w:r>
      <w:r>
        <w:rPr>
          <w:rFonts w:eastAsia="Times New Roman"/>
          <w:color w:val="000000"/>
          <w:sz w:val="20"/>
          <w:szCs w:val="20"/>
        </w:rPr>
        <w:t xml:space="preserve"> </w:t>
      </w:r>
      <w:r>
        <w:rPr>
          <w:rFonts w:eastAsia="Times New Roman"/>
          <w:i/>
          <w:iCs/>
          <w:color w:val="000000"/>
          <w:sz w:val="20"/>
          <w:szCs w:val="20"/>
        </w:rPr>
        <w:t>Black-Schole</w:t>
      </w:r>
      <w:r>
        <w:rPr>
          <w:rFonts w:eastAsia="Times New Roman"/>
          <w:i/>
          <w:iCs/>
          <w:color w:val="000000"/>
          <w:sz w:val="20"/>
          <w:szCs w:val="20"/>
        </w:rPr>
        <w:t>s</w:t>
      </w:r>
      <w:r>
        <w:rPr>
          <w:rFonts w:eastAsia="Times New Roman"/>
          <w:color w:val="000000"/>
          <w:sz w:val="20"/>
          <w:szCs w:val="20"/>
        </w:rPr>
        <w:t xml:space="preserve"> model are adjusted to incorporate the unique characteristics of the Company’s stock option awards. Option pricing models and generally accepted valuation techniques</w:t>
      </w:r>
      <w:r>
        <w:rPr>
          <w:rFonts w:eastAsia="Times New Roman"/>
          <w:color w:val="000000"/>
          <w:sz w:val="20"/>
          <w:szCs w:val="20"/>
        </w:rPr>
        <w:t xml:space="preserve"> require management to make subjective assumptions including expected stock price volatility, expected dividend yield, risk-free interest rate, and expected term. The Company relies on historical volatility trends to estimate future volatility assumptions.</w:t>
      </w:r>
      <w:r>
        <w:rPr>
          <w:rFonts w:eastAsia="Times New Roman"/>
          <w:color w:val="000000"/>
          <w:sz w:val="20"/>
          <w:szCs w:val="20"/>
        </w:rPr>
        <w:t>  The risk-free interest rates used were actual U.S. Treasury Constant Maturity rates for bonds matching the expected term of the option on the date of grant. The expected term of the option on the date of grant was estimated based on the Company’s histori</w:t>
      </w:r>
      <w:r>
        <w:rPr>
          <w:rFonts w:eastAsia="Times New Roman"/>
          <w:color w:val="000000"/>
          <w:sz w:val="20"/>
          <w:szCs w:val="20"/>
        </w:rPr>
        <w:t>cal experience for similar options</w:t>
      </w:r>
      <w:r>
        <w:rPr>
          <w:rFonts w:eastAsia="Times New Roman"/>
          <w:color w:val="000000"/>
          <w:sz w:val="20"/>
          <w:szCs w:val="20"/>
        </w:rPr>
        <w:t>.</w:t>
      </w:r>
    </w:p>
    <w:p w:rsidR="00000000" w:rsidRDefault="00CB61D5">
      <w:pPr>
        <w:divId w:val="1431242821"/>
        <w:rPr>
          <w:rFonts w:eastAsia="Times New Roman"/>
        </w:rPr>
      </w:pPr>
    </w:p>
    <w:p w:rsidR="00000000" w:rsidRDefault="00CB61D5">
      <w:pPr>
        <w:jc w:val="both"/>
        <w:rPr>
          <w:rFonts w:eastAsia="Times New Roman"/>
        </w:rPr>
      </w:pPr>
      <w:r>
        <w:rPr>
          <w:rFonts w:eastAsia="Times New Roman"/>
          <w:color w:val="000000"/>
          <w:sz w:val="20"/>
          <w:szCs w:val="20"/>
        </w:rPr>
        <w:t>In addition to the key assumptions used in the</w:t>
      </w:r>
      <w:r>
        <w:rPr>
          <w:rFonts w:eastAsia="Times New Roman"/>
          <w:color w:val="000000"/>
          <w:sz w:val="20"/>
          <w:szCs w:val="20"/>
        </w:rPr>
        <w:t xml:space="preserve"> </w:t>
      </w:r>
      <w:r>
        <w:rPr>
          <w:rFonts w:eastAsia="Times New Roman"/>
          <w:i/>
          <w:iCs/>
          <w:color w:val="000000"/>
          <w:sz w:val="20"/>
          <w:szCs w:val="20"/>
        </w:rPr>
        <w:t>Black-Schole</w:t>
      </w:r>
      <w:r>
        <w:rPr>
          <w:rFonts w:eastAsia="Times New Roman"/>
          <w:i/>
          <w:iCs/>
          <w:color w:val="000000"/>
          <w:sz w:val="20"/>
          <w:szCs w:val="20"/>
        </w:rPr>
        <w:t>s</w:t>
      </w:r>
      <w:r>
        <w:rPr>
          <w:rFonts w:eastAsia="Times New Roman"/>
          <w:color w:val="000000"/>
          <w:sz w:val="20"/>
          <w:szCs w:val="20"/>
        </w:rPr>
        <w:t xml:space="preserve"> model, the estimated forfeiture rate at the time of valuation (which is based on historical experience for similar options) is a critical assumption, as it r</w:t>
      </w:r>
      <w:r>
        <w:rPr>
          <w:rFonts w:eastAsia="Times New Roman"/>
          <w:color w:val="000000"/>
          <w:sz w:val="20"/>
          <w:szCs w:val="20"/>
        </w:rPr>
        <w:t>educes expense ratably over the vesting period. The Company adjusts this estimate periodically, based on the extent to which actual forfeitures differ, or are expected to differ, from the previous estimate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fair value of the Company’s restricted stoc</w:t>
      </w:r>
      <w:r>
        <w:rPr>
          <w:rFonts w:eastAsia="Times New Roman"/>
          <w:color w:val="000000"/>
          <w:sz w:val="20"/>
          <w:szCs w:val="20"/>
        </w:rPr>
        <w:t>k units and performance-based restricted share units is the closing stock price of the Company’s common stock the day preceding the grant date, discounted for the expected dividend yield over the term of the award</w:t>
      </w:r>
      <w:r>
        <w:rPr>
          <w:rFonts w:eastAsia="Times New Roman"/>
          <w:color w:val="000000"/>
          <w:sz w:val="20"/>
          <w:szCs w:val="20"/>
        </w:rPr>
        <w:t>.</w:t>
      </w:r>
    </w:p>
    <w:p w:rsidR="00000000" w:rsidRDefault="00CB61D5">
      <w:pPr>
        <w:divId w:val="1430926152"/>
        <w:rPr>
          <w:rFonts w:eastAsia="Times New Roman"/>
        </w:rPr>
      </w:pPr>
    </w:p>
    <w:p w:rsidR="00000000" w:rsidRDefault="00CB61D5">
      <w:pPr>
        <w:jc w:val="both"/>
        <w:rPr>
          <w:rFonts w:eastAsia="Times New Roman"/>
        </w:rPr>
      </w:pPr>
      <w:r>
        <w:rPr>
          <w:rFonts w:eastAsia="Times New Roman"/>
          <w:color w:val="000000"/>
          <w:sz w:val="20"/>
          <w:szCs w:val="20"/>
        </w:rPr>
        <w:t xml:space="preserve">The Company believes its estimates are </w:t>
      </w:r>
      <w:r>
        <w:rPr>
          <w:rFonts w:eastAsia="Times New Roman"/>
          <w:color w:val="000000"/>
          <w:sz w:val="20"/>
          <w:szCs w:val="20"/>
        </w:rPr>
        <w:t>reasonable in the context of historical experience.  Future results will depend on, among other matters, levels of share-based compensation granted in the future, actual forfeiture rates, and the timing of option exercises</w:t>
      </w:r>
      <w:r>
        <w:rPr>
          <w:rFonts w:eastAsia="Times New Roman"/>
          <w:color w:val="000000"/>
          <w:sz w:val="20"/>
          <w:szCs w:val="20"/>
        </w:rPr>
        <w:t>.</w:t>
      </w:r>
    </w:p>
    <w:p w:rsidR="00000000" w:rsidRDefault="00CB61D5">
      <w:pPr>
        <w:divId w:val="1485702895"/>
        <w:rPr>
          <w:rFonts w:eastAsia="Times New Roman"/>
        </w:rPr>
      </w:pPr>
    </w:p>
    <w:p w:rsidR="00000000" w:rsidRDefault="00CB61D5">
      <w:pPr>
        <w:jc w:val="both"/>
        <w:rPr>
          <w:rFonts w:eastAsia="Times New Roman"/>
        </w:rPr>
      </w:pPr>
      <w:r>
        <w:rPr>
          <w:rFonts w:eastAsia="Times New Roman"/>
          <w:b/>
          <w:bCs/>
          <w:i/>
          <w:iCs/>
          <w:color w:val="000000"/>
          <w:sz w:val="20"/>
          <w:szCs w:val="20"/>
        </w:rPr>
        <w:t>Depreciation and Amortizatio</w:t>
      </w:r>
      <w:r>
        <w:rPr>
          <w:rFonts w:eastAsia="Times New Roman"/>
          <w:b/>
          <w:bCs/>
          <w:i/>
          <w:iCs/>
          <w:color w:val="000000"/>
          <w:sz w:val="20"/>
          <w:szCs w:val="20"/>
        </w:rPr>
        <w:t>n</w:t>
      </w:r>
    </w:p>
    <w:p w:rsidR="00000000" w:rsidRDefault="00CB61D5">
      <w:pPr>
        <w:divId w:val="339085351"/>
        <w:rPr>
          <w:rFonts w:eastAsia="Times New Roman"/>
        </w:rPr>
      </w:pPr>
    </w:p>
    <w:p w:rsidR="00000000" w:rsidRDefault="00CB61D5">
      <w:pPr>
        <w:jc w:val="both"/>
        <w:rPr>
          <w:rFonts w:eastAsia="Times New Roman"/>
        </w:rPr>
      </w:pPr>
      <w:r>
        <w:rPr>
          <w:rFonts w:eastAsia="Times New Roman"/>
          <w:color w:val="000000"/>
          <w:sz w:val="20"/>
          <w:szCs w:val="20"/>
        </w:rPr>
        <w:t>Depreciation includes expenses related to all retail, distribution facility, and corporate assets.  Amortization includes expenses related to definite-lived intangible assets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rsidR="00000000" w:rsidRDefault="00CB61D5">
      <w:pPr>
        <w:divId w:val="1542861698"/>
        <w:rPr>
          <w:rFonts w:eastAsia="Times New Roman"/>
        </w:rPr>
      </w:pPr>
    </w:p>
    <w:p w:rsidR="00000000" w:rsidRDefault="00CB61D5">
      <w:pPr>
        <w:jc w:val="both"/>
        <w:rPr>
          <w:rFonts w:eastAsia="Times New Roman"/>
        </w:rPr>
      </w:pPr>
      <w:r>
        <w:rPr>
          <w:rFonts w:eastAsia="Times New Roman"/>
          <w:color w:val="000000"/>
          <w:sz w:val="20"/>
          <w:szCs w:val="20"/>
        </w:rPr>
        <w:t>The Company uses the asset and liability method to account for income taxes whereby deferred tax assets and liabilities are determined based on differences between the financial carrying amounts of assets and liabilities and their tax bases. Deferred tax a</w:t>
      </w:r>
      <w:r>
        <w:rPr>
          <w:rFonts w:eastAsia="Times New Roman"/>
          <w:color w:val="000000"/>
          <w:sz w:val="20"/>
          <w:szCs w:val="20"/>
        </w:rPr>
        <w:t xml:space="preserve">ssets and liabilities are measured using the enacted tax rates and laws that are anticipated to be in effect when temporary differences reverse or are settled.  The effect of a tax rate change is recognized in the period in which the law is enacted in the </w:t>
      </w:r>
      <w:r>
        <w:rPr>
          <w:rFonts w:eastAsia="Times New Roman"/>
          <w:color w:val="000000"/>
          <w:sz w:val="20"/>
          <w:szCs w:val="20"/>
        </w:rPr>
        <w:t>provision for income taxes.  The Company records a valuation allowance when it is more likely than not that a deferred tax asset will not be realized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Tax Contingencie</w:t>
      </w:r>
      <w:r>
        <w:rPr>
          <w:rFonts w:eastAsia="Times New Roman"/>
          <w:b/>
          <w:bCs/>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w:t>
      </w:r>
      <w:r>
        <w:rPr>
          <w:rFonts w:eastAsia="Times New Roman"/>
          <w:color w:val="000000"/>
          <w:sz w:val="20"/>
          <w:szCs w:val="20"/>
        </w:rPr>
        <w:t>s income tax returns are periodically audited by U.S. federal and state tax authorities. These audits include questions regarding tax filing positions, including the timing and amount of deductions and the allocation of income among various tax jurisdictio</w:t>
      </w:r>
      <w:r>
        <w:rPr>
          <w:rFonts w:eastAsia="Times New Roman"/>
          <w:color w:val="000000"/>
          <w:sz w:val="20"/>
          <w:szCs w:val="20"/>
        </w:rPr>
        <w:t>ns. At any time, multiple tax years are subject to audit by the various tax authorities. In evaluating the exposures associated with the Company’s various tax filing positions, the Company records a liability for uncertain tax positions taken or expected t</w:t>
      </w:r>
      <w:r>
        <w:rPr>
          <w:rFonts w:eastAsia="Times New Roman"/>
          <w:color w:val="000000"/>
          <w:sz w:val="20"/>
          <w:szCs w:val="20"/>
        </w:rPr>
        <w:t>o be taken in a tax return.  A number of years may elapse before a particular matter, for which the Company has established a reserve, is audited and fully resolved or clarified.  The Company recognizes the effect of income tax</w:t>
      </w:r>
      <w:r>
        <w:rPr>
          <w:rFonts w:eastAsia="Times New Roman"/>
          <w:color w:val="000000"/>
          <w:sz w:val="20"/>
          <w:szCs w:val="20"/>
        </w:rPr>
        <w:t xml:space="preserve"> </w:t>
      </w:r>
    </w:p>
    <w:p w:rsidR="00000000" w:rsidRDefault="00CB61D5">
      <w:pPr>
        <w:jc w:val="center"/>
        <w:divId w:val="452670734"/>
        <w:rPr>
          <w:rFonts w:eastAsia="Times New Roman"/>
        </w:rPr>
      </w:pPr>
      <w:r>
        <w:rPr>
          <w:rFonts w:eastAsia="Times New Roman"/>
          <w:color w:val="000000"/>
          <w:sz w:val="20"/>
          <w:szCs w:val="20"/>
        </w:rPr>
        <w:t>5</w:t>
      </w:r>
      <w:r>
        <w:rPr>
          <w:rFonts w:eastAsia="Times New Roman"/>
          <w:color w:val="000000"/>
          <w:sz w:val="20"/>
          <w:szCs w:val="20"/>
        </w:rPr>
        <w:t>4</w:t>
      </w:r>
    </w:p>
    <w:p w:rsidR="00000000" w:rsidRDefault="00CB61D5">
      <w:pPr>
        <w:rPr>
          <w:rFonts w:eastAsia="Times New Roman"/>
        </w:rPr>
      </w:pPr>
      <w:r>
        <w:rPr>
          <w:rFonts w:eastAsia="Times New Roman"/>
        </w:rPr>
        <w:pict>
          <v:rect id="_x0000_i1083" style="width:0;height:1.5pt" o:hralign="center" o:hrstd="t" o:hr="t" fillcolor="#a0a0a0" stroked="f"/>
        </w:pict>
      </w:r>
    </w:p>
    <w:p w:rsidR="00000000" w:rsidRDefault="00CB61D5">
      <w:pPr>
        <w:divId w:val="204748879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 xml:space="preserve">positions only if those positions are more likely than not of being sustained.  Recognized income tax positions are measured at the largest amount that is greater than 50% likely of being realized.  Changes in </w:t>
      </w:r>
      <w:r>
        <w:rPr>
          <w:rFonts w:eastAsia="Times New Roman"/>
          <w:color w:val="000000"/>
          <w:sz w:val="20"/>
          <w:szCs w:val="20"/>
        </w:rPr>
        <w:t>recognition or measurement are reflected in the period in which the change in judgment occurs.  The Company adjusts its tax contingencies reserve and income tax provision in the period in which actual results of a settlement with tax authorities differs fr</w:t>
      </w:r>
      <w:r>
        <w:rPr>
          <w:rFonts w:eastAsia="Times New Roman"/>
          <w:color w:val="000000"/>
          <w:sz w:val="20"/>
          <w:szCs w:val="20"/>
        </w:rPr>
        <w:t>om the established reserve, the statute of limitations expires for the relevant tax authority to examine the tax position or when more information becomes available</w:t>
      </w:r>
      <w:r>
        <w:rPr>
          <w:rFonts w:eastAsia="Times New Roman"/>
          <w:color w:val="000000"/>
          <w:sz w:val="20"/>
          <w:szCs w:val="20"/>
        </w:rPr>
        <w:t>.</w:t>
      </w:r>
    </w:p>
    <w:p w:rsidR="00000000" w:rsidRDefault="00CB61D5">
      <w:pPr>
        <w:divId w:val="546379631"/>
        <w:rPr>
          <w:rFonts w:eastAsia="Times New Roman"/>
        </w:rPr>
      </w:pPr>
    </w:p>
    <w:p w:rsidR="00000000" w:rsidRDefault="00CB61D5">
      <w:pPr>
        <w:jc w:val="both"/>
        <w:rPr>
          <w:rFonts w:eastAsia="Times New Roman"/>
        </w:rPr>
      </w:pPr>
      <w:r>
        <w:rPr>
          <w:rFonts w:eastAsia="Times New Roman"/>
          <w:b/>
          <w:bCs/>
          <w:i/>
          <w:iCs/>
          <w:color w:val="000000"/>
          <w:sz w:val="20"/>
          <w:szCs w:val="20"/>
        </w:rPr>
        <w:t>Sales Tax Audit Reserv</w:t>
      </w:r>
      <w:r>
        <w:rPr>
          <w:rFonts w:eastAsia="Times New Roman"/>
          <w:b/>
          <w:bCs/>
          <w:i/>
          <w:iCs/>
          <w:color w:val="000000"/>
          <w:sz w:val="20"/>
          <w:szCs w:val="20"/>
        </w:rPr>
        <w:t>e</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A portion of the Company’s sales are to tax-exempt customers, </w:t>
      </w:r>
      <w:r>
        <w:rPr>
          <w:rFonts w:eastAsia="Times New Roman"/>
          <w:color w:val="000000"/>
          <w:sz w:val="20"/>
          <w:szCs w:val="20"/>
        </w:rPr>
        <w:t>predominantly agricultural-based.  The Company obtains exemption information as a necessary part of each tax-exempt transaction.  Many of the states in which the Company conducts business will perform audits to verify the Company’s compliance with applicab</w:t>
      </w:r>
      <w:r>
        <w:rPr>
          <w:rFonts w:eastAsia="Times New Roman"/>
          <w:color w:val="000000"/>
          <w:sz w:val="20"/>
          <w:szCs w:val="20"/>
        </w:rPr>
        <w:t xml:space="preserve">le sales tax laws.  The business activities of the Company’s customers and the intended use of the unique products sold by the Company create a challenging and complex tax compliance environment.  These circumstances also create some risk that the Company </w:t>
      </w:r>
      <w:r>
        <w:rPr>
          <w:rFonts w:eastAsia="Times New Roman"/>
          <w:color w:val="000000"/>
          <w:sz w:val="20"/>
          <w:szCs w:val="20"/>
        </w:rPr>
        <w:t>could be challenged as to the accuracy of the Company’s sales tax compliance</w:t>
      </w:r>
      <w:r>
        <w:rPr>
          <w:rFonts w:eastAsia="Times New Roman"/>
          <w:color w:val="000000"/>
          <w:sz w:val="20"/>
          <w:szCs w:val="20"/>
        </w:rPr>
        <w:t>.</w:t>
      </w:r>
    </w:p>
    <w:p w:rsidR="00000000" w:rsidRDefault="00CB61D5">
      <w:pPr>
        <w:divId w:val="364329851"/>
        <w:rPr>
          <w:rFonts w:eastAsia="Times New Roman"/>
        </w:rPr>
      </w:pPr>
    </w:p>
    <w:p w:rsidR="00000000" w:rsidRDefault="00CB61D5">
      <w:pPr>
        <w:jc w:val="both"/>
        <w:rPr>
          <w:rFonts w:eastAsia="Times New Roman"/>
        </w:rPr>
      </w:pPr>
      <w:r>
        <w:rPr>
          <w:rFonts w:eastAsia="Times New Roman"/>
          <w:color w:val="000000"/>
          <w:sz w:val="20"/>
          <w:szCs w:val="20"/>
        </w:rPr>
        <w:t>The Company reviews past audit experience and assessments with applicable states to continually determine if it has potential exposure for non-compliance.  Any estimated liabil</w:t>
      </w:r>
      <w:r>
        <w:rPr>
          <w:rFonts w:eastAsia="Times New Roman"/>
          <w:color w:val="000000"/>
          <w:sz w:val="20"/>
          <w:szCs w:val="20"/>
        </w:rPr>
        <w:t>ity is based on an initial assessment of compliance risk and historical experience with each state.  The Company continually reassesses the exposure based on historical audit results, changes in policies, preliminary and final assessments made by state sal</w:t>
      </w:r>
      <w:r>
        <w:rPr>
          <w:rFonts w:eastAsia="Times New Roman"/>
          <w:color w:val="000000"/>
          <w:sz w:val="20"/>
          <w:szCs w:val="20"/>
        </w:rPr>
        <w:t>es tax auditors, and additional documentation that may be provided to reduce the assessment.  The reserve for these tax audits can fluctuate depending on numerous factors, including the complexity of agricultural-based exemptions, the ambiguity in state ta</w:t>
      </w:r>
      <w:r>
        <w:rPr>
          <w:rFonts w:eastAsia="Times New Roman"/>
          <w:color w:val="000000"/>
          <w:sz w:val="20"/>
          <w:szCs w:val="20"/>
        </w:rPr>
        <w:t>x regulations, the number of ongoing audits, and the length of time required to settle with the state taxing authorities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Net Income Per Shar</w:t>
      </w:r>
      <w:r>
        <w:rPr>
          <w:rFonts w:eastAsia="Times New Roman"/>
          <w:b/>
          <w:bCs/>
          <w:i/>
          <w:iCs/>
          <w:color w:val="000000"/>
          <w:sz w:val="20"/>
          <w:szCs w:val="20"/>
        </w:rPr>
        <w:t>e</w:t>
      </w:r>
    </w:p>
    <w:p w:rsidR="00000000" w:rsidRDefault="00CB61D5">
      <w:pPr>
        <w:divId w:val="1808742760"/>
        <w:rPr>
          <w:rFonts w:eastAsia="Times New Roman"/>
        </w:rPr>
      </w:pPr>
    </w:p>
    <w:p w:rsidR="00000000" w:rsidRDefault="00CB61D5">
      <w:pPr>
        <w:jc w:val="both"/>
        <w:rPr>
          <w:rFonts w:eastAsia="Times New Roman"/>
        </w:rPr>
      </w:pPr>
      <w:r>
        <w:rPr>
          <w:rFonts w:eastAsia="Times New Roman"/>
          <w:color w:val="000000"/>
          <w:sz w:val="20"/>
          <w:szCs w:val="20"/>
        </w:rPr>
        <w:t>The Company presents both basic and diluted net income per share on the Consolidated Statements of Income. Ba</w:t>
      </w:r>
      <w:r>
        <w:rPr>
          <w:rFonts w:eastAsia="Times New Roman"/>
          <w:color w:val="000000"/>
          <w:sz w:val="20"/>
          <w:szCs w:val="20"/>
        </w:rPr>
        <w:t>sic net income per share is calculated by dividing net income by the weighted average number of shares outstanding during the period.  Diluted net income per share is calculated by dividing net income by the weighted average diluted shares outstanding duri</w:t>
      </w:r>
      <w:r>
        <w:rPr>
          <w:rFonts w:eastAsia="Times New Roman"/>
          <w:color w:val="000000"/>
          <w:sz w:val="20"/>
          <w:szCs w:val="20"/>
        </w:rPr>
        <w:t xml:space="preserve">ng the period. Dilutive shares are computed using the treasury stock method for share-based awards. Performance-based restricted share units are included in diluted shares only if the related performance conditions have been considered satisfied as of the </w:t>
      </w:r>
      <w:r>
        <w:rPr>
          <w:rFonts w:eastAsia="Times New Roman"/>
          <w:color w:val="000000"/>
          <w:sz w:val="20"/>
          <w:szCs w:val="20"/>
        </w:rPr>
        <w:t>end of the reporting period.</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Cash and Cash Equivalent</w:t>
      </w:r>
      <w:r>
        <w:rPr>
          <w:rFonts w:eastAsia="Times New Roman"/>
          <w:b/>
          <w:bCs/>
          <w:i/>
          <w:iCs/>
          <w:color w:val="000000"/>
          <w:sz w:val="20"/>
          <w:szCs w:val="20"/>
        </w:rPr>
        <w:t>s</w:t>
      </w:r>
    </w:p>
    <w:p w:rsidR="00000000" w:rsidRDefault="00CB61D5">
      <w:pPr>
        <w:divId w:val="1428388078"/>
        <w:rPr>
          <w:rFonts w:eastAsia="Times New Roman"/>
        </w:rPr>
      </w:pPr>
    </w:p>
    <w:p w:rsidR="00000000" w:rsidRDefault="00CB61D5">
      <w:pPr>
        <w:jc w:val="both"/>
        <w:rPr>
          <w:rFonts w:eastAsia="Times New Roman"/>
        </w:rPr>
      </w:pPr>
      <w:r>
        <w:rPr>
          <w:rFonts w:eastAsia="Times New Roman"/>
          <w:color w:val="000000"/>
          <w:sz w:val="20"/>
          <w:szCs w:val="20"/>
        </w:rPr>
        <w:t>Temporary cash investments, with a maturity of three months or less when purchased, are considered to be cash equivalents.  The majority of payments due from banks for customer credit cards are cl</w:t>
      </w:r>
      <w:r>
        <w:rPr>
          <w:rFonts w:eastAsia="Times New Roman"/>
          <w:color w:val="000000"/>
          <w:sz w:val="20"/>
          <w:szCs w:val="20"/>
        </w:rPr>
        <w:t>assified as cash and cash equivalents, as they generally settle within 24 - 48 hours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Sales generated through the Company’s private label credit cards are not reflected as accounts receivable.  Under an agreement with Citi Cards, a division of Citigroup,</w:t>
      </w:r>
      <w:r>
        <w:rPr>
          <w:rFonts w:eastAsia="Times New Roman"/>
          <w:color w:val="000000"/>
          <w:sz w:val="20"/>
          <w:szCs w:val="20"/>
        </w:rPr>
        <w:t xml:space="preserve"> consumer and business credit is extended directly to customers by Citigroup.  All credit program and related services are performed and controlled directly by Citigroup.  Payments due from Citigroup are classified as cash and cash equivalents as they gene</w:t>
      </w:r>
      <w:r>
        <w:rPr>
          <w:rFonts w:eastAsia="Times New Roman"/>
          <w:color w:val="000000"/>
          <w:sz w:val="20"/>
          <w:szCs w:val="20"/>
        </w:rPr>
        <w:t>rally settle within 24 - 48 hours</w:t>
      </w:r>
      <w:r>
        <w:rPr>
          <w:rFonts w:eastAsia="Times New Roman"/>
          <w:color w:val="000000"/>
          <w:sz w:val="20"/>
          <w:szCs w:val="20"/>
        </w:rPr>
        <w:t>.</w:t>
      </w:r>
    </w:p>
    <w:p w:rsidR="00000000" w:rsidRDefault="00CB61D5">
      <w:pPr>
        <w:divId w:val="2032145778"/>
        <w:rPr>
          <w:rFonts w:eastAsia="Times New Roman"/>
        </w:rPr>
      </w:pPr>
    </w:p>
    <w:p w:rsidR="00000000" w:rsidRDefault="00CB61D5">
      <w:pPr>
        <w:jc w:val="both"/>
        <w:rPr>
          <w:rFonts w:eastAsia="Times New Roman"/>
        </w:rPr>
      </w:pPr>
      <w:r>
        <w:rPr>
          <w:rFonts w:eastAsia="Times New Roman"/>
          <w:b/>
          <w:bCs/>
          <w:i/>
          <w:iCs/>
          <w:color w:val="000000"/>
          <w:sz w:val="20"/>
          <w:szCs w:val="20"/>
        </w:rPr>
        <w:t>Fair Value of Financial Instrument</w:t>
      </w:r>
      <w:r>
        <w:rPr>
          <w:rFonts w:eastAsia="Times New Roman"/>
          <w:b/>
          <w:bCs/>
          <w:i/>
          <w:iCs/>
          <w:color w:val="000000"/>
          <w:sz w:val="20"/>
          <w:szCs w:val="20"/>
        </w:rPr>
        <w:t>s</w:t>
      </w:r>
    </w:p>
    <w:p w:rsidR="00000000" w:rsidRDefault="00CB61D5">
      <w:pPr>
        <w:divId w:val="1175724163"/>
        <w:rPr>
          <w:rFonts w:eastAsia="Times New Roman"/>
        </w:rPr>
      </w:pPr>
    </w:p>
    <w:p w:rsidR="00000000" w:rsidRDefault="00CB61D5">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market participants on t</w:t>
      </w:r>
      <w:r>
        <w:rPr>
          <w:rFonts w:eastAsia="Times New Roman"/>
          <w:color w:val="000000"/>
          <w:sz w:val="20"/>
          <w:szCs w:val="20"/>
        </w:rPr>
        <w:t>he measurement date. The Company uses a three-tier fair value hierarchy, which prioritizes the inputs used in measuring fair value.  These tiers include: Level 1, defined as observable inputs such as quoted prices in active markets; Level 2, defined as inp</w:t>
      </w:r>
      <w:r>
        <w:rPr>
          <w:rFonts w:eastAsia="Times New Roman"/>
          <w:color w:val="000000"/>
          <w:sz w:val="20"/>
          <w:szCs w:val="20"/>
        </w:rPr>
        <w:t>uts other than quoted prices in active markets that are either directly or indirectly observable; and Level 3, defined as unobservable inputs in which little or no market data exists, therefore requiring an entity to develop its own assumptions</w:t>
      </w:r>
      <w:r>
        <w:rPr>
          <w:rFonts w:eastAsia="Times New Roman"/>
          <w:color w:val="000000"/>
          <w:sz w:val="20"/>
          <w:szCs w:val="20"/>
        </w:rPr>
        <w:t>.</w:t>
      </w:r>
    </w:p>
    <w:p w:rsidR="00000000" w:rsidRDefault="00CB61D5">
      <w:pPr>
        <w:divId w:val="1265069529"/>
        <w:rPr>
          <w:rFonts w:eastAsia="Times New Roman"/>
        </w:rPr>
      </w:pPr>
    </w:p>
    <w:p w:rsidR="00000000" w:rsidRDefault="00CB61D5">
      <w:pPr>
        <w:jc w:val="both"/>
        <w:rPr>
          <w:rFonts w:eastAsia="Times New Roman"/>
        </w:rPr>
      </w:pPr>
      <w:r>
        <w:rPr>
          <w:rFonts w:eastAsia="Times New Roman"/>
          <w:color w:val="000000"/>
          <w:sz w:val="20"/>
          <w:szCs w:val="20"/>
        </w:rPr>
        <w:t>The Company’s financial instruments consist of cash and cash equivalents, short-term receivables, trade payables, debt instruments, and interest rate swaps. Due to their short-term nature, the carrying values of cash and cash equivalents, short-term receiv</w:t>
      </w:r>
      <w:r>
        <w:rPr>
          <w:rFonts w:eastAsia="Times New Roman"/>
          <w:color w:val="000000"/>
          <w:sz w:val="20"/>
          <w:szCs w:val="20"/>
        </w:rPr>
        <w:t>ables, and trade payables approximate current fair value at each balance sheet date. The Company had $397.5 million and $408.8 million in borrowings under our debt facilities (as discussed in Note 4) as of December 28, 2019 and December 29, 2018, respectiv</w:t>
      </w:r>
      <w:r>
        <w:rPr>
          <w:rFonts w:eastAsia="Times New Roman"/>
          <w:color w:val="000000"/>
          <w:sz w:val="20"/>
          <w:szCs w:val="20"/>
        </w:rPr>
        <w:t>ely. Based on current market interest rates (Level 2 inputs), the carrying value of our borrowings under our debt facilities approximates fair value for each period reported. The fair value of the Company’s interest rate swaps</w:t>
      </w:r>
      <w:r>
        <w:rPr>
          <w:rFonts w:eastAsia="Times New Roman"/>
          <w:color w:val="000000"/>
          <w:sz w:val="20"/>
          <w:szCs w:val="20"/>
        </w:rPr>
        <w:t xml:space="preserve"> </w:t>
      </w:r>
    </w:p>
    <w:p w:rsidR="00000000" w:rsidRDefault="00CB61D5">
      <w:pPr>
        <w:jc w:val="center"/>
        <w:divId w:val="1143158157"/>
        <w:rPr>
          <w:rFonts w:eastAsia="Times New Roman"/>
        </w:rPr>
      </w:pPr>
      <w:r>
        <w:rPr>
          <w:rFonts w:eastAsia="Times New Roman"/>
          <w:color w:val="000000"/>
          <w:sz w:val="20"/>
          <w:szCs w:val="20"/>
        </w:rPr>
        <w:t>5</w:t>
      </w:r>
      <w:r>
        <w:rPr>
          <w:rFonts w:eastAsia="Times New Roman"/>
          <w:color w:val="000000"/>
          <w:sz w:val="20"/>
          <w:szCs w:val="20"/>
        </w:rPr>
        <w:t>5</w:t>
      </w:r>
    </w:p>
    <w:p w:rsidR="00000000" w:rsidRDefault="00CB61D5">
      <w:pPr>
        <w:rPr>
          <w:rFonts w:eastAsia="Times New Roman"/>
        </w:rPr>
      </w:pPr>
      <w:r>
        <w:rPr>
          <w:rFonts w:eastAsia="Times New Roman"/>
        </w:rPr>
        <w:pict>
          <v:rect id="_x0000_i1084" style="width:0;height:1.5pt" o:hralign="center" o:hrstd="t" o:hr="t" fillcolor="#a0a0a0" stroked="f"/>
        </w:pict>
      </w:r>
    </w:p>
    <w:p w:rsidR="00000000" w:rsidRDefault="00CB61D5">
      <w:pPr>
        <w:divId w:val="1922566710"/>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is determined based on the present value of expected future cash flows using forward rate curves (a Level 2 input). As described in further detail in Note 5, the fair value of the interest rate swaps, excluding</w:t>
      </w:r>
      <w:r>
        <w:rPr>
          <w:rFonts w:eastAsia="Times New Roman"/>
          <w:color w:val="000000"/>
          <w:sz w:val="20"/>
          <w:szCs w:val="20"/>
        </w:rPr>
        <w:t xml:space="preserve"> accrued interest, was a net asset of $0.3 million and $5.8 million as of December 28, 2019 and December 29, 2018, respectively.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Derivative Financial Instrument</w:t>
      </w:r>
      <w:r>
        <w:rPr>
          <w:rFonts w:eastAsia="Times New Roman"/>
          <w:b/>
          <w:bCs/>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accounts for derivative financial instruments in accordance with applicable a</w:t>
      </w:r>
      <w:r>
        <w:rPr>
          <w:rFonts w:eastAsia="Times New Roman"/>
          <w:color w:val="000000"/>
          <w:sz w:val="20"/>
          <w:szCs w:val="20"/>
        </w:rPr>
        <w:t xml:space="preserve">ccounting standards for such instruments and hedging activities, which require that all derivatives are recorded on the balance sheet at fair value. The accounting for changes in the fair value of derivatives depends on the intended use of the derivative, </w:t>
      </w:r>
      <w:r>
        <w:rPr>
          <w:rFonts w:eastAsia="Times New Roman"/>
          <w:color w:val="000000"/>
          <w:sz w:val="20"/>
          <w:szCs w:val="20"/>
        </w:rPr>
        <w:t>whether the Company has elected to designate a derivative in a hedging relationship and apply hedge accounting and whether the hedging relationship has satisfied the criteria necessary to apply hedge accounting.</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Derivatives designated and qualifying as </w:t>
      </w:r>
      <w:r>
        <w:rPr>
          <w:rFonts w:eastAsia="Times New Roman"/>
          <w:color w:val="000000"/>
          <w:sz w:val="20"/>
          <w:szCs w:val="20"/>
        </w:rPr>
        <w:t xml:space="preserve">a hedge of the exposure to changes in the fair value of an asset, liability, or firm commitment attributable to a particular risk are considered fair value hedges. Derivatives designated and qualifying as a hedge of the exposure to variability in expected </w:t>
      </w:r>
      <w:r>
        <w:rPr>
          <w:rFonts w:eastAsia="Times New Roman"/>
          <w:color w:val="000000"/>
          <w:sz w:val="20"/>
          <w:szCs w:val="20"/>
        </w:rPr>
        <w:t>future cash flows, or other types of forecasted transactions, are considered cash flow hedges. Hedge accounting generally provides for the matching of the timing of gain or loss recognition on the hedging instrument with the recognition of the changes in t</w:t>
      </w:r>
      <w:r>
        <w:rPr>
          <w:rFonts w:eastAsia="Times New Roman"/>
          <w:color w:val="000000"/>
          <w:sz w:val="20"/>
          <w:szCs w:val="20"/>
        </w:rPr>
        <w:t>he fair value of the hedged asset or liability that are attributable to the hedged risk in a fair value hedge or the earnings effect of the hedged forecasted transactions in a cash flow hedge. The Company may enter into derivative contracts that are intend</w:t>
      </w:r>
      <w:r>
        <w:rPr>
          <w:rFonts w:eastAsia="Times New Roman"/>
          <w:color w:val="000000"/>
          <w:sz w:val="20"/>
          <w:szCs w:val="20"/>
        </w:rPr>
        <w:t>ed to economically hedge a certain portion of its risk, even though hedge accounting does not apply or the Company elects not to apply the hedge accounting standards.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Inventorie</w:t>
      </w:r>
      <w:r>
        <w:rPr>
          <w:rFonts w:eastAsia="Times New Roman"/>
          <w:b/>
          <w:bCs/>
          <w:i/>
          <w:iCs/>
          <w:color w:val="000000"/>
          <w:sz w:val="20"/>
          <w:szCs w:val="20"/>
        </w:rPr>
        <w:t>s</w:t>
      </w:r>
    </w:p>
    <w:p w:rsidR="00000000" w:rsidRDefault="00CB61D5">
      <w:pPr>
        <w:divId w:val="609892982"/>
        <w:rPr>
          <w:rFonts w:eastAsia="Times New Roman"/>
        </w:rPr>
      </w:pPr>
    </w:p>
    <w:p w:rsidR="00000000" w:rsidRDefault="00CB61D5">
      <w:pPr>
        <w:jc w:val="both"/>
        <w:rPr>
          <w:rFonts w:eastAsia="Times New Roman"/>
        </w:rPr>
      </w:pPr>
      <w:r>
        <w:rPr>
          <w:rFonts w:eastAsia="Times New Roman"/>
          <w:color w:val="000000"/>
          <w:sz w:val="20"/>
          <w:szCs w:val="20"/>
        </w:rPr>
        <w:t>Inventories are stated at the lower of cost, as determined by the averag</w:t>
      </w:r>
      <w:r>
        <w:rPr>
          <w:rFonts w:eastAsia="Times New Roman"/>
          <w:color w:val="000000"/>
          <w:sz w:val="20"/>
          <w:szCs w:val="20"/>
        </w:rPr>
        <w:t>e cost method, or net realizable value.  Inventory cost consists of the direct cost of merchandise including freight, duties, and tariffs.  Inventories are net of shrinkage, obsolescence, other valuations, and vendor allowances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Property and Equipmen</w:t>
      </w:r>
      <w:r>
        <w:rPr>
          <w:rFonts w:eastAsia="Times New Roman"/>
          <w:b/>
          <w:bCs/>
          <w:i/>
          <w:iCs/>
          <w:color w:val="000000"/>
          <w:sz w:val="20"/>
          <w:szCs w:val="20"/>
        </w:rPr>
        <w:t>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Property and equipment are initially recorded at cost.  Depreciation is recorded using the straight-line method over the estimated useful lives of the assets.  Improvements to leased premises are amortized using the straight-line method over the remaining </w:t>
      </w:r>
      <w:r>
        <w:rPr>
          <w:rFonts w:eastAsia="Times New Roman"/>
          <w:color w:val="000000"/>
          <w:sz w:val="20"/>
          <w:szCs w:val="20"/>
        </w:rPr>
        <w:t>term of the lease or the useful life of the improvement, whichever is less. The following table summarizes the Company's property and equipment balances and includes the estimated useful lives which are generally applied (in thousands, except estimated use</w:t>
      </w:r>
      <w:r>
        <w:rPr>
          <w:rFonts w:eastAsia="Times New Roman"/>
          <w:color w:val="000000"/>
          <w:sz w:val="20"/>
          <w:szCs w:val="20"/>
        </w:rPr>
        <w:t>ful lives)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5"/>
        <w:gridCol w:w="4045"/>
        <w:gridCol w:w="55"/>
        <w:gridCol w:w="55"/>
        <w:gridCol w:w="1128"/>
        <w:gridCol w:w="55"/>
        <w:gridCol w:w="36"/>
        <w:gridCol w:w="36"/>
        <w:gridCol w:w="36"/>
        <w:gridCol w:w="135"/>
        <w:gridCol w:w="1128"/>
        <w:gridCol w:w="85"/>
        <w:gridCol w:w="36"/>
        <w:gridCol w:w="36"/>
        <w:gridCol w:w="36"/>
        <w:gridCol w:w="135"/>
        <w:gridCol w:w="1129"/>
        <w:gridCol w:w="85"/>
      </w:tblGrid>
      <w:tr w:rsidR="00000000">
        <w:trPr>
          <w:divId w:val="525749493"/>
        </w:trPr>
        <w:tc>
          <w:tcPr>
            <w:tcW w:w="50" w:type="pct"/>
            <w:vAlign w:val="center"/>
            <w:hideMark/>
          </w:tcPr>
          <w:p w:rsidR="00000000" w:rsidRDefault="00CB61D5">
            <w:pPr>
              <w:jc w:val="both"/>
              <w:rPr>
                <w:rFonts w:eastAsia="Times New Roman"/>
              </w:rPr>
            </w:pPr>
          </w:p>
        </w:tc>
        <w:tc>
          <w:tcPr>
            <w:tcW w:w="245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9"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9"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5257494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Estimated Useful Live</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w:t>
            </w:r>
            <w:r>
              <w:rPr>
                <w:rFonts w:eastAsia="Times New Roman"/>
                <w:b/>
                <w:bCs/>
                <w:color w:val="000000"/>
                <w:sz w:val="20"/>
                <w:szCs w:val="20"/>
              </w:rPr>
              <w:br/>
              <w:t>201</w:t>
            </w:r>
            <w:r>
              <w:rPr>
                <w:rFonts w:eastAsia="Times New Roman"/>
                <w:b/>
                <w:bCs/>
                <w:color w:val="000000"/>
                <w:sz w:val="20"/>
                <w:szCs w:val="20"/>
              </w:rPr>
              <w:t>8</w:t>
            </w:r>
          </w:p>
        </w:tc>
      </w:tr>
      <w:tr w:rsidR="00000000">
        <w:trPr>
          <w:divId w:val="52574949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100,343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100,767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1 – 35 year</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1,242,544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1,110,767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Furniture, fixtures and equipmen</w:t>
            </w:r>
            <w:r>
              <w:rPr>
                <w:rFonts w:eastAsia="Times New Roman"/>
                <w:color w:val="000000"/>
                <w:sz w:val="20"/>
                <w:szCs w:val="20"/>
              </w:rPr>
              <w:t>t</w:t>
            </w:r>
          </w:p>
        </w:tc>
        <w:tc>
          <w:tcPr>
            <w:tcW w:w="0" w:type="auto"/>
            <w:gridSpan w:val="3"/>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5 – 10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729,272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645,702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Computer software and hardwar</w:t>
            </w:r>
            <w:r>
              <w:rPr>
                <w:rFonts w:eastAsia="Times New Roman"/>
                <w:color w:val="000000"/>
                <w:sz w:val="20"/>
                <w:szCs w:val="20"/>
              </w:rPr>
              <w:t>e</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2 – 7 year</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440,222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349,500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39,110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130,812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Property and equipment, gros</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2,551,491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2,337,548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Accumulated depreciation and amortizatio</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(1,387,535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(1,203,084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525749493"/>
        </w:trPr>
        <w:tc>
          <w:tcPr>
            <w:tcW w:w="0" w:type="auto"/>
            <w:gridSpan w:val="3"/>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1,163,956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1,134,464</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Company entered into agreements with various governmental entities in the states of Kentucky, Georgia, and Tennessee to implement tax abatement plans related to its distribution center in Franklin, Kentucky (Simpson County), its distribution center in </w:t>
      </w:r>
      <w:r>
        <w:rPr>
          <w:rFonts w:eastAsia="Times New Roman"/>
          <w:color w:val="000000"/>
          <w:sz w:val="20"/>
          <w:szCs w:val="20"/>
        </w:rPr>
        <w:t>Macon, Georgia (Bibb County), and its Store Support Center in Brentwood, Tennessee (Williamson County).  The tax abatement plans provide for reduction of real property taxes for specified time frames by legally transferring title to its real property in ex</w:t>
      </w:r>
      <w:r>
        <w:rPr>
          <w:rFonts w:eastAsia="Times New Roman"/>
          <w:color w:val="000000"/>
          <w:sz w:val="20"/>
          <w:szCs w:val="20"/>
        </w:rPr>
        <w:t>change for industrial revenue bonds. This property was then leased back to the Company. No cash was exchanged.</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666276545"/>
        <w:rPr>
          <w:rFonts w:eastAsia="Times New Roman"/>
        </w:rPr>
      </w:pPr>
      <w:r>
        <w:rPr>
          <w:rFonts w:eastAsia="Times New Roman"/>
          <w:color w:val="000000"/>
          <w:sz w:val="20"/>
          <w:szCs w:val="20"/>
        </w:rPr>
        <w:t>5</w:t>
      </w:r>
      <w:r>
        <w:rPr>
          <w:rFonts w:eastAsia="Times New Roman"/>
          <w:color w:val="000000"/>
          <w:sz w:val="20"/>
          <w:szCs w:val="20"/>
        </w:rPr>
        <w:t>6</w:t>
      </w:r>
    </w:p>
    <w:p w:rsidR="00000000" w:rsidRDefault="00CB61D5">
      <w:pPr>
        <w:rPr>
          <w:rFonts w:eastAsia="Times New Roman"/>
        </w:rPr>
      </w:pPr>
      <w:r>
        <w:rPr>
          <w:rFonts w:eastAsia="Times New Roman"/>
        </w:rPr>
        <w:pict>
          <v:rect id="_x0000_i1085" style="width:0;height:1.5pt" o:hralign="center" o:hrstd="t" o:hr="t" fillcolor="#a0a0a0" stroked="f"/>
        </w:pict>
      </w:r>
    </w:p>
    <w:p w:rsidR="00000000" w:rsidRDefault="00CB61D5">
      <w:pPr>
        <w:divId w:val="125045889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lease payments are equal to the amount of the payments on the bonds.  </w:t>
      </w:r>
      <w:r>
        <w:rPr>
          <w:rFonts w:eastAsia="Times New Roman"/>
          <w:color w:val="000000"/>
          <w:sz w:val="20"/>
          <w:szCs w:val="20"/>
        </w:rPr>
        <w:t>The tax abatement period extends through the term of the lease, which coincides with the maturity date of the bonds. At any time, the Company has the option to purchase the real property by paying off the bonds, plus $1.  The terms and amounts authorized a</w:t>
      </w:r>
      <w:r>
        <w:rPr>
          <w:rFonts w:eastAsia="Times New Roman"/>
          <w:color w:val="000000"/>
          <w:sz w:val="20"/>
          <w:szCs w:val="20"/>
        </w:rPr>
        <w:t>nd drawn under each industrial revenue bond agreement are outlined as follows, as of December 28, 2019</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71"/>
        <w:gridCol w:w="3941"/>
        <w:gridCol w:w="71"/>
        <w:gridCol w:w="36"/>
        <w:gridCol w:w="36"/>
        <w:gridCol w:w="36"/>
        <w:gridCol w:w="66"/>
        <w:gridCol w:w="1148"/>
        <w:gridCol w:w="72"/>
        <w:gridCol w:w="36"/>
        <w:gridCol w:w="36"/>
        <w:gridCol w:w="36"/>
        <w:gridCol w:w="68"/>
        <w:gridCol w:w="1148"/>
        <w:gridCol w:w="72"/>
        <w:gridCol w:w="36"/>
        <w:gridCol w:w="36"/>
        <w:gridCol w:w="36"/>
        <w:gridCol w:w="68"/>
        <w:gridCol w:w="1148"/>
        <w:gridCol w:w="72"/>
      </w:tblGrid>
      <w:tr w:rsidR="00000000">
        <w:trPr>
          <w:divId w:val="2132554514"/>
        </w:trPr>
        <w:tc>
          <w:tcPr>
            <w:tcW w:w="50" w:type="pct"/>
            <w:vAlign w:val="center"/>
            <w:hideMark/>
          </w:tcPr>
          <w:p w:rsidR="00000000" w:rsidRDefault="00CB61D5">
            <w:pPr>
              <w:jc w:val="both"/>
              <w:rPr>
                <w:rFonts w:eastAsia="Times New Roman"/>
              </w:rPr>
            </w:pPr>
          </w:p>
        </w:tc>
        <w:tc>
          <w:tcPr>
            <w:tcW w:w="23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132554514"/>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Bond Ter</w:t>
            </w:r>
            <w:r>
              <w:rPr>
                <w:rFonts w:eastAsia="Times New Roman"/>
                <w:b/>
                <w:bCs/>
                <w:color w:val="000000"/>
                <w:sz w:val="18"/>
                <w:szCs w:val="18"/>
              </w:rPr>
              <w:t>m</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Bond Authorized Amoun</w:t>
            </w:r>
            <w:r>
              <w:rPr>
                <w:rFonts w:eastAsia="Times New Roman"/>
                <w:b/>
                <w:bCs/>
                <w:color w:val="000000"/>
                <w:sz w:val="18"/>
                <w:szCs w:val="18"/>
              </w:rPr>
              <w:t>t</w:t>
            </w:r>
          </w:p>
          <w:p w:rsidR="00000000" w:rsidRDefault="00CB61D5">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18"/>
                <w:szCs w:val="18"/>
              </w:rPr>
              <w:t>Amount Draw</w:t>
            </w:r>
            <w:r>
              <w:rPr>
                <w:rFonts w:eastAsia="Times New Roman"/>
                <w:b/>
                <w:bCs/>
                <w:color w:val="000000"/>
                <w:sz w:val="18"/>
                <w:szCs w:val="18"/>
              </w:rPr>
              <w:t>n</w:t>
            </w:r>
          </w:p>
          <w:p w:rsidR="00000000" w:rsidRDefault="00CB61D5">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r>
      <w:tr w:rsidR="00000000">
        <w:trPr>
          <w:divId w:val="2132554514"/>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Franklin, Kentucky Distribution Cente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30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$54.</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$51.</w:t>
            </w:r>
            <w:r>
              <w:rPr>
                <w:rFonts w:eastAsia="Times New Roman"/>
                <w:color w:val="000000"/>
                <w:sz w:val="20"/>
                <w:szCs w:val="20"/>
              </w:rPr>
              <w:t>8</w:t>
            </w:r>
          </w:p>
        </w:tc>
      </w:tr>
      <w:tr w:rsidR="00000000">
        <w:trPr>
          <w:divId w:val="2132554514"/>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Macon, Georgia Distribution Cente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15 year</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$58.</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$49.</w:t>
            </w:r>
            <w:r>
              <w:rPr>
                <w:rFonts w:eastAsia="Times New Roman"/>
                <w:color w:val="000000"/>
                <w:sz w:val="20"/>
                <w:szCs w:val="20"/>
              </w:rPr>
              <w:t>9</w:t>
            </w:r>
          </w:p>
        </w:tc>
      </w:tr>
      <w:tr w:rsidR="00000000">
        <w:trPr>
          <w:divId w:val="2132554514"/>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Brentwood, Tennessee Store Support Cente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10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$78.</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$75.</w:t>
            </w:r>
            <w:r>
              <w:rPr>
                <w:rFonts w:eastAsia="Times New Roman"/>
                <w:color w:val="000000"/>
                <w:sz w:val="20"/>
                <w:szCs w:val="20"/>
              </w:rPr>
              <w:t>3</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Due to the form of these transactions, the Company has not recorded the bonds or the lease obligation associated with the sale lease-back transaction. The original cost of the Company’s property and equipment is recorded on the balance sheet and is being d</w:t>
      </w:r>
      <w:r>
        <w:rPr>
          <w:rFonts w:eastAsia="Times New Roman"/>
          <w:color w:val="000000"/>
          <w:sz w:val="20"/>
          <w:szCs w:val="20"/>
        </w:rPr>
        <w:t>epreciated over its estimated useful life</w:t>
      </w:r>
      <w:r>
        <w:rPr>
          <w:rFonts w:eastAsia="Times New Roman"/>
          <w:color w:val="000000"/>
          <w:sz w:val="20"/>
          <w:szCs w:val="20"/>
        </w:rPr>
        <w:t>.</w:t>
      </w:r>
    </w:p>
    <w:p w:rsidR="00000000" w:rsidRDefault="00CB61D5">
      <w:pPr>
        <w:divId w:val="1518034402"/>
        <w:rPr>
          <w:rFonts w:eastAsia="Times New Roman"/>
        </w:rPr>
      </w:pPr>
    </w:p>
    <w:p w:rsidR="00000000" w:rsidRDefault="00CB61D5">
      <w:pPr>
        <w:jc w:val="both"/>
        <w:rPr>
          <w:rFonts w:eastAsia="Times New Roman"/>
        </w:rPr>
      </w:pPr>
      <w:r>
        <w:rPr>
          <w:rFonts w:eastAsia="Times New Roman"/>
          <w:b/>
          <w:bCs/>
          <w:i/>
          <w:iCs/>
          <w:color w:val="000000"/>
          <w:sz w:val="20"/>
          <w:szCs w:val="20"/>
        </w:rPr>
        <w:t>Capitalized Software Cost</w:t>
      </w:r>
      <w:r>
        <w:rPr>
          <w:rFonts w:eastAsia="Times New Roman"/>
          <w:b/>
          <w:bCs/>
          <w:i/>
          <w:iCs/>
          <w:color w:val="000000"/>
          <w:sz w:val="20"/>
          <w:szCs w:val="20"/>
        </w:rPr>
        <w:t>s</w:t>
      </w:r>
    </w:p>
    <w:p w:rsidR="00000000" w:rsidRDefault="00CB61D5">
      <w:pPr>
        <w:divId w:val="1287156870"/>
        <w:rPr>
          <w:rFonts w:eastAsia="Times New Roman"/>
        </w:rPr>
      </w:pPr>
    </w:p>
    <w:p w:rsidR="00000000" w:rsidRDefault="00CB61D5">
      <w:pPr>
        <w:jc w:val="both"/>
        <w:rPr>
          <w:rFonts w:eastAsia="Times New Roman"/>
        </w:rPr>
      </w:pPr>
      <w:r>
        <w:rPr>
          <w:rFonts w:eastAsia="Times New Roman"/>
          <w:color w:val="000000"/>
          <w:sz w:val="20"/>
          <w:szCs w:val="20"/>
        </w:rPr>
        <w:t>The Company capitalizes certain costs related to the acquisition and development of software and amortizes these costs using the straight-line method over the estimated useful life o</w:t>
      </w:r>
      <w:r>
        <w:rPr>
          <w:rFonts w:eastAsia="Times New Roman"/>
          <w:color w:val="000000"/>
          <w:sz w:val="20"/>
          <w:szCs w:val="20"/>
        </w:rPr>
        <w:t>f the software, which is</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xml:space="preserve"> years.  Computer software consists of software developed for internal-use and third-party software purchased for internal-use.  A subsequent addition, modification or upgrade to internal-use software is capitalized to </w:t>
      </w:r>
      <w:r>
        <w:rPr>
          <w:rFonts w:eastAsia="Times New Roman"/>
          <w:color w:val="000000"/>
          <w:sz w:val="20"/>
          <w:szCs w:val="20"/>
        </w:rPr>
        <w:t>the extent that it enhances the software’s functionality or extends its useful life.  These costs are included in computer software and hardware in the accompanying Consolidated Balance Sheets.  Certain software costs not meeting the criteria for capitaliz</w:t>
      </w:r>
      <w:r>
        <w:rPr>
          <w:rFonts w:eastAsia="Times New Roman"/>
          <w:color w:val="000000"/>
          <w:sz w:val="20"/>
          <w:szCs w:val="20"/>
        </w:rPr>
        <w:t>ation are expensed as incurred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Store Closing Cost</w:t>
      </w:r>
      <w:r>
        <w:rPr>
          <w:rFonts w:eastAsia="Times New Roman"/>
          <w:b/>
          <w:bCs/>
          <w:i/>
          <w:iCs/>
          <w:color w:val="000000"/>
          <w:sz w:val="20"/>
          <w:szCs w:val="20"/>
        </w:rPr>
        <w:t>s</w:t>
      </w:r>
    </w:p>
    <w:p w:rsidR="00000000" w:rsidRDefault="00CB61D5">
      <w:pPr>
        <w:divId w:val="1808620904"/>
        <w:rPr>
          <w:rFonts w:eastAsia="Times New Roman"/>
        </w:rPr>
      </w:pPr>
    </w:p>
    <w:p w:rsidR="00000000" w:rsidRDefault="00CB61D5">
      <w:pPr>
        <w:jc w:val="both"/>
        <w:rPr>
          <w:rFonts w:eastAsia="Times New Roman"/>
        </w:rPr>
      </w:pPr>
      <w:r>
        <w:rPr>
          <w:rFonts w:eastAsia="Times New Roman"/>
          <w:color w:val="000000"/>
          <w:sz w:val="20"/>
          <w:szCs w:val="20"/>
        </w:rPr>
        <w:t xml:space="preserve">The Company regularly evaluates the performance of its stores and periodically closes those stores that are underperforming.  The Company records a liability for costs associated with an exit or disposal activity when the liability is incurred, usually in </w:t>
      </w:r>
      <w:r>
        <w:rPr>
          <w:rFonts w:eastAsia="Times New Roman"/>
          <w:color w:val="000000"/>
          <w:sz w:val="20"/>
          <w:szCs w:val="20"/>
        </w:rPr>
        <w:t>the period the store closes.  Store closing costs were not significant to the results of operations for any of the fiscal years presented</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i/>
          <w:iCs/>
          <w:color w:val="000000"/>
          <w:sz w:val="20"/>
          <w:szCs w:val="20"/>
        </w:rPr>
        <w:t>Lease</w:t>
      </w:r>
      <w:r>
        <w:rPr>
          <w:rFonts w:eastAsia="Times New Roman"/>
          <w:b/>
          <w:bCs/>
          <w:i/>
          <w:iCs/>
          <w:color w:val="000000"/>
          <w:sz w:val="20"/>
          <w:szCs w:val="20"/>
        </w:rPr>
        <w:t>s</w:t>
      </w:r>
    </w:p>
    <w:p w:rsidR="00000000" w:rsidRDefault="00CB61D5">
      <w:pPr>
        <w:divId w:val="283077908"/>
        <w:rPr>
          <w:rFonts w:eastAsia="Times New Roman"/>
        </w:rPr>
      </w:pPr>
    </w:p>
    <w:p w:rsidR="00000000" w:rsidRDefault="00CB61D5">
      <w:pPr>
        <w:jc w:val="both"/>
        <w:rPr>
          <w:rFonts w:eastAsia="Times New Roman"/>
        </w:rPr>
      </w:pPr>
      <w:r>
        <w:rPr>
          <w:rFonts w:eastAsia="Times New Roman"/>
          <w:color w:val="212529"/>
          <w:sz w:val="20"/>
          <w:szCs w:val="20"/>
        </w:rPr>
        <w:t>Operating lease assets and liabilities are recognized at the lease commencement date. Operating lease liab</w:t>
      </w:r>
      <w:r>
        <w:rPr>
          <w:rFonts w:eastAsia="Times New Roman"/>
          <w:color w:val="212529"/>
          <w:sz w:val="20"/>
          <w:szCs w:val="20"/>
        </w:rPr>
        <w:t xml:space="preserve">ilities represent the present value of lease payments not yet paid. Operating lease assets represent our right to use an underlying asset and are based upon the operating lease liabilities adjusted for prepayments or accrued lease payments, initial direct </w:t>
      </w:r>
      <w:r>
        <w:rPr>
          <w:rFonts w:eastAsia="Times New Roman"/>
          <w:color w:val="212529"/>
          <w:sz w:val="20"/>
          <w:szCs w:val="20"/>
        </w:rPr>
        <w:t>costs, lease incentives, and impairment, if any, of operating lease assets. To determine the present value of lease payments not yet paid, we estimate incremental borrowing rates corresponding to the reasonably certain lease term.</w:t>
      </w:r>
      <w:r>
        <w:rPr>
          <w:rFonts w:eastAsia="Times New Roman"/>
          <w:color w:val="212529"/>
          <w:sz w:val="20"/>
          <w:szCs w:val="20"/>
        </w:rPr>
        <w:t xml:space="preserve"> </w:t>
      </w:r>
      <w:r>
        <w:rPr>
          <w:rFonts w:eastAsia="Times New Roman"/>
          <w:color w:val="000000"/>
          <w:sz w:val="20"/>
          <w:szCs w:val="20"/>
        </w:rPr>
        <w:t>As substantially all of o</w:t>
      </w:r>
      <w:r>
        <w:rPr>
          <w:rFonts w:eastAsia="Times New Roman"/>
          <w:color w:val="000000"/>
          <w:sz w:val="20"/>
          <w:szCs w:val="20"/>
        </w:rPr>
        <w:t>ur leases do not provide an implicit rate, we estimate our collateralized incremental borrowing rate based upon a synthetic credit rating and yield curve analysis at commencement or modification date in determining the present value of lease payments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w:t>
      </w:r>
      <w:r>
        <w:rPr>
          <w:rFonts w:eastAsia="Times New Roman"/>
          <w:color w:val="000000"/>
          <w:sz w:val="20"/>
          <w:szCs w:val="20"/>
        </w:rPr>
        <w:t>sets under finance leases are amortized in accordance with the Company’s normal depreciation policy for owned assets or over the lease term, if shorter, and the related charge to operations is included in depreciation expense in the Consolidated Statements</w:t>
      </w:r>
      <w:r>
        <w:rPr>
          <w:rFonts w:eastAsia="Times New Roman"/>
          <w:color w:val="000000"/>
          <w:sz w:val="20"/>
          <w:szCs w:val="20"/>
        </w:rPr>
        <w:t xml:space="preserve"> of Income</w:t>
      </w:r>
      <w:r>
        <w:rPr>
          <w:rFonts w:eastAsia="Times New Roman"/>
          <w:color w:val="000000"/>
          <w:sz w:val="20"/>
          <w:szCs w:val="20"/>
        </w:rPr>
        <w:t>.</w:t>
      </w:r>
    </w:p>
    <w:p w:rsidR="00000000" w:rsidRDefault="00CB61D5">
      <w:pPr>
        <w:divId w:val="961959402"/>
        <w:rPr>
          <w:rFonts w:eastAsia="Times New Roman"/>
        </w:rPr>
      </w:pPr>
    </w:p>
    <w:p w:rsidR="00000000" w:rsidRDefault="00CB61D5">
      <w:pPr>
        <w:jc w:val="center"/>
        <w:divId w:val="570893567"/>
        <w:rPr>
          <w:rFonts w:eastAsia="Times New Roman"/>
        </w:rPr>
      </w:pPr>
      <w:r>
        <w:rPr>
          <w:rFonts w:eastAsia="Times New Roman"/>
          <w:color w:val="000000"/>
          <w:sz w:val="20"/>
          <w:szCs w:val="20"/>
        </w:rPr>
        <w:t>5</w:t>
      </w:r>
      <w:r>
        <w:rPr>
          <w:rFonts w:eastAsia="Times New Roman"/>
          <w:color w:val="000000"/>
          <w:sz w:val="20"/>
          <w:szCs w:val="20"/>
        </w:rPr>
        <w:t>7</w:t>
      </w:r>
    </w:p>
    <w:p w:rsidR="00000000" w:rsidRDefault="00CB61D5">
      <w:pPr>
        <w:rPr>
          <w:rFonts w:eastAsia="Times New Roman"/>
        </w:rPr>
      </w:pPr>
      <w:r>
        <w:rPr>
          <w:rFonts w:eastAsia="Times New Roman"/>
        </w:rPr>
        <w:pict>
          <v:rect id="_x0000_i1086" style="width:0;height:1.5pt" o:hralign="center" o:hrstd="t" o:hr="t" fillcolor="#a0a0a0" stroked="f"/>
        </w:pict>
      </w:r>
    </w:p>
    <w:p w:rsidR="00000000" w:rsidRDefault="00CB61D5">
      <w:pPr>
        <w:divId w:val="3100301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Note 2 – Share-Based Compensation</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Share-based compensation includes stock options, restricted stock units, performance-based restricted share units, and certain transactions under the</w:t>
      </w:r>
      <w:r>
        <w:rPr>
          <w:rFonts w:eastAsia="Times New Roman"/>
          <w:color w:val="000000"/>
          <w:sz w:val="20"/>
          <w:szCs w:val="20"/>
        </w:rPr>
        <w:t xml:space="preserve"> Company’s ESPP.  Share-based compensation expense is recognized based on the grant date fair value of all stock options, restricted stock units, and performance-based restricted share units plus a 15% discount on shares purchased by employees as a part of</w:t>
      </w:r>
      <w:r>
        <w:rPr>
          <w:rFonts w:eastAsia="Times New Roman"/>
          <w:color w:val="000000"/>
          <w:sz w:val="20"/>
          <w:szCs w:val="20"/>
        </w:rPr>
        <w:t xml:space="preserve"> the ESPP.  The discount under the ESPP represents the difference between the purchase date market value and the employee’s purchase price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There were no significant modifications to the Company's share-based compensation plans since the adoption of the </w:t>
      </w:r>
      <w:r>
        <w:rPr>
          <w:rFonts w:eastAsia="Times New Roman"/>
          <w:color w:val="000000"/>
          <w:sz w:val="20"/>
          <w:szCs w:val="20"/>
        </w:rPr>
        <w:t>2018 Omnibus Incentive Plan (the “2018 Plan”) on May 10, 2018, which replaced the 2009 Stock Incentive Plan. Following the adoption of the 2018 Plan, no further grants may be made under the 2009 Stock Incentive Plan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Under our share-based compensation pl</w:t>
      </w:r>
      <w:r>
        <w:rPr>
          <w:rFonts w:eastAsia="Times New Roman"/>
          <w:color w:val="000000"/>
          <w:sz w:val="20"/>
          <w:szCs w:val="20"/>
        </w:rPr>
        <w:t>ans, awards may be granted to officers, non-employee directors, other employees, and independent contractors. The per share exercise price of options granted shall not be less than the fair market value of the stock on the date of grant and such awards wil</w:t>
      </w:r>
      <w:r>
        <w:rPr>
          <w:rFonts w:eastAsia="Times New Roman"/>
          <w:color w:val="000000"/>
          <w:sz w:val="20"/>
          <w:szCs w:val="20"/>
        </w:rPr>
        <w:t>l expire no later than ten years from the date of grant. Vesting of awards commences at various anniversary dates following the dates of each grant and certain awards will vest only upon established performance conditions being met. At December 28, 2019, t</w:t>
      </w:r>
      <w:r>
        <w:rPr>
          <w:rFonts w:eastAsia="Times New Roman"/>
          <w:color w:val="000000"/>
          <w:sz w:val="20"/>
          <w:szCs w:val="20"/>
        </w:rPr>
        <w:t>he Company had approximately 11.8 million shares available for future equity awards under the Company’s 2018 Plan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Share-based compensation expense, including changes in expense for modifications, if any, of awards, was $31.1 million, $28.9 million, and </w:t>
      </w:r>
      <w:r>
        <w:rPr>
          <w:rFonts w:eastAsia="Times New Roman"/>
          <w:color w:val="000000"/>
          <w:sz w:val="20"/>
          <w:szCs w:val="20"/>
        </w:rPr>
        <w:t>$29.2 million for fiscal 2019, 2018, and 2017, respectively.</w:t>
      </w:r>
      <w:r>
        <w:rPr>
          <w:rFonts w:eastAsia="Times New Roman"/>
          <w:color w:val="000000"/>
          <w:sz w:val="20"/>
          <w:szCs w:val="20"/>
        </w:rPr>
        <w:t xml:space="preserve"> </w:t>
      </w:r>
    </w:p>
    <w:p w:rsidR="00000000" w:rsidRDefault="00CB61D5">
      <w:pPr>
        <w:divId w:val="575093700"/>
        <w:rPr>
          <w:rFonts w:eastAsia="Times New Roman"/>
        </w:rPr>
      </w:pPr>
    </w:p>
    <w:p w:rsidR="00000000" w:rsidRDefault="00CB61D5">
      <w:pPr>
        <w:jc w:val="both"/>
        <w:rPr>
          <w:rFonts w:eastAsia="Times New Roman"/>
        </w:rPr>
      </w:pPr>
      <w:r>
        <w:rPr>
          <w:rFonts w:eastAsia="Times New Roman"/>
          <w:i/>
          <w:iCs/>
          <w:color w:val="000000"/>
          <w:sz w:val="20"/>
          <w:szCs w:val="20"/>
        </w:rPr>
        <w:t>Stock Option</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fair value is separately estimated for each option grant.  The fair value of each option is recognized as compensation expense ratably over the vesting period.  The Company</w:t>
      </w:r>
      <w:r>
        <w:rPr>
          <w:rFonts w:eastAsia="Times New Roman"/>
          <w:color w:val="000000"/>
          <w:sz w:val="20"/>
          <w:szCs w:val="20"/>
        </w:rPr>
        <w:t xml:space="preserve"> has estimated the fair value of all stock option awards as of the date of the grant by applying a</w:t>
      </w:r>
      <w:r>
        <w:rPr>
          <w:rFonts w:eastAsia="Times New Roman"/>
          <w:color w:val="000000"/>
          <w:sz w:val="20"/>
          <w:szCs w:val="20"/>
        </w:rPr>
        <w:t xml:space="preserve"> </w:t>
      </w:r>
      <w:r>
        <w:rPr>
          <w:rFonts w:eastAsia="Times New Roman"/>
          <w:i/>
          <w:iCs/>
          <w:color w:val="000000"/>
          <w:sz w:val="20"/>
          <w:szCs w:val="20"/>
        </w:rPr>
        <w:t>Black-Schole</w:t>
      </w:r>
      <w:r>
        <w:rPr>
          <w:rFonts w:eastAsia="Times New Roman"/>
          <w:i/>
          <w:iCs/>
          <w:color w:val="000000"/>
          <w:sz w:val="20"/>
          <w:szCs w:val="20"/>
        </w:rPr>
        <w:t>s</w:t>
      </w:r>
      <w:r>
        <w:rPr>
          <w:rFonts w:eastAsia="Times New Roman"/>
          <w:color w:val="000000"/>
          <w:sz w:val="20"/>
          <w:szCs w:val="20"/>
        </w:rPr>
        <w:t xml:space="preserve"> pricing valuation model.  The application of this valuation model involves assumptions that are judgmental and highly sensitive in the determin</w:t>
      </w:r>
      <w:r>
        <w:rPr>
          <w:rFonts w:eastAsia="Times New Roman"/>
          <w:color w:val="000000"/>
          <w:sz w:val="20"/>
          <w:szCs w:val="20"/>
        </w:rPr>
        <w:t>ation of compensation expense.  The ranges of key assumptions used in determining the fair value of options granted during fiscal 2019, 2018, and 2017, as well as a summary of the methodology applied to develop each assumption, are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401"/>
        <w:gridCol w:w="37"/>
        <w:gridCol w:w="37"/>
        <w:gridCol w:w="897"/>
        <w:gridCol w:w="202"/>
        <w:gridCol w:w="36"/>
        <w:gridCol w:w="36"/>
        <w:gridCol w:w="36"/>
        <w:gridCol w:w="40"/>
        <w:gridCol w:w="767"/>
        <w:gridCol w:w="202"/>
        <w:gridCol w:w="36"/>
        <w:gridCol w:w="36"/>
        <w:gridCol w:w="36"/>
        <w:gridCol w:w="40"/>
        <w:gridCol w:w="770"/>
        <w:gridCol w:w="202"/>
        <w:gridCol w:w="36"/>
        <w:gridCol w:w="36"/>
        <w:gridCol w:w="36"/>
        <w:gridCol w:w="36"/>
        <w:gridCol w:w="36"/>
        <w:gridCol w:w="36"/>
        <w:gridCol w:w="36"/>
        <w:gridCol w:w="36"/>
        <w:gridCol w:w="36"/>
        <w:gridCol w:w="36"/>
        <w:gridCol w:w="36"/>
        <w:gridCol w:w="36"/>
      </w:tblGrid>
      <w:tr w:rsidR="00000000">
        <w:trPr>
          <w:gridAfter w:val="12"/>
          <w:divId w:val="842742607"/>
        </w:trPr>
        <w:tc>
          <w:tcPr>
            <w:tcW w:w="50" w:type="pct"/>
            <w:vAlign w:val="center"/>
            <w:hideMark/>
          </w:tcPr>
          <w:p w:rsidR="00000000" w:rsidRDefault="00CB61D5">
            <w:pPr>
              <w:jc w:val="both"/>
              <w:rPr>
                <w:rFonts w:eastAsia="Times New Roman"/>
              </w:rPr>
            </w:pPr>
          </w:p>
        </w:tc>
        <w:tc>
          <w:tcPr>
            <w:tcW w:w="28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0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84274260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84274260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2019</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2018</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2017</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4274260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Expected price volatilit</w:t>
            </w:r>
            <w:r>
              <w:rPr>
                <w:rFonts w:eastAsia="Times New Roman"/>
                <w:color w:val="000000"/>
                <w:sz w:val="20"/>
                <w:szCs w:val="20"/>
              </w:rPr>
              <w: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26.4 - 27.6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26.4 - 27.0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25.1 - 26.0</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4274260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1.6 - 2.5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2.5 - 3.0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1.7 - 1.9</w:t>
            </w: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4274260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Weighted average expected term (in years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4</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4274260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Forfeiture rat</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84274260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Dividend yiel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335917990"/>
        <w:rPr>
          <w:rFonts w:eastAsia="Times New Roman"/>
        </w:rPr>
      </w:pPr>
    </w:p>
    <w:p w:rsidR="00000000" w:rsidRDefault="00CB61D5">
      <w:pPr>
        <w:jc w:val="both"/>
        <w:rPr>
          <w:rFonts w:eastAsia="Times New Roman"/>
        </w:rPr>
      </w:pPr>
      <w:r>
        <w:rPr>
          <w:rFonts w:eastAsia="Times New Roman"/>
          <w:i/>
          <w:iCs/>
          <w:color w:val="000000"/>
          <w:sz w:val="20"/>
          <w:szCs w:val="20"/>
        </w:rPr>
        <w:t>Expected Price Volatilit</w:t>
      </w:r>
      <w:r>
        <w:rPr>
          <w:rFonts w:eastAsia="Times New Roman"/>
          <w:i/>
          <w:iCs/>
          <w:color w:val="000000"/>
          <w:sz w:val="20"/>
          <w:szCs w:val="20"/>
        </w:rPr>
        <w:t>y</w:t>
      </w:r>
      <w:r>
        <w:rPr>
          <w:rFonts w:eastAsia="Times New Roman"/>
          <w:color w:val="000000"/>
          <w:sz w:val="20"/>
          <w:szCs w:val="20"/>
        </w:rPr>
        <w:t xml:space="preserve"> — This is a measure of the amount by which a price has fluctuated or is expected to fluctuate. The Company applies a historical volatility rate. To calculate historical changes in market value, the Company uses daily market value </w:t>
      </w:r>
      <w:r>
        <w:rPr>
          <w:rFonts w:eastAsia="Times New Roman"/>
          <w:color w:val="000000"/>
          <w:sz w:val="20"/>
          <w:szCs w:val="20"/>
        </w:rPr>
        <w:t xml:space="preserve">changes from the date of grant over a past period generally representative of the expected life of the options to determine volatility.  The Company believes the use of historical price volatility provides an appropriate indicator of future volatility. An </w:t>
      </w:r>
      <w:r>
        <w:rPr>
          <w:rFonts w:eastAsia="Times New Roman"/>
          <w:color w:val="000000"/>
          <w:sz w:val="20"/>
          <w:szCs w:val="20"/>
        </w:rPr>
        <w:t>increase in the expected volatility will increase compensation expense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Risk-Free Interest Rat</w:t>
      </w:r>
      <w:r>
        <w:rPr>
          <w:rFonts w:eastAsia="Times New Roman"/>
          <w:i/>
          <w:iCs/>
          <w:color w:val="000000"/>
          <w:sz w:val="20"/>
          <w:szCs w:val="20"/>
        </w:rPr>
        <w:t>e</w:t>
      </w:r>
      <w:r>
        <w:rPr>
          <w:rFonts w:eastAsia="Times New Roman"/>
          <w:color w:val="000000"/>
          <w:sz w:val="20"/>
          <w:szCs w:val="20"/>
        </w:rPr>
        <w:t xml:space="preserve"> — </w:t>
      </w:r>
      <w:r>
        <w:rPr>
          <w:rFonts w:eastAsia="Times New Roman"/>
          <w:color w:val="000000"/>
          <w:sz w:val="20"/>
          <w:szCs w:val="20"/>
        </w:rPr>
        <w:t>This is the U.S. Treasury Constant Maturity rate over a term equal to the expected term of the option. An increase in the risk-free interest rate will increase compensation expense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Weighted Average Expected Term</w:t>
      </w:r>
      <w:r>
        <w:rPr>
          <w:rFonts w:eastAsia="Times New Roman"/>
          <w:i/>
          <w:iCs/>
          <w:color w:val="000000"/>
          <w:sz w:val="20"/>
          <w:szCs w:val="20"/>
        </w:rPr>
        <w:t xml:space="preserve"> </w:t>
      </w:r>
      <w:r>
        <w:rPr>
          <w:rFonts w:eastAsia="Times New Roman"/>
          <w:color w:val="000000"/>
          <w:sz w:val="20"/>
          <w:szCs w:val="20"/>
        </w:rPr>
        <w:t>— This is the period of time over which t</w:t>
      </w:r>
      <w:r>
        <w:rPr>
          <w:rFonts w:eastAsia="Times New Roman"/>
          <w:color w:val="000000"/>
          <w:sz w:val="20"/>
          <w:szCs w:val="20"/>
        </w:rPr>
        <w:t>he options granted are expected to remain outstanding and is based on historical experience. Options granted generally have a maximum term of ten years. An increase in the expected term will increase compensation expense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Forfeiture Rate</w:t>
      </w:r>
      <w:r>
        <w:rPr>
          <w:rFonts w:eastAsia="Times New Roman"/>
          <w:i/>
          <w:iCs/>
          <w:color w:val="000000"/>
          <w:sz w:val="20"/>
          <w:szCs w:val="20"/>
        </w:rPr>
        <w:t xml:space="preserve"> </w:t>
      </w:r>
      <w:r>
        <w:rPr>
          <w:rFonts w:eastAsia="Times New Roman"/>
          <w:color w:val="000000"/>
          <w:sz w:val="20"/>
          <w:szCs w:val="20"/>
        </w:rPr>
        <w:t>— This is the es</w:t>
      </w:r>
      <w:r>
        <w:rPr>
          <w:rFonts w:eastAsia="Times New Roman"/>
          <w:color w:val="000000"/>
          <w:sz w:val="20"/>
          <w:szCs w:val="20"/>
        </w:rPr>
        <w:t>timated percentage of options granted that are expected to be forfeited or canceled before becoming fully vested. This estimate is based on historical experience. An increase in the forfeiture rate will decrease compensation expense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Dividend Yiel</w:t>
      </w:r>
      <w:r>
        <w:rPr>
          <w:rFonts w:eastAsia="Times New Roman"/>
          <w:i/>
          <w:iCs/>
          <w:color w:val="000000"/>
          <w:sz w:val="20"/>
          <w:szCs w:val="20"/>
        </w:rPr>
        <w:t>d</w:t>
      </w:r>
      <w:r>
        <w:rPr>
          <w:rFonts w:eastAsia="Times New Roman"/>
          <w:color w:val="000000"/>
          <w:sz w:val="20"/>
          <w:szCs w:val="20"/>
        </w:rPr>
        <w:t xml:space="preserve"> — Thi</w:t>
      </w:r>
      <w:r>
        <w:rPr>
          <w:rFonts w:eastAsia="Times New Roman"/>
          <w:color w:val="000000"/>
          <w:sz w:val="20"/>
          <w:szCs w:val="20"/>
        </w:rPr>
        <w:t>s is the estimated dividend yield for the weighted average expected term of the option granted. An increase in the dividend yield will decrease compensation expense</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60777223"/>
        <w:rPr>
          <w:rFonts w:eastAsia="Times New Roman"/>
        </w:rPr>
      </w:pPr>
      <w:r>
        <w:rPr>
          <w:rFonts w:eastAsia="Times New Roman"/>
          <w:color w:val="000000"/>
          <w:sz w:val="20"/>
          <w:szCs w:val="20"/>
        </w:rPr>
        <w:t>5</w:t>
      </w:r>
      <w:r>
        <w:rPr>
          <w:rFonts w:eastAsia="Times New Roman"/>
          <w:color w:val="000000"/>
          <w:sz w:val="20"/>
          <w:szCs w:val="20"/>
        </w:rPr>
        <w:t>8</w:t>
      </w:r>
    </w:p>
    <w:p w:rsidR="00000000" w:rsidRDefault="00CB61D5">
      <w:pPr>
        <w:rPr>
          <w:rFonts w:eastAsia="Times New Roman"/>
        </w:rPr>
      </w:pPr>
      <w:r>
        <w:rPr>
          <w:rFonts w:eastAsia="Times New Roman"/>
        </w:rPr>
        <w:pict>
          <v:rect id="_x0000_i1087" style="width:0;height:1.5pt" o:hralign="center" o:hrstd="t" o:hr="t" fillcolor="#a0a0a0" stroked="f"/>
        </w:pict>
      </w:r>
    </w:p>
    <w:p w:rsidR="00000000" w:rsidRDefault="00CB61D5">
      <w:pPr>
        <w:divId w:val="13417900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 issues shares for options when exercised. A summary of stock option activity is as follows</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38"/>
        <w:gridCol w:w="2639"/>
        <w:gridCol w:w="37"/>
        <w:gridCol w:w="36"/>
        <w:gridCol w:w="36"/>
        <w:gridCol w:w="36"/>
        <w:gridCol w:w="93"/>
        <w:gridCol w:w="861"/>
        <w:gridCol w:w="85"/>
        <w:gridCol w:w="36"/>
        <w:gridCol w:w="36"/>
        <w:gridCol w:w="36"/>
        <w:gridCol w:w="136"/>
        <w:gridCol w:w="708"/>
        <w:gridCol w:w="85"/>
        <w:gridCol w:w="36"/>
        <w:gridCol w:w="36"/>
        <w:gridCol w:w="36"/>
        <w:gridCol w:w="136"/>
        <w:gridCol w:w="710"/>
        <w:gridCol w:w="85"/>
        <w:gridCol w:w="36"/>
        <w:gridCol w:w="36"/>
        <w:gridCol w:w="36"/>
        <w:gridCol w:w="95"/>
        <w:gridCol w:w="885"/>
        <w:gridCol w:w="94"/>
        <w:gridCol w:w="36"/>
        <w:gridCol w:w="36"/>
        <w:gridCol w:w="36"/>
        <w:gridCol w:w="136"/>
        <w:gridCol w:w="785"/>
        <w:gridCol w:w="85"/>
      </w:tblGrid>
      <w:tr w:rsidR="00000000">
        <w:trPr>
          <w:divId w:val="2016373010"/>
        </w:trPr>
        <w:tc>
          <w:tcPr>
            <w:tcW w:w="50" w:type="pct"/>
            <w:vAlign w:val="center"/>
            <w:hideMark/>
          </w:tcPr>
          <w:p w:rsidR="00000000" w:rsidRDefault="00CB61D5">
            <w:pPr>
              <w:jc w:val="both"/>
              <w:rPr>
                <w:rFonts w:eastAsia="Times New Roman"/>
              </w:rPr>
            </w:pPr>
          </w:p>
        </w:tc>
        <w:tc>
          <w:tcPr>
            <w:tcW w:w="188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6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6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6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6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6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01637301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Stock Option Activit</w:t>
            </w:r>
            <w:r>
              <w:rPr>
                <w:rFonts w:eastAsia="Times New Roman"/>
                <w:b/>
                <w:bCs/>
                <w:color w:val="000000"/>
                <w:sz w:val="20"/>
                <w:szCs w:val="20"/>
              </w:rPr>
              <w:t>y</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Option</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w:t>
            </w:r>
            <w:r>
              <w:rPr>
                <w:rFonts w:eastAsia="Times New Roman"/>
                <w:b/>
                <w:bCs/>
                <w:color w:val="000000"/>
                <w:sz w:val="20"/>
                <w:szCs w:val="20"/>
              </w:rPr>
              <w:t>d</w:t>
            </w:r>
          </w:p>
          <w:p w:rsidR="00000000" w:rsidRDefault="00CB61D5">
            <w:pPr>
              <w:jc w:val="center"/>
              <w:rPr>
                <w:rFonts w:eastAsia="Times New Roman"/>
              </w:rPr>
            </w:pPr>
            <w:r>
              <w:rPr>
                <w:rFonts w:eastAsia="Times New Roman"/>
                <w:b/>
                <w:bCs/>
                <w:color w:val="000000"/>
                <w:sz w:val="20"/>
                <w:szCs w:val="20"/>
              </w:rPr>
              <w:t>Average Exercis</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Pric</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Weighted Average Fair Valu</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Weighted Averag</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Remainin</w:t>
            </w:r>
            <w:r>
              <w:rPr>
                <w:rFonts w:eastAsia="Times New Roman"/>
                <w:b/>
                <w:bCs/>
                <w:color w:val="000000"/>
                <w:sz w:val="20"/>
                <w:szCs w:val="20"/>
              </w:rPr>
              <w:t>g</w:t>
            </w:r>
          </w:p>
          <w:p w:rsidR="00000000" w:rsidRDefault="00CB61D5">
            <w:pPr>
              <w:jc w:val="center"/>
              <w:rPr>
                <w:rFonts w:eastAsia="Times New Roman"/>
              </w:rPr>
            </w:pPr>
            <w:r>
              <w:rPr>
                <w:rFonts w:eastAsia="Times New Roman"/>
                <w:b/>
                <w:bCs/>
                <w:color w:val="000000"/>
                <w:sz w:val="20"/>
                <w:szCs w:val="20"/>
              </w:rPr>
              <w:t>Contractual Ter</w:t>
            </w:r>
            <w:r>
              <w:rPr>
                <w:rFonts w:eastAsia="Times New Roman"/>
                <w:b/>
                <w:bCs/>
                <w:color w:val="000000"/>
                <w:sz w:val="20"/>
                <w:szCs w:val="20"/>
              </w:rPr>
              <w:t>m</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Aggregate Intrinsic Valu</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w:t>
            </w:r>
            <w:r>
              <w:rPr>
                <w:rFonts w:eastAsia="Times New Roman"/>
                <w:b/>
                <w:bCs/>
                <w:i/>
                <w:iCs/>
                <w:color w:val="000000"/>
                <w:sz w:val="20"/>
                <w:szCs w:val="20"/>
              </w:rPr>
              <w:t>in thousands</w:t>
            </w:r>
            <w:r>
              <w:rPr>
                <w:rFonts w:eastAsia="Times New Roman"/>
                <w:b/>
                <w:bCs/>
                <w:i/>
                <w:iCs/>
                <w:color w:val="000000"/>
                <w:sz w:val="20"/>
                <w:szCs w:val="20"/>
              </w:rPr>
              <w:t>)</w:t>
            </w:r>
          </w:p>
        </w:tc>
      </w:tr>
      <w:tr w:rsidR="00000000">
        <w:trPr>
          <w:divId w:val="2016373010"/>
        </w:trPr>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1637301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Outstanding at December 29,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4,053,386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72.49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7.</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46,472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01637301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395,701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89.78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1637301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(1,556,917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1637301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Cancele</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(74,651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76.56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1637301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Outstanding at December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2,817,519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6.</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47,834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2016373010"/>
          <w:trHeight w:val="28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201637301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Exercisable at December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1,629,075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74.81</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5.</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aggregate intrinsic values in the table above represent the total difference between the Company’s closing stock price at each year-end and the option exercise </w:t>
      </w:r>
      <w:r>
        <w:rPr>
          <w:rFonts w:eastAsia="Times New Roman"/>
          <w:color w:val="000000"/>
          <w:sz w:val="20"/>
          <w:szCs w:val="20"/>
        </w:rPr>
        <w:t>price, multiplied by the number of in-the-money options at each year-end. As of December 28, 2019, total unrecognized compensation expense related to non-vested stock options was approximately $7.7 million with a weighted average expense recognition period</w:t>
      </w:r>
      <w:r>
        <w:rPr>
          <w:rFonts w:eastAsia="Times New Roman"/>
          <w:color w:val="000000"/>
          <w:sz w:val="20"/>
          <w:szCs w:val="20"/>
        </w:rPr>
        <w:t xml:space="preserve"> of 1.6 years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There were no material modifications to options in fiscal 2019, 2018, or 2017.</w:t>
      </w:r>
      <w:r>
        <w:rPr>
          <w:rFonts w:eastAsia="Times New Roman"/>
          <w:color w:val="000000"/>
          <w:sz w:val="20"/>
          <w:szCs w:val="20"/>
        </w:rPr>
        <w:t xml:space="preserve"> </w:t>
      </w:r>
    </w:p>
    <w:p w:rsidR="00000000" w:rsidRDefault="00CB61D5">
      <w:pPr>
        <w:jc w:val="both"/>
        <w:rPr>
          <w:rFonts w:eastAsia="Times New Roman"/>
        </w:rPr>
      </w:pPr>
    </w:p>
    <w:p w:rsidR="00000000" w:rsidRDefault="00CB61D5">
      <w:pPr>
        <w:divId w:val="233783326"/>
        <w:rPr>
          <w:rFonts w:eastAsia="Times New Roman"/>
        </w:rPr>
      </w:pPr>
      <w:r>
        <w:rPr>
          <w:rFonts w:eastAsia="Times New Roman"/>
          <w:color w:val="000000"/>
          <w:sz w:val="20"/>
          <w:szCs w:val="20"/>
        </w:rPr>
        <w:t>Other information relative to options activity during fiscal 2019, 2018, and 2017 is as follows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4490"/>
        <w:gridCol w:w="40"/>
        <w:gridCol w:w="135"/>
        <w:gridCol w:w="819"/>
        <w:gridCol w:w="85"/>
        <w:gridCol w:w="36"/>
        <w:gridCol w:w="36"/>
        <w:gridCol w:w="36"/>
        <w:gridCol w:w="135"/>
        <w:gridCol w:w="786"/>
        <w:gridCol w:w="85"/>
        <w:gridCol w:w="36"/>
        <w:gridCol w:w="36"/>
        <w:gridCol w:w="36"/>
        <w:gridCol w:w="135"/>
        <w:gridCol w:w="786"/>
        <w:gridCol w:w="85"/>
        <w:gridCol w:w="36"/>
        <w:gridCol w:w="36"/>
        <w:gridCol w:w="36"/>
        <w:gridCol w:w="36"/>
        <w:gridCol w:w="36"/>
        <w:gridCol w:w="36"/>
        <w:gridCol w:w="36"/>
        <w:gridCol w:w="36"/>
        <w:gridCol w:w="36"/>
        <w:gridCol w:w="36"/>
        <w:gridCol w:w="36"/>
        <w:gridCol w:w="36"/>
      </w:tblGrid>
      <w:tr w:rsidR="00000000">
        <w:trPr>
          <w:gridAfter w:val="12"/>
          <w:divId w:val="1355158857"/>
        </w:trPr>
        <w:tc>
          <w:tcPr>
            <w:tcW w:w="50" w:type="pct"/>
            <w:vAlign w:val="center"/>
            <w:hideMark/>
          </w:tcPr>
          <w:p w:rsidR="00000000" w:rsidRDefault="00CB61D5">
            <w:pPr>
              <w:rPr>
                <w:rFonts w:eastAsia="Times New Roman"/>
              </w:rPr>
            </w:pPr>
          </w:p>
        </w:tc>
        <w:tc>
          <w:tcPr>
            <w:tcW w:w="288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355158857"/>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4"/>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35515885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2017</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55158857"/>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fair value of stock options veste</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16,060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18,247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15,996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355158857"/>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intrinsic value of stock options exercise</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45,101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43,476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9,237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519851751"/>
        <w:rPr>
          <w:rFonts w:eastAsia="Times New Roman"/>
        </w:rPr>
      </w:pPr>
    </w:p>
    <w:p w:rsidR="00000000" w:rsidRDefault="00CB61D5">
      <w:pPr>
        <w:divId w:val="113406177"/>
        <w:rPr>
          <w:rFonts w:eastAsia="Times New Roman"/>
        </w:rPr>
      </w:pPr>
      <w:r>
        <w:rPr>
          <w:rFonts w:eastAsia="Times New Roman"/>
          <w:i/>
          <w:iCs/>
          <w:color w:val="000000"/>
          <w:sz w:val="20"/>
          <w:szCs w:val="20"/>
        </w:rPr>
        <w:t>Restricted Stock Unit</w:t>
      </w:r>
      <w:r>
        <w:rPr>
          <w:rFonts w:eastAsia="Times New Roman"/>
          <w:i/>
          <w:iCs/>
          <w:color w:val="000000"/>
          <w:sz w:val="20"/>
          <w:szCs w:val="20"/>
        </w:rPr>
        <w:t>s</w:t>
      </w:r>
    </w:p>
    <w:p w:rsidR="00000000" w:rsidRDefault="00CB61D5">
      <w:pPr>
        <w:divId w:val="91439817"/>
        <w:rPr>
          <w:rFonts w:eastAsia="Times New Roman"/>
        </w:rPr>
      </w:pPr>
    </w:p>
    <w:p w:rsidR="00000000" w:rsidRDefault="00CB61D5">
      <w:pPr>
        <w:jc w:val="both"/>
        <w:rPr>
          <w:rFonts w:eastAsia="Times New Roman"/>
        </w:rPr>
      </w:pPr>
      <w:r>
        <w:rPr>
          <w:rFonts w:eastAsia="Times New Roman"/>
          <w:color w:val="000000"/>
          <w:sz w:val="20"/>
          <w:szCs w:val="20"/>
        </w:rPr>
        <w:t>The Company issues shares for restricted stock units once vesting occurs and related restrictions lapse.  The fair value of the restricted stock units is the closing price of the Company’s common stock the day preceding the grant date, discounted for the e</w:t>
      </w:r>
      <w:r>
        <w:rPr>
          <w:rFonts w:eastAsia="Times New Roman"/>
          <w:color w:val="000000"/>
          <w:sz w:val="20"/>
          <w:szCs w:val="20"/>
        </w:rPr>
        <w:t>xpected dividend yield over the term of the award. The units generally vest over a</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-year term; some plan participants have elected to defer receipt of shares of common stock upon vesting of restricted stock units, and as a result, those shares </w:t>
      </w:r>
      <w:r>
        <w:rPr>
          <w:rFonts w:eastAsia="Times New Roman"/>
          <w:color w:val="000000"/>
          <w:sz w:val="20"/>
          <w:szCs w:val="20"/>
        </w:rPr>
        <w:t>are not issued until a later date. A summary of restricted stock unit activity is presented below</w:t>
      </w:r>
      <w:r>
        <w:rPr>
          <w:rFonts w:eastAsia="Times New Roman"/>
          <w:color w:val="000000"/>
          <w:sz w:val="20"/>
          <w:szCs w:val="20"/>
        </w:rPr>
        <w:t>:</w:t>
      </w:r>
    </w:p>
    <w:p w:rsidR="00000000" w:rsidRDefault="00CB61D5">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2"/>
        <w:gridCol w:w="4052"/>
        <w:gridCol w:w="62"/>
        <w:gridCol w:w="36"/>
        <w:gridCol w:w="36"/>
        <w:gridCol w:w="36"/>
        <w:gridCol w:w="48"/>
        <w:gridCol w:w="1768"/>
        <w:gridCol w:w="85"/>
        <w:gridCol w:w="36"/>
        <w:gridCol w:w="36"/>
        <w:gridCol w:w="36"/>
        <w:gridCol w:w="136"/>
        <w:gridCol w:w="1755"/>
        <w:gridCol w:w="85"/>
      </w:tblGrid>
      <w:tr w:rsidR="00000000">
        <w:trPr>
          <w:divId w:val="1232736490"/>
        </w:trPr>
        <w:tc>
          <w:tcPr>
            <w:tcW w:w="50" w:type="pct"/>
            <w:vAlign w:val="center"/>
            <w:hideMark/>
          </w:tcPr>
          <w:p w:rsidR="00000000" w:rsidRDefault="00CB61D5">
            <w:pPr>
              <w:jc w:val="both"/>
              <w:rPr>
                <w:rFonts w:eastAsia="Times New Roman"/>
              </w:rPr>
            </w:pPr>
          </w:p>
        </w:tc>
        <w:tc>
          <w:tcPr>
            <w:tcW w:w="246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08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08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23273649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Restricted Stock Unit Activit</w:t>
            </w:r>
            <w:r>
              <w:rPr>
                <w:rFonts w:eastAsia="Times New Roman"/>
                <w:b/>
                <w:bCs/>
                <w:color w:val="000000"/>
                <w:sz w:val="20"/>
                <w:szCs w:val="20"/>
              </w:rPr>
              <w:t>y</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Restricted Stock Unit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Weighted Average Grant Date Fair Valu</w:t>
            </w:r>
            <w:r>
              <w:rPr>
                <w:rFonts w:eastAsia="Times New Roman"/>
                <w:b/>
                <w:bCs/>
                <w:color w:val="000000"/>
                <w:sz w:val="20"/>
                <w:szCs w:val="20"/>
              </w:rPr>
              <w:t>e</w:t>
            </w:r>
          </w:p>
        </w:tc>
      </w:tr>
      <w:tr w:rsidR="00000000">
        <w:trPr>
          <w:divId w:val="1232736490"/>
        </w:trPr>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327364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Restricted at December 29,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438,070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23273649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255,500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88.02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23273649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116,118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232736490"/>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(34,046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73.28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23273649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Restricted at December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543,406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73.55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divId w:val="2074042874"/>
        <w:rPr>
          <w:rFonts w:eastAsia="Times New Roman"/>
        </w:rPr>
      </w:pPr>
    </w:p>
    <w:p w:rsidR="00000000" w:rsidRDefault="00CB61D5">
      <w:pPr>
        <w:divId w:val="1794597676"/>
        <w:rPr>
          <w:rFonts w:eastAsia="Times New Roman"/>
        </w:rPr>
      </w:pPr>
      <w:r>
        <w:rPr>
          <w:rFonts w:eastAsia="Times New Roman"/>
          <w:color w:val="000000"/>
          <w:sz w:val="20"/>
          <w:szCs w:val="20"/>
        </w:rPr>
        <w:t>Other information relative to restricted stock unit activity during fiscal 2019, 2018, and 2017 is as follows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0"/>
        <w:gridCol w:w="4502"/>
        <w:gridCol w:w="40"/>
        <w:gridCol w:w="135"/>
        <w:gridCol w:w="818"/>
        <w:gridCol w:w="85"/>
        <w:gridCol w:w="36"/>
        <w:gridCol w:w="36"/>
        <w:gridCol w:w="36"/>
        <w:gridCol w:w="135"/>
        <w:gridCol w:w="786"/>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000000">
        <w:trPr>
          <w:gridAfter w:val="12"/>
          <w:divId w:val="1421759830"/>
        </w:trPr>
        <w:tc>
          <w:tcPr>
            <w:tcW w:w="50" w:type="pct"/>
            <w:vAlign w:val="center"/>
            <w:hideMark/>
          </w:tcPr>
          <w:p w:rsidR="00000000" w:rsidRDefault="00CB61D5">
            <w:pPr>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2175983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4"/>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42175983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21759830"/>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grant date fair value of restricted stock units vested and issue</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8,301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21759830"/>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intrinsic value of restricted stock units vested and issue</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10,623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3,465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947426963"/>
        <w:rPr>
          <w:rFonts w:eastAsia="Times New Roman"/>
        </w:rPr>
      </w:pPr>
    </w:p>
    <w:p w:rsidR="00000000" w:rsidRDefault="00CB61D5">
      <w:pPr>
        <w:jc w:val="both"/>
        <w:rPr>
          <w:rFonts w:eastAsia="Times New Roman"/>
        </w:rPr>
      </w:pPr>
      <w:r>
        <w:rPr>
          <w:rFonts w:eastAsia="Times New Roman"/>
          <w:color w:val="000000"/>
          <w:sz w:val="20"/>
          <w:szCs w:val="20"/>
        </w:rPr>
        <w:t>There were no material modifications to restricted stock units in fiscal 2019, 2018, or 2017.</w:t>
      </w:r>
      <w:r>
        <w:rPr>
          <w:rFonts w:eastAsia="Times New Roman"/>
          <w:color w:val="000000"/>
          <w:sz w:val="20"/>
          <w:szCs w:val="20"/>
        </w:rPr>
        <w:t xml:space="preserve"> </w:t>
      </w:r>
    </w:p>
    <w:p w:rsidR="00000000" w:rsidRDefault="00CB61D5">
      <w:pPr>
        <w:divId w:val="475807544"/>
        <w:rPr>
          <w:rFonts w:eastAsia="Times New Roman"/>
        </w:rPr>
      </w:pPr>
    </w:p>
    <w:p w:rsidR="00000000" w:rsidRDefault="00CB61D5">
      <w:pPr>
        <w:jc w:val="both"/>
        <w:rPr>
          <w:rFonts w:eastAsia="Times New Roman"/>
        </w:rPr>
      </w:pPr>
      <w:r>
        <w:rPr>
          <w:rFonts w:eastAsia="Times New Roman"/>
          <w:color w:val="000000"/>
          <w:sz w:val="20"/>
          <w:szCs w:val="20"/>
        </w:rPr>
        <w:t>As of December </w:t>
      </w:r>
      <w:r>
        <w:rPr>
          <w:rFonts w:eastAsia="Times New Roman"/>
          <w:color w:val="000000"/>
          <w:sz w:val="20"/>
          <w:szCs w:val="20"/>
        </w:rPr>
        <w:t>28, 2019, total unrecognized compensation expense related to non-vested restricted stock units was approximately $19.6 million with a weighted average expense recognition period of 1.8 years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624194201"/>
        <w:rPr>
          <w:rFonts w:eastAsia="Times New Roman"/>
        </w:rPr>
      </w:pPr>
      <w:r>
        <w:rPr>
          <w:rFonts w:eastAsia="Times New Roman"/>
          <w:color w:val="000000"/>
          <w:sz w:val="20"/>
          <w:szCs w:val="20"/>
        </w:rPr>
        <w:t>5</w:t>
      </w:r>
      <w:r>
        <w:rPr>
          <w:rFonts w:eastAsia="Times New Roman"/>
          <w:color w:val="000000"/>
          <w:sz w:val="20"/>
          <w:szCs w:val="20"/>
        </w:rPr>
        <w:t>9</w:t>
      </w:r>
    </w:p>
    <w:p w:rsidR="00000000" w:rsidRDefault="00CB61D5">
      <w:pPr>
        <w:rPr>
          <w:rFonts w:eastAsia="Times New Roman"/>
        </w:rPr>
      </w:pPr>
      <w:r>
        <w:rPr>
          <w:rFonts w:eastAsia="Times New Roman"/>
        </w:rPr>
        <w:pict>
          <v:rect id="_x0000_i1088" style="width:0;height:1.5pt" o:hralign="center" o:hrstd="t" o:hr="t" fillcolor="#a0a0a0" stroked="f"/>
        </w:pict>
      </w:r>
    </w:p>
    <w:p w:rsidR="00000000" w:rsidRDefault="00CB61D5">
      <w:pPr>
        <w:divId w:val="914432386"/>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i/>
          <w:iCs/>
          <w:color w:val="000000"/>
          <w:sz w:val="20"/>
          <w:szCs w:val="20"/>
        </w:rPr>
        <w:t>Performance-Based Restricted Share Unit</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We issue performance-based restricted share units to senior executives that represent shares potentially issuable in the future, subject to the achievement of specified performance goals.  The performa</w:t>
      </w:r>
      <w:r>
        <w:rPr>
          <w:rFonts w:eastAsia="Times New Roman"/>
          <w:color w:val="000000"/>
          <w:sz w:val="20"/>
          <w:szCs w:val="20"/>
        </w:rPr>
        <w:t>nce metrics for the units are growth in net sales and growth in earnings per diluted share over a specified performance period. Issuance is based upon the level of achievement of the relative performance targets. The fair value of the performance-based res</w:t>
      </w:r>
      <w:r>
        <w:rPr>
          <w:rFonts w:eastAsia="Times New Roman"/>
          <w:color w:val="000000"/>
          <w:sz w:val="20"/>
          <w:szCs w:val="20"/>
        </w:rPr>
        <w:t>tricted share units is the closing price of the Company’s common stock the day preceding the grant date, discounted for the expected dividend yield over the term of the awards. A summary of performance-based restricted share unit activity is presented belo</w:t>
      </w:r>
      <w:r>
        <w:rPr>
          <w:rFonts w:eastAsia="Times New Roman"/>
          <w:color w:val="000000"/>
          <w:sz w:val="20"/>
          <w:szCs w:val="20"/>
        </w:rPr>
        <w:t>w</w:t>
      </w:r>
      <w:r>
        <w:rPr>
          <w:rFonts w:eastAsia="Times New Roman"/>
          <w:color w:val="000000"/>
          <w:sz w:val="20"/>
          <w:szCs w:val="20"/>
        </w:rPr>
        <w:t>:</w:t>
      </w:r>
    </w:p>
    <w:tbl>
      <w:tblPr>
        <w:tblW w:w="4963" w:type="pct"/>
        <w:jc w:val="center"/>
        <w:tblCellMar>
          <w:top w:w="15" w:type="dxa"/>
          <w:left w:w="15" w:type="dxa"/>
          <w:bottom w:w="15" w:type="dxa"/>
          <w:right w:w="15" w:type="dxa"/>
        </w:tblCellMar>
        <w:tblLook w:val="04A0" w:firstRow="1" w:lastRow="0" w:firstColumn="1" w:lastColumn="0" w:noHBand="0" w:noVBand="1"/>
      </w:tblPr>
      <w:tblGrid>
        <w:gridCol w:w="60"/>
        <w:gridCol w:w="4029"/>
        <w:gridCol w:w="61"/>
        <w:gridCol w:w="36"/>
        <w:gridCol w:w="36"/>
        <w:gridCol w:w="36"/>
        <w:gridCol w:w="52"/>
        <w:gridCol w:w="1765"/>
        <w:gridCol w:w="85"/>
        <w:gridCol w:w="36"/>
        <w:gridCol w:w="36"/>
        <w:gridCol w:w="36"/>
        <w:gridCol w:w="136"/>
        <w:gridCol w:w="1756"/>
        <w:gridCol w:w="85"/>
      </w:tblGrid>
      <w:tr w:rsidR="00000000">
        <w:trPr>
          <w:divId w:val="1118254712"/>
          <w:jc w:val="center"/>
        </w:trPr>
        <w:tc>
          <w:tcPr>
            <w:tcW w:w="50" w:type="pct"/>
            <w:vAlign w:val="center"/>
            <w:hideMark/>
          </w:tcPr>
          <w:p w:rsidR="00000000" w:rsidRDefault="00CB61D5">
            <w:pPr>
              <w:jc w:val="both"/>
              <w:rPr>
                <w:rFonts w:eastAsia="Times New Roman"/>
              </w:rPr>
            </w:pPr>
          </w:p>
        </w:tc>
        <w:tc>
          <w:tcPr>
            <w:tcW w:w="24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08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08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18254712"/>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Performance-Based Restricted Share Unit Activit</w:t>
            </w:r>
            <w:r>
              <w:rPr>
                <w:rFonts w:eastAsia="Times New Roman"/>
                <w:b/>
                <w:bCs/>
                <w:color w:val="000000"/>
                <w:sz w:val="20"/>
                <w:szCs w:val="20"/>
              </w:rPr>
              <w:t>y</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Performance-Based Restricted Share Unit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Weighted Average Grant Date Fair Valu</w:t>
            </w:r>
            <w:r>
              <w:rPr>
                <w:rFonts w:eastAsia="Times New Roman"/>
                <w:b/>
                <w:bCs/>
                <w:color w:val="000000"/>
                <w:sz w:val="20"/>
                <w:szCs w:val="20"/>
              </w:rPr>
              <w:t>e</w:t>
            </w:r>
          </w:p>
        </w:tc>
      </w:tr>
      <w:tr w:rsidR="00000000">
        <w:trPr>
          <w:divId w:val="1118254712"/>
          <w:jc w:val="center"/>
        </w:trPr>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11825471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Restricted at December 29,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41,310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8254712"/>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divId w:val="2077824068"/>
              <w:rPr>
                <w:rFonts w:eastAsia="Times New Roman"/>
              </w:rPr>
            </w:pPr>
            <w:r>
              <w:rPr>
                <w:rFonts w:eastAsia="Times New Roman"/>
                <w:color w:val="000000"/>
                <w:sz w:val="20"/>
                <w:szCs w:val="20"/>
              </w:rPr>
              <w:t>Granted</w:t>
            </w:r>
            <w:r>
              <w:rPr>
                <w:rFonts w:eastAsia="Times New Roman"/>
                <w:color w:val="000000"/>
                <w:sz w:val="20"/>
                <w:szCs w:val="20"/>
              </w:rPr>
              <w:t xml:space="preserve"> </w:t>
            </w:r>
            <w:r>
              <w:rPr>
                <w:rFonts w:eastAsia="Times New Roman"/>
                <w:b/>
                <w:bCs/>
                <w:color w:val="000000"/>
                <w:sz w:val="13"/>
                <w:szCs w:val="13"/>
                <w:vertAlign w:val="superscript"/>
              </w:rPr>
              <w:t>(a)</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85.51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8254712"/>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Performance adjustmen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8254712"/>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(28,792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8254712"/>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(6,173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85.04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18254712"/>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Restricted at December 28,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93,461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75.97</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ind w:hanging="90"/>
        <w:jc w:val="both"/>
        <w:rPr>
          <w:rFonts w:eastAsia="Times New Roman"/>
        </w:rPr>
      </w:pPr>
      <w:r>
        <w:rPr>
          <w:rFonts w:eastAsia="Times New Roman"/>
          <w:color w:val="000000"/>
          <w:sz w:val="9"/>
          <w:szCs w:val="9"/>
          <w:vertAlign w:val="superscript"/>
        </w:rPr>
        <w:t>(a</w:t>
      </w:r>
      <w:r>
        <w:rPr>
          <w:rFonts w:eastAsia="Times New Roman"/>
          <w:color w:val="000000"/>
          <w:sz w:val="9"/>
          <w:szCs w:val="9"/>
          <w:vertAlign w:val="superscript"/>
        </w:rPr>
        <w:t>)</w:t>
      </w:r>
      <w:r>
        <w:rPr>
          <w:rFonts w:eastAsia="Times New Roman"/>
          <w:color w:val="000000"/>
          <w:sz w:val="14"/>
          <w:szCs w:val="14"/>
        </w:rPr>
        <w:t>Assumes 100% target level achievement of the relative performance targets. The actual number of shares that will be issued, which may be higher or lower than the target, will be determined by the level of achievement of the relative performance targets</w:t>
      </w:r>
      <w:r>
        <w:rPr>
          <w:rFonts w:eastAsia="Times New Roman"/>
          <w:color w:val="000000"/>
          <w:sz w:val="14"/>
          <w:szCs w:val="14"/>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Other information relative to performance-based restricted share unit activity during fiscal 2019 is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4525"/>
        <w:gridCol w:w="40"/>
        <w:gridCol w:w="135"/>
        <w:gridCol w:w="818"/>
        <w:gridCol w:w="85"/>
        <w:gridCol w:w="36"/>
        <w:gridCol w:w="36"/>
        <w:gridCol w:w="36"/>
        <w:gridCol w:w="135"/>
        <w:gridCol w:w="787"/>
        <w:gridCol w:w="85"/>
        <w:gridCol w:w="36"/>
        <w:gridCol w:w="36"/>
        <w:gridCol w:w="36"/>
        <w:gridCol w:w="135"/>
        <w:gridCol w:w="788"/>
        <w:gridCol w:w="85"/>
        <w:gridCol w:w="36"/>
        <w:gridCol w:w="36"/>
        <w:gridCol w:w="36"/>
        <w:gridCol w:w="36"/>
        <w:gridCol w:w="36"/>
        <w:gridCol w:w="36"/>
        <w:gridCol w:w="36"/>
        <w:gridCol w:w="36"/>
        <w:gridCol w:w="36"/>
        <w:gridCol w:w="36"/>
        <w:gridCol w:w="36"/>
        <w:gridCol w:w="36"/>
      </w:tblGrid>
      <w:tr w:rsidR="00000000">
        <w:trPr>
          <w:gridAfter w:val="12"/>
          <w:divId w:val="1835144758"/>
        </w:trPr>
        <w:tc>
          <w:tcPr>
            <w:tcW w:w="50" w:type="pct"/>
            <w:vAlign w:val="center"/>
            <w:hideMark/>
          </w:tcPr>
          <w:p w:rsidR="00000000" w:rsidRDefault="00CB61D5">
            <w:pPr>
              <w:jc w:val="both"/>
              <w:rPr>
                <w:rFonts w:eastAsia="Times New Roman"/>
              </w:rPr>
            </w:pPr>
          </w:p>
        </w:tc>
        <w:tc>
          <w:tcPr>
            <w:tcW w:w="289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835144758"/>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4"/>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83514475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3514475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grant date fair value of performance-based restricted share units vested and issue</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3514475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intrinsic value of performance-based restricted share units vested and issue</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408505319"/>
        <w:rPr>
          <w:rFonts w:eastAsia="Times New Roman"/>
        </w:rPr>
      </w:pPr>
    </w:p>
    <w:p w:rsidR="00000000" w:rsidRDefault="00CB61D5">
      <w:pPr>
        <w:jc w:val="both"/>
        <w:rPr>
          <w:rFonts w:eastAsia="Times New Roman"/>
        </w:rPr>
      </w:pPr>
      <w:r>
        <w:rPr>
          <w:rFonts w:eastAsia="Times New Roman"/>
          <w:color w:val="000000"/>
          <w:sz w:val="20"/>
          <w:szCs w:val="20"/>
        </w:rPr>
        <w:t>There were no material modifications to performance-based restricted share units in fiscal 2019, 2018, or 2017.</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of December </w:t>
      </w:r>
      <w:r>
        <w:rPr>
          <w:rFonts w:eastAsia="Times New Roman"/>
          <w:color w:val="000000"/>
          <w:sz w:val="20"/>
          <w:szCs w:val="20"/>
        </w:rPr>
        <w:t>28, 2019, total unrecognized compensation expense related to non-vested performance-based restricted share units was approximately $2.3 million with a weighted average expense recognition period of 1.8 years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Shares Withheld to Satisfy Tax Withholding Re</w:t>
      </w:r>
      <w:r>
        <w:rPr>
          <w:rFonts w:eastAsia="Times New Roman"/>
          <w:i/>
          <w:iCs/>
          <w:color w:val="000000"/>
          <w:sz w:val="20"/>
          <w:szCs w:val="20"/>
        </w:rPr>
        <w:t>quirement</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For the majority of restricted stock units and performance-based restricted share units granted, the number of shares issued on the date these stock awards vest is net of shares withheld by the Company to satisfy the minimum statutory tax with</w:t>
      </w:r>
      <w:r>
        <w:rPr>
          <w:rFonts w:eastAsia="Times New Roman"/>
          <w:color w:val="000000"/>
          <w:sz w:val="20"/>
          <w:szCs w:val="20"/>
        </w:rPr>
        <w:t>holding requirements, which the Company pays on behalf of its employees.  The Company issued 103,124, 53,714, and 39,314 shares as a result of vested restricted stock units and performance-based restricted share units during fiscal 2019, 2018, and 2017, re</w:t>
      </w:r>
      <w:r>
        <w:rPr>
          <w:rFonts w:eastAsia="Times New Roman"/>
          <w:color w:val="000000"/>
          <w:sz w:val="20"/>
          <w:szCs w:val="20"/>
        </w:rPr>
        <w:t>spectively.  Although shares withheld are not issued, they are treated similar to common stock repurchases as they reduce the number of shares that would have been issued upon vesting.  The amounts are net of 41,786, 17,131, and 11,755 shares withheld to s</w:t>
      </w:r>
      <w:r>
        <w:rPr>
          <w:rFonts w:eastAsia="Times New Roman"/>
          <w:color w:val="000000"/>
          <w:sz w:val="20"/>
          <w:szCs w:val="20"/>
        </w:rPr>
        <w:t>atisfy $3.8 million, $1.4 million, and $0.8 million of employees’ tax obligations during fiscal 2019, 2018, and 2017,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Employee Stock Purchase Pla</w:t>
      </w:r>
      <w:r>
        <w:rPr>
          <w:rFonts w:eastAsia="Times New Roman"/>
          <w:i/>
          <w:iCs/>
          <w:color w:val="000000"/>
          <w:sz w:val="20"/>
          <w:szCs w:val="20"/>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ESPP provides Company employees the opportunity to purchase, through payroll deductions</w:t>
      </w:r>
      <w:r>
        <w:rPr>
          <w:rFonts w:eastAsia="Times New Roman"/>
          <w:color w:val="000000"/>
          <w:sz w:val="20"/>
          <w:szCs w:val="20"/>
        </w:rPr>
        <w:t>, shares of common stock at a 15% discount.  Pursuant to the terms of the ESPP, the Company issued 61,678, 77,458, and 83,155 shares of common stock during fiscal 2019, 2018, and 2017, respectively.  The total cost related to the ESPP, including the compen</w:t>
      </w:r>
      <w:r>
        <w:rPr>
          <w:rFonts w:eastAsia="Times New Roman"/>
          <w:color w:val="000000"/>
          <w:sz w:val="20"/>
          <w:szCs w:val="20"/>
        </w:rPr>
        <w:t>sation expense calculations, was approximately $1.1 million, $1.1 million, and $1.0 million in fiscal 2019, 2018, and 2017, respectively.  There is a maximum of 16.0 million shares of common stock that are reserved under the ESPP. At December 28, 2019, the</w:t>
      </w:r>
      <w:r>
        <w:rPr>
          <w:rFonts w:eastAsia="Times New Roman"/>
          <w:color w:val="000000"/>
          <w:sz w:val="20"/>
          <w:szCs w:val="20"/>
        </w:rPr>
        <w:t>re were approximately 11.9 million remaining shares of common stock reserved for future issuance under the ESPP</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94787076"/>
        <w:rPr>
          <w:rFonts w:eastAsia="Times New Roman"/>
        </w:rPr>
      </w:pPr>
      <w:r>
        <w:rPr>
          <w:rFonts w:eastAsia="Times New Roman"/>
          <w:color w:val="000000"/>
          <w:sz w:val="20"/>
          <w:szCs w:val="20"/>
        </w:rPr>
        <w:t>6</w:t>
      </w:r>
      <w:r>
        <w:rPr>
          <w:rFonts w:eastAsia="Times New Roman"/>
          <w:color w:val="000000"/>
          <w:sz w:val="20"/>
          <w:szCs w:val="20"/>
        </w:rPr>
        <w:t>0</w:t>
      </w:r>
    </w:p>
    <w:p w:rsidR="00000000" w:rsidRDefault="00CB61D5">
      <w:pPr>
        <w:rPr>
          <w:rFonts w:eastAsia="Times New Roman"/>
        </w:rPr>
      </w:pPr>
      <w:r>
        <w:rPr>
          <w:rFonts w:eastAsia="Times New Roman"/>
        </w:rPr>
        <w:pict>
          <v:rect id="_x0000_i1089" style="width:0;height:1.5pt" o:hralign="center" o:hrstd="t" o:hr="t" fillcolor="#a0a0a0" stroked="f"/>
        </w:pict>
      </w:r>
    </w:p>
    <w:p w:rsidR="00000000" w:rsidRDefault="00CB61D5">
      <w:pPr>
        <w:divId w:val="288629174"/>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 xml:space="preserve">Note 3 – </w:t>
      </w:r>
      <w:r>
        <w:rPr>
          <w:rFonts w:eastAsia="Times New Roman"/>
          <w:b/>
          <w:bCs/>
          <w:color w:val="000000"/>
          <w:sz w:val="20"/>
          <w:szCs w:val="20"/>
        </w:rPr>
        <w:t>Goodwill and Other Intangible Assets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Goodwil</w:t>
      </w:r>
      <w:r>
        <w:rPr>
          <w:rFonts w:eastAsia="Times New Roman"/>
          <w:i/>
          <w:iCs/>
          <w:color w:val="000000"/>
          <w:sz w:val="20"/>
          <w:szCs w:val="20"/>
        </w:rPr>
        <w:t>l</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Company had approximately $93.2 million of goodwill at December 28, 2019 and December 29, 2018. Goodwill is allocated to each identified reporting unit, which is defined as an operating segment or one </w:t>
      </w:r>
      <w:r>
        <w:rPr>
          <w:rFonts w:eastAsia="Times New Roman"/>
          <w:color w:val="000000"/>
          <w:sz w:val="20"/>
          <w:szCs w:val="20"/>
        </w:rPr>
        <w:t>level below the operating segment. Goodwill is not amortized, but is evaluated for impairment annually and whenever events or changes in circumstances indicate the carrying value of goodwill may not be recoverable.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the fourth quarter of fiscal 2019, </w:t>
      </w:r>
      <w:r>
        <w:rPr>
          <w:rFonts w:eastAsia="Times New Roman"/>
          <w:color w:val="000000"/>
          <w:sz w:val="20"/>
          <w:szCs w:val="20"/>
        </w:rPr>
        <w:t>the Company completed its annual impairment testing of goodwill for all reporting units and no impairment was identified. The Company determined that the fair value of each reporting unit (including goodwill) was in excess of the carrying value of the resp</w:t>
      </w:r>
      <w:r>
        <w:rPr>
          <w:rFonts w:eastAsia="Times New Roman"/>
          <w:color w:val="000000"/>
          <w:sz w:val="20"/>
          <w:szCs w:val="20"/>
        </w:rPr>
        <w:t>ective reporting unit. </w:t>
      </w:r>
      <w:r>
        <w:rPr>
          <w:rFonts w:eastAsia="Times New Roman"/>
          <w:color w:val="000000"/>
          <w:sz w:val="20"/>
          <w:szCs w:val="20"/>
        </w:rPr>
        <w:t>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Other Intangible Asset</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had approximately $31.3 million of intangible assets other than goodwill at December 28, 2019 and December 29, 2018. The intangible asset balance represents the estimated fair value of the Pe</w:t>
      </w:r>
      <w:r>
        <w:rPr>
          <w:rFonts w:eastAsia="Times New Roman"/>
          <w:color w:val="000000"/>
          <w:sz w:val="20"/>
          <w:szCs w:val="20"/>
        </w:rPr>
        <w:t>tsense tradename, which is not subject to amortization as it has an indefinite useful life on the basis that it is expected to contribute cash flows beyond the foreseeable horizon</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the fourth quarter of fiscal 2019, the Company completed its annual im</w:t>
      </w:r>
      <w:r>
        <w:rPr>
          <w:rFonts w:eastAsia="Times New Roman"/>
          <w:color w:val="000000"/>
          <w:sz w:val="20"/>
          <w:szCs w:val="20"/>
        </w:rPr>
        <w:t>pairment testing of intangible assets and no impairment was identified. The Company determined that the fair value of the intangible asset was in excess of the carrying value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Note 4 – Debt</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Company’s outstanding debt as of the dates indicated (in millions)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5497"/>
        <w:gridCol w:w="50"/>
        <w:gridCol w:w="36"/>
        <w:gridCol w:w="36"/>
        <w:gridCol w:w="36"/>
        <w:gridCol w:w="136"/>
        <w:gridCol w:w="983"/>
        <w:gridCol w:w="85"/>
        <w:gridCol w:w="36"/>
        <w:gridCol w:w="36"/>
        <w:gridCol w:w="36"/>
        <w:gridCol w:w="136"/>
        <w:gridCol w:w="983"/>
        <w:gridCol w:w="85"/>
        <w:gridCol w:w="36"/>
        <w:gridCol w:w="36"/>
      </w:tblGrid>
      <w:tr w:rsidR="00000000">
        <w:trPr>
          <w:divId w:val="271014377"/>
          <w:jc w:val="center"/>
        </w:trPr>
        <w:tc>
          <w:tcPr>
            <w:tcW w:w="50" w:type="pct"/>
            <w:vAlign w:val="center"/>
            <w:hideMark/>
          </w:tcPr>
          <w:p w:rsidR="00000000" w:rsidRDefault="00CB61D5">
            <w:pPr>
              <w:jc w:val="both"/>
              <w:rPr>
                <w:rFonts w:eastAsia="Times New Roman"/>
              </w:rPr>
            </w:pPr>
          </w:p>
        </w:tc>
        <w:tc>
          <w:tcPr>
            <w:tcW w:w="336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3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w:t>
            </w:r>
            <w:r>
              <w:rPr>
                <w:rFonts w:eastAsia="Times New Roman"/>
                <w:b/>
                <w:bCs/>
                <w:color w:val="000000"/>
                <w:sz w:val="20"/>
                <w:szCs w:val="20"/>
              </w:rPr>
              <w:br/>
              <w:t>201</w:t>
            </w:r>
            <w:r>
              <w:rPr>
                <w:rFonts w:eastAsia="Times New Roman"/>
                <w:b/>
                <w:bCs/>
                <w:color w:val="000000"/>
                <w:sz w:val="20"/>
                <w:szCs w:val="20"/>
              </w:rPr>
              <w:t>8</w:t>
            </w:r>
          </w:p>
        </w:tc>
        <w:tc>
          <w:tcPr>
            <w:tcW w:w="0" w:type="auto"/>
            <w:vAlign w:val="center"/>
            <w:hideMark/>
          </w:tcPr>
          <w:p w:rsidR="00000000" w:rsidRDefault="00CB61D5">
            <w:pPr>
              <w:jc w:val="center"/>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CCEEFF"/>
            <w:tcMar>
              <w:top w:w="30" w:type="dxa"/>
              <w:left w:w="22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408.8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407.4</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r w:rsidR="00000000">
        <w:trPr>
          <w:divId w:val="271014377"/>
          <w:trHeight w:val="160"/>
          <w:jc w:val="center"/>
        </w:trPr>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71014377"/>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jc w:val="right"/>
              <w:rPr>
                <w:rFonts w:eastAsia="Times New Roman"/>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Senior Note</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On August 14, 2017, the Company entered into a note purchase and private shelf agreement (the “Note Purchase Agreement”), pursuant to which the Company agreed to sell $150 </w:t>
      </w:r>
      <w:r>
        <w:rPr>
          <w:rFonts w:eastAsia="Times New Roman"/>
          <w:color w:val="000000"/>
          <w:sz w:val="20"/>
          <w:szCs w:val="20"/>
        </w:rPr>
        <w:t>million aggregate principal amount of senior unsecured notes due August 14, 2029 (the “2029 Notes”) in a private placement. The 2029 Notes bear interest at 3.70% per annum with interest payable semi-annually in arrears on each annual and semi-annual annive</w:t>
      </w:r>
      <w:r>
        <w:rPr>
          <w:rFonts w:eastAsia="Times New Roman"/>
          <w:color w:val="000000"/>
          <w:sz w:val="20"/>
          <w:szCs w:val="20"/>
        </w:rPr>
        <w:t>rsary of the issuance date. The obligations under the Note Purchase Agreement are unsecured, but guaranteed by each of the Company’s material subsidiaries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may from time to time issue and sell additional senior unsecured notes (the “Shelf Not</w:t>
      </w:r>
      <w:r>
        <w:rPr>
          <w:rFonts w:eastAsia="Times New Roman"/>
          <w:color w:val="000000"/>
          <w:sz w:val="20"/>
          <w:szCs w:val="20"/>
        </w:rPr>
        <w:t>es”) pursuant to the Note Purchase Agreement, in an aggregate principal amount of up to $150 million. The Shelf Notes will have a maturity date of no more than 12 years after the date of original issuance and may be issued through August 14, 2020, unless e</w:t>
      </w:r>
      <w:r>
        <w:rPr>
          <w:rFonts w:eastAsia="Times New Roman"/>
          <w:color w:val="000000"/>
          <w:sz w:val="20"/>
          <w:szCs w:val="20"/>
        </w:rPr>
        <w:t>arlier terminated in accordance with the terms of the Note Purchase Agreement.</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850678876"/>
        <w:rPr>
          <w:rFonts w:eastAsia="Times New Roman"/>
        </w:rPr>
      </w:pPr>
      <w:r>
        <w:rPr>
          <w:rFonts w:eastAsia="Times New Roman"/>
          <w:color w:val="000000"/>
          <w:sz w:val="20"/>
          <w:szCs w:val="20"/>
        </w:rPr>
        <w:t>6</w:t>
      </w:r>
      <w:r>
        <w:rPr>
          <w:rFonts w:eastAsia="Times New Roman"/>
          <w:color w:val="000000"/>
          <w:sz w:val="20"/>
          <w:szCs w:val="20"/>
        </w:rPr>
        <w:t>1</w:t>
      </w:r>
    </w:p>
    <w:p w:rsidR="00000000" w:rsidRDefault="00CB61D5">
      <w:pPr>
        <w:rPr>
          <w:rFonts w:eastAsia="Times New Roman"/>
        </w:rPr>
      </w:pPr>
      <w:r>
        <w:rPr>
          <w:rFonts w:eastAsia="Times New Roman"/>
        </w:rPr>
        <w:pict>
          <v:rect id="_x0000_i1090" style="width:0;height:1.5pt" o:hralign="center" o:hrstd="t" o:hr="t" fillcolor="#a0a0a0" stroked="f"/>
        </w:pict>
      </w:r>
    </w:p>
    <w:p w:rsidR="00000000" w:rsidRDefault="00CB61D5">
      <w:pPr>
        <w:divId w:val="1987974628"/>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Pursuant to the Note Purchase Agreement, the 2029 Notes and any Shelf Notes (collectively, the "Note</w:t>
      </w:r>
      <w:r>
        <w:rPr>
          <w:rFonts w:eastAsia="Times New Roman"/>
          <w:color w:val="000000"/>
          <w:sz w:val="20"/>
          <w:szCs w:val="20"/>
        </w:rPr>
        <w:t>s") are redeemable by the Company, in whole at any time or in part from time to time, at 100% of the principal amount of the Notes being redeemed, together with accrued and unpaid interest thereon and a make whole amount calculated by discounting all remai</w:t>
      </w:r>
      <w:r>
        <w:rPr>
          <w:rFonts w:eastAsia="Times New Roman"/>
          <w:color w:val="000000"/>
          <w:sz w:val="20"/>
          <w:szCs w:val="20"/>
        </w:rPr>
        <w:t>ning scheduled payments on the Notes by the yield on the U.S. Treasury security with a maturity equal to the remaining average life of the Notes plus 0.50%</w:t>
      </w:r>
      <w:r>
        <w:rPr>
          <w:rFonts w:eastAsia="Times New Roman"/>
          <w:color w:val="000000"/>
          <w:sz w:val="20"/>
          <w:szCs w:val="20"/>
        </w:rPr>
        <w:t>.</w:t>
      </w:r>
    </w:p>
    <w:p w:rsidR="00000000" w:rsidRDefault="00CB61D5">
      <w:pPr>
        <w:jc w:val="both"/>
        <w:rPr>
          <w:rFonts w:eastAsia="Times New Roman"/>
        </w:rPr>
      </w:pPr>
    </w:p>
    <w:p w:rsidR="00000000" w:rsidRDefault="00CB61D5">
      <w:pPr>
        <w:divId w:val="1395541029"/>
        <w:rPr>
          <w:rFonts w:eastAsia="Times New Roman"/>
        </w:rPr>
      </w:pPr>
      <w:r>
        <w:rPr>
          <w:rFonts w:eastAsia="Times New Roman"/>
          <w:i/>
          <w:iCs/>
          <w:color w:val="000000"/>
          <w:sz w:val="20"/>
          <w:szCs w:val="20"/>
        </w:rPr>
        <w:t>Senior Credit Facilit</w:t>
      </w:r>
      <w:r>
        <w:rPr>
          <w:rFonts w:eastAsia="Times New Roman"/>
          <w:i/>
          <w:iCs/>
          <w:color w:val="000000"/>
          <w:sz w:val="20"/>
          <w:szCs w:val="20"/>
        </w:rPr>
        <w:t>y</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On February 19, 2016, the Company entered into a senior credit facility </w:t>
      </w:r>
      <w:r>
        <w:rPr>
          <w:rFonts w:eastAsia="Times New Roman"/>
          <w:color w:val="000000"/>
          <w:sz w:val="20"/>
          <w:szCs w:val="20"/>
        </w:rPr>
        <w:t>(the “2016 Senior Credit Facility”) consisting of a $200 million term loan (the “February 2016 Term Loan”) and a $500 million revolving credit facility (the “Revolver”) with a sublimit of $50 million for swingline loans. This agreement is unsecured and mat</w:t>
      </w:r>
      <w:r>
        <w:rPr>
          <w:rFonts w:eastAsia="Times New Roman"/>
          <w:color w:val="000000"/>
          <w:sz w:val="20"/>
          <w:szCs w:val="20"/>
        </w:rPr>
        <w:t>ures on February 19, 2022</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On June 15, 2017, pursuant to an accordion feature available under the 2016 Senior Credit Facility, the Company entered into an incremental term loan agreement (the “June 2017 Term Loan”) which increased the term loan capacity </w:t>
      </w:r>
      <w:r>
        <w:rPr>
          <w:rFonts w:eastAsia="Times New Roman"/>
          <w:color w:val="000000"/>
          <w:sz w:val="20"/>
          <w:szCs w:val="20"/>
        </w:rPr>
        <w:t>under the 2016 Senior Credit Facility by $100 million. This agreement is unsecured and matures on June 15, 2022</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February 2016 Term Loan of $200 million requires quarterly payments totaling $10 million per year in years one and two and $20 million pe</w:t>
      </w:r>
      <w:r>
        <w:rPr>
          <w:rFonts w:eastAsia="Times New Roman"/>
          <w:color w:val="000000"/>
          <w:sz w:val="20"/>
          <w:szCs w:val="20"/>
        </w:rPr>
        <w:t>r year in years three through the maturity date, with the remaining balance due in full on the maturity date of February 19, 2022. The June 2017 Term Loan of $100 million requires quarterly payments totaling $5 million per year in years one and two and $10</w:t>
      </w:r>
      <w:r>
        <w:rPr>
          <w:rFonts w:eastAsia="Times New Roman"/>
          <w:color w:val="000000"/>
          <w:sz w:val="20"/>
          <w:szCs w:val="20"/>
        </w:rPr>
        <w:t xml:space="preserve"> million per year in years three through the maturity date, with the remaining balance due in full on the maturity date of June 15, 2022. The 2016 Senior Credit Facility also contains a $500 million revolving credit facility (with a sublimit of $50 million</w:t>
      </w:r>
      <w:r>
        <w:rPr>
          <w:rFonts w:eastAsia="Times New Roman"/>
          <w:color w:val="000000"/>
          <w:sz w:val="20"/>
          <w:szCs w:val="20"/>
        </w:rPr>
        <w:t xml:space="preserve"> for swingline loans)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Borrowings under the February 2016 Term Loan and Revolver bear interest at either the bank’s base rate (4.750% at December 28, 2019) or the London Inter-Bank Offer Rate (“LIBOR”) (1.799% at December </w:t>
      </w:r>
      <w:r>
        <w:rPr>
          <w:rFonts w:eastAsia="Times New Roman"/>
          <w:color w:val="000000"/>
          <w:sz w:val="20"/>
          <w:szCs w:val="20"/>
        </w:rPr>
        <w:t>28, 2019) plus an additional amount ranging from 0.500% to 1.125% per annum (0.750% at December 28, 2019), adjusted quarterly based on our leverage ratio.  The Company is also required to pay, quarterly in arrears, a commitment fee for unused capacity rang</w:t>
      </w:r>
      <w:r>
        <w:rPr>
          <w:rFonts w:eastAsia="Times New Roman"/>
          <w:color w:val="000000"/>
          <w:sz w:val="20"/>
          <w:szCs w:val="20"/>
        </w:rPr>
        <w:t>ing from 0.075% to 0.200% per annum (0.125% at December 28, 2019), adjusted quarterly based on the Company’s leverage ratio. Borrowings under the June 2017 Term Loan bear interest at either the bank’s base rate (4.750% at December 28, 2019) or LIBOR (1.799</w:t>
      </w:r>
      <w:r>
        <w:rPr>
          <w:rFonts w:eastAsia="Times New Roman"/>
          <w:color w:val="000000"/>
          <w:sz w:val="20"/>
          <w:szCs w:val="20"/>
        </w:rPr>
        <w:t>% at December 28, 2019) plus an additional 1.000% per annum. As further described in Note 5, the Company has entered into interest rate swap agreements in order to hedge our exposure to variable rate interest payments associated with each of the term loans</w:t>
      </w:r>
      <w:r>
        <w:rPr>
          <w:rFonts w:eastAsia="Times New Roman"/>
          <w:color w:val="000000"/>
          <w:sz w:val="20"/>
          <w:szCs w:val="20"/>
        </w:rPr>
        <w:t xml:space="preserve"> under the 2016 Senior Credit Facility.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Proceeds from the 2016 Senior Credit Facility may be used for working capital, capital expenditures, dividends, share repurchases, and other matters. There are no compensating balance requirements associated with </w:t>
      </w:r>
      <w:r>
        <w:rPr>
          <w:rFonts w:eastAsia="Times New Roman"/>
          <w:color w:val="000000"/>
          <w:sz w:val="20"/>
          <w:szCs w:val="20"/>
        </w:rPr>
        <w:t>the 2016 Senior Credit Facility.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Covenants and Default Provisions of the Debt Agreement</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2016 Senior Credit Facility and the Note Purchase Agreement (collectively, the “Debt Agreements”) require quarterly compliance with respect to two material co</w:t>
      </w:r>
      <w:r>
        <w:rPr>
          <w:rFonts w:eastAsia="Times New Roman"/>
          <w:color w:val="000000"/>
          <w:sz w:val="20"/>
          <w:szCs w:val="20"/>
        </w:rPr>
        <w:t>venants: a fixed charge coverage ratio and a leverage ratio.  Both ratios are calculated on a trailing twelve-month basis at the end of each fiscal quarter. The fixed charge coverage ratio compares earnings before interest, taxes, depreciation, amortizatio</w:t>
      </w:r>
      <w:r>
        <w:rPr>
          <w:rFonts w:eastAsia="Times New Roman"/>
          <w:color w:val="000000"/>
          <w:sz w:val="20"/>
          <w:szCs w:val="20"/>
        </w:rPr>
        <w:t>n, share-based compensation and rent expense (“consolidated EBITDAR”) to the sum of interest paid and rental expense (excluding any straight-line rent adjustments).  The fixed charge coverage ratio shall be greater than or equal to 2.00 to 1.0 as of the la</w:t>
      </w:r>
      <w:r>
        <w:rPr>
          <w:rFonts w:eastAsia="Times New Roman"/>
          <w:color w:val="000000"/>
          <w:sz w:val="20"/>
          <w:szCs w:val="20"/>
        </w:rPr>
        <w:t>st day of each fiscal quarter. The leverage ratio compares rental expense (excluding any straight-line rent adjustments) multiplied by a factor of six plus total debt to consolidated EBITDAR.  The leverage ratio shall be less than or equal to 4.00 to 1.0 a</w:t>
      </w:r>
      <w:r>
        <w:rPr>
          <w:rFonts w:eastAsia="Times New Roman"/>
          <w:color w:val="000000"/>
          <w:sz w:val="20"/>
          <w:szCs w:val="20"/>
        </w:rPr>
        <w:t>s of the last day of each fiscal quarter. The Debt Agreements also contain certain other restrictions regarding additional indebtedness, capital expenditures, business operations, guarantees, investments, mergers, consolidations and sales of assets, transa</w:t>
      </w:r>
      <w:r>
        <w:rPr>
          <w:rFonts w:eastAsia="Times New Roman"/>
          <w:color w:val="000000"/>
          <w:sz w:val="20"/>
          <w:szCs w:val="20"/>
        </w:rPr>
        <w:t>ctions with subsidiaries or affiliates, and liens.  As of December 28, 2019, the Company was in compliance with all debt covenants</w:t>
      </w:r>
      <w:r>
        <w:rPr>
          <w:rFonts w:eastAsia="Times New Roman"/>
          <w:color w:val="000000"/>
          <w:sz w:val="20"/>
          <w:szCs w:val="20"/>
        </w:rPr>
        <w:t>.</w:t>
      </w:r>
    </w:p>
    <w:p w:rsidR="00000000" w:rsidRDefault="00CB61D5">
      <w:pPr>
        <w:divId w:val="1380207685"/>
        <w:rPr>
          <w:rFonts w:eastAsia="Times New Roman"/>
        </w:rPr>
      </w:pPr>
    </w:p>
    <w:p w:rsidR="00000000" w:rsidRDefault="00CB61D5">
      <w:pPr>
        <w:jc w:val="both"/>
        <w:rPr>
          <w:rFonts w:eastAsia="Times New Roman"/>
        </w:rPr>
      </w:pPr>
      <w:r>
        <w:rPr>
          <w:rFonts w:eastAsia="Times New Roman"/>
          <w:color w:val="000000"/>
          <w:sz w:val="20"/>
          <w:szCs w:val="20"/>
        </w:rPr>
        <w:t>The Debt Agreements contain customary events of default, including payment defaults, breaches of representations and warra</w:t>
      </w:r>
      <w:r>
        <w:rPr>
          <w:rFonts w:eastAsia="Times New Roman"/>
          <w:color w:val="000000"/>
          <w:sz w:val="20"/>
          <w:szCs w:val="20"/>
        </w:rPr>
        <w:t>nties, covenant defaults, cross-defaults to other material indebtedness, certain events of bankruptcy and insolvency, material judgments, certain ERISA events and invalidity of loan documents. Upon certain changes of control, payment under the Debt Agreeme</w:t>
      </w:r>
      <w:r>
        <w:rPr>
          <w:rFonts w:eastAsia="Times New Roman"/>
          <w:color w:val="000000"/>
          <w:sz w:val="20"/>
          <w:szCs w:val="20"/>
        </w:rPr>
        <w:t>nts could become due and payable. In addition, under the Note Purchase Agreement, upon an event of default or change of control, the make whole payment described above may become due and payable.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2130929631"/>
        <w:rPr>
          <w:rFonts w:eastAsia="Times New Roman"/>
        </w:rPr>
      </w:pPr>
      <w:r>
        <w:rPr>
          <w:rFonts w:eastAsia="Times New Roman"/>
          <w:color w:val="000000"/>
          <w:sz w:val="20"/>
          <w:szCs w:val="20"/>
        </w:rPr>
        <w:t>6</w:t>
      </w:r>
      <w:r>
        <w:rPr>
          <w:rFonts w:eastAsia="Times New Roman"/>
          <w:color w:val="000000"/>
          <w:sz w:val="20"/>
          <w:szCs w:val="20"/>
        </w:rPr>
        <w:t>2</w:t>
      </w:r>
    </w:p>
    <w:p w:rsidR="00000000" w:rsidRDefault="00CB61D5">
      <w:pPr>
        <w:rPr>
          <w:rFonts w:eastAsia="Times New Roman"/>
        </w:rPr>
      </w:pPr>
      <w:r>
        <w:rPr>
          <w:rFonts w:eastAsia="Times New Roman"/>
        </w:rPr>
        <w:pict>
          <v:rect id="_x0000_i1091" style="width:0;height:1.5pt" o:hralign="center" o:hrstd="t" o:hr="t" fillcolor="#a0a0a0" stroked="f"/>
        </w:pict>
      </w:r>
    </w:p>
    <w:p w:rsidR="00000000" w:rsidRDefault="00CB61D5">
      <w:pPr>
        <w:divId w:val="134185335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Note Purchase Agreement also requires that, in the event the Company amends its 2016 Senior Credit Facility, or any subsequent credit facility of $100 million or greater, such that i</w:t>
      </w:r>
      <w:r>
        <w:rPr>
          <w:rFonts w:eastAsia="Times New Roman"/>
          <w:color w:val="000000"/>
          <w:sz w:val="20"/>
          <w:szCs w:val="20"/>
        </w:rPr>
        <w:t>t contains covenant or default provisions that are not provided in the Note Purchase Agreement or that are similar to those contained in the Note Purchase Agreement but which contain percentages, amounts, formulas or grace periods that are more restrictive</w:t>
      </w:r>
      <w:r>
        <w:rPr>
          <w:rFonts w:eastAsia="Times New Roman"/>
          <w:color w:val="000000"/>
          <w:sz w:val="20"/>
          <w:szCs w:val="20"/>
        </w:rPr>
        <w:t xml:space="preserve"> than those set forth in the Note Purchase Agreement or are otherwise more beneficial to the lenders thereunder, the Note Purchase Agreement shall be automatically amended to include such additional or amended covenants and/or default provisions</w:t>
      </w:r>
      <w:r>
        <w:rPr>
          <w:rFonts w:eastAsia="Times New Roman"/>
          <w:color w:val="000000"/>
          <w:sz w:val="20"/>
          <w:szCs w:val="20"/>
        </w:rPr>
        <w:t>.</w:t>
      </w:r>
    </w:p>
    <w:p w:rsidR="00000000" w:rsidRDefault="00CB61D5">
      <w:pPr>
        <w:divId w:val="566233890"/>
        <w:rPr>
          <w:rFonts w:eastAsia="Times New Roman"/>
        </w:rPr>
      </w:pPr>
    </w:p>
    <w:p w:rsidR="00000000" w:rsidRDefault="00CB61D5">
      <w:pPr>
        <w:jc w:val="both"/>
        <w:rPr>
          <w:rFonts w:eastAsia="Times New Roman"/>
        </w:rPr>
      </w:pPr>
      <w:r>
        <w:rPr>
          <w:rFonts w:eastAsia="Times New Roman"/>
          <w:b/>
          <w:bCs/>
          <w:color w:val="000000"/>
          <w:sz w:val="20"/>
          <w:szCs w:val="20"/>
        </w:rPr>
        <w:t xml:space="preserve">Note 5 </w:t>
      </w:r>
      <w:r>
        <w:rPr>
          <w:rFonts w:eastAsia="Times New Roman"/>
          <w:b/>
          <w:bCs/>
          <w:color w:val="000000"/>
          <w:sz w:val="20"/>
          <w:szCs w:val="20"/>
        </w:rPr>
        <w:t>– Interest Rate Swaps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Company entered into an interest rate swap agreement which became effective on March 31, 2016, with a maturity date of February 19, 2021. The notional amount of this swap agreement began at $197.5 million (the principal amount </w:t>
      </w:r>
      <w:r>
        <w:rPr>
          <w:rFonts w:eastAsia="Times New Roman"/>
          <w:color w:val="000000"/>
          <w:sz w:val="20"/>
          <w:szCs w:val="20"/>
        </w:rPr>
        <w:t>of the February 2016 Term Loan borrowings as of March 31, 2016) and will amortize at the same time and in the same amount as the February 2016 Term Loan borrowings as described in Note 4, up to the maturity date of the interest rate swap agreement on Febru</w:t>
      </w:r>
      <w:r>
        <w:rPr>
          <w:rFonts w:eastAsia="Times New Roman"/>
          <w:color w:val="000000"/>
          <w:sz w:val="20"/>
          <w:szCs w:val="20"/>
        </w:rPr>
        <w:t>ary 19, 2021. As of December 28, 2019, the notional amount of the interest rate swap was $145.0 million.</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entered into a second interest rate swap agreement which became effective on June 30, 2017, with a maturity date of June 15, 2022. The n</w:t>
      </w:r>
      <w:r>
        <w:rPr>
          <w:rFonts w:eastAsia="Times New Roman"/>
          <w:color w:val="000000"/>
          <w:sz w:val="20"/>
          <w:szCs w:val="20"/>
        </w:rPr>
        <w:t>otional amount of this swap agreement began at $100 million (the principal amount of the June 2017 Term Loan borrowings as of June 30, 2017) and will amortize at the same time and in the same amount as the June 2017 Term Loan borrowings as described in Not</w:t>
      </w:r>
      <w:r>
        <w:rPr>
          <w:rFonts w:eastAsia="Times New Roman"/>
          <w:color w:val="000000"/>
          <w:sz w:val="20"/>
          <w:szCs w:val="20"/>
        </w:rPr>
        <w:t>e 4. As of December 28, 2019, the notional amount of the interest rate swap was $87.5 million.</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Company’s interest rate swap agreements are executed for risk management and are not held for trading purposes. The objective of the interest rate swap ag</w:t>
      </w:r>
      <w:r>
        <w:rPr>
          <w:rFonts w:eastAsia="Times New Roman"/>
          <w:color w:val="000000"/>
          <w:sz w:val="20"/>
          <w:szCs w:val="20"/>
        </w:rPr>
        <w:t>reements is to mitigate interest rate risk associated with future changes in interest rates. To accomplish this objective, the interest rate swap agreements are intended to hedge the variable cash flows associated with the variable rate term loan borrowing</w:t>
      </w:r>
      <w:r>
        <w:rPr>
          <w:rFonts w:eastAsia="Times New Roman"/>
          <w:color w:val="000000"/>
          <w:sz w:val="20"/>
          <w:szCs w:val="20"/>
        </w:rPr>
        <w:t>s under the 2016 Senior Credit Facility. Both interest rate swap agreements entitle the Company to receive, at specified intervals, a variable rate of interest based on LIBOR in exchange for the payment of a fixed rate of interest throughout the life of th</w:t>
      </w:r>
      <w:r>
        <w:rPr>
          <w:rFonts w:eastAsia="Times New Roman"/>
          <w:color w:val="000000"/>
          <w:sz w:val="20"/>
          <w:szCs w:val="20"/>
        </w:rPr>
        <w:t>e agreement, without exchange of the underlying notional amount.</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accounting. The interest rate swaps are p</w:t>
      </w:r>
      <w:r>
        <w:rPr>
          <w:rFonts w:eastAsia="Times New Roman"/>
          <w:color w:val="000000"/>
          <w:sz w:val="20"/>
          <w:szCs w:val="20"/>
        </w:rPr>
        <w:t>resented within the Consolidated Balance Sheets at fair value. In accordance with hedge accounting, the gains and losses on interest rate swaps that are designated and qualify as cash flow hedges are recorded as a component of Other Comprehensive Income (“</w:t>
      </w:r>
      <w:r>
        <w:rPr>
          <w:rFonts w:eastAsia="Times New Roman"/>
          <w:color w:val="000000"/>
          <w:sz w:val="20"/>
          <w:szCs w:val="20"/>
        </w:rPr>
        <w:t>OCI”), net of related income taxes, and reclassified into earnings in the same income statement line and period during which the hedged transactions affect earnings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As of December 28, 2019, amounts to be reclassified from Accumulated Other Comprehensive</w:t>
      </w:r>
      <w:r>
        <w:rPr>
          <w:rFonts w:eastAsia="Times New Roman"/>
          <w:color w:val="000000"/>
          <w:sz w:val="20"/>
          <w:szCs w:val="20"/>
        </w:rPr>
        <w:t xml:space="preserve"> Income (“AOCI”) into interest during the next twelve months are not expected to be material. No significant amounts were excluded from the assessment of cash flow hedge effectiveness as of December 28, 2019</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assets and liabilities measured at fair v</w:t>
      </w:r>
      <w:r>
        <w:rPr>
          <w:rFonts w:eastAsia="Times New Roman"/>
          <w:color w:val="000000"/>
          <w:sz w:val="20"/>
          <w:szCs w:val="20"/>
        </w:rPr>
        <w:t>alue related to the Company’s interest rate swaps, excluding accrued interest, were as follows (in thousands):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468"/>
        <w:gridCol w:w="58"/>
        <w:gridCol w:w="36"/>
        <w:gridCol w:w="36"/>
        <w:gridCol w:w="36"/>
        <w:gridCol w:w="40"/>
        <w:gridCol w:w="3065"/>
        <w:gridCol w:w="58"/>
        <w:gridCol w:w="36"/>
        <w:gridCol w:w="36"/>
        <w:gridCol w:w="36"/>
        <w:gridCol w:w="136"/>
        <w:gridCol w:w="896"/>
        <w:gridCol w:w="85"/>
        <w:gridCol w:w="36"/>
        <w:gridCol w:w="36"/>
        <w:gridCol w:w="36"/>
        <w:gridCol w:w="136"/>
        <w:gridCol w:w="897"/>
        <w:gridCol w:w="85"/>
      </w:tblGrid>
      <w:tr w:rsidR="00000000">
        <w:trPr>
          <w:divId w:val="488593270"/>
          <w:jc w:val="center"/>
        </w:trPr>
        <w:tc>
          <w:tcPr>
            <w:tcW w:w="50" w:type="pct"/>
            <w:vAlign w:val="center"/>
            <w:hideMark/>
          </w:tcPr>
          <w:p w:rsidR="00000000" w:rsidRDefault="00CB61D5">
            <w:pPr>
              <w:jc w:val="both"/>
              <w:rPr>
                <w:rFonts w:eastAsia="Times New Roman"/>
              </w:rPr>
            </w:pPr>
          </w:p>
        </w:tc>
        <w:tc>
          <w:tcPr>
            <w:tcW w:w="15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85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6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6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488593270"/>
          <w:jc w:val="center"/>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Derivatives Designated</w:t>
            </w:r>
            <w:r>
              <w:rPr>
                <w:rFonts w:eastAsia="Times New Roman"/>
                <w:b/>
                <w:bCs/>
                <w:color w:val="000000"/>
                <w:sz w:val="20"/>
                <w:szCs w:val="20"/>
              </w:rPr>
              <w:br/>
              <w:t>as Cash Flow Hedge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Balance Sheet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 201</w:t>
            </w:r>
            <w:r>
              <w:rPr>
                <w:rFonts w:eastAsia="Times New Roman"/>
                <w:b/>
                <w:bCs/>
                <w:color w:val="000000"/>
                <w:sz w:val="20"/>
                <w:szCs w:val="20"/>
              </w:rPr>
              <w:t>8</w:t>
            </w:r>
          </w:p>
        </w:tc>
      </w:tr>
      <w:tr w:rsidR="00000000">
        <w:trPr>
          <w:divId w:val="48859327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488593270"/>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488593270"/>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Total derivative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5,823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488593270"/>
          <w:trHeight w:val="280"/>
          <w:jc w:val="center"/>
        </w:trPr>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488593270"/>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488593270"/>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488593270"/>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Total derivative 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center"/>
        <w:divId w:val="1851331294"/>
        <w:rPr>
          <w:rFonts w:eastAsia="Times New Roman"/>
        </w:rPr>
      </w:pPr>
      <w:r>
        <w:rPr>
          <w:rFonts w:eastAsia="Times New Roman"/>
          <w:color w:val="000000"/>
          <w:sz w:val="20"/>
          <w:szCs w:val="20"/>
        </w:rPr>
        <w:t>6</w:t>
      </w:r>
      <w:r>
        <w:rPr>
          <w:rFonts w:eastAsia="Times New Roman"/>
          <w:color w:val="000000"/>
          <w:sz w:val="20"/>
          <w:szCs w:val="20"/>
        </w:rPr>
        <w:t>3</w:t>
      </w:r>
    </w:p>
    <w:p w:rsidR="00000000" w:rsidRDefault="00CB61D5">
      <w:pPr>
        <w:rPr>
          <w:rFonts w:eastAsia="Times New Roman"/>
        </w:rPr>
      </w:pPr>
      <w:r>
        <w:rPr>
          <w:rFonts w:eastAsia="Times New Roman"/>
        </w:rPr>
        <w:pict>
          <v:rect id="_x0000_i1092" style="width:0;height:1.5pt" o:hralign="center" o:hrstd="t" o:hr="t" fillcolor="#a0a0a0" stroked="f"/>
        </w:pict>
      </w:r>
    </w:p>
    <w:p w:rsidR="00000000" w:rsidRDefault="00CB61D5">
      <w:pPr>
        <w:divId w:val="142962021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following table summarizes the changes in AOCI, net of tax, related to the Company’s interest rate swaps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8"/>
        <w:gridCol w:w="5047"/>
        <w:gridCol w:w="48"/>
        <w:gridCol w:w="36"/>
        <w:gridCol w:w="36"/>
        <w:gridCol w:w="36"/>
        <w:gridCol w:w="135"/>
        <w:gridCol w:w="1139"/>
        <w:gridCol w:w="85"/>
        <w:gridCol w:w="36"/>
        <w:gridCol w:w="36"/>
        <w:gridCol w:w="36"/>
        <w:gridCol w:w="135"/>
        <w:gridCol w:w="1139"/>
        <w:gridCol w:w="85"/>
        <w:gridCol w:w="36"/>
        <w:gridCol w:w="36"/>
        <w:gridCol w:w="36"/>
        <w:gridCol w:w="36"/>
        <w:gridCol w:w="36"/>
        <w:gridCol w:w="36"/>
      </w:tblGrid>
      <w:tr w:rsidR="00000000">
        <w:trPr>
          <w:gridAfter w:val="6"/>
          <w:divId w:val="1177042208"/>
        </w:trPr>
        <w:tc>
          <w:tcPr>
            <w:tcW w:w="50" w:type="pct"/>
            <w:vAlign w:val="center"/>
            <w:hideMark/>
          </w:tcPr>
          <w:p w:rsidR="00000000" w:rsidRDefault="00CB61D5">
            <w:pPr>
              <w:jc w:val="both"/>
              <w:rPr>
                <w:rFonts w:eastAsia="Times New Roman"/>
              </w:rPr>
            </w:pPr>
          </w:p>
        </w:tc>
        <w:tc>
          <w:tcPr>
            <w:tcW w:w="31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4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4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77042208"/>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1177042208"/>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Beginning fiscal year AOCI balanc</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fiscal year (loss)/gain recognized in OC</w:t>
            </w:r>
            <w:r>
              <w:rPr>
                <w:rFonts w:eastAsia="Times New Roman"/>
                <w:color w:val="000000"/>
                <w:sz w:val="20"/>
                <w:szCs w:val="20"/>
              </w:rPr>
              <w:t>I</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shd w:val="clear" w:color="auto" w:fill="CCEEFF"/>
            <w:tcMar>
              <w:top w:w="30" w:type="dxa"/>
              <w:left w:w="1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Cumulative adjustment as a result of ASU 2017-12 adoptio</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Other comprehensive (loss)/gain, net of ta</w:t>
            </w:r>
            <w:r>
              <w:rPr>
                <w:rFonts w:eastAsia="Times New Roman"/>
                <w:color w:val="000000"/>
                <w:sz w:val="20"/>
                <w:szCs w:val="20"/>
              </w:rPr>
              <w:t>x</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(3,615</w:t>
            </w:r>
            <w:r>
              <w:rPr>
                <w:rFonts w:eastAsia="Times New Roman"/>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17704220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Ending fiscal year AOCI balanc</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ind w:hanging="180"/>
        <w:jc w:val="both"/>
        <w:rPr>
          <w:rFonts w:eastAsia="Times New Roman"/>
        </w:rPr>
      </w:pPr>
    </w:p>
    <w:p w:rsidR="00000000" w:rsidRDefault="00CB61D5">
      <w:pPr>
        <w:jc w:val="both"/>
        <w:rPr>
          <w:rFonts w:eastAsia="Times New Roman"/>
        </w:rPr>
      </w:pPr>
      <w:r>
        <w:rPr>
          <w:rFonts w:eastAsia="Times New Roman"/>
          <w:color w:val="000000"/>
          <w:sz w:val="20"/>
          <w:szCs w:val="20"/>
        </w:rPr>
        <w:t>Cash flows related to the interest rate swaps are included in operating activities on the Consolidated Statements of Cash Flows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impact of pre-tax gains and losses derived from the Company’s interest rate swaps (in th</w:t>
      </w:r>
      <w:r>
        <w:rPr>
          <w:rFonts w:eastAsia="Times New Roman"/>
          <w:color w:val="000000"/>
          <w:sz w:val="20"/>
          <w:szCs w:val="20"/>
        </w:rPr>
        <w:t>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6"/>
        <w:gridCol w:w="3071"/>
        <w:gridCol w:w="46"/>
        <w:gridCol w:w="36"/>
        <w:gridCol w:w="36"/>
        <w:gridCol w:w="36"/>
        <w:gridCol w:w="56"/>
        <w:gridCol w:w="1537"/>
        <w:gridCol w:w="56"/>
        <w:gridCol w:w="36"/>
        <w:gridCol w:w="36"/>
        <w:gridCol w:w="36"/>
        <w:gridCol w:w="135"/>
        <w:gridCol w:w="637"/>
        <w:gridCol w:w="85"/>
        <w:gridCol w:w="36"/>
        <w:gridCol w:w="36"/>
        <w:gridCol w:w="36"/>
        <w:gridCol w:w="135"/>
        <w:gridCol w:w="647"/>
        <w:gridCol w:w="85"/>
        <w:gridCol w:w="36"/>
        <w:gridCol w:w="36"/>
        <w:gridCol w:w="36"/>
        <w:gridCol w:w="135"/>
        <w:gridCol w:w="649"/>
        <w:gridCol w:w="85"/>
        <w:gridCol w:w="36"/>
        <w:gridCol w:w="36"/>
        <w:gridCol w:w="36"/>
        <w:gridCol w:w="36"/>
        <w:gridCol w:w="36"/>
        <w:gridCol w:w="36"/>
        <w:gridCol w:w="36"/>
        <w:gridCol w:w="36"/>
        <w:gridCol w:w="36"/>
        <w:gridCol w:w="36"/>
        <w:gridCol w:w="36"/>
        <w:gridCol w:w="36"/>
      </w:tblGrid>
      <w:tr w:rsidR="00000000">
        <w:trPr>
          <w:gridAfter w:val="12"/>
          <w:divId w:val="1404521224"/>
        </w:trPr>
        <w:tc>
          <w:tcPr>
            <w:tcW w:w="50" w:type="pct"/>
            <w:vAlign w:val="center"/>
            <w:hideMark/>
          </w:tcPr>
          <w:p w:rsidR="00000000" w:rsidRDefault="00CB61D5">
            <w:pPr>
              <w:jc w:val="both"/>
              <w:rPr>
                <w:rFonts w:eastAsia="Times New Roman"/>
              </w:rPr>
            </w:pPr>
          </w:p>
        </w:tc>
        <w:tc>
          <w:tcPr>
            <w:tcW w:w="197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02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04521224"/>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404521224"/>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Financial Statement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4521224"/>
        </w:trPr>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 xml:space="preserve">Amount of (losses)/gains recognized in OCI </w:t>
            </w:r>
            <w:r>
              <w:rPr>
                <w:rFonts w:eastAsia="Times New Roman"/>
                <w:color w:val="000000"/>
                <w:sz w:val="20"/>
                <w:szCs w:val="20"/>
              </w:rPr>
              <w:br/>
              <w:t>during the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Other comprehensive (loss)/incom</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(5,556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center"/>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impact of taxes affecting AOCI as a result of the Company’s interest rate swaps (in thousands)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8"/>
        <w:gridCol w:w="5661"/>
        <w:gridCol w:w="48"/>
        <w:gridCol w:w="36"/>
        <w:gridCol w:w="36"/>
        <w:gridCol w:w="36"/>
        <w:gridCol w:w="135"/>
        <w:gridCol w:w="832"/>
        <w:gridCol w:w="85"/>
        <w:gridCol w:w="36"/>
        <w:gridCol w:w="36"/>
        <w:gridCol w:w="36"/>
        <w:gridCol w:w="135"/>
        <w:gridCol w:w="832"/>
        <w:gridCol w:w="85"/>
        <w:gridCol w:w="36"/>
        <w:gridCol w:w="36"/>
        <w:gridCol w:w="36"/>
        <w:gridCol w:w="36"/>
        <w:gridCol w:w="36"/>
        <w:gridCol w:w="36"/>
      </w:tblGrid>
      <w:tr w:rsidR="00000000">
        <w:trPr>
          <w:gridAfter w:val="6"/>
          <w:divId w:val="989794818"/>
          <w:jc w:val="center"/>
        </w:trPr>
        <w:tc>
          <w:tcPr>
            <w:tcW w:w="50" w:type="pct"/>
            <w:vAlign w:val="center"/>
            <w:hideMark/>
          </w:tcPr>
          <w:p w:rsidR="00000000" w:rsidRDefault="00CB61D5">
            <w:pPr>
              <w:jc w:val="both"/>
              <w:rPr>
                <w:rFonts w:eastAsia="Times New Roman"/>
              </w:rPr>
            </w:pPr>
          </w:p>
        </w:tc>
        <w:tc>
          <w:tcPr>
            <w:tcW w:w="352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5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989794818"/>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r>
      <w:tr w:rsidR="00000000">
        <w:trPr>
          <w:divId w:val="989794818"/>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989794818"/>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 (benefit)/expense of interest rate swaps on AOC</w:t>
            </w: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940916854"/>
        <w:rPr>
          <w:rFonts w:eastAsia="Times New Roman"/>
        </w:rPr>
      </w:pPr>
    </w:p>
    <w:p w:rsidR="00000000" w:rsidRDefault="00CB61D5">
      <w:pPr>
        <w:divId w:val="1305702183"/>
        <w:rPr>
          <w:rFonts w:eastAsia="Times New Roman"/>
        </w:rPr>
      </w:pPr>
      <w:r>
        <w:rPr>
          <w:rFonts w:eastAsia="Times New Roman"/>
          <w:i/>
          <w:iCs/>
          <w:color w:val="000000"/>
          <w:sz w:val="20"/>
          <w:szCs w:val="20"/>
        </w:rPr>
        <w:t>Credit-risk-related contingent feature</w:t>
      </w:r>
      <w:r>
        <w:rPr>
          <w:rFonts w:eastAsia="Times New Roman"/>
          <w:i/>
          <w:iCs/>
          <w:color w:val="000000"/>
          <w:sz w:val="20"/>
          <w:szCs w:val="20"/>
        </w:rPr>
        <w:t>s</w:t>
      </w:r>
      <w:r>
        <w:rPr>
          <w:rFonts w:eastAsia="Times New Roman"/>
          <w:b/>
          <w:bCs/>
          <w:color w:val="000000"/>
          <w:sz w:val="20"/>
          <w:szCs w:val="20"/>
        </w:rPr>
        <w:t xml:space="preserve"> </w:t>
      </w:r>
    </w:p>
    <w:p w:rsidR="00000000" w:rsidRDefault="00CB61D5">
      <w:pPr>
        <w:divId w:val="1474756774"/>
        <w:rPr>
          <w:rFonts w:eastAsia="Times New Roman"/>
        </w:rPr>
      </w:pPr>
    </w:p>
    <w:p w:rsidR="00000000" w:rsidRDefault="00CB61D5">
      <w:pPr>
        <w:jc w:val="both"/>
        <w:rPr>
          <w:rFonts w:eastAsia="Times New Roman"/>
        </w:rPr>
      </w:pPr>
      <w:r>
        <w:rPr>
          <w:rFonts w:eastAsia="Times New Roman"/>
          <w:color w:val="000000"/>
          <w:sz w:val="20"/>
          <w:szCs w:val="20"/>
        </w:rPr>
        <w:t>In accordance with the underlying interest rate swap agreements, the Company could be declared in default on its interest rate swap obligations if repayment of the underlying indebtedness (i.e., the Company’s term loans) is accelerated by the lender due to</w:t>
      </w:r>
      <w:r>
        <w:rPr>
          <w:rFonts w:eastAsia="Times New Roman"/>
          <w:color w:val="000000"/>
          <w:sz w:val="20"/>
          <w:szCs w:val="20"/>
        </w:rPr>
        <w:t xml:space="preserve"> the Company's default on such indebtedness.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If the Company had breached any of the provisions in the underlying agreements at December 28, 2019, it could have been required to post full collateral or settle its obligations under the Company’s interest </w:t>
      </w:r>
      <w:r>
        <w:rPr>
          <w:rFonts w:eastAsia="Times New Roman"/>
          <w:color w:val="000000"/>
          <w:sz w:val="20"/>
          <w:szCs w:val="20"/>
        </w:rPr>
        <w:t>rate swap agreements. However, as of December 28, 2019, the Company had not breached any of these provisions or posted any collateral related to the underlying interest rate swap agreements</w:t>
      </w:r>
      <w:r>
        <w:rPr>
          <w:rFonts w:eastAsia="Times New Roman"/>
          <w:color w:val="000000"/>
          <w:sz w:val="20"/>
          <w:szCs w:val="20"/>
        </w:rPr>
        <w:t>.</w:t>
      </w:r>
    </w:p>
    <w:p w:rsidR="00000000" w:rsidRDefault="00CB61D5">
      <w:pPr>
        <w:divId w:val="1601110271"/>
        <w:rPr>
          <w:rFonts w:eastAsia="Times New Roman"/>
        </w:rPr>
      </w:pPr>
    </w:p>
    <w:p w:rsidR="00000000" w:rsidRDefault="00CB61D5">
      <w:pPr>
        <w:jc w:val="both"/>
        <w:rPr>
          <w:rFonts w:eastAsia="Times New Roman"/>
        </w:rPr>
      </w:pPr>
      <w:r>
        <w:rPr>
          <w:rFonts w:eastAsia="Times New Roman"/>
          <w:b/>
          <w:bCs/>
          <w:color w:val="000000"/>
          <w:sz w:val="20"/>
          <w:szCs w:val="20"/>
        </w:rPr>
        <w:t>Note 6 – Leases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leases the majority of its retai</w:t>
      </w:r>
      <w:r>
        <w:rPr>
          <w:rFonts w:eastAsia="Times New Roman"/>
          <w:color w:val="000000"/>
          <w:sz w:val="20"/>
          <w:szCs w:val="20"/>
        </w:rPr>
        <w:t>l store locations, two distribution sites, its Merchandise Innovation Center, and certain equipment under various non-cancellable operating leases. The leases have varying terms and expire at various dates through 2037.  Store leases typically have initial</w:t>
      </w:r>
      <w:r>
        <w:rPr>
          <w:rFonts w:eastAsia="Times New Roman"/>
          <w:color w:val="000000"/>
          <w:sz w:val="20"/>
          <w:szCs w:val="20"/>
        </w:rPr>
        <w:t xml:space="preserve"> terms of between 10 and 15 years, with two to four optional renewal periods of five years each.  The exercise of lease renewal options is at our sole discretion. The Company has included lease renewal options in the lease term for calculations of its righ</w:t>
      </w:r>
      <w:r>
        <w:rPr>
          <w:rFonts w:eastAsia="Times New Roman"/>
          <w:color w:val="000000"/>
          <w:sz w:val="20"/>
          <w:szCs w:val="20"/>
        </w:rPr>
        <w:t>t-of-use assets and liabilities when it is reasonably certain that the Company plans to renew these leases. Our lease agreements do not contain any material residual value guarantees or material restrictive covenants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accounts for lease compo</w:t>
      </w:r>
      <w:r>
        <w:rPr>
          <w:rFonts w:eastAsia="Times New Roman"/>
          <w:color w:val="000000"/>
          <w:sz w:val="20"/>
          <w:szCs w:val="20"/>
        </w:rPr>
        <w:t>nents (e.g., fixed payments including rent, real estate taxes, and insurance costs) together with non-lease components (e.g., fixed payment common-area maintenance) as a single component for all classes of underlying assets. Certain lease agreements requir</w:t>
      </w:r>
      <w:r>
        <w:rPr>
          <w:rFonts w:eastAsia="Times New Roman"/>
          <w:color w:val="000000"/>
          <w:sz w:val="20"/>
          <w:szCs w:val="20"/>
        </w:rPr>
        <w:t>e variable payments based upon actual costs of common-area maintenance, real estate taxes, and insurance. Further, certain lease agreements require variable payments based upon store sales above agreed-upon sales levels for the year and others require paym</w:t>
      </w:r>
      <w:r>
        <w:rPr>
          <w:rFonts w:eastAsia="Times New Roman"/>
          <w:color w:val="000000"/>
          <w:sz w:val="20"/>
          <w:szCs w:val="20"/>
        </w:rPr>
        <w:t>ents adjusted periodically for inflation. As substantially all of our leases do not provide an implicit rate, we estimate our collateralized incremental borrowing rate based upon a synthetic credit rating and yield curve analysis at commencement or modific</w:t>
      </w:r>
      <w:r>
        <w:rPr>
          <w:rFonts w:eastAsia="Times New Roman"/>
          <w:color w:val="000000"/>
          <w:sz w:val="20"/>
          <w:szCs w:val="20"/>
        </w:rPr>
        <w:t>ation date in determining the present value of lease payments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045522064"/>
        <w:rPr>
          <w:rFonts w:eastAsia="Times New Roman"/>
        </w:rPr>
      </w:pPr>
      <w:r>
        <w:rPr>
          <w:rFonts w:eastAsia="Times New Roman"/>
          <w:color w:val="000000"/>
          <w:sz w:val="20"/>
          <w:szCs w:val="20"/>
        </w:rPr>
        <w:t>6</w:t>
      </w:r>
      <w:r>
        <w:rPr>
          <w:rFonts w:eastAsia="Times New Roman"/>
          <w:color w:val="000000"/>
          <w:sz w:val="20"/>
          <w:szCs w:val="20"/>
        </w:rPr>
        <w:t>4</w:t>
      </w:r>
    </w:p>
    <w:p w:rsidR="00000000" w:rsidRDefault="00CB61D5">
      <w:pPr>
        <w:rPr>
          <w:rFonts w:eastAsia="Times New Roman"/>
        </w:rPr>
      </w:pPr>
      <w:r>
        <w:rPr>
          <w:rFonts w:eastAsia="Times New Roman"/>
        </w:rPr>
        <w:pict>
          <v:rect id="_x0000_i1093" style="width:0;height:1.5pt" o:hralign="center" o:hrstd="t" o:hr="t" fillcolor="#a0a0a0" stroked="f"/>
        </w:pict>
      </w:r>
    </w:p>
    <w:p w:rsidR="00000000" w:rsidRDefault="00CB61D5">
      <w:pPr>
        <w:divId w:val="1319260327"/>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 has elected not to recognize leases with an original term of one year or less on the balance sheet. Short-</w:t>
      </w:r>
      <w:r>
        <w:rPr>
          <w:rFonts w:eastAsia="Times New Roman"/>
          <w:color w:val="000000"/>
          <w:sz w:val="20"/>
          <w:szCs w:val="20"/>
        </w:rPr>
        <w:t>term lease cost during the periods presented was immaterial</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addition to the operating lease right-of-use assets presented on the Consolidated Balance Sheets, assets, net of accumulated amortization, under finance leases of $30.9 million are recorded </w:t>
      </w:r>
      <w:r>
        <w:rPr>
          <w:rFonts w:eastAsia="Times New Roman"/>
          <w:color w:val="000000"/>
          <w:sz w:val="20"/>
          <w:szCs w:val="20"/>
        </w:rPr>
        <w:t>within the Property and equipment, net line on the Consolidated Balance Sheets as of December 28, 2019.</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Company’s classification of lease cost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2537"/>
        <w:gridCol w:w="65"/>
        <w:gridCol w:w="36"/>
        <w:gridCol w:w="36"/>
        <w:gridCol w:w="36"/>
        <w:gridCol w:w="54"/>
        <w:gridCol w:w="3957"/>
        <w:gridCol w:w="65"/>
        <w:gridCol w:w="36"/>
        <w:gridCol w:w="36"/>
        <w:gridCol w:w="36"/>
        <w:gridCol w:w="135"/>
        <w:gridCol w:w="1127"/>
        <w:gridCol w:w="85"/>
      </w:tblGrid>
      <w:tr w:rsidR="00000000">
        <w:trPr>
          <w:divId w:val="1125076330"/>
          <w:jc w:val="center"/>
        </w:trPr>
        <w:tc>
          <w:tcPr>
            <w:tcW w:w="50" w:type="pct"/>
            <w:vAlign w:val="center"/>
            <w:hideMark/>
          </w:tcPr>
          <w:p w:rsidR="00000000" w:rsidRDefault="00CB61D5">
            <w:pPr>
              <w:jc w:val="both"/>
              <w:rPr>
                <w:rFonts w:eastAsia="Times New Roman"/>
              </w:rPr>
            </w:pPr>
          </w:p>
        </w:tc>
        <w:tc>
          <w:tcPr>
            <w:tcW w:w="15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39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125076330"/>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Year Ende</w:t>
            </w:r>
            <w:r>
              <w:rPr>
                <w:rFonts w:eastAsia="Times New Roman"/>
                <w:b/>
                <w:bCs/>
                <w:color w:val="000000"/>
                <w:sz w:val="20"/>
                <w:szCs w:val="20"/>
              </w:rPr>
              <w:t>d</w:t>
            </w:r>
          </w:p>
        </w:tc>
      </w:tr>
      <w:tr w:rsidR="00000000">
        <w:trPr>
          <w:divId w:val="1125076330"/>
          <w:jc w:val="center"/>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Statement of Income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r>
      <w:tr w:rsidR="00000000">
        <w:trPr>
          <w:divId w:val="1125076330"/>
          <w:jc w:val="center"/>
        </w:trPr>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Finance lease cost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125076330"/>
          <w:jc w:val="center"/>
        </w:trPr>
        <w:tc>
          <w:tcPr>
            <w:tcW w:w="0" w:type="auto"/>
            <w:gridSpan w:val="3"/>
            <w:tcMar>
              <w:top w:w="30" w:type="dxa"/>
              <w:left w:w="135" w:type="dxa"/>
              <w:bottom w:w="30" w:type="dxa"/>
              <w:right w:w="20" w:type="dxa"/>
            </w:tcMar>
            <w:vAlign w:val="center"/>
            <w:hideMark/>
          </w:tcPr>
          <w:p w:rsidR="00000000" w:rsidRDefault="00CB61D5">
            <w:pPr>
              <w:rPr>
                <w:rFonts w:eastAsia="Times New Roman"/>
              </w:rPr>
            </w:pPr>
            <w:r>
              <w:rPr>
                <w:rFonts w:eastAsia="Times New Roman"/>
                <w:color w:val="000000"/>
                <w:sz w:val="20"/>
                <w:szCs w:val="20"/>
              </w:rPr>
              <w:t>Amortization of lease asset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4,281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25076330"/>
          <w:jc w:val="center"/>
        </w:trPr>
        <w:tc>
          <w:tcPr>
            <w:tcW w:w="0" w:type="auto"/>
            <w:gridSpan w:val="3"/>
            <w:shd w:val="clear" w:color="auto" w:fill="CCEEFF"/>
            <w:tcMar>
              <w:top w:w="30" w:type="dxa"/>
              <w:left w:w="135" w:type="dxa"/>
              <w:bottom w:w="30" w:type="dxa"/>
              <w:right w:w="20" w:type="dxa"/>
            </w:tcMar>
            <w:vAlign w:val="center"/>
            <w:hideMark/>
          </w:tcPr>
          <w:p w:rsidR="00000000" w:rsidRDefault="00CB61D5">
            <w:pPr>
              <w:rPr>
                <w:rFonts w:eastAsia="Times New Roman"/>
              </w:rPr>
            </w:pPr>
            <w:r>
              <w:rPr>
                <w:rFonts w:eastAsia="Times New Roman"/>
                <w:color w:val="000000"/>
                <w:sz w:val="20"/>
                <w:szCs w:val="20"/>
              </w:rPr>
              <w:t>Interest on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25076330"/>
          <w:jc w:val="center"/>
        </w:trPr>
        <w:tc>
          <w:tcPr>
            <w:tcW w:w="0" w:type="auto"/>
            <w:gridSpan w:val="3"/>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Operating lease cos</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353,961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25076330"/>
          <w:jc w:val="center"/>
        </w:trPr>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Variable lease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CB61D5">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73,768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125076330"/>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lease cos</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433,639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future maturities of the Company’s lease liabilities (in thousands)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4877"/>
        <w:gridCol w:w="37"/>
        <w:gridCol w:w="36"/>
        <w:gridCol w:w="36"/>
        <w:gridCol w:w="36"/>
        <w:gridCol w:w="135"/>
        <w:gridCol w:w="865"/>
        <w:gridCol w:w="85"/>
        <w:gridCol w:w="36"/>
        <w:gridCol w:w="36"/>
        <w:gridCol w:w="36"/>
        <w:gridCol w:w="135"/>
        <w:gridCol w:w="615"/>
        <w:gridCol w:w="85"/>
        <w:gridCol w:w="36"/>
        <w:gridCol w:w="36"/>
        <w:gridCol w:w="36"/>
        <w:gridCol w:w="135"/>
        <w:gridCol w:w="865"/>
        <w:gridCol w:w="85"/>
      </w:tblGrid>
      <w:tr w:rsidR="00000000">
        <w:trPr>
          <w:divId w:val="1466579194"/>
          <w:jc w:val="center"/>
        </w:trPr>
        <w:tc>
          <w:tcPr>
            <w:tcW w:w="50" w:type="pct"/>
            <w:vAlign w:val="center"/>
            <w:hideMark/>
          </w:tcPr>
          <w:p w:rsidR="00000000" w:rsidRDefault="00CB61D5">
            <w:pPr>
              <w:jc w:val="both"/>
              <w:rPr>
                <w:rFonts w:eastAsia="Times New Roman"/>
              </w:rPr>
            </w:pPr>
          </w:p>
        </w:tc>
        <w:tc>
          <w:tcPr>
            <w:tcW w:w="315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4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4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66579194"/>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Operating Leases</w:t>
            </w:r>
            <w:r>
              <w:rPr>
                <w:rFonts w:eastAsia="Times New Roman"/>
                <w:b/>
                <w:bCs/>
                <w:color w:val="000000"/>
                <w:sz w:val="20"/>
                <w:szCs w:val="20"/>
              </w:rPr>
              <w:t xml:space="preserve"> </w:t>
            </w:r>
            <w:r>
              <w:rPr>
                <w:rFonts w:eastAsia="Times New Roman"/>
                <w:b/>
                <w:bCs/>
                <w:color w:val="000000"/>
                <w:sz w:val="13"/>
                <w:szCs w:val="13"/>
                <w:vertAlign w:val="superscript"/>
              </w:rPr>
              <w:t>(a)</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Finance Leases</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Total</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r>
      <w:tr w:rsidR="00000000">
        <w:trPr>
          <w:divId w:val="146657919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369,079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374,742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350,527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356,250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326,908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331,509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301,783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3,409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305,192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268,255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271,679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After 202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1,169,671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21,818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1,191,489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lease payment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2,786,223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44,638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2,830,861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Interes</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(507,962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(10,213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(518,175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6657919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Present value of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2,278,261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34,425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2,312,686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ind w:hanging="270"/>
        <w:divId w:val="1604193096"/>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w:t>
      </w:r>
      <w:r>
        <w:rPr>
          <w:rFonts w:eastAsia="Times New Roman"/>
          <w:color w:val="000000"/>
          <w:sz w:val="16"/>
          <w:szCs w:val="16"/>
        </w:rPr>
        <w:t xml:space="preserve"> Operating lease payments exclude $212.8 million of legally binding minimum lease payments for leases signed, but not yet commenced</w:t>
      </w:r>
      <w:r>
        <w:rPr>
          <w:rFonts w:eastAsia="Times New Roman"/>
          <w:color w:val="000000"/>
          <w:sz w:val="16"/>
          <w:szCs w:val="16"/>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Company’s lease term and discount rate</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3"/>
        <w:gridCol w:w="6703"/>
        <w:gridCol w:w="54"/>
        <w:gridCol w:w="36"/>
        <w:gridCol w:w="36"/>
        <w:gridCol w:w="36"/>
        <w:gridCol w:w="57"/>
        <w:gridCol w:w="1104"/>
        <w:gridCol w:w="202"/>
      </w:tblGrid>
      <w:tr w:rsidR="00000000">
        <w:trPr>
          <w:divId w:val="1795713404"/>
          <w:jc w:val="center"/>
        </w:trPr>
        <w:tc>
          <w:tcPr>
            <w:tcW w:w="50" w:type="pct"/>
            <w:vAlign w:val="center"/>
            <w:hideMark/>
          </w:tcPr>
          <w:p w:rsidR="00000000" w:rsidRDefault="00CB61D5">
            <w:pPr>
              <w:jc w:val="both"/>
              <w:rPr>
                <w:rFonts w:eastAsia="Times New Roman"/>
              </w:rPr>
            </w:pPr>
          </w:p>
        </w:tc>
        <w:tc>
          <w:tcPr>
            <w:tcW w:w="406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795713404"/>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r>
      <w:tr w:rsidR="00000000">
        <w:trPr>
          <w:divId w:val="179571340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Weighted-average remaining lease term (years)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795713404"/>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10.</w:t>
            </w:r>
            <w:r>
              <w:rPr>
                <w:rFonts w:eastAsia="Times New Roman"/>
                <w:color w:val="000000"/>
                <w:sz w:val="20"/>
                <w:szCs w:val="20"/>
              </w:rPr>
              <w:t>0</w:t>
            </w:r>
          </w:p>
        </w:tc>
      </w:tr>
      <w:tr w:rsidR="00000000">
        <w:trPr>
          <w:divId w:val="1795713404"/>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9.</w:t>
            </w:r>
            <w:r>
              <w:rPr>
                <w:rFonts w:eastAsia="Times New Roman"/>
                <w:color w:val="000000"/>
                <w:sz w:val="20"/>
                <w:szCs w:val="20"/>
              </w:rPr>
              <w:t>0</w:t>
            </w:r>
          </w:p>
        </w:tc>
      </w:tr>
      <w:tr w:rsidR="00000000">
        <w:trPr>
          <w:divId w:val="1795713404"/>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Weighted-average discount rate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795713404"/>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r>
      <w:tr w:rsidR="00000000">
        <w:trPr>
          <w:divId w:val="1795713404"/>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summarizes the other information related to the Company’s lease liabilities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6736"/>
        <w:gridCol w:w="61"/>
        <w:gridCol w:w="36"/>
        <w:gridCol w:w="36"/>
        <w:gridCol w:w="36"/>
        <w:gridCol w:w="136"/>
        <w:gridCol w:w="1119"/>
        <w:gridCol w:w="86"/>
      </w:tblGrid>
      <w:tr w:rsidR="00000000">
        <w:trPr>
          <w:divId w:val="651983264"/>
          <w:jc w:val="center"/>
        </w:trPr>
        <w:tc>
          <w:tcPr>
            <w:tcW w:w="50" w:type="pct"/>
            <w:vAlign w:val="center"/>
            <w:hideMark/>
          </w:tcPr>
          <w:p w:rsidR="00000000" w:rsidRDefault="00CB61D5">
            <w:pPr>
              <w:jc w:val="both"/>
              <w:rPr>
                <w:rFonts w:eastAsia="Times New Roman"/>
              </w:rPr>
            </w:pPr>
          </w:p>
        </w:tc>
        <w:tc>
          <w:tcPr>
            <w:tcW w:w="406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9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651983264"/>
          <w:jc w:val="center"/>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Year Ende</w:t>
            </w:r>
            <w:r>
              <w:rPr>
                <w:rFonts w:eastAsia="Times New Roman"/>
                <w:b/>
                <w:bCs/>
                <w:color w:val="000000"/>
                <w:sz w:val="20"/>
                <w:szCs w:val="20"/>
              </w:rPr>
              <w:t>d</w:t>
            </w:r>
          </w:p>
        </w:tc>
      </w:tr>
      <w:tr w:rsidR="00000000">
        <w:trPr>
          <w:divId w:val="651983264"/>
          <w:jc w:val="center"/>
        </w:trPr>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r>
      <w:tr w:rsidR="00000000">
        <w:trPr>
          <w:divId w:val="651983264"/>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Cash paid for amounts included in the measurement of lease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651983264"/>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Financing cash flows from finance lease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3,709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651983264"/>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cash flows from finance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651983264"/>
          <w:jc w:val="center"/>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Operating cash flows from operating lease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360,580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p>
    <w:p w:rsidR="00000000" w:rsidRDefault="00CB61D5">
      <w:pPr>
        <w:jc w:val="center"/>
        <w:divId w:val="692462132"/>
        <w:rPr>
          <w:rFonts w:eastAsia="Times New Roman"/>
        </w:rPr>
      </w:pPr>
      <w:r>
        <w:rPr>
          <w:rFonts w:eastAsia="Times New Roman"/>
          <w:color w:val="000000"/>
          <w:sz w:val="20"/>
          <w:szCs w:val="20"/>
        </w:rPr>
        <w:t>6</w:t>
      </w:r>
      <w:r>
        <w:rPr>
          <w:rFonts w:eastAsia="Times New Roman"/>
          <w:color w:val="000000"/>
          <w:sz w:val="20"/>
          <w:szCs w:val="20"/>
        </w:rPr>
        <w:t>5</w:t>
      </w:r>
    </w:p>
    <w:p w:rsidR="00000000" w:rsidRDefault="00CB61D5">
      <w:pPr>
        <w:rPr>
          <w:rFonts w:eastAsia="Times New Roman"/>
        </w:rPr>
      </w:pPr>
      <w:r>
        <w:rPr>
          <w:rFonts w:eastAsia="Times New Roman"/>
        </w:rPr>
        <w:pict>
          <v:rect id="_x0000_i1094" style="width:0;height:1.5pt" o:hralign="center" o:hrstd="t" o:hr="t" fillcolor="#a0a0a0" stroked="f"/>
        </w:pict>
      </w:r>
    </w:p>
    <w:p w:rsidR="00000000" w:rsidRDefault="00CB61D5">
      <w:pPr>
        <w:divId w:val="326176315"/>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 adopted new lease accounting guidance in the first quarter of fiscal 2019, as discussed in Note 1 and Note 14 to the Consolidated Financial Statements, and as required, the f</w:t>
      </w:r>
      <w:r>
        <w:rPr>
          <w:rFonts w:eastAsia="Times New Roman"/>
          <w:color w:val="000000"/>
          <w:sz w:val="20"/>
          <w:szCs w:val="20"/>
        </w:rPr>
        <w:t>ollowing disclosure is provided for periods prior to adoption. As of December 29, 2018 future minimum payments, by year and in the aggregate, under leases with initial or remaining terms of one year or more consisted of the following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5838"/>
        <w:gridCol w:w="86"/>
        <w:gridCol w:w="36"/>
        <w:gridCol w:w="36"/>
        <w:gridCol w:w="36"/>
        <w:gridCol w:w="135"/>
        <w:gridCol w:w="809"/>
        <w:gridCol w:w="85"/>
        <w:gridCol w:w="36"/>
        <w:gridCol w:w="36"/>
        <w:gridCol w:w="36"/>
        <w:gridCol w:w="135"/>
        <w:gridCol w:w="865"/>
        <w:gridCol w:w="85"/>
      </w:tblGrid>
      <w:tr w:rsidR="00000000">
        <w:trPr>
          <w:divId w:val="1023046099"/>
        </w:trPr>
        <w:tc>
          <w:tcPr>
            <w:tcW w:w="50" w:type="pct"/>
            <w:vAlign w:val="center"/>
            <w:hideMark/>
          </w:tcPr>
          <w:p w:rsidR="00000000" w:rsidRDefault="00CB61D5">
            <w:pPr>
              <w:jc w:val="both"/>
              <w:rPr>
                <w:rFonts w:eastAsia="Times New Roman"/>
              </w:rPr>
            </w:pPr>
          </w:p>
        </w:tc>
        <w:tc>
          <w:tcPr>
            <w:tcW w:w="355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3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023046099"/>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Capita</w:t>
            </w:r>
            <w:r>
              <w:rPr>
                <w:rFonts w:eastAsia="Times New Roman"/>
                <w:b/>
                <w:bCs/>
                <w:color w:val="000000"/>
                <w:sz w:val="20"/>
                <w:szCs w:val="20"/>
              </w:rPr>
              <w:t>l</w:t>
            </w:r>
          </w:p>
          <w:p w:rsidR="00000000" w:rsidRDefault="00CB61D5">
            <w:pPr>
              <w:jc w:val="center"/>
              <w:rPr>
                <w:rFonts w:eastAsia="Times New Roman"/>
              </w:rPr>
            </w:pPr>
            <w:r>
              <w:rPr>
                <w:rFonts w:eastAsia="Times New Roman"/>
                <w:b/>
                <w:bCs/>
                <w:color w:val="000000"/>
                <w:sz w:val="20"/>
                <w:szCs w:val="20"/>
              </w:rPr>
              <w:t>Lease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Operatin</w:t>
            </w:r>
            <w:r>
              <w:rPr>
                <w:rFonts w:eastAsia="Times New Roman"/>
                <w:b/>
                <w:bCs/>
                <w:color w:val="000000"/>
                <w:sz w:val="20"/>
                <w:szCs w:val="20"/>
              </w:rPr>
              <w:t>g</w:t>
            </w:r>
          </w:p>
          <w:p w:rsidR="00000000" w:rsidRDefault="00CB61D5">
            <w:pPr>
              <w:jc w:val="center"/>
              <w:rPr>
                <w:rFonts w:eastAsia="Times New Roman"/>
              </w:rPr>
            </w:pPr>
            <w:r>
              <w:rPr>
                <w:rFonts w:eastAsia="Times New Roman"/>
                <w:b/>
                <w:bCs/>
                <w:color w:val="000000"/>
                <w:sz w:val="20"/>
                <w:szCs w:val="20"/>
              </w:rPr>
              <w:t>Lease</w:t>
            </w:r>
            <w:r>
              <w:rPr>
                <w:rFonts w:eastAsia="Times New Roman"/>
                <w:b/>
                <w:bCs/>
                <w:color w:val="000000"/>
                <w:sz w:val="20"/>
                <w:szCs w:val="20"/>
              </w:rPr>
              <w:t>s</w:t>
            </w:r>
          </w:p>
        </w:tc>
      </w:tr>
      <w:tr w:rsidR="00000000">
        <w:trPr>
          <w:divId w:val="1023046099"/>
        </w:trPr>
        <w:tc>
          <w:tcPr>
            <w:tcW w:w="0" w:type="auto"/>
            <w:gridSpan w:val="2"/>
            <w:shd w:val="clear" w:color="auto" w:fill="CCEEFF"/>
            <w:tcMar>
              <w:top w:w="30" w:type="dxa"/>
              <w:left w:w="20" w:type="dxa"/>
              <w:bottom w:w="30" w:type="dxa"/>
              <w:right w:w="0" w:type="dxa"/>
            </w:tcMar>
            <w:vAlign w:val="bottom"/>
            <w:hideMark/>
          </w:tcPr>
          <w:p w:rsidR="00000000" w:rsidRDefault="00CB61D5">
            <w:pPr>
              <w:rPr>
                <w:rFonts w:eastAsia="Times New Roman"/>
              </w:rPr>
            </w:pPr>
            <w:r>
              <w:rPr>
                <w:rFonts w:eastAsia="Times New Roman"/>
                <w:color w:val="000000"/>
                <w:sz w:val="20"/>
                <w:szCs w:val="20"/>
              </w:rPr>
              <w:t>2019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344,836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2"/>
            <w:shd w:val="clear" w:color="auto" w:fill="FFFFFF"/>
            <w:tcMar>
              <w:top w:w="30" w:type="dxa"/>
              <w:left w:w="20" w:type="dxa"/>
              <w:bottom w:w="30" w:type="dxa"/>
              <w:right w:w="0" w:type="dxa"/>
            </w:tcMar>
            <w:vAlign w:val="bottom"/>
            <w:hideMark/>
          </w:tcPr>
          <w:p w:rsidR="00000000" w:rsidRDefault="00CB61D5">
            <w:pPr>
              <w:rPr>
                <w:rFonts w:eastAsia="Times New Roman"/>
              </w:rPr>
            </w:pPr>
            <w:r>
              <w:rPr>
                <w:rFonts w:eastAsia="Times New Roman"/>
                <w:color w:val="000000"/>
                <w:sz w:val="20"/>
                <w:szCs w:val="20"/>
              </w:rPr>
              <w:t>2020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328,589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2"/>
            <w:shd w:val="clear" w:color="auto" w:fill="CCEEFF"/>
            <w:tcMar>
              <w:top w:w="30" w:type="dxa"/>
              <w:left w:w="20" w:type="dxa"/>
              <w:bottom w:w="30" w:type="dxa"/>
              <w:right w:w="0" w:type="dxa"/>
            </w:tcMar>
            <w:vAlign w:val="bottom"/>
            <w:hideMark/>
          </w:tcPr>
          <w:p w:rsidR="00000000" w:rsidRDefault="00CB61D5">
            <w:pPr>
              <w:rPr>
                <w:rFonts w:eastAsia="Times New Roman"/>
              </w:rPr>
            </w:pPr>
            <w:r>
              <w:rPr>
                <w:rFonts w:eastAsia="Times New Roman"/>
                <w:color w:val="000000"/>
                <w:sz w:val="20"/>
                <w:szCs w:val="20"/>
              </w:rPr>
              <w:t>2021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306,572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2"/>
            <w:shd w:val="clear" w:color="auto" w:fill="FFFFFF"/>
            <w:tcMar>
              <w:top w:w="30" w:type="dxa"/>
              <w:left w:w="20" w:type="dxa"/>
              <w:bottom w:w="30" w:type="dxa"/>
              <w:right w:w="0" w:type="dxa"/>
            </w:tcMar>
            <w:vAlign w:val="bottom"/>
            <w:hideMark/>
          </w:tcPr>
          <w:p w:rsidR="00000000" w:rsidRDefault="00CB61D5">
            <w:pPr>
              <w:rPr>
                <w:rFonts w:eastAsia="Times New Roman"/>
              </w:rPr>
            </w:pPr>
            <w:r>
              <w:rPr>
                <w:rFonts w:eastAsia="Times New Roman"/>
                <w:color w:val="000000"/>
                <w:sz w:val="20"/>
                <w:szCs w:val="20"/>
              </w:rPr>
              <w:t>2022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284,327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2"/>
            <w:shd w:val="clear" w:color="auto" w:fill="CCEEFF"/>
            <w:tcMar>
              <w:top w:w="30" w:type="dxa"/>
              <w:left w:w="20" w:type="dxa"/>
              <w:bottom w:w="30" w:type="dxa"/>
              <w:right w:w="0" w:type="dxa"/>
            </w:tcMar>
            <w:vAlign w:val="bottom"/>
            <w:hideMark/>
          </w:tcPr>
          <w:p w:rsidR="00000000" w:rsidRDefault="00CB61D5">
            <w:pPr>
              <w:rPr>
                <w:rFonts w:eastAsia="Times New Roman"/>
              </w:rPr>
            </w:pPr>
            <w:r>
              <w:rPr>
                <w:rFonts w:eastAsia="Times New Roman"/>
                <w:color w:val="000000"/>
                <w:sz w:val="20"/>
                <w:szCs w:val="20"/>
              </w:rPr>
              <w:t>2023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260,518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20,169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1,175,972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minimum lease payment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43,064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2,700,814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Amount representing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(10,148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Present value of minimum lease payment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32,916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Less: current portio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023046099"/>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Long-term capital lease obligation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29,270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divId w:val="1151167503"/>
        <w:rPr>
          <w:rFonts w:eastAsia="Times New Roman"/>
        </w:rPr>
      </w:pPr>
    </w:p>
    <w:p w:rsidR="00000000" w:rsidRDefault="00CB61D5">
      <w:pPr>
        <w:jc w:val="both"/>
        <w:rPr>
          <w:rFonts w:eastAsia="Times New Roman"/>
        </w:rPr>
      </w:pPr>
      <w:r>
        <w:rPr>
          <w:rFonts w:eastAsia="Times New Roman"/>
          <w:color w:val="000000"/>
          <w:sz w:val="20"/>
          <w:szCs w:val="20"/>
        </w:rPr>
        <w:t xml:space="preserve">Total rent expense was approximately $342.2 million and $319.5 million for fiscal 2018 and 2017, respectively. </w:t>
      </w:r>
      <w:r>
        <w:rPr>
          <w:rFonts w:eastAsia="Times New Roman"/>
          <w:color w:val="000000"/>
          <w:sz w:val="20"/>
          <w:szCs w:val="20"/>
        </w:rPr>
        <w:t>Total contingent rent expense was insignificant for fiscal 2018 and 2017</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Note 7 – Capital Stock and Dividends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u w:val="single"/>
        </w:rPr>
        <w:t>Capital Stoc</w:t>
      </w:r>
      <w:r>
        <w:rPr>
          <w:rFonts w:eastAsia="Times New Roman"/>
          <w:color w:val="000000"/>
          <w:sz w:val="20"/>
          <w:szCs w:val="20"/>
          <w:u w:val="single"/>
        </w:rPr>
        <w:t>k</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u w:val="single"/>
        </w:rPr>
        <w:t>Dividend</w:t>
      </w:r>
      <w:r>
        <w:rPr>
          <w:rFonts w:eastAsia="Times New Roman"/>
          <w:color w:val="000000"/>
          <w:sz w:val="20"/>
          <w:szCs w:val="20"/>
          <w:u w:val="single"/>
        </w:rPr>
        <w:t>s</w:t>
      </w:r>
    </w:p>
    <w:p w:rsidR="00000000" w:rsidRDefault="00CB61D5">
      <w:pPr>
        <w:jc w:val="both"/>
        <w:rPr>
          <w:rFonts w:eastAsia="Times New Roman"/>
        </w:rPr>
      </w:pPr>
    </w:p>
    <w:p w:rsidR="00000000" w:rsidRDefault="00CB61D5">
      <w:pPr>
        <w:divId w:val="317467410"/>
        <w:rPr>
          <w:rFonts w:eastAsia="Times New Roman"/>
        </w:rPr>
      </w:pPr>
      <w:r>
        <w:rPr>
          <w:rFonts w:eastAsia="Times New Roman"/>
          <w:color w:val="000000"/>
          <w:sz w:val="20"/>
          <w:szCs w:val="20"/>
        </w:rPr>
        <w:t>During fiscal 2019 and 2018, the Company’s Board of Directors declared the following cash dividends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1"/>
        <w:gridCol w:w="2191"/>
        <w:gridCol w:w="71"/>
        <w:gridCol w:w="36"/>
        <w:gridCol w:w="36"/>
        <w:gridCol w:w="36"/>
        <w:gridCol w:w="66"/>
        <w:gridCol w:w="1267"/>
        <w:gridCol w:w="85"/>
        <w:gridCol w:w="36"/>
        <w:gridCol w:w="36"/>
        <w:gridCol w:w="36"/>
        <w:gridCol w:w="66"/>
        <w:gridCol w:w="2045"/>
        <w:gridCol w:w="71"/>
        <w:gridCol w:w="36"/>
        <w:gridCol w:w="36"/>
        <w:gridCol w:w="36"/>
        <w:gridCol w:w="66"/>
        <w:gridCol w:w="1912"/>
        <w:gridCol w:w="71"/>
      </w:tblGrid>
      <w:tr w:rsidR="00000000">
        <w:trPr>
          <w:divId w:val="1025254448"/>
        </w:trPr>
        <w:tc>
          <w:tcPr>
            <w:tcW w:w="50" w:type="pct"/>
            <w:vAlign w:val="center"/>
            <w:hideMark/>
          </w:tcPr>
          <w:p w:rsidR="00000000" w:rsidRDefault="00CB61D5">
            <w:pPr>
              <w:rPr>
                <w:rFonts w:eastAsia="Times New Roman"/>
              </w:rPr>
            </w:pPr>
          </w:p>
        </w:tc>
        <w:tc>
          <w:tcPr>
            <w:tcW w:w="132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6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23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157"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02525444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10252544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December 10, 201</w:t>
            </w:r>
            <w:r>
              <w:rPr>
                <w:rFonts w:eastAsia="Times New Roman"/>
                <w:color w:val="000000"/>
                <w:sz w:val="20"/>
                <w:szCs w:val="20"/>
              </w:rPr>
              <w:t>9</w:t>
            </w:r>
          </w:p>
        </w:tc>
      </w:tr>
      <w:tr w:rsidR="00000000">
        <w:trPr>
          <w:divId w:val="102525444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7,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26,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September 10, 201</w:t>
            </w:r>
            <w:r>
              <w:rPr>
                <w:rFonts w:eastAsia="Times New Roman"/>
                <w:color w:val="000000"/>
                <w:sz w:val="20"/>
                <w:szCs w:val="20"/>
              </w:rPr>
              <w:t>9</w:t>
            </w:r>
          </w:p>
        </w:tc>
      </w:tr>
      <w:tr w:rsidR="00000000">
        <w:trPr>
          <w:divId w:val="102525444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102525444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r w:rsidR="00000000">
        <w:trPr>
          <w:divId w:val="1025254448"/>
          <w:trHeight w:val="300"/>
        </w:trPr>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02525444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7,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November 26,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December 11, 201</w:t>
            </w:r>
            <w:r>
              <w:rPr>
                <w:rFonts w:eastAsia="Times New Roman"/>
                <w:color w:val="000000"/>
                <w:sz w:val="20"/>
                <w:szCs w:val="20"/>
              </w:rPr>
              <w:t>8</w:t>
            </w:r>
          </w:p>
        </w:tc>
      </w:tr>
      <w:tr w:rsidR="00000000">
        <w:trPr>
          <w:divId w:val="102525444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8,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August 27,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September 11, 201</w:t>
            </w:r>
            <w:r>
              <w:rPr>
                <w:rFonts w:eastAsia="Times New Roman"/>
                <w:color w:val="000000"/>
                <w:sz w:val="20"/>
                <w:szCs w:val="20"/>
              </w:rPr>
              <w:t>8</w:t>
            </w:r>
          </w:p>
        </w:tc>
      </w:tr>
      <w:tr w:rsidR="00000000">
        <w:trPr>
          <w:divId w:val="1025254448"/>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9,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May 29, 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June 12, 201</w:t>
            </w:r>
            <w:r>
              <w:rPr>
                <w:rFonts w:eastAsia="Times New Roman"/>
                <w:color w:val="000000"/>
                <w:sz w:val="20"/>
                <w:szCs w:val="20"/>
              </w:rPr>
              <w:t>8</w:t>
            </w:r>
          </w:p>
        </w:tc>
      </w:tr>
      <w:tr w:rsidR="00000000">
        <w:trPr>
          <w:divId w:val="1025254448"/>
        </w:trPr>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7,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color w:val="000000"/>
                <w:sz w:val="20"/>
                <w:szCs w:val="20"/>
              </w:rPr>
              <w:t>$0.27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February 26,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color w:val="000000"/>
                <w:sz w:val="20"/>
                <w:szCs w:val="20"/>
              </w:rPr>
              <w:t>March 13, 201</w:t>
            </w:r>
            <w:r>
              <w:rPr>
                <w:rFonts w:eastAsia="Times New Roman"/>
                <w:color w:val="000000"/>
                <w:sz w:val="20"/>
                <w:szCs w:val="20"/>
              </w:rPr>
              <w:t>8</w:t>
            </w: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de</w:t>
      </w:r>
      <w:r>
        <w:rPr>
          <w:rFonts w:eastAsia="Times New Roman"/>
          <w:color w:val="000000"/>
          <w:sz w:val="20"/>
          <w:szCs w:val="20"/>
        </w:rPr>
        <w:t>pend upon the earnings, financial condition, and capital needs of the Company, along with any other factors which the Company’s Board of Directors deem relevant</w:t>
      </w:r>
      <w:r>
        <w:rPr>
          <w:rFonts w:eastAsia="Times New Roman"/>
          <w:color w:val="000000"/>
          <w:sz w:val="20"/>
          <w:szCs w:val="20"/>
        </w:rPr>
        <w:t>.</w:t>
      </w:r>
    </w:p>
    <w:p w:rsidR="00000000" w:rsidRDefault="00CB61D5">
      <w:pPr>
        <w:divId w:val="1576624671"/>
        <w:rPr>
          <w:rFonts w:eastAsia="Times New Roman"/>
        </w:rPr>
      </w:pPr>
    </w:p>
    <w:p w:rsidR="00000000" w:rsidRDefault="00CB61D5">
      <w:pPr>
        <w:jc w:val="center"/>
        <w:divId w:val="1500119250"/>
        <w:rPr>
          <w:rFonts w:eastAsia="Times New Roman"/>
        </w:rPr>
      </w:pPr>
      <w:r>
        <w:rPr>
          <w:rFonts w:eastAsia="Times New Roman"/>
          <w:color w:val="000000"/>
          <w:sz w:val="20"/>
          <w:szCs w:val="20"/>
        </w:rPr>
        <w:t>6</w:t>
      </w:r>
      <w:r>
        <w:rPr>
          <w:rFonts w:eastAsia="Times New Roman"/>
          <w:color w:val="000000"/>
          <w:sz w:val="20"/>
          <w:szCs w:val="20"/>
        </w:rPr>
        <w:t>6</w:t>
      </w:r>
    </w:p>
    <w:p w:rsidR="00000000" w:rsidRDefault="00CB61D5">
      <w:pPr>
        <w:rPr>
          <w:rFonts w:eastAsia="Times New Roman"/>
        </w:rPr>
      </w:pPr>
      <w:r>
        <w:rPr>
          <w:rFonts w:eastAsia="Times New Roman"/>
        </w:rPr>
        <w:pict>
          <v:rect id="_x0000_i1095" style="width:0;height:1.5pt" o:hralign="center" o:hrstd="t" o:hr="t" fillcolor="#a0a0a0" stroked="f"/>
        </w:pict>
      </w:r>
    </w:p>
    <w:p w:rsidR="00000000" w:rsidRDefault="00CB61D5">
      <w:pPr>
        <w:divId w:val="191623414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On February 5, 2020, the Company’s Board of Directors declared a quarterly cash dividend of $0.35 per share of the Company’s outstanding common stock.  The dividend will be paid on March 10, 2020, to stockholders of record as of the close of business on Fe</w:t>
      </w:r>
      <w:r>
        <w:rPr>
          <w:rFonts w:eastAsia="Times New Roman"/>
          <w:color w:val="000000"/>
          <w:sz w:val="20"/>
          <w:szCs w:val="20"/>
        </w:rPr>
        <w:t>bruary 24, 2020.</w:t>
      </w:r>
      <w:r>
        <w:rPr>
          <w:rFonts w:eastAsia="Times New Roman"/>
          <w:color w:val="000000"/>
          <w:sz w:val="20"/>
          <w:szCs w:val="20"/>
        </w:rPr>
        <w:t xml:space="preserve"> </w:t>
      </w:r>
    </w:p>
    <w:p w:rsidR="00000000" w:rsidRDefault="00CB61D5">
      <w:pPr>
        <w:divId w:val="322204603"/>
        <w:rPr>
          <w:rFonts w:eastAsia="Times New Roman"/>
        </w:rPr>
      </w:pPr>
    </w:p>
    <w:p w:rsidR="00000000" w:rsidRDefault="00CB61D5">
      <w:pPr>
        <w:jc w:val="both"/>
        <w:rPr>
          <w:rFonts w:eastAsia="Times New Roman"/>
        </w:rPr>
      </w:pPr>
      <w:r>
        <w:rPr>
          <w:rFonts w:eastAsia="Times New Roman"/>
          <w:b/>
          <w:bCs/>
          <w:color w:val="000000"/>
          <w:sz w:val="20"/>
          <w:szCs w:val="20"/>
        </w:rPr>
        <w:t>Note 8 – Treasury Stock</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Company’s Board of Directors has authorized common stock repurchases under a share repurchase program. </w:t>
      </w:r>
      <w:r>
        <w:rPr>
          <w:rFonts w:eastAsia="Times New Roman"/>
          <w:color w:val="000000"/>
          <w:sz w:val="20"/>
          <w:szCs w:val="20"/>
        </w:rPr>
        <w:t>As of December 29, 2018, the Company had remaining authorization under the share repurchase program of $520.0 million. On May 8, 2019, the Board of Directors authorized a $1.5 billion increase to the existing share repurchase program, bringing the total am</w:t>
      </w:r>
      <w:r>
        <w:rPr>
          <w:rFonts w:eastAsia="Times New Roman"/>
          <w:color w:val="000000"/>
          <w:sz w:val="20"/>
          <w:szCs w:val="20"/>
        </w:rPr>
        <w:t>ount authorized since the inception of the program up to $4.5 billion, exclusive of any fees, commissions or other expenses related to such repurchases. The repurchases may be made from time to time on the open market or in privately negotiated transaction</w:t>
      </w:r>
      <w:r>
        <w:rPr>
          <w:rFonts w:eastAsia="Times New Roman"/>
          <w:color w:val="000000"/>
          <w:sz w:val="20"/>
          <w:szCs w:val="20"/>
        </w:rPr>
        <w:t>s. The timing and amount of any shares repurchased under the program will depend on a variety of factors, including price, corporate and regulatory requirements, capital availability and other market conditions. Repurchased shares are accounted for at cost</w:t>
      </w:r>
      <w:r>
        <w:rPr>
          <w:rFonts w:eastAsia="Times New Roman"/>
          <w:color w:val="000000"/>
          <w:sz w:val="20"/>
          <w:szCs w:val="20"/>
        </w:rPr>
        <w:t xml:space="preserve"> and will be held in treasury for future issuance. The program may be limited or terminated at any time without prior notice. As of December 28, 2019, the Company had remaining authorization under the share repurchase program of $1.49 billion, exclusive of</w:t>
      </w:r>
      <w:r>
        <w:rPr>
          <w:rFonts w:eastAsia="Times New Roman"/>
          <w:color w:val="000000"/>
          <w:sz w:val="20"/>
          <w:szCs w:val="20"/>
        </w:rPr>
        <w:t xml:space="preserve"> any fees, commissions or other expenses.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in fiscal 2019, 2018, and 2017, respectively (in thousands, except per sha</w:t>
      </w:r>
      <w:r>
        <w:rPr>
          <w:rFonts w:eastAsia="Times New Roman"/>
          <w:color w:val="000000"/>
          <w:sz w:val="20"/>
          <w:szCs w:val="20"/>
        </w:rPr>
        <w:t>re amounts): </w:t>
      </w:r>
      <w:r>
        <w:rPr>
          <w:rFonts w:eastAsia="Times New Roman"/>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37"/>
        <w:gridCol w:w="3754"/>
        <w:gridCol w:w="36"/>
        <w:gridCol w:w="135"/>
        <w:gridCol w:w="1052"/>
        <w:gridCol w:w="85"/>
        <w:gridCol w:w="36"/>
        <w:gridCol w:w="36"/>
        <w:gridCol w:w="36"/>
        <w:gridCol w:w="135"/>
        <w:gridCol w:w="1015"/>
        <w:gridCol w:w="85"/>
        <w:gridCol w:w="36"/>
        <w:gridCol w:w="36"/>
        <w:gridCol w:w="36"/>
        <w:gridCol w:w="135"/>
        <w:gridCol w:w="1054"/>
        <w:gridCol w:w="85"/>
        <w:gridCol w:w="36"/>
        <w:gridCol w:w="36"/>
        <w:gridCol w:w="36"/>
        <w:gridCol w:w="36"/>
        <w:gridCol w:w="36"/>
        <w:gridCol w:w="36"/>
        <w:gridCol w:w="36"/>
        <w:gridCol w:w="36"/>
        <w:gridCol w:w="36"/>
        <w:gridCol w:w="36"/>
        <w:gridCol w:w="36"/>
        <w:gridCol w:w="36"/>
      </w:tblGrid>
      <w:tr w:rsidR="00000000">
        <w:trPr>
          <w:gridAfter w:val="12"/>
          <w:divId w:val="1676955803"/>
        </w:trPr>
        <w:tc>
          <w:tcPr>
            <w:tcW w:w="50" w:type="pct"/>
            <w:vAlign w:val="center"/>
            <w:hideMark/>
          </w:tcPr>
          <w:p w:rsidR="00000000" w:rsidRDefault="00CB61D5">
            <w:pPr>
              <w:jc w:val="both"/>
              <w:rPr>
                <w:rFonts w:eastAsia="Times New Roman"/>
              </w:rPr>
            </w:pPr>
          </w:p>
        </w:tc>
        <w:tc>
          <w:tcPr>
            <w:tcW w:w="242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9"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0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676955803"/>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4"/>
            <w:tcMar>
              <w:top w:w="30" w:type="dxa"/>
              <w:left w:w="20" w:type="dxa"/>
              <w:bottom w:w="30" w:type="dxa"/>
              <w:right w:w="0" w:type="dxa"/>
            </w:tcMar>
            <w:vAlign w:val="bottom"/>
            <w:hideMark/>
          </w:tcPr>
          <w:p w:rsidR="00000000" w:rsidRDefault="00CB61D5">
            <w:pPr>
              <w:jc w:val="center"/>
              <w:rPr>
                <w:rFonts w:eastAsia="Times New Roman"/>
              </w:rPr>
            </w:pPr>
            <w:r>
              <w:rPr>
                <w:rFonts w:eastAsia="Times New Roman"/>
                <w:b/>
                <w:bCs/>
                <w:color w:val="000000"/>
                <w:sz w:val="20"/>
                <w:szCs w:val="20"/>
              </w:rPr>
              <w:t>Fiscal Year</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CB61D5">
            <w:pPr>
              <w:jc w:val="right"/>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676955803"/>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7695580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4,987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76955803"/>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99.05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70.14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76955803"/>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533,319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349,776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369,403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501771009"/>
        <w:rPr>
          <w:rFonts w:eastAsia="Times New Roman"/>
        </w:rPr>
      </w:pPr>
    </w:p>
    <w:p w:rsidR="00000000" w:rsidRDefault="00CB61D5">
      <w:pPr>
        <w:divId w:val="179245240"/>
        <w:rPr>
          <w:rFonts w:eastAsia="Times New Roman"/>
        </w:rPr>
      </w:pPr>
    </w:p>
    <w:p w:rsidR="00000000" w:rsidRDefault="00CB61D5">
      <w:pPr>
        <w:divId w:val="1794712771"/>
        <w:rPr>
          <w:rFonts w:eastAsia="Times New Roman"/>
        </w:rPr>
      </w:pPr>
      <w:r>
        <w:rPr>
          <w:rFonts w:eastAsia="Times New Roman"/>
          <w:b/>
          <w:bCs/>
          <w:color w:val="000000"/>
          <w:sz w:val="20"/>
          <w:szCs w:val="20"/>
        </w:rPr>
        <w:t>Note 9 – Net Income Per Share</w:t>
      </w:r>
      <w:r>
        <w:rPr>
          <w:rFonts w:eastAsia="Times New Roman"/>
          <w:b/>
          <w:bCs/>
          <w:color w:val="000000"/>
          <w:sz w:val="20"/>
          <w:szCs w:val="20"/>
        </w:rPr>
        <w:t>:</w:t>
      </w:r>
    </w:p>
    <w:p w:rsidR="00000000" w:rsidRDefault="00CB61D5">
      <w:pPr>
        <w:divId w:val="1484395533"/>
        <w:rPr>
          <w:rFonts w:eastAsia="Times New Roman"/>
        </w:rPr>
      </w:pPr>
    </w:p>
    <w:p w:rsidR="00000000" w:rsidRDefault="00CB61D5">
      <w:pPr>
        <w:divId w:val="947390693"/>
        <w:rPr>
          <w:rFonts w:eastAsia="Times New Roman"/>
        </w:rPr>
      </w:pPr>
      <w:r>
        <w:rPr>
          <w:rFonts w:eastAsia="Times New Roman"/>
          <w:color w:val="000000"/>
          <w:sz w:val="20"/>
          <w:szCs w:val="20"/>
        </w:rPr>
        <w:t>Net income per share is calculated as follows (in thousands, except per share amounts)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0"/>
        <w:gridCol w:w="4512"/>
        <w:gridCol w:w="51"/>
        <w:gridCol w:w="135"/>
        <w:gridCol w:w="829"/>
        <w:gridCol w:w="85"/>
        <w:gridCol w:w="36"/>
        <w:gridCol w:w="36"/>
        <w:gridCol w:w="36"/>
        <w:gridCol w:w="61"/>
        <w:gridCol w:w="797"/>
        <w:gridCol w:w="85"/>
        <w:gridCol w:w="36"/>
        <w:gridCol w:w="36"/>
        <w:gridCol w:w="36"/>
        <w:gridCol w:w="136"/>
        <w:gridCol w:w="807"/>
        <w:gridCol w:w="85"/>
        <w:gridCol w:w="36"/>
        <w:gridCol w:w="36"/>
        <w:gridCol w:w="36"/>
        <w:gridCol w:w="36"/>
        <w:gridCol w:w="36"/>
        <w:gridCol w:w="36"/>
        <w:gridCol w:w="36"/>
        <w:gridCol w:w="36"/>
        <w:gridCol w:w="36"/>
        <w:gridCol w:w="36"/>
        <w:gridCol w:w="36"/>
        <w:gridCol w:w="36"/>
      </w:tblGrid>
      <w:tr w:rsidR="00000000">
        <w:trPr>
          <w:gridAfter w:val="12"/>
          <w:divId w:val="1288468062"/>
        </w:trPr>
        <w:tc>
          <w:tcPr>
            <w:tcW w:w="50" w:type="pct"/>
            <w:vAlign w:val="center"/>
            <w:hideMark/>
          </w:tcPr>
          <w:p w:rsidR="00000000" w:rsidRDefault="00CB61D5">
            <w:pPr>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288468062"/>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8846806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28846806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Ne</w:t>
            </w:r>
            <w:r>
              <w:rPr>
                <w:rFonts w:eastAsia="Times New Roman"/>
                <w:b/>
                <w:bCs/>
                <w:color w:val="000000"/>
                <w:sz w:val="20"/>
                <w:szCs w:val="20"/>
              </w:rPr>
              <w:t>t</w:t>
            </w:r>
          </w:p>
          <w:p w:rsidR="00000000" w:rsidRDefault="00CB61D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28846806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119,727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28846806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1,016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28846806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562,354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83534196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0"/>
        <w:gridCol w:w="4512"/>
        <w:gridCol w:w="51"/>
        <w:gridCol w:w="135"/>
        <w:gridCol w:w="829"/>
        <w:gridCol w:w="85"/>
        <w:gridCol w:w="36"/>
        <w:gridCol w:w="36"/>
        <w:gridCol w:w="36"/>
        <w:gridCol w:w="61"/>
        <w:gridCol w:w="797"/>
        <w:gridCol w:w="85"/>
        <w:gridCol w:w="36"/>
        <w:gridCol w:w="36"/>
        <w:gridCol w:w="36"/>
        <w:gridCol w:w="136"/>
        <w:gridCol w:w="807"/>
        <w:gridCol w:w="85"/>
        <w:gridCol w:w="36"/>
        <w:gridCol w:w="36"/>
        <w:gridCol w:w="36"/>
        <w:gridCol w:w="36"/>
        <w:gridCol w:w="36"/>
        <w:gridCol w:w="36"/>
        <w:gridCol w:w="36"/>
        <w:gridCol w:w="36"/>
        <w:gridCol w:w="36"/>
        <w:gridCol w:w="36"/>
        <w:gridCol w:w="36"/>
        <w:gridCol w:w="36"/>
      </w:tblGrid>
      <w:tr w:rsidR="00000000">
        <w:trPr>
          <w:gridAfter w:val="12"/>
          <w:divId w:val="1685861786"/>
        </w:trPr>
        <w:tc>
          <w:tcPr>
            <w:tcW w:w="50" w:type="pct"/>
            <w:vAlign w:val="center"/>
            <w:hideMark/>
          </w:tcPr>
          <w:p w:rsidR="00000000" w:rsidRDefault="00CB61D5">
            <w:pPr>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685861786"/>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685861786"/>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685861786"/>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Ne</w:t>
            </w:r>
            <w:r>
              <w:rPr>
                <w:rFonts w:eastAsia="Times New Roman"/>
                <w:b/>
                <w:bCs/>
                <w:color w:val="000000"/>
                <w:sz w:val="20"/>
                <w:szCs w:val="20"/>
              </w:rPr>
              <w:t>t</w:t>
            </w:r>
          </w:p>
          <w:p w:rsidR="00000000" w:rsidRDefault="00CB61D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8586178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122,651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85861786"/>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(0.03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685861786"/>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532,357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123,471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545945392"/>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0"/>
        <w:gridCol w:w="4512"/>
        <w:gridCol w:w="51"/>
        <w:gridCol w:w="135"/>
        <w:gridCol w:w="829"/>
        <w:gridCol w:w="85"/>
        <w:gridCol w:w="36"/>
        <w:gridCol w:w="36"/>
        <w:gridCol w:w="36"/>
        <w:gridCol w:w="61"/>
        <w:gridCol w:w="797"/>
        <w:gridCol w:w="85"/>
        <w:gridCol w:w="36"/>
        <w:gridCol w:w="36"/>
        <w:gridCol w:w="36"/>
        <w:gridCol w:w="136"/>
        <w:gridCol w:w="807"/>
        <w:gridCol w:w="85"/>
        <w:gridCol w:w="36"/>
        <w:gridCol w:w="36"/>
        <w:gridCol w:w="36"/>
        <w:gridCol w:w="36"/>
        <w:gridCol w:w="36"/>
        <w:gridCol w:w="36"/>
        <w:gridCol w:w="36"/>
        <w:gridCol w:w="36"/>
        <w:gridCol w:w="36"/>
        <w:gridCol w:w="36"/>
        <w:gridCol w:w="36"/>
        <w:gridCol w:w="36"/>
      </w:tblGrid>
      <w:tr w:rsidR="00000000">
        <w:trPr>
          <w:gridAfter w:val="12"/>
          <w:divId w:val="681397445"/>
        </w:trPr>
        <w:tc>
          <w:tcPr>
            <w:tcW w:w="50" w:type="pct"/>
            <w:vAlign w:val="center"/>
            <w:hideMark/>
          </w:tcPr>
          <w:p w:rsidR="00000000" w:rsidRDefault="00CB61D5">
            <w:pPr>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681397445"/>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6813974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68139744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Ne</w:t>
            </w:r>
            <w:r>
              <w:rPr>
                <w:rFonts w:eastAsia="Times New Roman"/>
                <w:b/>
                <w:bCs/>
                <w:color w:val="000000"/>
                <w:sz w:val="20"/>
                <w:szCs w:val="20"/>
              </w:rPr>
              <w:t>t</w:t>
            </w:r>
          </w:p>
          <w:p w:rsidR="00000000" w:rsidRDefault="00CB61D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813974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422,599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127,588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81397445"/>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616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68139744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422,599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128,204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387493037"/>
        <w:rPr>
          <w:rFonts w:eastAsia="Times New Roman"/>
        </w:rPr>
      </w:pPr>
    </w:p>
    <w:p w:rsidR="00000000" w:rsidRDefault="00CB61D5">
      <w:pPr>
        <w:jc w:val="center"/>
        <w:divId w:val="1706327033"/>
        <w:rPr>
          <w:rFonts w:eastAsia="Times New Roman"/>
        </w:rPr>
      </w:pPr>
      <w:r>
        <w:rPr>
          <w:rFonts w:eastAsia="Times New Roman"/>
          <w:color w:val="000000"/>
          <w:sz w:val="20"/>
          <w:szCs w:val="20"/>
        </w:rPr>
        <w:t>6</w:t>
      </w:r>
      <w:r>
        <w:rPr>
          <w:rFonts w:eastAsia="Times New Roman"/>
          <w:color w:val="000000"/>
          <w:sz w:val="20"/>
          <w:szCs w:val="20"/>
        </w:rPr>
        <w:t>7</w:t>
      </w:r>
    </w:p>
    <w:p w:rsidR="00000000" w:rsidRDefault="00CB61D5">
      <w:pPr>
        <w:rPr>
          <w:rFonts w:eastAsia="Times New Roman"/>
        </w:rPr>
      </w:pPr>
      <w:r>
        <w:rPr>
          <w:rFonts w:eastAsia="Times New Roman"/>
        </w:rPr>
        <w:pict>
          <v:rect id="_x0000_i1096" style="width:0;height:1.5pt" o:hralign="center" o:hrstd="t" o:hr="t" fillcolor="#a0a0a0" stroked="f"/>
        </w:pict>
      </w:r>
    </w:p>
    <w:p w:rsidR="00000000" w:rsidRDefault="00CB61D5">
      <w:pPr>
        <w:divId w:val="198908965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Anti-dilutive share-based awards excluded from the above calculations totaled approximately 0.4 million, 3.1 million, and 3.</w:t>
      </w:r>
      <w:r>
        <w:rPr>
          <w:rFonts w:eastAsia="Times New Roman"/>
          <w:color w:val="000000"/>
          <w:sz w:val="20"/>
          <w:szCs w:val="20"/>
        </w:rPr>
        <w:t>9 million shares in fiscal 2019, 2018, and 2017, respectively</w:t>
      </w:r>
      <w:r>
        <w:rPr>
          <w:rFonts w:eastAsia="Times New Roman"/>
          <w:color w:val="000000"/>
          <w:sz w:val="20"/>
          <w:szCs w:val="20"/>
        </w:rPr>
        <w:t>.</w:t>
      </w:r>
    </w:p>
    <w:p w:rsidR="00000000" w:rsidRDefault="00CB61D5">
      <w:pPr>
        <w:divId w:val="913710456"/>
        <w:rPr>
          <w:rFonts w:eastAsia="Times New Roman"/>
        </w:rPr>
      </w:pPr>
    </w:p>
    <w:p w:rsidR="00000000" w:rsidRDefault="00CB61D5">
      <w:pPr>
        <w:jc w:val="both"/>
        <w:rPr>
          <w:rFonts w:eastAsia="Times New Roman"/>
        </w:rPr>
      </w:pPr>
      <w:r>
        <w:rPr>
          <w:rFonts w:eastAsia="Times New Roman"/>
          <w:b/>
          <w:bCs/>
          <w:color w:val="000000"/>
          <w:sz w:val="20"/>
          <w:szCs w:val="20"/>
        </w:rPr>
        <w:t>Note 10 – Income Taxes</w:t>
      </w:r>
      <w:r>
        <w:rPr>
          <w:rFonts w:eastAsia="Times New Roman"/>
          <w:b/>
          <w:bCs/>
          <w:color w:val="000000"/>
          <w:sz w:val="20"/>
          <w:szCs w:val="20"/>
        </w:rPr>
        <w:t>:</w:t>
      </w:r>
    </w:p>
    <w:p w:rsidR="00000000" w:rsidRDefault="00CB61D5">
      <w:pPr>
        <w:divId w:val="313795638"/>
        <w:rPr>
          <w:rFonts w:eastAsia="Times New Roman"/>
        </w:rPr>
      </w:pPr>
    </w:p>
    <w:p w:rsidR="00000000" w:rsidRDefault="00CB61D5">
      <w:pPr>
        <w:jc w:val="both"/>
        <w:rPr>
          <w:rFonts w:eastAsia="Times New Roman"/>
        </w:rPr>
      </w:pPr>
      <w:r>
        <w:rPr>
          <w:rFonts w:eastAsia="Times New Roman"/>
          <w:color w:val="000000"/>
          <w:sz w:val="20"/>
          <w:szCs w:val="20"/>
        </w:rPr>
        <w:t>The provision for income taxes consists of the following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439"/>
        <w:gridCol w:w="39"/>
        <w:gridCol w:w="135"/>
        <w:gridCol w:w="806"/>
        <w:gridCol w:w="85"/>
        <w:gridCol w:w="36"/>
        <w:gridCol w:w="36"/>
        <w:gridCol w:w="36"/>
        <w:gridCol w:w="135"/>
        <w:gridCol w:w="771"/>
        <w:gridCol w:w="85"/>
        <w:gridCol w:w="36"/>
        <w:gridCol w:w="36"/>
        <w:gridCol w:w="36"/>
        <w:gridCol w:w="135"/>
        <w:gridCol w:w="771"/>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1409306971"/>
        </w:trPr>
        <w:tc>
          <w:tcPr>
            <w:tcW w:w="50" w:type="pct"/>
            <w:vAlign w:val="center"/>
            <w:hideMark/>
          </w:tcPr>
          <w:p w:rsidR="00000000" w:rsidRDefault="00CB61D5">
            <w:pPr>
              <w:jc w:val="both"/>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1409306971"/>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409306971"/>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Current tax expense</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Federa</w:t>
            </w:r>
            <w:r>
              <w:rPr>
                <w:rFonts w:eastAsia="Times New Roman"/>
                <w:color w:val="000000"/>
                <w:sz w:val="20"/>
                <w:szCs w:val="20"/>
              </w:rPr>
              <w:t>l</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128,490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123,388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207,986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25,091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15,597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14,516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curren</w:t>
            </w:r>
            <w:r>
              <w:rPr>
                <w:rFonts w:eastAsia="Times New Roman"/>
                <w:color w:val="000000"/>
                <w:sz w:val="20"/>
                <w:szCs w:val="20"/>
              </w:rPr>
              <w:t>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153,581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138,985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222,502</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Height w:val="160"/>
        </w:trPr>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tax expense (benefit)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Federa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11,770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22,469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Stat</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4,328</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2,393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4,953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deferre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7,442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27,422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09306971"/>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provisio</w:t>
            </w:r>
            <w:r>
              <w:rPr>
                <w:rFonts w:eastAsia="Times New Roman"/>
                <w:color w:val="000000"/>
                <w:sz w:val="20"/>
                <w:szCs w:val="20"/>
              </w:rPr>
              <w:t>n</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161,023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151,028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249,924</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Deferred income taxes reflect the net tax effects of temporary differences between the carrying amounts of assets and liabilities for financial reporting purposes and the amounts used for income tax purposes. Significant components of th</w:t>
      </w:r>
      <w:r>
        <w:rPr>
          <w:rFonts w:eastAsia="Times New Roman"/>
          <w:color w:val="000000"/>
          <w:sz w:val="20"/>
          <w:szCs w:val="20"/>
        </w:rPr>
        <w:t>e deferred tax assets and liabilities are as follows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5891"/>
        <w:gridCol w:w="55"/>
        <w:gridCol w:w="136"/>
        <w:gridCol w:w="875"/>
        <w:gridCol w:w="85"/>
        <w:gridCol w:w="36"/>
        <w:gridCol w:w="36"/>
        <w:gridCol w:w="36"/>
        <w:gridCol w:w="136"/>
        <w:gridCol w:w="855"/>
        <w:gridCol w:w="85"/>
      </w:tblGrid>
      <w:tr w:rsidR="00000000">
        <w:trPr>
          <w:divId w:val="1482845075"/>
        </w:trPr>
        <w:tc>
          <w:tcPr>
            <w:tcW w:w="50" w:type="pct"/>
            <w:vAlign w:val="center"/>
            <w:hideMark/>
          </w:tcPr>
          <w:p w:rsidR="00000000" w:rsidRDefault="00CB61D5">
            <w:pPr>
              <w:jc w:val="both"/>
              <w:rPr>
                <w:rFonts w:eastAsia="Times New Roman"/>
              </w:rPr>
            </w:pPr>
          </w:p>
        </w:tc>
        <w:tc>
          <w:tcPr>
            <w:tcW w:w="357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82845075"/>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28,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December 29, 201</w:t>
            </w:r>
            <w:r>
              <w:rPr>
                <w:rFonts w:eastAsia="Times New Roman"/>
                <w:b/>
                <w:bCs/>
                <w:color w:val="000000"/>
                <w:sz w:val="20"/>
                <w:szCs w:val="20"/>
              </w:rPr>
              <w:t>8</w:t>
            </w:r>
          </w:p>
        </w:tc>
      </w:tr>
      <w:tr w:rsidR="00000000">
        <w:trPr>
          <w:divId w:val="148284507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Tax 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Inventory valuatio</w:t>
            </w:r>
            <w:r>
              <w:rPr>
                <w:rFonts w:eastAsia="Times New Roman"/>
                <w:color w:val="000000"/>
                <w:sz w:val="20"/>
                <w:szCs w:val="20"/>
              </w:rPr>
              <w:t>n</w:t>
            </w: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16,676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14,417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employee benefits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Accrued sales tax audit reserv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4,173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Rent expenses in excess of cash payments require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30,975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25,628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Deferred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14,836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17,598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Workers’ compensation insuranc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10,154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9,900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General liability insuranc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6,025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5,410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Lease exit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Income tax credit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6,377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109,073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108,648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Tax liabilities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Inventory basis differenc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(4,667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Prepaid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Depreciatio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(93,919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(87,417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(8,230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(6,039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386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(2,083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(109,226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(102,041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482845075"/>
          <w:trHeight w:val="160"/>
        </w:trPr>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82845075"/>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Net deferred tax (liability)/asse</w:t>
            </w:r>
            <w:r>
              <w:rPr>
                <w:rFonts w:eastAsia="Times New Roman"/>
                <w:color w:val="000000"/>
                <w:sz w:val="20"/>
                <w:szCs w:val="20"/>
              </w:rPr>
              <w:t>t</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(153</w:t>
            </w: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6,607</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jc w:val="both"/>
        <w:rPr>
          <w:rFonts w:eastAsia="Times New Roman"/>
        </w:rPr>
      </w:pPr>
      <w:r>
        <w:rPr>
          <w:rFonts w:eastAsia="Times New Roman"/>
          <w:color w:val="000000"/>
          <w:sz w:val="20"/>
          <w:szCs w:val="20"/>
        </w:rPr>
        <w:t>The Company has evaluated the need for a valuation allowance for all or a portion of the deferred tax assets.  The Company believes that all of the deferred tax assets will more likely than not be realized through future earnings.  The Company had state ta</w:t>
      </w:r>
      <w:r>
        <w:rPr>
          <w:rFonts w:eastAsia="Times New Roman"/>
          <w:color w:val="000000"/>
          <w:sz w:val="20"/>
          <w:szCs w:val="20"/>
        </w:rPr>
        <w:t>x credit carryforwards of $6.2 million and $5.7 million as of December 28, 2019 and December 29, 2018, respectively, with varying dates of expiration through 2031.  The Company provided no valuation allowance as of December 28, 2019 and December 29, 2018 f</w:t>
      </w:r>
      <w:r>
        <w:rPr>
          <w:rFonts w:eastAsia="Times New Roman"/>
          <w:color w:val="000000"/>
          <w:sz w:val="20"/>
          <w:szCs w:val="20"/>
        </w:rPr>
        <w:t>or state tax credit carryforwards, as the Company believes it is more likely than not that all of these credits will be utilized before their expiration dates</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2104766137"/>
        <w:rPr>
          <w:rFonts w:eastAsia="Times New Roman"/>
        </w:rPr>
      </w:pPr>
      <w:r>
        <w:rPr>
          <w:rFonts w:eastAsia="Times New Roman"/>
          <w:color w:val="000000"/>
          <w:sz w:val="20"/>
          <w:szCs w:val="20"/>
        </w:rPr>
        <w:t>6</w:t>
      </w:r>
      <w:r>
        <w:rPr>
          <w:rFonts w:eastAsia="Times New Roman"/>
          <w:color w:val="000000"/>
          <w:sz w:val="20"/>
          <w:szCs w:val="20"/>
        </w:rPr>
        <w:t>8</w:t>
      </w:r>
    </w:p>
    <w:p w:rsidR="00000000" w:rsidRDefault="00CB61D5">
      <w:pPr>
        <w:rPr>
          <w:rFonts w:eastAsia="Times New Roman"/>
        </w:rPr>
      </w:pPr>
      <w:r>
        <w:rPr>
          <w:rFonts w:eastAsia="Times New Roman"/>
        </w:rPr>
        <w:pict>
          <v:rect id="_x0000_i1097" style="width:0;height:1.5pt" o:hralign="center" o:hrstd="t" o:hr="t" fillcolor="#a0a0a0" stroked="f"/>
        </w:pict>
      </w:r>
    </w:p>
    <w:p w:rsidR="00000000" w:rsidRDefault="00CB61D5">
      <w:pPr>
        <w:divId w:val="122999646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A reconciliation of the provision for income taxes to the amounts computed at the federal statutory rate is as follows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439"/>
        <w:gridCol w:w="39"/>
        <w:gridCol w:w="135"/>
        <w:gridCol w:w="806"/>
        <w:gridCol w:w="85"/>
        <w:gridCol w:w="36"/>
        <w:gridCol w:w="36"/>
        <w:gridCol w:w="36"/>
        <w:gridCol w:w="135"/>
        <w:gridCol w:w="771"/>
        <w:gridCol w:w="85"/>
        <w:gridCol w:w="36"/>
        <w:gridCol w:w="36"/>
        <w:gridCol w:w="36"/>
        <w:gridCol w:w="135"/>
        <w:gridCol w:w="771"/>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1703625772"/>
        </w:trPr>
        <w:tc>
          <w:tcPr>
            <w:tcW w:w="50" w:type="pct"/>
            <w:vAlign w:val="center"/>
            <w:hideMark/>
          </w:tcPr>
          <w:p w:rsidR="00000000" w:rsidRDefault="00CB61D5">
            <w:pPr>
              <w:jc w:val="both"/>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gridAfter w:val="3"/>
          <w:divId w:val="1703625772"/>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703625772"/>
          <w:trHeight w:val="12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vMerge/>
            <w:vAlign w:val="center"/>
            <w:hideMark/>
          </w:tcPr>
          <w:p w:rsidR="00000000" w:rsidRDefault="00CB61D5">
            <w:pP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7036257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Tax provision at statutory rat</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151,909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143,511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235,383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Tax effect of</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State income taxes, net of federal tax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19,722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18,019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Section 162(m) limitatio</w:t>
            </w:r>
            <w:r>
              <w:rPr>
                <w:rFonts w:eastAsia="Times New Roman"/>
                <w:color w:val="000000"/>
                <w:sz w:val="20"/>
                <w:szCs w:val="20"/>
              </w:rPr>
              <w:t>n</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2,572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2,581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Tax credits, net of federal tax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(7,768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(7,140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(5,060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Share-based compensation program</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(4,484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(4,522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(1,040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Enactment of tax legislatio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4,856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(928</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(1,421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70362577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Total income tax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161,023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151,028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249,924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Company and its affiliates file income tax returns in the U.S. and various state and local jurisdictions.  With few exceptions, the Company is no longer subject to feder</w:t>
      </w:r>
      <w:r>
        <w:rPr>
          <w:rFonts w:eastAsia="Times New Roman"/>
          <w:color w:val="000000"/>
          <w:sz w:val="20"/>
          <w:szCs w:val="20"/>
        </w:rPr>
        <w:t>al, state and local income tax examinations by tax authorities for years before 2015.  Various states have completed an examination of our income tax returns for 2015 through 2017 with minimal adjustments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total amount of unrecognized tax positions t</w:t>
      </w:r>
      <w:r>
        <w:rPr>
          <w:rFonts w:eastAsia="Times New Roman"/>
          <w:color w:val="000000"/>
          <w:sz w:val="20"/>
          <w:szCs w:val="20"/>
        </w:rPr>
        <w:t xml:space="preserve">hat, if recognized, would decrease the effective tax rate, is $2.3 million at December 28, 2019. In addition, the Company recognizes current interest and penalties accrued related to these uncertain tax positions as interest expense, and the amount is not </w:t>
      </w:r>
      <w:r>
        <w:rPr>
          <w:rFonts w:eastAsia="Times New Roman"/>
          <w:color w:val="000000"/>
          <w:sz w:val="20"/>
          <w:szCs w:val="20"/>
        </w:rPr>
        <w:t>material to the Consolidated Statements of Income.  The Company has considered the reasonably possible expected net change in uncertain tax positions during the next 12 months and does not expect any material changes to our liability for uncertain tax posi</w:t>
      </w:r>
      <w:r>
        <w:rPr>
          <w:rFonts w:eastAsia="Times New Roman"/>
          <w:color w:val="000000"/>
          <w:sz w:val="20"/>
          <w:szCs w:val="20"/>
        </w:rPr>
        <w:t>tions through December 26, 2020</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 reconciliation of the beginning and ending gross amount of unrecognized tax benefits (exclusive of interest and penalties) is as follows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0"/>
        <w:gridCol w:w="4502"/>
        <w:gridCol w:w="40"/>
        <w:gridCol w:w="135"/>
        <w:gridCol w:w="818"/>
        <w:gridCol w:w="85"/>
        <w:gridCol w:w="36"/>
        <w:gridCol w:w="36"/>
        <w:gridCol w:w="36"/>
        <w:gridCol w:w="135"/>
        <w:gridCol w:w="786"/>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000000">
        <w:trPr>
          <w:gridAfter w:val="12"/>
          <w:divId w:val="1858689922"/>
        </w:trPr>
        <w:tc>
          <w:tcPr>
            <w:tcW w:w="50" w:type="pct"/>
            <w:vAlign w:val="center"/>
            <w:hideMark/>
          </w:tcPr>
          <w:p w:rsidR="00000000" w:rsidRDefault="00CB61D5">
            <w:pPr>
              <w:jc w:val="both"/>
              <w:rPr>
                <w:rFonts w:eastAsia="Times New Roman"/>
              </w:rPr>
            </w:pPr>
          </w:p>
        </w:tc>
        <w:tc>
          <w:tcPr>
            <w:tcW w:w="289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4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858689922"/>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1858689922"/>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586899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1,579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5868992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Additions based on tax positions related to the current yea</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621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58689922"/>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Additions for tax positions of prior year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58689922"/>
        </w:trPr>
        <w:tc>
          <w:tcPr>
            <w:tcW w:w="0" w:type="auto"/>
            <w:gridSpan w:val="3"/>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Reductions for tax positions of prior year</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(400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(420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(127</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858689922"/>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2,760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2,451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710495723"/>
        <w:rPr>
          <w:rFonts w:eastAsia="Times New Roman"/>
        </w:rPr>
      </w:pPr>
    </w:p>
    <w:p w:rsidR="00000000" w:rsidRDefault="00CB61D5">
      <w:pPr>
        <w:jc w:val="both"/>
        <w:rPr>
          <w:rFonts w:eastAsia="Times New Roman"/>
        </w:rPr>
      </w:pPr>
      <w:r>
        <w:rPr>
          <w:rFonts w:eastAsia="Times New Roman"/>
          <w:b/>
          <w:bCs/>
          <w:color w:val="000000"/>
          <w:sz w:val="20"/>
          <w:szCs w:val="20"/>
        </w:rPr>
        <w:t>Note 11 – Retirement Benefit Plans</w:t>
      </w:r>
      <w:r>
        <w:rPr>
          <w:rFonts w:eastAsia="Times New Roman"/>
          <w:b/>
          <w:bCs/>
          <w:color w:val="000000"/>
          <w:sz w:val="20"/>
          <w:szCs w:val="20"/>
        </w:rPr>
        <w:t>:</w:t>
      </w:r>
    </w:p>
    <w:p w:rsidR="00000000" w:rsidRDefault="00CB61D5">
      <w:pPr>
        <w:divId w:val="1636714531"/>
        <w:rPr>
          <w:rFonts w:eastAsia="Times New Roman"/>
        </w:rPr>
      </w:pPr>
    </w:p>
    <w:p w:rsidR="00000000" w:rsidRDefault="00CB61D5">
      <w:pPr>
        <w:jc w:val="both"/>
        <w:rPr>
          <w:rFonts w:eastAsia="Times New Roman"/>
        </w:rPr>
      </w:pPr>
      <w:r>
        <w:rPr>
          <w:rFonts w:eastAsia="Times New Roman"/>
          <w:color w:val="000000"/>
          <w:sz w:val="20"/>
          <w:szCs w:val="20"/>
        </w:rPr>
        <w:t xml:space="preserve">The Company has a defined contribution benefit plan, the Tractor Supply Company 401(k) Retirement Savings Plan (the “401(k) Plan”), which </w:t>
      </w:r>
      <w:r>
        <w:rPr>
          <w:rFonts w:eastAsia="Times New Roman"/>
          <w:color w:val="000000"/>
          <w:sz w:val="20"/>
          <w:szCs w:val="20"/>
        </w:rPr>
        <w:t>provides retirement benefits for eligible employees.  The Company matches (in cash) 100% of the employee’s elective contributions up to 3% of eligible compensation plus 50% of the employee’s elective contributions from 3% to 6% of eligible compensation.  I</w:t>
      </w:r>
      <w:r>
        <w:rPr>
          <w:rFonts w:eastAsia="Times New Roman"/>
          <w:color w:val="000000"/>
          <w:sz w:val="20"/>
          <w:szCs w:val="20"/>
        </w:rPr>
        <w:t xml:space="preserve">n no event shall the total Company match made on behalf of the employee exceed 4.5% of the employee’s eligible compensation.  All current contributions are immediately vested.  Company contributions to the 401(k) Plan were approximately $9.8 million, $8.5 </w:t>
      </w:r>
      <w:r>
        <w:rPr>
          <w:rFonts w:eastAsia="Times New Roman"/>
          <w:color w:val="000000"/>
          <w:sz w:val="20"/>
          <w:szCs w:val="20"/>
        </w:rPr>
        <w:t>million, and $7.4 million during fiscal 2019, 2018, and 2017, respectively</w:t>
      </w:r>
      <w:r>
        <w:rPr>
          <w:rFonts w:eastAsia="Times New Roman"/>
          <w:color w:val="000000"/>
          <w:sz w:val="20"/>
          <w:szCs w:val="20"/>
        </w:rPr>
        <w:t>.</w:t>
      </w:r>
    </w:p>
    <w:p w:rsidR="00000000" w:rsidRDefault="00CB61D5">
      <w:pPr>
        <w:divId w:val="384373682"/>
        <w:rPr>
          <w:rFonts w:eastAsia="Times New Roman"/>
        </w:rPr>
      </w:pPr>
    </w:p>
    <w:p w:rsidR="00000000" w:rsidRDefault="00CB61D5">
      <w:pPr>
        <w:jc w:val="both"/>
        <w:rPr>
          <w:rFonts w:eastAsia="Times New Roman"/>
        </w:rPr>
      </w:pPr>
      <w:r>
        <w:rPr>
          <w:rFonts w:eastAsia="Times New Roman"/>
          <w:color w:val="000000"/>
          <w:sz w:val="20"/>
          <w:szCs w:val="20"/>
        </w:rPr>
        <w:t>The Company offers, through a deferred compensation program, the opportunity for certain qualifying employees to elect to defer a portion of their annual base salary and/or their annual incentive bonus.  Under the deferred compensation program, a percentag</w:t>
      </w:r>
      <w:r>
        <w:rPr>
          <w:rFonts w:eastAsia="Times New Roman"/>
          <w:color w:val="000000"/>
          <w:sz w:val="20"/>
          <w:szCs w:val="20"/>
        </w:rPr>
        <w:t>e of the participants’ salary deferral is matched by the Company, limited to a maximum annual matching contribution of $4,500.  The Company’s contributions, including accrued interest, were $0.7 million, $0.6 million, and $0.5 million during fiscal 2019, 2</w:t>
      </w:r>
      <w:r>
        <w:rPr>
          <w:rFonts w:eastAsia="Times New Roman"/>
          <w:color w:val="000000"/>
          <w:sz w:val="20"/>
          <w:szCs w:val="20"/>
        </w:rPr>
        <w:t>018, and 2017, respectively</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835455581"/>
        <w:rPr>
          <w:rFonts w:eastAsia="Times New Roman"/>
        </w:rPr>
      </w:pPr>
      <w:r>
        <w:rPr>
          <w:rFonts w:eastAsia="Times New Roman"/>
          <w:color w:val="000000"/>
          <w:sz w:val="20"/>
          <w:szCs w:val="20"/>
        </w:rPr>
        <w:t>6</w:t>
      </w:r>
      <w:r>
        <w:rPr>
          <w:rFonts w:eastAsia="Times New Roman"/>
          <w:color w:val="000000"/>
          <w:sz w:val="20"/>
          <w:szCs w:val="20"/>
        </w:rPr>
        <w:t>9</w:t>
      </w:r>
    </w:p>
    <w:p w:rsidR="00000000" w:rsidRDefault="00CB61D5">
      <w:pPr>
        <w:rPr>
          <w:rFonts w:eastAsia="Times New Roman"/>
        </w:rPr>
      </w:pPr>
      <w:r>
        <w:rPr>
          <w:rFonts w:eastAsia="Times New Roman"/>
        </w:rPr>
        <w:pict>
          <v:rect id="_x0000_i1098" style="width:0;height:1.5pt" o:hralign="center" o:hrstd="t" o:hr="t" fillcolor="#a0a0a0" stroked="f"/>
        </w:pict>
      </w:r>
    </w:p>
    <w:p w:rsidR="00000000" w:rsidRDefault="00CB61D5">
      <w:pPr>
        <w:divId w:val="147321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b/>
          <w:bCs/>
          <w:color w:val="000000"/>
          <w:sz w:val="20"/>
          <w:szCs w:val="20"/>
        </w:rPr>
        <w:t>Note 12 – Commitments and Contingencies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Construction and Real Estate Commitment</w:t>
      </w:r>
      <w:r>
        <w:rPr>
          <w:rFonts w:eastAsia="Times New Roman"/>
          <w:i/>
          <w:iCs/>
          <w:color w:val="000000"/>
          <w:sz w:val="20"/>
          <w:szCs w:val="20"/>
        </w:rPr>
        <w:t>s</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At December 28, 2019, the Company had no material contractual comm</w:t>
      </w:r>
      <w:r>
        <w:rPr>
          <w:rFonts w:eastAsia="Times New Roman"/>
          <w:color w:val="000000"/>
          <w:sz w:val="20"/>
          <w:szCs w:val="20"/>
        </w:rPr>
        <w:t>itments related to construction projects extending greater than twelve months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Letters of Credi</w:t>
      </w:r>
      <w:r>
        <w:rPr>
          <w:rFonts w:eastAsia="Times New Roman"/>
          <w:i/>
          <w:iCs/>
          <w:color w:val="000000"/>
          <w:sz w:val="20"/>
          <w:szCs w:val="20"/>
        </w:rPr>
        <w:t>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At December 28, 2019, there were $32.0 million outstanding letters of credit under the 2016 Senior Credit Facility.</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Litigatio</w:t>
      </w:r>
      <w:r>
        <w:rPr>
          <w:rFonts w:eastAsia="Times New Roman"/>
          <w:i/>
          <w:iCs/>
          <w:color w:val="000000"/>
          <w:sz w:val="20"/>
          <w:szCs w:val="20"/>
        </w:rPr>
        <w:t>n</w:t>
      </w:r>
    </w:p>
    <w:p w:rsidR="00000000" w:rsidRDefault="00CB61D5">
      <w:pPr>
        <w:divId w:val="2092851621"/>
        <w:rPr>
          <w:rFonts w:eastAsia="Times New Roman"/>
        </w:rPr>
      </w:pPr>
    </w:p>
    <w:p w:rsidR="00000000" w:rsidRDefault="00CB61D5">
      <w:pPr>
        <w:jc w:val="both"/>
        <w:rPr>
          <w:rFonts w:eastAsia="Times New Roman"/>
        </w:rPr>
      </w:pPr>
      <w:r>
        <w:rPr>
          <w:rFonts w:eastAsia="Times New Roman"/>
          <w:color w:val="000000"/>
          <w:sz w:val="20"/>
          <w:szCs w:val="20"/>
        </w:rPr>
        <w:t>The Company is involved</w:t>
      </w:r>
      <w:r>
        <w:rPr>
          <w:rFonts w:eastAsia="Times New Roman"/>
          <w:color w:val="000000"/>
          <w:sz w:val="20"/>
          <w:szCs w:val="20"/>
        </w:rPr>
        <w:t xml:space="preserve"> in various litigation matters arising in the ordinary course of business. The Company believes that, based upon information currently available, any estimated loss related to such matters has been adequately provided for in accrued liabilities to the exte</w:t>
      </w:r>
      <w:r>
        <w:rPr>
          <w:rFonts w:eastAsia="Times New Roman"/>
          <w:color w:val="000000"/>
          <w:sz w:val="20"/>
          <w:szCs w:val="20"/>
        </w:rPr>
        <w:t>nt probable and reasonably estimable. Accordingly, the Company currently expects these matters will be resolved without material adverse effect on its consolidated financial position, results of operations or cash flows.  However, litigation and other lega</w:t>
      </w:r>
      <w:r>
        <w:rPr>
          <w:rFonts w:eastAsia="Times New Roman"/>
          <w:color w:val="000000"/>
          <w:sz w:val="20"/>
          <w:szCs w:val="20"/>
        </w:rPr>
        <w:t>l matters involve an element of uncertainty. Future developments in such matters, including adverse decisions or settlements or resulting required changes to the Company’s business operations, could affect our consolidated operating results when resolved i</w:t>
      </w:r>
      <w:r>
        <w:rPr>
          <w:rFonts w:eastAsia="Times New Roman"/>
          <w:color w:val="000000"/>
          <w:sz w:val="20"/>
          <w:szCs w:val="20"/>
        </w:rPr>
        <w:t>n future periods or could result in liability or other amounts material to the Company’s Consolidated Financial Statements.</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rPr>
        <w:t>Note 13 – Segment Reporting</w:t>
      </w:r>
      <w:r>
        <w:rPr>
          <w:rFonts w:eastAsia="Times New Roman"/>
          <w:b/>
          <w:bCs/>
          <w:color w:val="000000"/>
          <w:sz w:val="20"/>
          <w:szCs w:val="20"/>
        </w:rPr>
        <w:t>:</w:t>
      </w:r>
    </w:p>
    <w:p w:rsidR="00000000" w:rsidRDefault="00CB61D5">
      <w:pPr>
        <w:divId w:val="622467729"/>
        <w:rPr>
          <w:rFonts w:eastAsia="Times New Roman"/>
        </w:rPr>
      </w:pPr>
    </w:p>
    <w:p w:rsidR="00000000" w:rsidRDefault="00CB61D5">
      <w:pPr>
        <w:jc w:val="both"/>
        <w:rPr>
          <w:rFonts w:eastAsia="Times New Roman"/>
        </w:rPr>
      </w:pPr>
      <w:r>
        <w:rPr>
          <w:rFonts w:eastAsia="Times New Roman"/>
          <w:color w:val="000000"/>
          <w:sz w:val="20"/>
          <w:szCs w:val="20"/>
        </w:rPr>
        <w:t>The Company has one reportable segment which is the retail sale of products that support the rur</w:t>
      </w:r>
      <w:r>
        <w:rPr>
          <w:rFonts w:eastAsia="Times New Roman"/>
          <w:color w:val="000000"/>
          <w:sz w:val="20"/>
          <w:szCs w:val="20"/>
        </w:rPr>
        <w:t>al lifestyle.  The following table indicates the percentage of net sales represented by each major product category during fiscal 2019, 2018, and 2017</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38"/>
        <w:gridCol w:w="3939"/>
        <w:gridCol w:w="37"/>
        <w:gridCol w:w="37"/>
        <w:gridCol w:w="990"/>
        <w:gridCol w:w="203"/>
        <w:gridCol w:w="36"/>
        <w:gridCol w:w="36"/>
        <w:gridCol w:w="36"/>
        <w:gridCol w:w="37"/>
        <w:gridCol w:w="943"/>
        <w:gridCol w:w="203"/>
        <w:gridCol w:w="36"/>
        <w:gridCol w:w="36"/>
        <w:gridCol w:w="36"/>
        <w:gridCol w:w="37"/>
        <w:gridCol w:w="954"/>
        <w:gridCol w:w="203"/>
        <w:gridCol w:w="36"/>
        <w:gridCol w:w="36"/>
        <w:gridCol w:w="36"/>
        <w:gridCol w:w="36"/>
        <w:gridCol w:w="36"/>
        <w:gridCol w:w="36"/>
        <w:gridCol w:w="36"/>
        <w:gridCol w:w="36"/>
        <w:gridCol w:w="36"/>
        <w:gridCol w:w="36"/>
        <w:gridCol w:w="36"/>
        <w:gridCol w:w="36"/>
      </w:tblGrid>
      <w:tr w:rsidR="00000000">
        <w:trPr>
          <w:gridAfter w:val="12"/>
          <w:divId w:val="2060130738"/>
        </w:trPr>
        <w:tc>
          <w:tcPr>
            <w:tcW w:w="50" w:type="pct"/>
            <w:vAlign w:val="center"/>
            <w:hideMark/>
          </w:tcPr>
          <w:p w:rsidR="00000000" w:rsidRDefault="00CB61D5">
            <w:pPr>
              <w:jc w:val="both"/>
              <w:rPr>
                <w:rFonts w:eastAsia="Times New Roman"/>
              </w:rPr>
            </w:pPr>
          </w:p>
        </w:tc>
        <w:tc>
          <w:tcPr>
            <w:tcW w:w="254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6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5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6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20601307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60130738"/>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Fiscal Yea</w:t>
            </w:r>
            <w:r>
              <w:rPr>
                <w:rFonts w:eastAsia="Times New Roman"/>
                <w:b/>
                <w:bCs/>
                <w:color w:val="000000"/>
                <w:sz w:val="20"/>
                <w:szCs w:val="20"/>
              </w:rPr>
              <w:t>r</w:t>
            </w:r>
          </w:p>
        </w:tc>
        <w:tc>
          <w:tcPr>
            <w:tcW w:w="0" w:type="auto"/>
            <w:gridSpan w:val="3"/>
            <w:vAlign w:val="center"/>
            <w:hideMark/>
          </w:tcPr>
          <w:p w:rsidR="00000000" w:rsidRDefault="00CB61D5">
            <w:pPr>
              <w:jc w:val="center"/>
              <w:rPr>
                <w:rFonts w:eastAsia="Times New Roman"/>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c>
          <w:tcPr>
            <w:tcW w:w="0" w:type="auto"/>
            <w:gridSpan w:val="3"/>
            <w:vAlign w:val="center"/>
            <w:hideMark/>
          </w:tcPr>
          <w:p w:rsidR="00000000" w:rsidRDefault="00CB61D5">
            <w:pPr>
              <w:rPr>
                <w:rFonts w:eastAsia="Times New Roman"/>
                <w:sz w:val="20"/>
                <w:szCs w:val="20"/>
              </w:rPr>
            </w:pPr>
          </w:p>
        </w:tc>
      </w:tr>
      <w:tr w:rsidR="00000000">
        <w:trPr>
          <w:divId w:val="20601307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2060130738"/>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1480538316"/>
        <w:rPr>
          <w:rFonts w:eastAsia="Times New Roman"/>
        </w:rPr>
      </w:pPr>
    </w:p>
    <w:p w:rsidR="00000000" w:rsidRDefault="00CB61D5">
      <w:pPr>
        <w:jc w:val="both"/>
        <w:rPr>
          <w:rFonts w:eastAsia="Times New Roman"/>
        </w:rPr>
      </w:pPr>
      <w:r>
        <w:rPr>
          <w:rFonts w:eastAsia="Times New Roman"/>
          <w:b/>
          <w:bCs/>
          <w:color w:val="000000"/>
          <w:sz w:val="20"/>
          <w:szCs w:val="20"/>
        </w:rPr>
        <w:t>Note 14 – New Accounting Pronouncements</w:t>
      </w:r>
      <w:r>
        <w:rPr>
          <w:rFonts w:eastAsia="Times New Roman"/>
          <w:b/>
          <w:bCs/>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New Accounting Pronouncements Recently Adopte</w:t>
      </w:r>
      <w:r>
        <w:rPr>
          <w:rFonts w:eastAsia="Times New Roman"/>
          <w:i/>
          <w:iCs/>
          <w:color w:val="000000"/>
          <w:sz w:val="20"/>
          <w:szCs w:val="20"/>
        </w:rPr>
        <w:t>d</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February 2016, the Financial Accounting Standards Board (“FASB”) issued Accounting Standards Update (“ASU”) 2016-02, “Leases (Topic 842).” </w:t>
      </w:r>
      <w:r>
        <w:rPr>
          <w:rFonts w:eastAsia="Times New Roman"/>
          <w:color w:val="000000"/>
          <w:sz w:val="20"/>
          <w:szCs w:val="20"/>
        </w:rPr>
        <w:t>This update requires a dual approach for lessee accounting under which a lessee will account for leases as finance leases or operating leases. Both finance leases and operating leases will result in the lessee recognizing a right-of-use asset and a corresp</w:t>
      </w:r>
      <w:r>
        <w:rPr>
          <w:rFonts w:eastAsia="Times New Roman"/>
          <w:color w:val="000000"/>
          <w:sz w:val="20"/>
          <w:szCs w:val="20"/>
        </w:rPr>
        <w:t>onding lease liability on its balance sheet, with differing methodology for income statement recognition. In January 2018, the FASB issued ASU 2018-01, “Leases (Topic 842): Land Easement Practical Expedient for Transition to Topic 842.” This update permits</w:t>
      </w:r>
      <w:r>
        <w:rPr>
          <w:rFonts w:eastAsia="Times New Roman"/>
          <w:color w:val="000000"/>
          <w:sz w:val="20"/>
          <w:szCs w:val="20"/>
        </w:rPr>
        <w:t xml:space="preserve"> an entity to elect an optional transition practical expedient to not evaluate land easements that exist or expired before the entity’s adoption of ASU 2016-02 and that were not accounted for as leases under previous lease guidance. In July 2018, ASU 2018-</w:t>
      </w:r>
      <w:r>
        <w:rPr>
          <w:rFonts w:eastAsia="Times New Roman"/>
          <w:color w:val="000000"/>
          <w:sz w:val="20"/>
          <w:szCs w:val="20"/>
        </w:rPr>
        <w:t>10, “Codification Improvements to Topic 842, Leases,” was issued to provide more detailed guidance and additional clarification for implementing ASU 2016-02. Furthermore, in July 2018, the FASB issued ASU 2018-11, “Leases (Topic 842): Targeted Improvements</w:t>
      </w:r>
      <w:r>
        <w:rPr>
          <w:rFonts w:eastAsia="Times New Roman"/>
          <w:color w:val="000000"/>
          <w:sz w:val="20"/>
          <w:szCs w:val="20"/>
        </w:rPr>
        <w:t>,” which provides an optional transition method in addition to the existing modified retrospective transition method by allowing a cumulative effect adjustment to the opening balance of retained earnings in the period of adoption. These new leasing standar</w:t>
      </w:r>
      <w:r>
        <w:rPr>
          <w:rFonts w:eastAsia="Times New Roman"/>
          <w:color w:val="000000"/>
          <w:sz w:val="20"/>
          <w:szCs w:val="20"/>
        </w:rPr>
        <w:t>ds are effective for public business entities for fiscal years, and interim periods within those years, beginning after December 15, 2018, with early adoption permitted. In March of 2019, the FASB issued ASU 2019-01, “Leases (Topic 842): Codification Impro</w:t>
      </w:r>
      <w:r>
        <w:rPr>
          <w:rFonts w:eastAsia="Times New Roman"/>
          <w:color w:val="000000"/>
          <w:sz w:val="20"/>
          <w:szCs w:val="20"/>
        </w:rPr>
        <w:t>vements” which was issued to provide more detailed guidance and clarification for implementing ASU 2016-02</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927229197"/>
        <w:rPr>
          <w:rFonts w:eastAsia="Times New Roman"/>
        </w:rPr>
      </w:pPr>
      <w:r>
        <w:rPr>
          <w:rFonts w:eastAsia="Times New Roman"/>
          <w:color w:val="000000"/>
          <w:sz w:val="20"/>
          <w:szCs w:val="20"/>
        </w:rPr>
        <w:t>7</w:t>
      </w:r>
      <w:r>
        <w:rPr>
          <w:rFonts w:eastAsia="Times New Roman"/>
          <w:color w:val="000000"/>
          <w:sz w:val="20"/>
          <w:szCs w:val="20"/>
        </w:rPr>
        <w:t>0</w:t>
      </w:r>
    </w:p>
    <w:p w:rsidR="00000000" w:rsidRDefault="00CB61D5">
      <w:pPr>
        <w:rPr>
          <w:rFonts w:eastAsia="Times New Roman"/>
        </w:rPr>
      </w:pPr>
      <w:r>
        <w:rPr>
          <w:rFonts w:eastAsia="Times New Roman"/>
        </w:rPr>
        <w:pict>
          <v:rect id="_x0000_i1099" style="width:0;height:1.5pt" o:hralign="center" o:hrstd="t" o:hr="t" fillcolor="#a0a0a0" stroked="f"/>
        </w:pict>
      </w:r>
    </w:p>
    <w:p w:rsidR="00000000" w:rsidRDefault="00CB61D5">
      <w:pPr>
        <w:divId w:val="32965762"/>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 adopted this guidance in the first quarter of fiscal 2019 an</w:t>
      </w:r>
      <w:r>
        <w:rPr>
          <w:rFonts w:eastAsia="Times New Roman"/>
          <w:color w:val="000000"/>
          <w:sz w:val="20"/>
          <w:szCs w:val="20"/>
        </w:rPr>
        <w:t>d as a part of that process, made the following elections</w:t>
      </w:r>
      <w:r>
        <w:rPr>
          <w:rFonts w:eastAsia="Times New Roman"/>
          <w:color w:val="000000"/>
          <w:sz w:val="20"/>
          <w:szCs w:val="20"/>
        </w:rPr>
        <w:t>:</w:t>
      </w:r>
    </w:p>
    <w:p w:rsidR="00000000" w:rsidRDefault="00CB61D5">
      <w:pPr>
        <w:jc w:val="both"/>
        <w:rPr>
          <w:rFonts w:eastAsia="Times New Roman"/>
        </w:rPr>
      </w:pPr>
    </w:p>
    <w:p w:rsidR="00000000" w:rsidRDefault="00CB61D5">
      <w:pPr>
        <w:ind w:hanging="360"/>
        <w:jc w:val="both"/>
        <w:rPr>
          <w:rFonts w:eastAsia="Times New Roman"/>
        </w:rPr>
      </w:pPr>
      <w:r>
        <w:rPr>
          <w:rFonts w:eastAsia="Times New Roman"/>
          <w:color w:val="000000"/>
          <w:sz w:val="20"/>
          <w:szCs w:val="20"/>
        </w:rPr>
        <w:t>•</w:t>
      </w:r>
      <w:r>
        <w:rPr>
          <w:rFonts w:eastAsia="Times New Roman"/>
          <w:color w:val="000000"/>
          <w:sz w:val="20"/>
          <w:szCs w:val="20"/>
        </w:rPr>
        <w:t>The Company elected the optional transition method which allows for the lessee to not recast comparative financial information but rather recognize a cumulative-effect adjustment to retained earnings as of the effective date in the period of adoption. No s</w:t>
      </w:r>
      <w:r>
        <w:rPr>
          <w:rFonts w:eastAsia="Times New Roman"/>
          <w:color w:val="000000"/>
          <w:sz w:val="20"/>
          <w:szCs w:val="20"/>
        </w:rPr>
        <w:t>uch adjustment to retained earnings was made as a result of the adoption of this guidance</w:t>
      </w:r>
      <w:r>
        <w:rPr>
          <w:rFonts w:eastAsia="Times New Roman"/>
          <w:color w:val="000000"/>
          <w:sz w:val="20"/>
          <w:szCs w:val="20"/>
        </w:rPr>
        <w:t>.</w:t>
      </w:r>
    </w:p>
    <w:p w:rsidR="00000000" w:rsidRDefault="00CB61D5">
      <w:pPr>
        <w:ind w:hanging="360"/>
        <w:jc w:val="both"/>
        <w:rPr>
          <w:rFonts w:eastAsia="Times New Roman"/>
        </w:rPr>
      </w:pPr>
      <w:r>
        <w:rPr>
          <w:rFonts w:eastAsia="Times New Roman"/>
          <w:color w:val="000000"/>
          <w:sz w:val="20"/>
          <w:szCs w:val="20"/>
        </w:rPr>
        <w:t>•</w:t>
      </w:r>
      <w:r>
        <w:rPr>
          <w:rFonts w:eastAsia="Times New Roman"/>
          <w:color w:val="000000"/>
          <w:sz w:val="20"/>
          <w:szCs w:val="20"/>
        </w:rPr>
        <w:t>The Company elected the package of practical expedients permitted under the transition guidance within the new standard which, among other things, allowed us to car</w:t>
      </w:r>
      <w:r>
        <w:rPr>
          <w:rFonts w:eastAsia="Times New Roman"/>
          <w:color w:val="000000"/>
          <w:sz w:val="20"/>
          <w:szCs w:val="20"/>
        </w:rPr>
        <w:t>ry forward our prior lease classification under Accounting Standards Codification (“ASC”) Topic 840</w:t>
      </w:r>
      <w:r>
        <w:rPr>
          <w:rFonts w:eastAsia="Times New Roman"/>
          <w:color w:val="000000"/>
          <w:sz w:val="20"/>
          <w:szCs w:val="20"/>
        </w:rPr>
        <w:t>.</w:t>
      </w:r>
    </w:p>
    <w:p w:rsidR="00000000" w:rsidRDefault="00CB61D5">
      <w:pPr>
        <w:ind w:hanging="360"/>
        <w:jc w:val="both"/>
        <w:rPr>
          <w:rFonts w:eastAsia="Times New Roman"/>
        </w:rPr>
      </w:pPr>
      <w:r>
        <w:rPr>
          <w:rFonts w:eastAsia="Times New Roman"/>
          <w:color w:val="000000"/>
          <w:sz w:val="20"/>
          <w:szCs w:val="20"/>
        </w:rPr>
        <w:t>•</w:t>
      </w:r>
      <w:r>
        <w:rPr>
          <w:rFonts w:eastAsia="Times New Roman"/>
          <w:color w:val="000000"/>
          <w:sz w:val="20"/>
          <w:szCs w:val="20"/>
        </w:rPr>
        <w:t>The Company did not elect the hindsight practical expedient for all leases</w:t>
      </w:r>
      <w:r>
        <w:rPr>
          <w:rFonts w:eastAsia="Times New Roman"/>
          <w:color w:val="000000"/>
          <w:sz w:val="20"/>
          <w:szCs w:val="20"/>
        </w:rPr>
        <w:t>.</w:t>
      </w:r>
    </w:p>
    <w:p w:rsidR="00000000" w:rsidRDefault="00CB61D5">
      <w:pPr>
        <w:ind w:hanging="360"/>
        <w:jc w:val="both"/>
        <w:rPr>
          <w:rFonts w:eastAsia="Times New Roman"/>
        </w:rPr>
      </w:pPr>
      <w:r>
        <w:rPr>
          <w:rFonts w:eastAsia="Times New Roman"/>
          <w:color w:val="000000"/>
          <w:sz w:val="20"/>
          <w:szCs w:val="20"/>
        </w:rPr>
        <w:t>•</w:t>
      </w:r>
      <w:r>
        <w:rPr>
          <w:rFonts w:eastAsia="Times New Roman"/>
          <w:color w:val="000000"/>
          <w:sz w:val="20"/>
          <w:szCs w:val="20"/>
        </w:rPr>
        <w:t>The Company elected to make the accounting policy election for short-term lea</w:t>
      </w:r>
      <w:r>
        <w:rPr>
          <w:rFonts w:eastAsia="Times New Roman"/>
          <w:color w:val="000000"/>
          <w:sz w:val="20"/>
          <w:szCs w:val="20"/>
        </w:rPr>
        <w:t>ses resulting in lease payments being recorded as an expense on a straight-line basis over the lease term</w:t>
      </w:r>
      <w:r>
        <w:rPr>
          <w:rFonts w:eastAsia="Times New Roman"/>
          <w:color w:val="000000"/>
          <w:sz w:val="20"/>
          <w:szCs w:val="20"/>
        </w:rPr>
        <w:t>.</w:t>
      </w:r>
    </w:p>
    <w:p w:rsidR="00000000" w:rsidRDefault="00CB61D5">
      <w:pPr>
        <w:ind w:hanging="360"/>
        <w:jc w:val="both"/>
        <w:rPr>
          <w:rFonts w:eastAsia="Times New Roman"/>
        </w:rPr>
      </w:pPr>
      <w:r>
        <w:rPr>
          <w:rFonts w:eastAsia="Times New Roman"/>
          <w:color w:val="000000"/>
          <w:sz w:val="20"/>
          <w:szCs w:val="20"/>
        </w:rPr>
        <w:t>•</w:t>
      </w:r>
      <w:r>
        <w:rPr>
          <w:rFonts w:eastAsia="Times New Roman"/>
          <w:color w:val="000000"/>
          <w:sz w:val="20"/>
          <w:szCs w:val="20"/>
        </w:rPr>
        <w:t>The Company elected the land easement practical expedient.</w:t>
      </w:r>
      <w:r>
        <w:rPr>
          <w:rFonts w:eastAsia="Times New Roman"/>
          <w:color w:val="000000"/>
          <w:sz w:val="20"/>
          <w:szCs w:val="20"/>
        </w:rPr>
        <w:t xml:space="preserve"> </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Adoption of the new standard had a material impact to our Consolidated Balance Sheets </w:t>
      </w:r>
      <w:r>
        <w:rPr>
          <w:rFonts w:eastAsia="Times New Roman"/>
          <w:color w:val="000000"/>
          <w:sz w:val="20"/>
          <w:szCs w:val="20"/>
        </w:rPr>
        <w:t>and related disclosures, and resulted in the recording of additional right-of-use assets and lease liabilities of approximately $2.08 billion as of the date of adoption. The standard did not materially impact our Consolidated Statements of Income, Comprehe</w:t>
      </w:r>
      <w:r>
        <w:rPr>
          <w:rFonts w:eastAsia="Times New Roman"/>
          <w:color w:val="000000"/>
          <w:sz w:val="20"/>
          <w:szCs w:val="20"/>
        </w:rPr>
        <w:t>nsive Income, Stockholders’ Equity, or Cash Flows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August 2017, the FASB issued ASU 2017-12, “Derivatives and Hedging (Topic 815): Targeted Improvements to Accounting for Hedging Activities,” which amends and simplifies existing guidance in order to a</w:t>
      </w:r>
      <w:r>
        <w:rPr>
          <w:rFonts w:eastAsia="Times New Roman"/>
          <w:color w:val="000000"/>
          <w:sz w:val="20"/>
          <w:szCs w:val="20"/>
        </w:rPr>
        <w:t>llow companies to more accurately present the economic effects of risk management activities in the financial statements. This update expands and refines hedge accounting for both nonfinancial and financial risk components and aligns the recognition and pr</w:t>
      </w:r>
      <w:r>
        <w:rPr>
          <w:rFonts w:eastAsia="Times New Roman"/>
          <w:color w:val="000000"/>
          <w:sz w:val="20"/>
          <w:szCs w:val="20"/>
        </w:rPr>
        <w:t>esentation of the effects of the hedging instrument and the hedged item in the financial statements. Additionally, the amendments in ASU 2017-12 provide new guidance about income statement classification and eliminates the requirement to separately measure</w:t>
      </w:r>
      <w:r>
        <w:rPr>
          <w:rFonts w:eastAsia="Times New Roman"/>
          <w:color w:val="000000"/>
          <w:sz w:val="20"/>
          <w:szCs w:val="20"/>
        </w:rPr>
        <w:t xml:space="preserve"> and report hedge ineffectiveness. This guidance is effective for public business entities for fiscal years, and interim periods within those years, beginning after December 15, 2018, with early adoption permitted. The amendments in ASU 2017-12 require tha</w:t>
      </w:r>
      <w:r>
        <w:rPr>
          <w:rFonts w:eastAsia="Times New Roman"/>
          <w:color w:val="000000"/>
          <w:sz w:val="20"/>
          <w:szCs w:val="20"/>
        </w:rPr>
        <w:t>t an entity with cash flow or net investment hedges existing at the date of adoption apply a cumulative-effect adjustment to eliminate the separate measurement of ineffectiveness to the opening balance of retained earnings as of the beginning of the fiscal</w:t>
      </w:r>
      <w:r>
        <w:rPr>
          <w:rFonts w:eastAsia="Times New Roman"/>
          <w:color w:val="000000"/>
          <w:sz w:val="20"/>
          <w:szCs w:val="20"/>
        </w:rPr>
        <w:t xml:space="preserve"> year in which the entity adopts this guidance. The amended presentation and disclosure guidance should be adopted prospectively. The Company adopted this guidance in the first quarter of fiscal 2019 and recognized a cumulative-effect adjustment of $0.7 mi</w:t>
      </w:r>
      <w:r>
        <w:rPr>
          <w:rFonts w:eastAsia="Times New Roman"/>
          <w:color w:val="000000"/>
          <w:sz w:val="20"/>
          <w:szCs w:val="20"/>
        </w:rPr>
        <w:t>llion from retained earnings to accumulated other comprehensive income. The adoption of this guidance did not have a material impact on our Consolidated Financial Statements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June 2018, the FASB issued ASU 2018-07, “Compensatio</w:t>
      </w:r>
      <w:r>
        <w:rPr>
          <w:rFonts w:eastAsia="Times New Roman"/>
          <w:color w:val="000000"/>
          <w:sz w:val="20"/>
          <w:szCs w:val="20"/>
        </w:rPr>
        <w:t>n - Stock Compensation (Topic 718): Improvements to Nonemployee Share-Based Payment Accounting,” which expands the scope of Topic 718 to include share-based payment transactions for acquiring goods and services from nonemployees. This guidance is effective</w:t>
      </w:r>
      <w:r>
        <w:rPr>
          <w:rFonts w:eastAsia="Times New Roman"/>
          <w:color w:val="000000"/>
          <w:sz w:val="20"/>
          <w:szCs w:val="20"/>
        </w:rPr>
        <w:t xml:space="preserve"> for public business entities for fiscal years, and interim periods within those years, beginning after December 15, 2018, with early adoption permitted. The Company adopted this guidance in the first quarter of fiscal 2019. The adoption of this guidance d</w:t>
      </w:r>
      <w:r>
        <w:rPr>
          <w:rFonts w:eastAsia="Times New Roman"/>
          <w:color w:val="000000"/>
          <w:sz w:val="20"/>
          <w:szCs w:val="20"/>
        </w:rPr>
        <w:t>id not have a material impact on our Consolidated Financial Statements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In October 2018, the FASB issued ASU 2018-16, “Derivatives and Hedging (Topic 815): Inclusion of the Secured Overnight Financing Rate (SOFR) Overnight Index S</w:t>
      </w:r>
      <w:r>
        <w:rPr>
          <w:rFonts w:eastAsia="Times New Roman"/>
          <w:color w:val="000000"/>
          <w:sz w:val="20"/>
          <w:szCs w:val="20"/>
        </w:rPr>
        <w:t>wap (OIS) Rate as a Benchmark Interest Rate for Hedge Accounting Purposes” which expands the permissible benchmark interest rates to include the Secured Overnight Financing Rate (SOFR) to be eligible as a U.S. benchmark interest rate for purposes of applyi</w:t>
      </w:r>
      <w:r>
        <w:rPr>
          <w:rFonts w:eastAsia="Times New Roman"/>
          <w:color w:val="000000"/>
          <w:sz w:val="20"/>
          <w:szCs w:val="20"/>
        </w:rPr>
        <w:t>ng hedge accounting under Topic 815, Derivatives and Hedging. This guidance is effective for fiscal years, and interim periods within those years, beginning after December 15, 2018, with early adoption permitted if an entity has previously adopted ASU 2017</w:t>
      </w:r>
      <w:r>
        <w:rPr>
          <w:rFonts w:eastAsia="Times New Roman"/>
          <w:color w:val="000000"/>
          <w:sz w:val="20"/>
          <w:szCs w:val="20"/>
        </w:rPr>
        <w:t>-12. The Company adopted this guidance in the first quarter of fiscal 2019. The adoption of this guidance did not have a material impact on our Consolidated Financial Statements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New Accounting Pronouncements Not Yet Adopte</w:t>
      </w:r>
      <w:r>
        <w:rPr>
          <w:rFonts w:eastAsia="Times New Roman"/>
          <w:i/>
          <w:iCs/>
          <w:color w:val="000000"/>
          <w:sz w:val="20"/>
          <w:szCs w:val="20"/>
        </w:rPr>
        <w:t>d</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w:t>
      </w:r>
      <w:r>
        <w:rPr>
          <w:rFonts w:eastAsia="Times New Roman"/>
          <w:color w:val="000000"/>
          <w:sz w:val="20"/>
          <w:szCs w:val="20"/>
        </w:rPr>
        <w:t>June 2016, the FASB issued ASU 2016-13, "Financial Instruments-Credit Losses (Topic 326): Measurement of Credit Losses on Financial Instruments" which amends the impairment model to utilize an expected loss methodology in place of the currently used incurr</w:t>
      </w:r>
      <w:r>
        <w:rPr>
          <w:rFonts w:eastAsia="Times New Roman"/>
          <w:color w:val="000000"/>
          <w:sz w:val="20"/>
          <w:szCs w:val="20"/>
        </w:rPr>
        <w:t>ed loss methodology, which will result in more timely recognition of losses. The new guidance applies to financial assets measured at amortized cost basis, including receivables that result from revenue transactions and held-to-maturity debt securities. Th</w:t>
      </w:r>
      <w:r>
        <w:rPr>
          <w:rFonts w:eastAsia="Times New Roman"/>
          <w:color w:val="000000"/>
          <w:sz w:val="20"/>
          <w:szCs w:val="20"/>
        </w:rPr>
        <w:t>is guidance is effective for fiscal years, and interim periods within those fiscal years, beginning after December 15, 2019, and early adoption was permitted for fiscal years beginning after December 15, 2018. The Company does</w:t>
      </w:r>
      <w:r>
        <w:rPr>
          <w:rFonts w:eastAsia="Times New Roman"/>
          <w:color w:val="000000"/>
          <w:sz w:val="20"/>
          <w:szCs w:val="20"/>
        </w:rPr>
        <w:t xml:space="preserve"> </w:t>
      </w:r>
    </w:p>
    <w:p w:rsidR="00000000" w:rsidRDefault="00CB61D5">
      <w:pPr>
        <w:jc w:val="center"/>
        <w:divId w:val="157889686"/>
        <w:rPr>
          <w:rFonts w:eastAsia="Times New Roman"/>
        </w:rPr>
      </w:pPr>
      <w:r>
        <w:rPr>
          <w:rFonts w:eastAsia="Times New Roman"/>
          <w:color w:val="000000"/>
          <w:sz w:val="20"/>
          <w:szCs w:val="20"/>
        </w:rPr>
        <w:t>7</w:t>
      </w:r>
      <w:r>
        <w:rPr>
          <w:rFonts w:eastAsia="Times New Roman"/>
          <w:color w:val="000000"/>
          <w:sz w:val="20"/>
          <w:szCs w:val="20"/>
        </w:rPr>
        <w:t>1</w:t>
      </w:r>
    </w:p>
    <w:p w:rsidR="00000000" w:rsidRDefault="00CB61D5">
      <w:pPr>
        <w:rPr>
          <w:rFonts w:eastAsia="Times New Roman"/>
        </w:rPr>
      </w:pPr>
      <w:r>
        <w:rPr>
          <w:rFonts w:eastAsia="Times New Roman"/>
        </w:rPr>
        <w:pict>
          <v:rect id="_x0000_i1100" style="width:0;height:1.5pt" o:hralign="center" o:hrstd="t" o:hr="t" fillcolor="#a0a0a0" stroked="f"/>
        </w:pict>
      </w:r>
    </w:p>
    <w:p w:rsidR="00000000" w:rsidRDefault="00CB61D5">
      <w:pPr>
        <w:divId w:val="1308705303"/>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not expect the adoption of this guidance to have a material impact on its Consolidated Financial Statements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August 2018, the FASB issued ASU 2018-13, “Fair </w:t>
      </w:r>
      <w:r>
        <w:rPr>
          <w:rFonts w:eastAsia="Times New Roman"/>
          <w:color w:val="000000"/>
          <w:sz w:val="20"/>
          <w:szCs w:val="20"/>
        </w:rPr>
        <w:t>Value Measurement (Topic 820): Disclosure Framework - Changes to the Disclosure Requirements for Fair Value Measurement,” which amends the disclosure requirements for fair value measurements by removing, modifying and adding certain disclosures. This guida</w:t>
      </w:r>
      <w:r>
        <w:rPr>
          <w:rFonts w:eastAsia="Times New Roman"/>
          <w:color w:val="000000"/>
          <w:sz w:val="20"/>
          <w:szCs w:val="20"/>
        </w:rPr>
        <w:t>nce is effective for fiscal years, and interim periods within those years, beginning after December 15, 2019, with early adoption permitted. The Company does not expect the adoption of this guidance to have a material impact on its Consolidated Financial S</w:t>
      </w:r>
      <w:r>
        <w:rPr>
          <w:rFonts w:eastAsia="Times New Roman"/>
          <w:color w:val="000000"/>
          <w:sz w:val="20"/>
          <w:szCs w:val="20"/>
        </w:rPr>
        <w:t>tatements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In August 2018, the FASB issued ASU 2018-15, “Intangibles – Goodwill and Other – Internal-Use Software (Subtopic 350-40): Customer’s Accounting for Implementation Costs Incurred in a Cloud Computing Arrangement That Is </w:t>
      </w:r>
      <w:r>
        <w:rPr>
          <w:rFonts w:eastAsia="Times New Roman"/>
          <w:color w:val="000000"/>
          <w:sz w:val="20"/>
          <w:szCs w:val="20"/>
        </w:rPr>
        <w:t xml:space="preserve">a Service Contract.” This update clarifies the accounting treatment for fees paid by a customer in a cloud computing arrangement (hosting arrangement) by providing guidance for determining when the arrangement includes a software license. This guidance is </w:t>
      </w:r>
      <w:r>
        <w:rPr>
          <w:rFonts w:eastAsia="Times New Roman"/>
          <w:color w:val="000000"/>
          <w:sz w:val="20"/>
          <w:szCs w:val="20"/>
        </w:rPr>
        <w:t>effective for public business entities for fiscal years, and interim periods within those years, beginning after December 15, 2019, with early adoption permitted. The amendments may be applied either retrospectively or prospectively to all implementation c</w:t>
      </w:r>
      <w:r>
        <w:rPr>
          <w:rFonts w:eastAsia="Times New Roman"/>
          <w:color w:val="000000"/>
          <w:sz w:val="20"/>
          <w:szCs w:val="20"/>
        </w:rPr>
        <w:t>osts incurred after the date of adoption. The Company will adopt this guidance on a prospective basis in the first quarter of fiscal 2020. The Company does not expect the adoption of this guidance to have a material impact on its Consolidated Financial Sta</w:t>
      </w:r>
      <w:r>
        <w:rPr>
          <w:rFonts w:eastAsia="Times New Roman"/>
          <w:color w:val="000000"/>
          <w:sz w:val="20"/>
          <w:szCs w:val="20"/>
        </w:rPr>
        <w:t>tements and related disclosures</w:t>
      </w:r>
      <w:r>
        <w:rPr>
          <w:rFonts w:eastAsia="Times New Roman"/>
          <w:color w:val="000000"/>
          <w:sz w:val="20"/>
          <w:szCs w:val="20"/>
        </w:rPr>
        <w:t>.</w:t>
      </w:r>
    </w:p>
    <w:p w:rsidR="00000000" w:rsidRDefault="00CB61D5">
      <w:pPr>
        <w:jc w:val="both"/>
        <w:rPr>
          <w:rFonts w:eastAsia="Times New Roman"/>
        </w:rPr>
      </w:pPr>
    </w:p>
    <w:p w:rsidR="00000000" w:rsidRDefault="00CB61D5">
      <w:pPr>
        <w:ind w:hanging="1440"/>
        <w:jc w:val="both"/>
        <w:rPr>
          <w:rFonts w:eastAsia="Times New Roman"/>
        </w:rPr>
      </w:pPr>
      <w:r>
        <w:rPr>
          <w:rFonts w:eastAsia="Times New Roman"/>
          <w:b/>
          <w:bCs/>
          <w:color w:val="000000"/>
          <w:sz w:val="20"/>
          <w:szCs w:val="20"/>
          <w:u w:val="single"/>
        </w:rPr>
        <w:t xml:space="preserve">Item </w:t>
      </w:r>
      <w:r>
        <w:rPr>
          <w:rFonts w:eastAsia="Times New Roman"/>
          <w:b/>
          <w:bCs/>
          <w:color w:val="000000"/>
          <w:sz w:val="20"/>
          <w:szCs w:val="20"/>
          <w:u w:val="single"/>
        </w:rPr>
        <w:t>9</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Changes in and Disagreements with Accountants on Accounting and Financial Disclosur</w:t>
      </w:r>
      <w:r>
        <w:rPr>
          <w:rFonts w:eastAsia="Times New Roman"/>
          <w:b/>
          <w:bCs/>
          <w:color w:val="000000"/>
          <w:sz w:val="20"/>
          <w:szCs w:val="20"/>
          <w:u w:val="single"/>
        </w:rPr>
        <w:t>e</w:t>
      </w:r>
    </w:p>
    <w:p w:rsidR="00000000" w:rsidRDefault="00CB61D5">
      <w:pPr>
        <w:divId w:val="1931816052"/>
        <w:rPr>
          <w:rFonts w:eastAsia="Times New Roman"/>
        </w:rPr>
      </w:pPr>
    </w:p>
    <w:p w:rsidR="00000000" w:rsidRDefault="00CB61D5">
      <w:pPr>
        <w:jc w:val="both"/>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CB61D5">
      <w:pPr>
        <w:divId w:val="1826969149"/>
        <w:rPr>
          <w:rFonts w:eastAsia="Times New Roman"/>
        </w:rPr>
      </w:pPr>
    </w:p>
    <w:p w:rsidR="00000000" w:rsidRDefault="00CB61D5">
      <w:pPr>
        <w:jc w:val="both"/>
        <w:rPr>
          <w:rFonts w:eastAsia="Times New Roman"/>
        </w:rPr>
      </w:pPr>
      <w:r>
        <w:rPr>
          <w:rFonts w:eastAsia="Times New Roman"/>
          <w:b/>
          <w:bCs/>
          <w:color w:val="000000"/>
          <w:sz w:val="20"/>
          <w:szCs w:val="20"/>
          <w:u w:val="single"/>
        </w:rPr>
        <w:t>Item 9</w:t>
      </w:r>
      <w:r>
        <w:rPr>
          <w:rFonts w:eastAsia="Times New Roman"/>
          <w:b/>
          <w:bCs/>
          <w:color w:val="000000"/>
          <w:sz w:val="20"/>
          <w:szCs w:val="20"/>
          <w:u w:val="single"/>
        </w:rPr>
        <w:t>A</w:t>
      </w:r>
      <w:r>
        <w:rPr>
          <w:rFonts w:eastAsia="Times New Roman"/>
          <w:b/>
          <w:bCs/>
          <w:color w:val="000000"/>
          <w:sz w:val="20"/>
          <w:szCs w:val="20"/>
        </w:rPr>
        <w:t>.</w:t>
      </w:r>
      <w:r>
        <w:rPr>
          <w:rFonts w:eastAsia="Times New Roman"/>
          <w:b/>
          <w:bCs/>
          <w:color w:val="000000"/>
          <w:sz w:val="20"/>
          <w:szCs w:val="20"/>
        </w:rPr>
        <w:t> </w:t>
      </w:r>
      <w:r>
        <w:rPr>
          <w:rFonts w:eastAsia="Times New Roman"/>
          <w:b/>
          <w:bCs/>
          <w:color w:val="000000"/>
          <w:sz w:val="20"/>
          <w:szCs w:val="20"/>
          <w:u w:val="single"/>
        </w:rPr>
        <w:t>Controls and Procedure</w:t>
      </w:r>
      <w:r>
        <w:rPr>
          <w:rFonts w:eastAsia="Times New Roman"/>
          <w:b/>
          <w:bCs/>
          <w:color w:val="000000"/>
          <w:sz w:val="20"/>
          <w:szCs w:val="20"/>
          <w:u w:val="single"/>
        </w:rPr>
        <w:t>s</w:t>
      </w:r>
    </w:p>
    <w:p w:rsidR="00000000" w:rsidRDefault="00CB61D5">
      <w:pPr>
        <w:divId w:val="259990144"/>
        <w:rPr>
          <w:rFonts w:eastAsia="Times New Roman"/>
        </w:rPr>
      </w:pPr>
    </w:p>
    <w:p w:rsidR="00000000" w:rsidRDefault="00CB61D5">
      <w:pPr>
        <w:jc w:val="both"/>
        <w:rPr>
          <w:rFonts w:eastAsia="Times New Roman"/>
        </w:rPr>
      </w:pPr>
      <w:r>
        <w:rPr>
          <w:rFonts w:eastAsia="Times New Roman"/>
          <w:i/>
          <w:iCs/>
          <w:color w:val="000000"/>
          <w:sz w:val="20"/>
          <w:szCs w:val="20"/>
        </w:rPr>
        <w:t>Disclosure Controls and Procedure</w:t>
      </w:r>
      <w:r>
        <w:rPr>
          <w:rFonts w:eastAsia="Times New Roman"/>
          <w:i/>
          <w:iCs/>
          <w:color w:val="000000"/>
          <w:sz w:val="20"/>
          <w:szCs w:val="20"/>
        </w:rPr>
        <w:t>s</w:t>
      </w:r>
    </w:p>
    <w:p w:rsidR="00000000" w:rsidRDefault="00CB61D5">
      <w:pPr>
        <w:divId w:val="387188488"/>
        <w:rPr>
          <w:rFonts w:eastAsia="Times New Roman"/>
        </w:rPr>
      </w:pPr>
    </w:p>
    <w:p w:rsidR="00000000" w:rsidRDefault="00CB61D5">
      <w:pPr>
        <w:jc w:val="both"/>
        <w:rPr>
          <w:rFonts w:eastAsia="Times New Roman"/>
        </w:rPr>
      </w:pPr>
      <w:r>
        <w:rPr>
          <w:rFonts w:eastAsia="Times New Roman"/>
          <w:color w:val="000000"/>
          <w:sz w:val="20"/>
          <w:szCs w:val="20"/>
        </w:rPr>
        <w:t xml:space="preserve">We carried out an evaluation required by the </w:t>
      </w:r>
      <w:r>
        <w:rPr>
          <w:rFonts w:eastAsia="Times New Roman"/>
          <w:color w:val="000000"/>
          <w:sz w:val="20"/>
          <w:szCs w:val="20"/>
        </w:rPr>
        <w:t>Securities Exchange Act of 1934, as amended (the “1934 Act”), under the supervision and with the participation of our principal executive officer and principal financial officer, of the effectiveness of the design and operation of our disclosure controls a</w:t>
      </w:r>
      <w:r>
        <w:rPr>
          <w:rFonts w:eastAsia="Times New Roman"/>
          <w:color w:val="000000"/>
          <w:sz w:val="20"/>
          <w:szCs w:val="20"/>
        </w:rPr>
        <w:t>nd procedures (as defined in Rule 13a-15(e) and 15d-15(e) under the 1934 Act) as of December 28, 2019.  Based on this evaluation, our principal executive officer and principal financial officer concluded that, as of December 28, 2019, our disclosure contro</w:t>
      </w:r>
      <w:r>
        <w:rPr>
          <w:rFonts w:eastAsia="Times New Roman"/>
          <w:color w:val="000000"/>
          <w:sz w:val="20"/>
          <w:szCs w:val="20"/>
        </w:rPr>
        <w:t>ls and procedures were effective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i/>
          <w:iCs/>
          <w:color w:val="000000"/>
          <w:sz w:val="20"/>
          <w:szCs w:val="20"/>
        </w:rPr>
        <w:t>Internal Control Over Financial Reportin</w:t>
      </w:r>
      <w:r>
        <w:rPr>
          <w:rFonts w:eastAsia="Times New Roman"/>
          <w:i/>
          <w:iCs/>
          <w:color w:val="000000"/>
          <w:sz w:val="20"/>
          <w:szCs w:val="20"/>
        </w:rPr>
        <w:t>g</w:t>
      </w:r>
    </w:p>
    <w:p w:rsidR="00000000" w:rsidRDefault="00CB61D5">
      <w:pPr>
        <w:divId w:val="1279336849"/>
        <w:rPr>
          <w:rFonts w:eastAsia="Times New Roman"/>
        </w:rPr>
      </w:pPr>
    </w:p>
    <w:p w:rsidR="00000000" w:rsidRDefault="00CB61D5">
      <w:pPr>
        <w:jc w:val="both"/>
        <w:rPr>
          <w:rFonts w:eastAsia="Times New Roman"/>
        </w:rPr>
      </w:pPr>
      <w:r>
        <w:rPr>
          <w:rFonts w:eastAsia="Times New Roman"/>
          <w:color w:val="000000"/>
          <w:sz w:val="20"/>
          <w:szCs w:val="20"/>
        </w:rPr>
        <w:t>A report of the Company’s management on the Company’s internal control over financial reporting (as such term is defined in Rule 13a-15(f) under the 1934 Act) and a report of E</w:t>
      </w:r>
      <w:r>
        <w:rPr>
          <w:rFonts w:eastAsia="Times New Roman"/>
          <w:color w:val="000000"/>
          <w:sz w:val="20"/>
          <w:szCs w:val="20"/>
        </w:rPr>
        <w:t>rnst &amp; Young LLP, an independent registered public accounting firm, on the effectiveness of the Company’s internal control over financial reporting are included in Item 8 of this Annual Report on Form 10-K</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There were no changes in our internal control o</w:t>
      </w:r>
      <w:r>
        <w:rPr>
          <w:rFonts w:eastAsia="Times New Roman"/>
          <w:color w:val="000000"/>
          <w:sz w:val="20"/>
          <w:szCs w:val="20"/>
        </w:rPr>
        <w:t>ver financial reporting that occurred during our last fiscal quarter that have materially affected or are reasonably likely to materially affect our internal control over financial reporting</w:t>
      </w:r>
      <w:r>
        <w:rPr>
          <w:rFonts w:eastAsia="Times New Roman"/>
          <w:color w:val="000000"/>
          <w:sz w:val="20"/>
          <w:szCs w:val="20"/>
        </w:rPr>
        <w:t>.</w:t>
      </w:r>
    </w:p>
    <w:p w:rsidR="00000000" w:rsidRDefault="00CB61D5">
      <w:pPr>
        <w:divId w:val="1406804439"/>
        <w:rPr>
          <w:rFonts w:eastAsia="Times New Roman"/>
        </w:rPr>
      </w:pPr>
    </w:p>
    <w:p w:rsidR="00000000" w:rsidRDefault="00CB61D5">
      <w:pPr>
        <w:ind w:hanging="1440"/>
        <w:jc w:val="both"/>
        <w:rPr>
          <w:rFonts w:eastAsia="Times New Roman"/>
        </w:rPr>
      </w:pPr>
      <w:r>
        <w:rPr>
          <w:rFonts w:eastAsia="Times New Roman"/>
          <w:b/>
          <w:bCs/>
          <w:color w:val="000000"/>
          <w:sz w:val="20"/>
          <w:szCs w:val="20"/>
          <w:u w:val="single"/>
        </w:rPr>
        <w:t>Item 9</w:t>
      </w:r>
      <w:r>
        <w:rPr>
          <w:rFonts w:eastAsia="Times New Roman"/>
          <w:b/>
          <w:bCs/>
          <w:color w:val="000000"/>
          <w:sz w:val="20"/>
          <w:szCs w:val="20"/>
          <w:u w:val="single"/>
        </w:rPr>
        <w:t>B</w:t>
      </w:r>
      <w:r>
        <w:rPr>
          <w:rFonts w:eastAsia="Times New Roman"/>
          <w:b/>
          <w:bCs/>
          <w:color w:val="000000"/>
          <w:sz w:val="20"/>
          <w:szCs w:val="20"/>
        </w:rPr>
        <w:t>.</w:t>
      </w:r>
      <w:r>
        <w:rPr>
          <w:rFonts w:eastAsia="Times New Roman"/>
          <w:b/>
          <w:bCs/>
          <w:color w:val="000000"/>
          <w:sz w:val="20"/>
          <w:szCs w:val="20"/>
        </w:rPr>
        <w:t> </w:t>
      </w:r>
      <w:r>
        <w:rPr>
          <w:rFonts w:eastAsia="Times New Roman"/>
          <w:b/>
          <w:bCs/>
          <w:color w:val="000000"/>
          <w:sz w:val="20"/>
          <w:szCs w:val="20"/>
          <w:u w:val="single"/>
        </w:rPr>
        <w:t>Other Informatio</w:t>
      </w:r>
      <w:r>
        <w:rPr>
          <w:rFonts w:eastAsia="Times New Roman"/>
          <w:b/>
          <w:bCs/>
          <w:color w:val="000000"/>
          <w:sz w:val="20"/>
          <w:szCs w:val="20"/>
          <w:u w:val="single"/>
        </w:rPr>
        <w:t>n</w:t>
      </w:r>
    </w:p>
    <w:p w:rsidR="00000000" w:rsidRDefault="00CB61D5">
      <w:pPr>
        <w:divId w:val="965115847"/>
        <w:rPr>
          <w:rFonts w:eastAsia="Times New Roman"/>
        </w:rPr>
      </w:pPr>
    </w:p>
    <w:p w:rsidR="00000000" w:rsidRDefault="00CB61D5">
      <w:pPr>
        <w:jc w:val="both"/>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CB61D5">
      <w:pPr>
        <w:jc w:val="both"/>
        <w:rPr>
          <w:rFonts w:eastAsia="Times New Roman"/>
        </w:rPr>
      </w:pPr>
    </w:p>
    <w:p w:rsidR="00000000" w:rsidRDefault="00CB61D5">
      <w:pPr>
        <w:jc w:val="center"/>
        <w:rPr>
          <w:rFonts w:eastAsia="Times New Roman"/>
        </w:rPr>
      </w:pPr>
      <w:r>
        <w:rPr>
          <w:rFonts w:eastAsia="Times New Roman"/>
          <w:b/>
          <w:bCs/>
          <w:color w:val="000000"/>
          <w:sz w:val="20"/>
          <w:szCs w:val="20"/>
        </w:rPr>
        <w:t>PART II</w:t>
      </w:r>
      <w:r>
        <w:rPr>
          <w:rFonts w:eastAsia="Times New Roman"/>
          <w:b/>
          <w:bCs/>
          <w:color w:val="000000"/>
          <w:sz w:val="20"/>
          <w:szCs w:val="20"/>
        </w:rPr>
        <w:t>I</w:t>
      </w:r>
    </w:p>
    <w:p w:rsidR="00000000" w:rsidRDefault="00CB61D5">
      <w:pPr>
        <w:jc w:val="center"/>
        <w:rPr>
          <w:rFonts w:eastAsia="Times New Roman"/>
        </w:rPr>
      </w:pPr>
    </w:p>
    <w:p w:rsidR="00000000" w:rsidRDefault="00CB61D5">
      <w:pPr>
        <w:ind w:hanging="1440"/>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0</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Directors, Executive Officers and Corporate Governanc</w:t>
      </w:r>
      <w:r>
        <w:rPr>
          <w:rFonts w:eastAsia="Times New Roman"/>
          <w:b/>
          <w:bCs/>
          <w:color w:val="000000"/>
          <w:sz w:val="20"/>
          <w:szCs w:val="20"/>
          <w:u w:val="single"/>
        </w:rPr>
        <w:t>e</w:t>
      </w:r>
    </w:p>
    <w:p w:rsidR="00000000" w:rsidRDefault="00CB61D5">
      <w:pPr>
        <w:divId w:val="797262950"/>
        <w:rPr>
          <w:rFonts w:eastAsia="Times New Roman"/>
        </w:rPr>
      </w:pPr>
    </w:p>
    <w:p w:rsidR="00000000" w:rsidRDefault="00CB61D5">
      <w:pPr>
        <w:jc w:val="both"/>
        <w:rPr>
          <w:rFonts w:eastAsia="Times New Roman"/>
        </w:rPr>
      </w:pPr>
      <w:r>
        <w:rPr>
          <w:rFonts w:eastAsia="Times New Roman"/>
          <w:color w:val="000000"/>
          <w:sz w:val="20"/>
          <w:szCs w:val="20"/>
        </w:rPr>
        <w:t>The information set forth under the caption “Information about our Executive Officers” in Part I of this Form 10-K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 xml:space="preserve">The information set forth under the captions </w:t>
      </w:r>
      <w:r>
        <w:rPr>
          <w:rFonts w:eastAsia="Times New Roman"/>
          <w:color w:val="000000"/>
          <w:sz w:val="20"/>
          <w:szCs w:val="20"/>
        </w:rPr>
        <w:t>“Item 1: Election of Directors,” “Board Meetings and Committees,” and “Section 16(a) Beneficial Ownership Reporting Compliance” in our Proxy Statement for our Annual Meeting of Stockholders to be held on May 7, 2020,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657617313"/>
        <w:rPr>
          <w:rFonts w:eastAsia="Times New Roman"/>
        </w:rPr>
      </w:pPr>
      <w:r>
        <w:rPr>
          <w:rFonts w:eastAsia="Times New Roman"/>
          <w:color w:val="000000"/>
          <w:sz w:val="20"/>
          <w:szCs w:val="20"/>
        </w:rPr>
        <w:t>7</w:t>
      </w:r>
      <w:r>
        <w:rPr>
          <w:rFonts w:eastAsia="Times New Roman"/>
          <w:color w:val="000000"/>
          <w:sz w:val="20"/>
          <w:szCs w:val="20"/>
        </w:rPr>
        <w:t>2</w:t>
      </w:r>
    </w:p>
    <w:p w:rsidR="00000000" w:rsidRDefault="00CB61D5">
      <w:pPr>
        <w:rPr>
          <w:rFonts w:eastAsia="Times New Roman"/>
        </w:rPr>
      </w:pPr>
      <w:r>
        <w:rPr>
          <w:rFonts w:eastAsia="Times New Roman"/>
        </w:rPr>
        <w:pict>
          <v:rect id="_x0000_i1101" style="width:0;height:1.5pt" o:hralign="center" o:hrstd="t" o:hr="t" fillcolor="#a0a0a0" stroked="f"/>
        </w:pict>
      </w:r>
    </w:p>
    <w:p w:rsidR="00000000" w:rsidRDefault="00CB61D5">
      <w:pPr>
        <w:divId w:val="86393791"/>
        <w:rPr>
          <w:rFonts w:eastAsia="Times New Roman"/>
        </w:rPr>
      </w:pPr>
      <w:hyperlink w:anchor="i_0_7" w:history="1">
        <w:r>
          <w:rPr>
            <w:rStyle w:val="a3"/>
            <w:rFonts w:eastAsia="Times New Roman"/>
            <w:sz w:val="18"/>
            <w:szCs w:val="18"/>
          </w:rPr>
          <w:t>Index</w:t>
        </w:r>
      </w:hyperlink>
    </w:p>
    <w:p w:rsidR="00000000" w:rsidRDefault="00CB61D5">
      <w:pPr>
        <w:jc w:val="both"/>
        <w:rPr>
          <w:rFonts w:eastAsia="Times New Roman"/>
        </w:rPr>
      </w:pPr>
      <w:r>
        <w:rPr>
          <w:rFonts w:eastAsia="Times New Roman"/>
          <w:color w:val="000000"/>
          <w:sz w:val="20"/>
          <w:szCs w:val="20"/>
        </w:rPr>
        <w:t>The Company has a Code of Ethics which covers all exempt employees, officers and directors of the Company, including the principal executive officer, principal financial officer, pri</w:t>
      </w:r>
      <w:r>
        <w:rPr>
          <w:rFonts w:eastAsia="Times New Roman"/>
          <w:color w:val="000000"/>
          <w:sz w:val="20"/>
          <w:szCs w:val="20"/>
        </w:rPr>
        <w:t>ncipal accounting officer and controller. The Code of Ethics is available in the “Corporate Governance” section of the Company’s website at</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color w:val="000000"/>
          <w:sz w:val="20"/>
          <w:szCs w:val="20"/>
        </w:rPr>
        <w:t>. A copy of the Code of Ethics can also be obtained, free of charge, upon written request to the Co</w:t>
      </w:r>
      <w:r>
        <w:rPr>
          <w:rFonts w:eastAsia="Times New Roman"/>
          <w:color w:val="000000"/>
          <w:sz w:val="20"/>
          <w:szCs w:val="20"/>
        </w:rPr>
        <w:t>rporate Secretary, Tractor Supply Company, 5401 Virginia Way, Brentwood, TN 37027. The Company intends to post amendments to or waivers, if any, from its Code of Ethics (to the extent applicable to its principal executive officer, principal financial offic</w:t>
      </w:r>
      <w:r>
        <w:rPr>
          <w:rFonts w:eastAsia="Times New Roman"/>
          <w:color w:val="000000"/>
          <w:sz w:val="20"/>
          <w:szCs w:val="20"/>
        </w:rPr>
        <w:t>er, principal accounting officer or controller) on its website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1</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Executive Compensatio</w:t>
      </w:r>
      <w:r>
        <w:rPr>
          <w:rFonts w:eastAsia="Times New Roman"/>
          <w:b/>
          <w:bCs/>
          <w:color w:val="000000"/>
          <w:sz w:val="20"/>
          <w:szCs w:val="20"/>
          <w:u w:val="single"/>
        </w:rPr>
        <w:t>n</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The information set forth under the captions “Corporate Governance – Compensation Committee Interlocks and Insider Participation,” “Compensation of Directo</w:t>
      </w:r>
      <w:r>
        <w:rPr>
          <w:rFonts w:eastAsia="Times New Roman"/>
          <w:color w:val="000000"/>
          <w:sz w:val="20"/>
          <w:szCs w:val="20"/>
        </w:rPr>
        <w:t>rs,” and “Executive Compensation” in our Proxy Statement for our Annual Meeting of Stockholders to be held on May 7, 2020,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2</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Security Ownership of Certain Beneficial Owners and Management and Related Stockhold</w:t>
      </w:r>
      <w:r>
        <w:rPr>
          <w:rFonts w:eastAsia="Times New Roman"/>
          <w:b/>
          <w:bCs/>
          <w:color w:val="000000"/>
          <w:sz w:val="20"/>
          <w:szCs w:val="20"/>
          <w:u w:val="single"/>
        </w:rPr>
        <w:t>er Matter</w:t>
      </w:r>
      <w:r>
        <w:rPr>
          <w:rFonts w:eastAsia="Times New Roman"/>
          <w:b/>
          <w:bCs/>
          <w:color w:val="000000"/>
          <w:sz w:val="20"/>
          <w:szCs w:val="20"/>
          <w:u w:val="single"/>
        </w:rPr>
        <w:t>s</w:t>
      </w:r>
    </w:p>
    <w:p w:rsidR="00000000" w:rsidRDefault="00CB61D5">
      <w:pPr>
        <w:divId w:val="1420984304"/>
        <w:rPr>
          <w:rFonts w:eastAsia="Times New Roman"/>
        </w:rPr>
      </w:pPr>
    </w:p>
    <w:p w:rsidR="00000000" w:rsidRDefault="00CB61D5">
      <w:pPr>
        <w:jc w:val="both"/>
        <w:rPr>
          <w:rFonts w:eastAsia="Times New Roman"/>
        </w:rPr>
      </w:pPr>
      <w:r>
        <w:rPr>
          <w:rFonts w:eastAsia="Times New Roman"/>
          <w:color w:val="000000"/>
          <w:sz w:val="20"/>
          <w:szCs w:val="20"/>
        </w:rPr>
        <w:t>The information set forth under the caption “Security Ownership of Certain Beneficial Owners and Management” in our Proxy Statement for our Annual Meeting of Stockholders to be held on May 7, 2020,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color w:val="000000"/>
          <w:sz w:val="20"/>
          <w:szCs w:val="20"/>
        </w:rPr>
        <w:t>Follow</w:t>
      </w:r>
      <w:r>
        <w:rPr>
          <w:rFonts w:eastAsia="Times New Roman"/>
          <w:color w:val="000000"/>
          <w:sz w:val="20"/>
          <w:szCs w:val="20"/>
        </w:rPr>
        <w:t>ing is a summary of our equity compensation plans as of December 28, 2019, under which equity securities are authorized for issuance, aggregated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3860"/>
        <w:gridCol w:w="62"/>
        <w:gridCol w:w="36"/>
        <w:gridCol w:w="36"/>
        <w:gridCol w:w="36"/>
        <w:gridCol w:w="73"/>
        <w:gridCol w:w="1052"/>
        <w:gridCol w:w="85"/>
        <w:gridCol w:w="37"/>
        <w:gridCol w:w="192"/>
        <w:gridCol w:w="36"/>
        <w:gridCol w:w="136"/>
        <w:gridCol w:w="1174"/>
        <w:gridCol w:w="85"/>
        <w:gridCol w:w="37"/>
        <w:gridCol w:w="193"/>
        <w:gridCol w:w="36"/>
        <w:gridCol w:w="78"/>
        <w:gridCol w:w="915"/>
        <w:gridCol w:w="85"/>
      </w:tblGrid>
      <w:tr w:rsidR="00000000">
        <w:trPr>
          <w:divId w:val="1344747268"/>
          <w:jc w:val="center"/>
        </w:trPr>
        <w:tc>
          <w:tcPr>
            <w:tcW w:w="50" w:type="pct"/>
            <w:vAlign w:val="center"/>
            <w:hideMark/>
          </w:tcPr>
          <w:p w:rsidR="00000000" w:rsidRDefault="00CB61D5">
            <w:pPr>
              <w:jc w:val="both"/>
              <w:rPr>
                <w:rFonts w:eastAsia="Times New Roman"/>
              </w:rPr>
            </w:pPr>
          </w:p>
        </w:tc>
        <w:tc>
          <w:tcPr>
            <w:tcW w:w="233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26"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66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28"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1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128" w:type="pct"/>
            <w:vAlign w:val="center"/>
            <w:hideMark/>
          </w:tcPr>
          <w:p w:rsidR="00000000" w:rsidRDefault="00CB61D5">
            <w:pPr>
              <w:rPr>
                <w:rFonts w:eastAsia="Times New Roman"/>
                <w:sz w:val="20"/>
                <w:szCs w:val="20"/>
              </w:rPr>
            </w:pPr>
          </w:p>
        </w:tc>
        <w:tc>
          <w:tcPr>
            <w:tcW w:w="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72"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344747268"/>
          <w:jc w:val="center"/>
        </w:trPr>
        <w:tc>
          <w:tcPr>
            <w:tcW w:w="0" w:type="auto"/>
            <w:gridSpan w:val="3"/>
            <w:tcMar>
              <w:top w:w="30" w:type="dxa"/>
              <w:left w:w="20" w:type="dxa"/>
              <w:bottom w:w="30" w:type="dxa"/>
              <w:right w:w="20" w:type="dxa"/>
            </w:tcMar>
            <w:vAlign w:val="bottom"/>
            <w:hideMark/>
          </w:tcPr>
          <w:p w:rsidR="00000000" w:rsidRDefault="00CB61D5">
            <w:pPr>
              <w:rPr>
                <w:rFonts w:eastAsia="Times New Roman"/>
              </w:rPr>
            </w:pPr>
            <w:r>
              <w:rPr>
                <w:rFonts w:eastAsia="Times New Roman"/>
                <w:b/>
                <w:bCs/>
                <w:color w:val="000000"/>
                <w:sz w:val="20"/>
                <w:szCs w:val="20"/>
              </w:rPr>
              <w:t>Plan Categor</w:t>
            </w:r>
            <w:r>
              <w:rPr>
                <w:rFonts w:eastAsia="Times New Roman"/>
                <w:b/>
                <w:bCs/>
                <w:color w:val="000000"/>
                <w:sz w:val="20"/>
                <w:szCs w:val="20"/>
              </w:rPr>
              <w:t>y</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Number of Securities to b</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Issued Upon Exercise o</w:t>
            </w:r>
            <w:r>
              <w:rPr>
                <w:rFonts w:eastAsia="Times New Roman"/>
                <w:b/>
                <w:bCs/>
                <w:color w:val="000000"/>
                <w:sz w:val="20"/>
                <w:szCs w:val="20"/>
              </w:rPr>
              <w:t>f</w:t>
            </w:r>
          </w:p>
          <w:p w:rsidR="00000000" w:rsidRDefault="00CB61D5">
            <w:pPr>
              <w:jc w:val="center"/>
              <w:rPr>
                <w:rFonts w:eastAsia="Times New Roman"/>
              </w:rPr>
            </w:pPr>
            <w:r>
              <w:rPr>
                <w:rFonts w:eastAsia="Times New Roman"/>
                <w:b/>
                <w:bCs/>
                <w:color w:val="000000"/>
                <w:sz w:val="20"/>
                <w:szCs w:val="20"/>
              </w:rPr>
              <w:t>Outstanding Options, Warrants, and Right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Weighted Averag</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Exercise Price o</w:t>
            </w:r>
            <w:r>
              <w:rPr>
                <w:rFonts w:eastAsia="Times New Roman"/>
                <w:b/>
                <w:bCs/>
                <w:color w:val="000000"/>
                <w:sz w:val="20"/>
                <w:szCs w:val="20"/>
              </w:rPr>
              <w:t>f</w:t>
            </w:r>
          </w:p>
          <w:p w:rsidR="00000000" w:rsidRDefault="00CB61D5">
            <w:pPr>
              <w:jc w:val="center"/>
              <w:rPr>
                <w:rFonts w:eastAsia="Times New Roman"/>
              </w:rPr>
            </w:pPr>
            <w:r>
              <w:rPr>
                <w:rFonts w:eastAsia="Times New Roman"/>
                <w:b/>
                <w:bCs/>
                <w:color w:val="000000"/>
                <w:sz w:val="20"/>
                <w:szCs w:val="20"/>
              </w:rPr>
              <w:t>Outstanding Options, Warrants and Right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rPr>
              <w:t>Number of Securitie</w:t>
            </w:r>
            <w:r>
              <w:rPr>
                <w:rFonts w:eastAsia="Times New Roman"/>
                <w:b/>
                <w:bCs/>
                <w:color w:val="000000"/>
                <w:sz w:val="20"/>
                <w:szCs w:val="20"/>
              </w:rPr>
              <w:t>s</w:t>
            </w:r>
          </w:p>
          <w:p w:rsidR="00000000" w:rsidRDefault="00CB61D5">
            <w:pPr>
              <w:jc w:val="center"/>
              <w:rPr>
                <w:rFonts w:eastAsia="Times New Roman"/>
              </w:rPr>
            </w:pPr>
            <w:r>
              <w:rPr>
                <w:rFonts w:eastAsia="Times New Roman"/>
                <w:b/>
                <w:bCs/>
                <w:color w:val="000000"/>
                <w:sz w:val="20"/>
                <w:szCs w:val="20"/>
              </w:rPr>
              <w:t>Remaining Availabl</w:t>
            </w:r>
            <w:r>
              <w:rPr>
                <w:rFonts w:eastAsia="Times New Roman"/>
                <w:b/>
                <w:bCs/>
                <w:color w:val="000000"/>
                <w:sz w:val="20"/>
                <w:szCs w:val="20"/>
              </w:rPr>
              <w:t>e</w:t>
            </w:r>
          </w:p>
          <w:p w:rsidR="00000000" w:rsidRDefault="00CB61D5">
            <w:pPr>
              <w:jc w:val="center"/>
              <w:rPr>
                <w:rFonts w:eastAsia="Times New Roman"/>
              </w:rPr>
            </w:pPr>
            <w:r>
              <w:rPr>
                <w:rFonts w:eastAsia="Times New Roman"/>
                <w:b/>
                <w:bCs/>
                <w:color w:val="000000"/>
                <w:sz w:val="20"/>
                <w:szCs w:val="20"/>
              </w:rPr>
              <w:t>for Future Issuanc</w:t>
            </w:r>
            <w:r>
              <w:rPr>
                <w:rFonts w:eastAsia="Times New Roman"/>
                <w:b/>
                <w:bCs/>
                <w:color w:val="000000"/>
                <w:sz w:val="20"/>
                <w:szCs w:val="20"/>
              </w:rPr>
              <w:t>e</w:t>
            </w:r>
          </w:p>
        </w:tc>
      </w:tr>
      <w:tr w:rsidR="00000000">
        <w:trPr>
          <w:divId w:val="134474726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u w:val="single"/>
              </w:rPr>
              <w:t>Equity compensation plans approved by security holders</w:t>
            </w:r>
            <w:r>
              <w:rPr>
                <w:rFonts w:eastAsia="Times New Roman"/>
                <w:color w:val="000000"/>
                <w:sz w:val="20"/>
                <w:szCs w:val="20"/>
                <w:u w:val="single"/>
              </w:rPr>
              <w:t>:</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 </w:t>
            </w:r>
          </w:p>
        </w:tc>
      </w:tr>
      <w:tr w:rsidR="00000000">
        <w:trPr>
          <w:divId w:val="1344747268"/>
          <w:jc w:val="center"/>
        </w:trPr>
        <w:tc>
          <w:tcPr>
            <w:tcW w:w="0" w:type="auto"/>
            <w:gridSpan w:val="3"/>
            <w:shd w:val="clear" w:color="auto" w:fill="FFFF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Stock Incentive Plan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3,454,386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B61D5">
            <w:pPr>
              <w:divId w:val="1121221979"/>
              <w:rPr>
                <w:rFonts w:eastAsia="Times New Roman"/>
              </w:rPr>
            </w:pPr>
            <w:r>
              <w:rPr>
                <w:rFonts w:eastAsia="Times New Roman"/>
                <w:color w:val="000000"/>
                <w:sz w:val="13"/>
                <w:szCs w:val="13"/>
                <w:vertAlign w:val="superscript"/>
              </w:rPr>
              <w:t>(a)</w:t>
            </w:r>
          </w:p>
        </w:tc>
        <w:tc>
          <w:tcPr>
            <w:tcW w:w="0" w:type="auto"/>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75.34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B61D5">
            <w:pPr>
              <w:divId w:val="1082414578"/>
              <w:rPr>
                <w:rFonts w:eastAsia="Times New Roman"/>
              </w:rPr>
            </w:pPr>
            <w:r>
              <w:rPr>
                <w:rFonts w:eastAsia="Times New Roman"/>
                <w:color w:val="000000"/>
                <w:sz w:val="13"/>
                <w:szCs w:val="13"/>
                <w:vertAlign w:val="superscript"/>
              </w:rPr>
              <w:t>(b)</w:t>
            </w: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11,762,982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344747268"/>
          <w:jc w:val="center"/>
        </w:trPr>
        <w:tc>
          <w:tcPr>
            <w:tcW w:w="0" w:type="auto"/>
            <w:gridSpan w:val="3"/>
            <w:shd w:val="clear" w:color="auto" w:fill="CCEEFF"/>
            <w:tcMar>
              <w:top w:w="30" w:type="dxa"/>
              <w:left w:w="135" w:type="dxa"/>
              <w:bottom w:w="30" w:type="dxa"/>
              <w:right w:w="20" w:type="dxa"/>
            </w:tcMar>
            <w:vAlign w:val="bottom"/>
            <w:hideMark/>
          </w:tcPr>
          <w:p w:rsidR="00000000" w:rsidRDefault="00CB61D5">
            <w:pPr>
              <w:rPr>
                <w:rFonts w:eastAsia="Times New Roman"/>
              </w:rPr>
            </w:pPr>
            <w:r>
              <w:rPr>
                <w:rFonts w:eastAsia="Times New Roman"/>
                <w:color w:val="000000"/>
                <w:sz w:val="20"/>
                <w:szCs w:val="20"/>
              </w:rPr>
              <w:t>Employee Stock Purchase Pla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11,871,696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344747268"/>
          <w:jc w:val="center"/>
        </w:trPr>
        <w:tc>
          <w:tcPr>
            <w:tcW w:w="0" w:type="auto"/>
            <w:gridSpan w:val="3"/>
            <w:shd w:val="clear" w:color="auto" w:fill="FFFF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u w:val="single"/>
              </w:rPr>
              <w:t>Equity compensation plans not approved by security holder</w:t>
            </w:r>
            <w:r>
              <w:rPr>
                <w:rFonts w:eastAsia="Times New Roman"/>
                <w:color w:val="000000"/>
                <w:sz w:val="20"/>
                <w:szCs w:val="20"/>
                <w:u w:val="single"/>
              </w:rPr>
              <w:t>s</w:t>
            </w:r>
          </w:p>
        </w:tc>
        <w:tc>
          <w:tcPr>
            <w:tcW w:w="0" w:type="auto"/>
            <w:gridSpan w:val="3"/>
            <w:shd w:val="clear" w:color="auto" w:fill="FFFF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r w:rsidR="00000000">
        <w:trPr>
          <w:divId w:val="1344747268"/>
          <w:jc w:val="center"/>
        </w:trPr>
        <w:tc>
          <w:tcPr>
            <w:tcW w:w="0" w:type="auto"/>
            <w:gridSpan w:val="3"/>
            <w:shd w:val="clear" w:color="auto" w:fill="CCEEFF"/>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CB61D5">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3,454,386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CB61D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75.34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CB61D5">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B61D5">
            <w:pPr>
              <w:jc w:val="right"/>
              <w:rPr>
                <w:rFonts w:eastAsia="Times New Roman"/>
              </w:rPr>
            </w:pPr>
            <w:r>
              <w:rPr>
                <w:rFonts w:eastAsia="Times New Roman"/>
                <w:color w:val="000000"/>
                <w:sz w:val="20"/>
                <w:szCs w:val="20"/>
              </w:rPr>
              <w:t>23,634,678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r>
    </w:tbl>
    <w:p w:rsidR="00000000" w:rsidRDefault="00CB61D5">
      <w:pPr>
        <w:ind w:hanging="180"/>
        <w:jc w:val="both"/>
        <w:rPr>
          <w:rFonts w:eastAsia="Times New Roman"/>
        </w:rPr>
      </w:pPr>
      <w:r>
        <w:rPr>
          <w:rFonts w:eastAsia="Times New Roman"/>
          <w:color w:val="000000"/>
          <w:sz w:val="10"/>
          <w:szCs w:val="10"/>
          <w:vertAlign w:val="superscript"/>
        </w:rPr>
        <w:t>(a)</w:t>
      </w:r>
      <w:r>
        <w:rPr>
          <w:rFonts w:eastAsia="Times New Roman"/>
          <w:color w:val="000000"/>
          <w:sz w:val="10"/>
          <w:szCs w:val="10"/>
          <w:vertAlign w:val="superscript"/>
        </w:rPr>
        <w:t xml:space="preserve"> </w:t>
      </w:r>
      <w:r>
        <w:rPr>
          <w:rFonts w:eastAsia="Times New Roman"/>
          <w:color w:val="000000"/>
          <w:sz w:val="16"/>
          <w:szCs w:val="16"/>
        </w:rPr>
        <w:t xml:space="preserve">Includes 2,817,519 </w:t>
      </w:r>
      <w:r>
        <w:rPr>
          <w:rFonts w:eastAsia="Times New Roman"/>
          <w:color w:val="000000"/>
          <w:sz w:val="16"/>
          <w:szCs w:val="16"/>
        </w:rPr>
        <w:t>outstanding stock options, 499,459 unvested restricted stock units and 43,947 restricted stock units which have vested but the receipt of which have been deferred by the recipient, and 93,461 unvested performance-based restricted share units. The 2006 Stoc</w:t>
      </w:r>
      <w:r>
        <w:rPr>
          <w:rFonts w:eastAsia="Times New Roman"/>
          <w:color w:val="000000"/>
          <w:sz w:val="16"/>
          <w:szCs w:val="16"/>
        </w:rPr>
        <w:t>k Incentive Plan was superseded in May 2009 by the 2009 Stock Incentive Plan. The 2009 Stock Incentive Plan was superseded in May 2018 by the 2018 Omnibus Incentive Plan. Shares available under the 2018 Omnibus Incentive Plan are reduced by one share for e</w:t>
      </w:r>
      <w:r>
        <w:rPr>
          <w:rFonts w:eastAsia="Times New Roman"/>
          <w:color w:val="000000"/>
          <w:sz w:val="16"/>
          <w:szCs w:val="16"/>
        </w:rPr>
        <w:t>ach share issued pursuant to the exercise of a stock option and by two shares for each share issued pursuant to a full-value award (e.g., restricted stock unit or performance-based restricted share unit)</w:t>
      </w:r>
      <w:r>
        <w:rPr>
          <w:rFonts w:eastAsia="Times New Roman"/>
          <w:color w:val="000000"/>
          <w:sz w:val="16"/>
          <w:szCs w:val="16"/>
        </w:rPr>
        <w:t>.</w:t>
      </w:r>
    </w:p>
    <w:p w:rsidR="00000000" w:rsidRDefault="00CB61D5">
      <w:pPr>
        <w:ind w:hanging="180"/>
        <w:jc w:val="both"/>
        <w:rPr>
          <w:rFonts w:eastAsia="Times New Roman"/>
        </w:rPr>
      </w:pPr>
      <w:r>
        <w:rPr>
          <w:rFonts w:eastAsia="Times New Roman"/>
          <w:color w:val="000000"/>
          <w:sz w:val="10"/>
          <w:szCs w:val="10"/>
          <w:vertAlign w:val="superscript"/>
        </w:rPr>
        <w:t>(b)</w:t>
      </w:r>
      <w:r>
        <w:rPr>
          <w:rFonts w:eastAsia="Times New Roman"/>
          <w:color w:val="000000"/>
          <w:sz w:val="10"/>
          <w:szCs w:val="10"/>
          <w:vertAlign w:val="superscript"/>
        </w:rPr>
        <w:t xml:space="preserve"> </w:t>
      </w:r>
      <w:r>
        <w:rPr>
          <w:rFonts w:eastAsia="Times New Roman"/>
          <w:color w:val="000000"/>
          <w:sz w:val="16"/>
          <w:szCs w:val="16"/>
        </w:rPr>
        <w:t>Excludes restricted stock units and performance</w:t>
      </w:r>
      <w:r>
        <w:rPr>
          <w:rFonts w:eastAsia="Times New Roman"/>
          <w:color w:val="000000"/>
          <w:sz w:val="16"/>
          <w:szCs w:val="16"/>
        </w:rPr>
        <w:t>-based restricted share units which have a weighted average exercise price of zero</w:t>
      </w:r>
      <w:r>
        <w:rPr>
          <w:rFonts w:eastAsia="Times New Roman"/>
          <w:color w:val="000000"/>
          <w:sz w:val="16"/>
          <w:szCs w:val="16"/>
        </w:rPr>
        <w:t>.</w:t>
      </w:r>
    </w:p>
    <w:p w:rsidR="00000000" w:rsidRDefault="00CB61D5">
      <w:pPr>
        <w:ind w:hanging="180"/>
        <w:jc w:val="both"/>
        <w:rPr>
          <w:rFonts w:eastAsia="Times New Roman"/>
        </w:rPr>
      </w:pPr>
    </w:p>
    <w:p w:rsidR="00000000" w:rsidRDefault="00CB61D5">
      <w:pPr>
        <w:jc w:val="both"/>
        <w:rPr>
          <w:rFonts w:eastAsia="Times New Roman"/>
        </w:rPr>
      </w:pPr>
      <w:r>
        <w:rPr>
          <w:rFonts w:eastAsia="Times New Roman"/>
          <w:color w:val="000000"/>
          <w:sz w:val="20"/>
          <w:szCs w:val="20"/>
        </w:rPr>
        <w:t>The information set forth in Note 2 to the Consolidated Financial Statements contained in this Form 10-K provides further information with respect to the material feature</w:t>
      </w:r>
      <w:r>
        <w:rPr>
          <w:rFonts w:eastAsia="Times New Roman"/>
          <w:color w:val="000000"/>
          <w:sz w:val="20"/>
          <w:szCs w:val="20"/>
        </w:rPr>
        <w:t>s of each plan</w:t>
      </w:r>
      <w:r>
        <w:rPr>
          <w:rFonts w:eastAsia="Times New Roman"/>
          <w:color w:val="000000"/>
          <w:sz w:val="20"/>
          <w:szCs w:val="20"/>
        </w:rPr>
        <w:t>.</w:t>
      </w:r>
    </w:p>
    <w:p w:rsidR="00000000" w:rsidRDefault="00CB61D5">
      <w:pPr>
        <w:divId w:val="663363643"/>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3</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Certain Relationships and Related Transactions, and Director Independenc</w:t>
      </w:r>
      <w:r>
        <w:rPr>
          <w:rFonts w:eastAsia="Times New Roman"/>
          <w:b/>
          <w:bCs/>
          <w:color w:val="000000"/>
          <w:sz w:val="20"/>
          <w:szCs w:val="20"/>
          <w:u w:val="single"/>
        </w:rPr>
        <w:t>e</w:t>
      </w:r>
    </w:p>
    <w:p w:rsidR="00000000" w:rsidRDefault="00CB61D5">
      <w:pPr>
        <w:divId w:val="268633471"/>
        <w:rPr>
          <w:rFonts w:eastAsia="Times New Roman"/>
        </w:rPr>
      </w:pPr>
    </w:p>
    <w:p w:rsidR="00000000" w:rsidRDefault="00CB61D5">
      <w:pPr>
        <w:jc w:val="both"/>
        <w:rPr>
          <w:rFonts w:eastAsia="Times New Roman"/>
        </w:rPr>
      </w:pPr>
      <w:r>
        <w:rPr>
          <w:rFonts w:eastAsia="Times New Roman"/>
          <w:color w:val="000000"/>
          <w:sz w:val="20"/>
          <w:szCs w:val="20"/>
        </w:rPr>
        <w:t>The information set forth under the captions “Corporate Governance – Director Independence and Board Operations” and “Related Party Transactions” in our</w:t>
      </w:r>
      <w:r>
        <w:rPr>
          <w:rFonts w:eastAsia="Times New Roman"/>
          <w:color w:val="000000"/>
          <w:sz w:val="20"/>
          <w:szCs w:val="20"/>
        </w:rPr>
        <w:t xml:space="preserve"> Proxy Statement for our Annual Meeting of Stockholders to be held on May 7, 2020,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4</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Principal Accountant Fees and Service</w:t>
      </w:r>
      <w:r>
        <w:rPr>
          <w:rFonts w:eastAsia="Times New Roman"/>
          <w:b/>
          <w:bCs/>
          <w:color w:val="000000"/>
          <w:sz w:val="20"/>
          <w:szCs w:val="20"/>
          <w:u w:val="single"/>
        </w:rPr>
        <w:t>s</w:t>
      </w:r>
    </w:p>
    <w:p w:rsidR="00000000" w:rsidRDefault="00CB61D5">
      <w:pPr>
        <w:divId w:val="1400517352"/>
        <w:rPr>
          <w:rFonts w:eastAsia="Times New Roman"/>
        </w:rPr>
      </w:pPr>
    </w:p>
    <w:p w:rsidR="00000000" w:rsidRDefault="00CB61D5">
      <w:pPr>
        <w:jc w:val="both"/>
        <w:rPr>
          <w:rFonts w:eastAsia="Times New Roman"/>
        </w:rPr>
      </w:pPr>
      <w:r>
        <w:rPr>
          <w:rFonts w:eastAsia="Times New Roman"/>
          <w:color w:val="000000"/>
          <w:sz w:val="20"/>
          <w:szCs w:val="20"/>
        </w:rPr>
        <w:t>The information set forth under the caption “Item 2 – Ratification of Reappointment</w:t>
      </w:r>
      <w:r>
        <w:rPr>
          <w:rFonts w:eastAsia="Times New Roman"/>
          <w:color w:val="000000"/>
          <w:sz w:val="20"/>
          <w:szCs w:val="20"/>
        </w:rPr>
        <w:t xml:space="preserve"> of Independent Registered Public Accounting Firm” in our Proxy Statement for our Annual Meeting of Stockholders to be held on May 7, 2020, is incorporated herein by reference</w:t>
      </w:r>
      <w:r>
        <w:rPr>
          <w:rFonts w:eastAsia="Times New Roman"/>
          <w:color w:val="000000"/>
          <w:sz w:val="20"/>
          <w:szCs w:val="20"/>
        </w:rPr>
        <w:t>.</w:t>
      </w:r>
    </w:p>
    <w:p w:rsidR="00000000" w:rsidRDefault="00CB61D5">
      <w:pPr>
        <w:jc w:val="both"/>
        <w:rPr>
          <w:rFonts w:eastAsia="Times New Roman"/>
        </w:rPr>
      </w:pPr>
    </w:p>
    <w:p w:rsidR="00000000" w:rsidRDefault="00CB61D5">
      <w:pPr>
        <w:jc w:val="center"/>
        <w:divId w:val="11075751"/>
        <w:rPr>
          <w:rFonts w:eastAsia="Times New Roman"/>
        </w:rPr>
      </w:pPr>
      <w:r>
        <w:rPr>
          <w:rFonts w:eastAsia="Times New Roman"/>
          <w:color w:val="000000"/>
          <w:sz w:val="20"/>
          <w:szCs w:val="20"/>
        </w:rPr>
        <w:t>7</w:t>
      </w:r>
      <w:r>
        <w:rPr>
          <w:rFonts w:eastAsia="Times New Roman"/>
          <w:color w:val="000000"/>
          <w:sz w:val="20"/>
          <w:szCs w:val="20"/>
        </w:rPr>
        <w:t>3</w:t>
      </w:r>
    </w:p>
    <w:p w:rsidR="00000000" w:rsidRDefault="00CB61D5">
      <w:pPr>
        <w:rPr>
          <w:rFonts w:eastAsia="Times New Roman"/>
        </w:rPr>
      </w:pPr>
      <w:r>
        <w:rPr>
          <w:rFonts w:eastAsia="Times New Roman"/>
        </w:rPr>
        <w:pict>
          <v:rect id="_x0000_i1102" style="width:0;height:1.5pt" o:hralign="center" o:hrstd="t" o:hr="t" fillcolor="#a0a0a0" stroked="f"/>
        </w:pict>
      </w:r>
    </w:p>
    <w:p w:rsidR="00000000" w:rsidRDefault="00CB61D5">
      <w:pPr>
        <w:divId w:val="1312296375"/>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PART I</w:t>
      </w:r>
      <w:r>
        <w:rPr>
          <w:rFonts w:eastAsia="Times New Roman"/>
          <w:b/>
          <w:bCs/>
          <w:color w:val="000000"/>
          <w:sz w:val="20"/>
          <w:szCs w:val="20"/>
        </w:rPr>
        <w:t>V</w:t>
      </w:r>
    </w:p>
    <w:p w:rsidR="00000000" w:rsidRDefault="00CB61D5">
      <w:pPr>
        <w:divId w:val="548340535"/>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5</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Exhibits and Financial Statement Schedule</w:t>
      </w:r>
      <w:r>
        <w:rPr>
          <w:rFonts w:eastAsia="Times New Roman"/>
          <w:b/>
          <w:bCs/>
          <w:color w:val="000000"/>
          <w:sz w:val="20"/>
          <w:szCs w:val="20"/>
          <w:u w:val="single"/>
        </w:rPr>
        <w:t>s</w:t>
      </w:r>
    </w:p>
    <w:p w:rsidR="00000000" w:rsidRDefault="00CB61D5">
      <w:pPr>
        <w:divId w:val="1660815299"/>
        <w:rPr>
          <w:rFonts w:eastAsia="Times New Roman"/>
        </w:rPr>
      </w:pPr>
    </w:p>
    <w:p w:rsidR="00000000" w:rsidRDefault="00CB61D5">
      <w:pPr>
        <w:divId w:val="1106850979"/>
        <w:rPr>
          <w:rFonts w:eastAsia="Times New Roman"/>
        </w:rPr>
      </w:pPr>
      <w:r>
        <w:rPr>
          <w:rFonts w:eastAsia="Times New Roman"/>
          <w:color w:val="000000"/>
          <w:sz w:val="20"/>
          <w:szCs w:val="20"/>
        </w:rPr>
        <w:t>(a) (1) Financial Statements</w:t>
      </w:r>
      <w:r>
        <w:rPr>
          <w:rFonts w:eastAsia="Times New Roman"/>
          <w:color w:val="000000"/>
          <w:sz w:val="20"/>
          <w:szCs w:val="20"/>
        </w:rPr>
        <w:t> </w:t>
      </w:r>
    </w:p>
    <w:p w:rsidR="00000000" w:rsidRDefault="00CB61D5">
      <w:pPr>
        <w:divId w:val="1684936444"/>
        <w:rPr>
          <w:rFonts w:eastAsia="Times New Roman"/>
        </w:rPr>
      </w:pPr>
    </w:p>
    <w:p w:rsidR="00000000" w:rsidRDefault="00CB61D5">
      <w:pPr>
        <w:ind w:firstLine="720"/>
        <w:jc w:val="both"/>
        <w:rPr>
          <w:rFonts w:eastAsia="Times New Roman"/>
        </w:rPr>
      </w:pPr>
      <w:r>
        <w:rPr>
          <w:rFonts w:eastAsia="Times New Roman"/>
          <w:color w:val="000000"/>
          <w:sz w:val="20"/>
          <w:szCs w:val="20"/>
        </w:rPr>
        <w:t>See Consolidated Financial Statements under Item 8 on pages 39 through 72 of this Form 10-K</w:t>
      </w:r>
      <w:r>
        <w:rPr>
          <w:rFonts w:eastAsia="Times New Roman"/>
          <w:color w:val="000000"/>
          <w:sz w:val="20"/>
          <w:szCs w:val="20"/>
        </w:rPr>
        <w:t>.</w:t>
      </w:r>
    </w:p>
    <w:p w:rsidR="00000000" w:rsidRDefault="00CB61D5">
      <w:pPr>
        <w:divId w:val="1139147842"/>
        <w:rPr>
          <w:rFonts w:eastAsia="Times New Roman"/>
        </w:rPr>
      </w:pPr>
    </w:p>
    <w:p w:rsidR="00000000" w:rsidRDefault="00CB61D5">
      <w:pPr>
        <w:divId w:val="1934392006"/>
        <w:rPr>
          <w:rFonts w:eastAsia="Times New Roman"/>
        </w:rPr>
      </w:pPr>
      <w:r>
        <w:rPr>
          <w:rFonts w:eastAsia="Times New Roman"/>
          <w:color w:val="000000"/>
          <w:sz w:val="20"/>
          <w:szCs w:val="20"/>
        </w:rPr>
        <w:t>(a) (2) Financial Statement Schedule</w:t>
      </w:r>
      <w:r>
        <w:rPr>
          <w:rFonts w:eastAsia="Times New Roman"/>
          <w:color w:val="000000"/>
          <w:sz w:val="20"/>
          <w:szCs w:val="20"/>
        </w:rPr>
        <w:t>s</w:t>
      </w:r>
    </w:p>
    <w:p w:rsidR="00000000" w:rsidRDefault="00CB61D5">
      <w:pPr>
        <w:divId w:val="422066190"/>
        <w:rPr>
          <w:rFonts w:eastAsia="Times New Roman"/>
        </w:rPr>
      </w:pPr>
    </w:p>
    <w:p w:rsidR="00000000" w:rsidRDefault="00CB61D5">
      <w:pPr>
        <w:jc w:val="both"/>
        <w:rPr>
          <w:rFonts w:eastAsia="Times New Roman"/>
        </w:rPr>
      </w:pPr>
      <w:r>
        <w:rPr>
          <w:rFonts w:eastAsia="Times New Roman"/>
          <w:color w:val="000000"/>
          <w:sz w:val="20"/>
          <w:szCs w:val="20"/>
        </w:rPr>
        <w:t>All schedules for which provision is made in the applicable accounting regulations of the SEC are not required under the related instructions, are inapplicable or the information is included in the Consolidated Financial Statements and, therefore, have bee</w:t>
      </w:r>
      <w:r>
        <w:rPr>
          <w:rFonts w:eastAsia="Times New Roman"/>
          <w:color w:val="000000"/>
          <w:sz w:val="20"/>
          <w:szCs w:val="20"/>
        </w:rPr>
        <w:t>n omitted</w:t>
      </w:r>
      <w:r>
        <w:rPr>
          <w:rFonts w:eastAsia="Times New Roman"/>
          <w:color w:val="000000"/>
          <w:sz w:val="20"/>
          <w:szCs w:val="20"/>
        </w:rPr>
        <w:t>.</w:t>
      </w:r>
    </w:p>
    <w:p w:rsidR="00000000" w:rsidRDefault="00CB61D5">
      <w:pPr>
        <w:divId w:val="214633183"/>
        <w:rPr>
          <w:rFonts w:eastAsia="Times New Roman"/>
        </w:rPr>
      </w:pPr>
    </w:p>
    <w:p w:rsidR="00000000" w:rsidRDefault="00CB61D5">
      <w:pPr>
        <w:divId w:val="329598804"/>
        <w:rPr>
          <w:rFonts w:eastAsia="Times New Roman"/>
        </w:rPr>
      </w:pPr>
      <w:r>
        <w:rPr>
          <w:rFonts w:eastAsia="Times New Roman"/>
          <w:color w:val="000000"/>
          <w:sz w:val="20"/>
          <w:szCs w:val="20"/>
        </w:rPr>
        <w:t>(a) (3) Exhibit</w:t>
      </w:r>
      <w:r>
        <w:rPr>
          <w:rFonts w:eastAsia="Times New Roman"/>
          <w:color w:val="000000"/>
          <w:sz w:val="20"/>
          <w:szCs w:val="20"/>
        </w:rPr>
        <w:t>s</w:t>
      </w:r>
    </w:p>
    <w:p w:rsidR="00000000" w:rsidRDefault="00CB61D5">
      <w:pPr>
        <w:divId w:val="106705525"/>
        <w:rPr>
          <w:rFonts w:eastAsia="Times New Roman"/>
        </w:rPr>
      </w:pPr>
    </w:p>
    <w:p w:rsidR="00000000" w:rsidRDefault="00CB61D5">
      <w:pPr>
        <w:jc w:val="both"/>
        <w:rPr>
          <w:rFonts w:eastAsia="Times New Roman"/>
        </w:rPr>
      </w:pPr>
      <w:r>
        <w:rPr>
          <w:rFonts w:eastAsia="Times New Roman"/>
          <w:color w:val="000000"/>
          <w:sz w:val="20"/>
          <w:szCs w:val="20"/>
        </w:rPr>
        <w:t>The exhibits listed in the Index to Exhibits, which appears on pages 76 through 79 of this Form 10-K, are incorporated herein by reference or filed as part of this Form 10-K</w:t>
      </w:r>
      <w:r>
        <w:rPr>
          <w:rFonts w:eastAsia="Times New Roman"/>
          <w:color w:val="000000"/>
          <w:sz w:val="20"/>
          <w:szCs w:val="20"/>
        </w:rPr>
        <w:t>.</w:t>
      </w:r>
    </w:p>
    <w:p w:rsidR="00000000" w:rsidRDefault="00CB61D5">
      <w:pPr>
        <w:jc w:val="both"/>
        <w:rPr>
          <w:rFonts w:eastAsia="Times New Roman"/>
        </w:rPr>
      </w:pPr>
    </w:p>
    <w:p w:rsidR="00000000" w:rsidRDefault="00CB61D5">
      <w:pPr>
        <w:jc w:val="both"/>
        <w:rPr>
          <w:rFonts w:eastAsia="Times New Roman"/>
        </w:rPr>
      </w:pPr>
      <w:r>
        <w:rPr>
          <w:rFonts w:eastAsia="Times New Roman"/>
          <w:b/>
          <w:bCs/>
          <w:color w:val="000000"/>
          <w:sz w:val="20"/>
          <w:szCs w:val="20"/>
          <w:u w:val="single"/>
        </w:rPr>
        <w:t>Item 1</w:t>
      </w:r>
      <w:r>
        <w:rPr>
          <w:rFonts w:eastAsia="Times New Roman"/>
          <w:b/>
          <w:bCs/>
          <w:color w:val="000000"/>
          <w:sz w:val="20"/>
          <w:szCs w:val="20"/>
          <w:u w:val="single"/>
        </w:rPr>
        <w:t>6</w:t>
      </w:r>
      <w:r>
        <w:rPr>
          <w:rFonts w:eastAsia="Times New Roman"/>
          <w:b/>
          <w:bCs/>
          <w:color w:val="000000"/>
          <w:sz w:val="20"/>
          <w:szCs w:val="20"/>
        </w:rPr>
        <w:t>. </w:t>
      </w:r>
      <w:r>
        <w:rPr>
          <w:rFonts w:eastAsia="Times New Roman"/>
          <w:b/>
          <w:bCs/>
          <w:color w:val="000000"/>
          <w:sz w:val="20"/>
          <w:szCs w:val="20"/>
        </w:rPr>
        <w:t> </w:t>
      </w:r>
      <w:r>
        <w:rPr>
          <w:rFonts w:eastAsia="Times New Roman"/>
          <w:b/>
          <w:bCs/>
          <w:color w:val="000000"/>
          <w:sz w:val="20"/>
          <w:szCs w:val="20"/>
          <w:u w:val="single"/>
        </w:rPr>
        <w:t>Form 10-K Summar</w:t>
      </w:r>
      <w:r>
        <w:rPr>
          <w:rFonts w:eastAsia="Times New Roman"/>
          <w:b/>
          <w:bCs/>
          <w:color w:val="000000"/>
          <w:sz w:val="20"/>
          <w:szCs w:val="20"/>
          <w:u w:val="single"/>
        </w:rPr>
        <w:t>y</w:t>
      </w:r>
    </w:p>
    <w:p w:rsidR="00000000" w:rsidRDefault="00CB61D5">
      <w:pPr>
        <w:divId w:val="1448233452"/>
        <w:rPr>
          <w:rFonts w:eastAsia="Times New Roman"/>
        </w:rPr>
      </w:pPr>
    </w:p>
    <w:p w:rsidR="00000000" w:rsidRDefault="00CB61D5">
      <w:pPr>
        <w:divId w:val="1850295249"/>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CB61D5">
      <w:pPr>
        <w:jc w:val="center"/>
        <w:divId w:val="1144814274"/>
        <w:rPr>
          <w:rFonts w:eastAsia="Times New Roman"/>
        </w:rPr>
      </w:pPr>
      <w:r>
        <w:rPr>
          <w:rFonts w:eastAsia="Times New Roman"/>
          <w:color w:val="000000"/>
          <w:sz w:val="20"/>
          <w:szCs w:val="20"/>
        </w:rPr>
        <w:t>7</w:t>
      </w:r>
      <w:r>
        <w:rPr>
          <w:rFonts w:eastAsia="Times New Roman"/>
          <w:color w:val="000000"/>
          <w:sz w:val="20"/>
          <w:szCs w:val="20"/>
        </w:rPr>
        <w:t>4</w:t>
      </w:r>
    </w:p>
    <w:p w:rsidR="00000000" w:rsidRDefault="00CB61D5">
      <w:pPr>
        <w:rPr>
          <w:rFonts w:eastAsia="Times New Roman"/>
        </w:rPr>
      </w:pPr>
      <w:r>
        <w:rPr>
          <w:rFonts w:eastAsia="Times New Roman"/>
        </w:rPr>
        <w:pict>
          <v:rect id="_x0000_i1103" style="width:0;height:1.5pt" o:hralign="center" o:hrstd="t" o:hr="t" fillcolor="#a0a0a0" stroked="f"/>
        </w:pict>
      </w:r>
    </w:p>
    <w:p w:rsidR="00000000" w:rsidRDefault="00CB61D5">
      <w:pPr>
        <w:divId w:val="2101171721"/>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CB61D5">
      <w:pPr>
        <w:divId w:val="1916547445"/>
        <w:rPr>
          <w:rFonts w:eastAsia="Times New Roman"/>
        </w:rPr>
      </w:pPr>
    </w:p>
    <w:p w:rsidR="00000000" w:rsidRDefault="00CB61D5">
      <w:pPr>
        <w:jc w:val="both"/>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w:t>
      </w:r>
      <w:r>
        <w:rPr>
          <w:rFonts w:eastAsia="Times New Roman"/>
          <w:color w:val="000000"/>
          <w:sz w:val="20"/>
          <w:szCs w:val="20"/>
        </w:rPr>
        <w:t xml:space="preserve"> thereunto duly authorized</w:t>
      </w:r>
      <w:r>
        <w:rPr>
          <w:rFonts w:eastAsia="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81"/>
        <w:gridCol w:w="317"/>
        <w:gridCol w:w="81"/>
        <w:gridCol w:w="81"/>
        <w:gridCol w:w="2533"/>
        <w:gridCol w:w="81"/>
        <w:gridCol w:w="81"/>
        <w:gridCol w:w="185"/>
        <w:gridCol w:w="81"/>
        <w:gridCol w:w="81"/>
        <w:gridCol w:w="4454"/>
        <w:gridCol w:w="81"/>
        <w:gridCol w:w="36"/>
        <w:gridCol w:w="36"/>
        <w:gridCol w:w="36"/>
      </w:tblGrid>
      <w:tr w:rsidR="00000000">
        <w:trPr>
          <w:gridAfter w:val="3"/>
          <w:divId w:val="1454053215"/>
        </w:trPr>
        <w:tc>
          <w:tcPr>
            <w:tcW w:w="50" w:type="pct"/>
            <w:vAlign w:val="center"/>
            <w:hideMark/>
          </w:tcPr>
          <w:p w:rsidR="00000000" w:rsidRDefault="00CB61D5">
            <w:pPr>
              <w:jc w:val="both"/>
              <w:rPr>
                <w:rFonts w:eastAsia="Times New Roman"/>
              </w:rPr>
            </w:pPr>
          </w:p>
        </w:tc>
        <w:tc>
          <w:tcPr>
            <w:tcW w:w="194"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55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1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735"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54053215"/>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CB61D5">
            <w:pPr>
              <w:rPr>
                <w:rFonts w:eastAsia="Times New Roman"/>
              </w:rPr>
            </w:pPr>
            <w:r>
              <w:rPr>
                <w:rFonts w:eastAsia="Times New Roman"/>
                <w:color w:val="000000"/>
                <w:sz w:val="20"/>
                <w:szCs w:val="20"/>
              </w:rPr>
              <w:t>TRACTOR SUPPLY COMPANY</w:t>
            </w:r>
            <w:r>
              <w:rPr>
                <w:rFonts w:eastAsia="Times New Roman"/>
                <w:color w:val="000000"/>
                <w:sz w:val="20"/>
                <w:szCs w:val="20"/>
              </w:rPr>
              <w:t> </w:t>
            </w:r>
          </w:p>
        </w:tc>
        <w:tc>
          <w:tcPr>
            <w:tcW w:w="0" w:type="auto"/>
            <w:gridSpan w:val="3"/>
            <w:vAlign w:val="center"/>
            <w:hideMark/>
          </w:tcPr>
          <w:p w:rsidR="00000000" w:rsidRDefault="00CB61D5">
            <w:pPr>
              <w:rPr>
                <w:rFonts w:eastAsia="Times New Roman"/>
              </w:rPr>
            </w:pPr>
          </w:p>
        </w:tc>
      </w:tr>
      <w:tr w:rsidR="00000000">
        <w:trPr>
          <w:divId w:val="1454053215"/>
          <w:trHeight w:val="60"/>
        </w:trPr>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r w:rsidR="00000000">
        <w:trPr>
          <w:divId w:val="1454053215"/>
        </w:trPr>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u w:val="single"/>
              </w:rPr>
              <w:t>February 20, 202</w:t>
            </w:r>
            <w:r>
              <w:rPr>
                <w:rFonts w:eastAsia="Times New Roman"/>
                <w:color w:val="000000"/>
                <w:sz w:val="20"/>
                <w:szCs w:val="20"/>
                <w:u w:val="single"/>
              </w:rPr>
              <w:t>0</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B61D5">
            <w:pPr>
              <w:divId w:val="1808086134"/>
              <w:rPr>
                <w:rFonts w:eastAsia="Times New Roman"/>
              </w:rPr>
            </w:pPr>
            <w:r>
              <w:rPr>
                <w:rFonts w:eastAsia="Times New Roman"/>
                <w:color w:val="000000"/>
                <w:sz w:val="20"/>
                <w:szCs w:val="20"/>
                <w:u w:val="single"/>
              </w:rPr>
              <w:t>/s/ Kurt D. Barto</w:t>
            </w:r>
            <w:r>
              <w:rPr>
                <w:rFonts w:eastAsia="Times New Roman"/>
                <w:color w:val="000000"/>
                <w:sz w:val="20"/>
                <w:szCs w:val="20"/>
                <w:u w:val="single"/>
              </w:rPr>
              <w:t>n</w:t>
            </w:r>
          </w:p>
          <w:p w:rsidR="00000000" w:rsidRDefault="00CB61D5">
            <w:pPr>
              <w:divId w:val="499853983"/>
              <w:rPr>
                <w:rFonts w:eastAsia="Times New Roman"/>
              </w:rPr>
            </w:pPr>
            <w:r>
              <w:rPr>
                <w:rFonts w:eastAsia="Times New Roman"/>
                <w:color w:val="000000"/>
                <w:sz w:val="20"/>
                <w:szCs w:val="20"/>
              </w:rPr>
              <w:t>Executive Vice President – Chief Financial Officer and Treasure</w:t>
            </w:r>
            <w:r>
              <w:rPr>
                <w:rFonts w:eastAsia="Times New Roman"/>
                <w:color w:val="000000"/>
                <w:sz w:val="20"/>
                <w:szCs w:val="20"/>
              </w:rPr>
              <w:t>r</w:t>
            </w: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c>
          <w:tcPr>
            <w:tcW w:w="0" w:type="auto"/>
            <w:vAlign w:val="center"/>
            <w:hideMark/>
          </w:tcPr>
          <w:p w:rsidR="00000000" w:rsidRDefault="00CB61D5">
            <w:pPr>
              <w:rPr>
                <w:rFonts w:eastAsia="Times New Roman"/>
                <w:sz w:val="20"/>
                <w:szCs w:val="20"/>
              </w:rPr>
            </w:pPr>
          </w:p>
        </w:tc>
      </w:tr>
    </w:tbl>
    <w:p w:rsidR="00000000" w:rsidRDefault="00CB61D5">
      <w:pPr>
        <w:divId w:val="492457154"/>
        <w:rPr>
          <w:rFonts w:eastAsia="Times New Roman"/>
        </w:rPr>
      </w:pPr>
    </w:p>
    <w:p w:rsidR="00000000" w:rsidRDefault="00CB61D5">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in the capacities and on the dates indicated</w:t>
      </w:r>
      <w:r>
        <w:rPr>
          <w:rFonts w:eastAsia="Times New Roman"/>
          <w:color w:val="000000"/>
          <w:sz w:val="20"/>
          <w:szCs w:val="20"/>
        </w:rPr>
        <w:t>.</w:t>
      </w:r>
    </w:p>
    <w:p w:rsidR="00000000" w:rsidRDefault="00CB61D5">
      <w:pPr>
        <w:divId w:val="10162334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3"/>
        <w:gridCol w:w="3090"/>
        <w:gridCol w:w="83"/>
        <w:gridCol w:w="83"/>
        <w:gridCol w:w="2992"/>
        <w:gridCol w:w="83"/>
        <w:gridCol w:w="83"/>
        <w:gridCol w:w="367"/>
        <w:gridCol w:w="83"/>
        <w:gridCol w:w="83"/>
        <w:gridCol w:w="1193"/>
        <w:gridCol w:w="83"/>
      </w:tblGrid>
      <w:tr w:rsidR="00000000">
        <w:trPr>
          <w:divId w:val="1074818066"/>
        </w:trPr>
        <w:tc>
          <w:tcPr>
            <w:tcW w:w="50" w:type="pct"/>
            <w:vAlign w:val="center"/>
            <w:hideMark/>
          </w:tcPr>
          <w:p w:rsidR="00000000" w:rsidRDefault="00CB61D5">
            <w:pPr>
              <w:rPr>
                <w:rFonts w:eastAsia="Times New Roman"/>
              </w:rPr>
            </w:pPr>
          </w:p>
        </w:tc>
        <w:tc>
          <w:tcPr>
            <w:tcW w:w="1859"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180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221"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718"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074818066"/>
        </w:trPr>
        <w:tc>
          <w:tcPr>
            <w:tcW w:w="0" w:type="auto"/>
            <w:gridSpan w:val="3"/>
            <w:tcMar>
              <w:top w:w="30" w:type="dxa"/>
              <w:left w:w="20" w:type="dxa"/>
              <w:bottom w:w="30" w:type="dxa"/>
              <w:right w:w="20" w:type="dxa"/>
            </w:tcMar>
            <w:vAlign w:val="bottom"/>
            <w:hideMark/>
          </w:tcPr>
          <w:p w:rsidR="00000000" w:rsidRDefault="00CB61D5">
            <w:pPr>
              <w:jc w:val="center"/>
              <w:rPr>
                <w:rFonts w:eastAsia="Times New Roman"/>
              </w:rPr>
            </w:pPr>
            <w:r>
              <w:rPr>
                <w:rFonts w:eastAsia="Times New Roman"/>
                <w:b/>
                <w:bCs/>
                <w:color w:val="000000"/>
                <w:sz w:val="20"/>
                <w:szCs w:val="20"/>
                <w:u w:val="single"/>
              </w:rPr>
              <w:t>Signatur</w:t>
            </w:r>
            <w:r>
              <w:rPr>
                <w:rFonts w:eastAsia="Times New Roman"/>
                <w:b/>
                <w:bCs/>
                <w:color w:val="000000"/>
                <w:sz w:val="20"/>
                <w:szCs w:val="20"/>
                <w:u w:val="single"/>
              </w:rPr>
              <w:t>e</w:t>
            </w:r>
          </w:p>
          <w:p w:rsidR="00000000" w:rsidRDefault="00CB61D5">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b/>
                <w:bCs/>
                <w:color w:val="000000"/>
                <w:sz w:val="20"/>
                <w:szCs w:val="20"/>
                <w:u w:val="single"/>
              </w:rPr>
              <w:t>Titl</w:t>
            </w:r>
            <w:r>
              <w:rPr>
                <w:rFonts w:eastAsia="Times New Roman"/>
                <w:b/>
                <w:bCs/>
                <w:color w:val="000000"/>
                <w:sz w:val="20"/>
                <w:szCs w:val="20"/>
                <w:u w:val="single"/>
              </w:rPr>
              <w:t>e</w:t>
            </w:r>
          </w:p>
        </w:tc>
        <w:tc>
          <w:tcPr>
            <w:tcW w:w="0" w:type="auto"/>
            <w:gridSpan w:val="3"/>
            <w:tcMar>
              <w:top w:w="15" w:type="dxa"/>
              <w:left w:w="20" w:type="dxa"/>
              <w:bottom w:w="15" w:type="dxa"/>
              <w:right w:w="20" w:type="dxa"/>
            </w:tcMar>
            <w:vAlign w:val="bottom"/>
            <w:hideMark/>
          </w:tcPr>
          <w:p w:rsidR="00000000" w:rsidRDefault="00CB61D5">
            <w:pPr>
              <w:jc w:val="cente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b/>
                <w:bCs/>
                <w:color w:val="000000"/>
                <w:sz w:val="20"/>
                <w:szCs w:val="20"/>
                <w:u w:val="single"/>
              </w:rPr>
              <w:t>Dat</w:t>
            </w:r>
            <w:r>
              <w:rPr>
                <w:rFonts w:eastAsia="Times New Roman"/>
                <w:b/>
                <w:bCs/>
                <w:color w:val="000000"/>
                <w:sz w:val="20"/>
                <w:szCs w:val="20"/>
                <w:u w:val="single"/>
              </w:rPr>
              <w:t>e</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77607033"/>
              <w:rPr>
                <w:rFonts w:eastAsia="Times New Roman"/>
              </w:rPr>
            </w:pPr>
            <w:r>
              <w:rPr>
                <w:rFonts w:eastAsia="Times New Roman"/>
                <w:color w:val="000000"/>
                <w:sz w:val="20"/>
                <w:szCs w:val="20"/>
                <w:u w:val="single"/>
              </w:rPr>
              <w:t>/s/ Kurt D. Barto</w:t>
            </w:r>
            <w:r>
              <w:rPr>
                <w:rFonts w:eastAsia="Times New Roman"/>
                <w:color w:val="000000"/>
                <w:sz w:val="20"/>
                <w:szCs w:val="20"/>
                <w:u w:val="single"/>
              </w:rPr>
              <w:t>n</w:t>
            </w:r>
          </w:p>
          <w:p w:rsidR="00000000" w:rsidRDefault="00CB61D5">
            <w:pPr>
              <w:divId w:val="971907478"/>
              <w:rPr>
                <w:rFonts w:eastAsia="Times New Roman"/>
              </w:rPr>
            </w:pPr>
            <w:r>
              <w:rPr>
                <w:rFonts w:eastAsia="Times New Roman"/>
                <w:color w:val="000000"/>
                <w:sz w:val="20"/>
                <w:szCs w:val="20"/>
              </w:rPr>
              <w:t>Kurt D. Barto</w:t>
            </w:r>
            <w:r>
              <w:rPr>
                <w:rFonts w:eastAsia="Times New Roman"/>
                <w:color w:val="000000"/>
                <w:sz w:val="20"/>
                <w:szCs w:val="20"/>
              </w:rPr>
              <w:t>n</w:t>
            </w:r>
          </w:p>
          <w:p w:rsidR="00000000" w:rsidRDefault="00CB61D5">
            <w:pPr>
              <w:divId w:val="2064256592"/>
              <w:rPr>
                <w:rFonts w:eastAsia="Times New Roman"/>
              </w:rPr>
            </w:pPr>
          </w:p>
        </w:tc>
        <w:tc>
          <w:tcPr>
            <w:tcW w:w="0" w:type="auto"/>
            <w:gridSpan w:val="3"/>
            <w:tcMar>
              <w:top w:w="30" w:type="dxa"/>
              <w:left w:w="20" w:type="dxa"/>
              <w:bottom w:w="30" w:type="dxa"/>
              <w:right w:w="20" w:type="dxa"/>
            </w:tcMar>
            <w:hideMark/>
          </w:tcPr>
          <w:p w:rsidR="00000000" w:rsidRDefault="00CB61D5">
            <w:pPr>
              <w:divId w:val="589586722"/>
              <w:rPr>
                <w:rFonts w:eastAsia="Times New Roman"/>
              </w:rPr>
            </w:pPr>
            <w:r>
              <w:rPr>
                <w:rFonts w:eastAsia="Times New Roman"/>
                <w:color w:val="000000"/>
                <w:sz w:val="20"/>
                <w:szCs w:val="20"/>
              </w:rPr>
              <w:t xml:space="preserve">Executive Vice President </w:t>
            </w:r>
            <w:r>
              <w:rPr>
                <w:rFonts w:eastAsia="Times New Roman"/>
                <w:color w:val="000000"/>
                <w:sz w:val="20"/>
                <w:szCs w:val="20"/>
              </w:rPr>
              <w:t>–</w:t>
            </w:r>
          </w:p>
          <w:p w:rsidR="00000000" w:rsidRDefault="00CB61D5">
            <w:pPr>
              <w:divId w:val="88351574"/>
              <w:rPr>
                <w:rFonts w:eastAsia="Times New Roman"/>
              </w:rPr>
            </w:pPr>
            <w:r>
              <w:rPr>
                <w:rFonts w:eastAsia="Times New Roman"/>
                <w:color w:val="000000"/>
                <w:sz w:val="20"/>
                <w:szCs w:val="20"/>
              </w:rPr>
              <w:t>Chief Financial Officer and Treasurer (Principal Financial and Accounting Officer</w:t>
            </w:r>
            <w:r>
              <w:rPr>
                <w:rFonts w:eastAsia="Times New Roman"/>
                <w:color w:val="000000"/>
                <w:sz w:val="20"/>
                <w:szCs w:val="20"/>
              </w:rPr>
              <w:t>)</w:t>
            </w:r>
          </w:p>
          <w:p w:rsidR="00000000" w:rsidRDefault="00CB61D5">
            <w:pPr>
              <w:divId w:val="910624929"/>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398098264"/>
              <w:rPr>
                <w:rFonts w:eastAsia="Times New Roman"/>
              </w:rPr>
            </w:pPr>
            <w:r>
              <w:rPr>
                <w:rFonts w:eastAsia="Times New Roman"/>
                <w:color w:val="000000"/>
                <w:sz w:val="20"/>
                <w:szCs w:val="20"/>
                <w:u w:val="single"/>
              </w:rPr>
              <w:t>/s/ Harry A. Lawton II</w:t>
            </w:r>
            <w:r>
              <w:rPr>
                <w:rFonts w:eastAsia="Times New Roman"/>
                <w:color w:val="000000"/>
                <w:sz w:val="20"/>
                <w:szCs w:val="20"/>
                <w:u w:val="single"/>
              </w:rPr>
              <w:t>I</w:t>
            </w:r>
          </w:p>
          <w:p w:rsidR="00000000" w:rsidRDefault="00CB61D5">
            <w:pPr>
              <w:divId w:val="274606817"/>
              <w:rPr>
                <w:rFonts w:eastAsia="Times New Roman"/>
              </w:rPr>
            </w:pPr>
            <w:r>
              <w:rPr>
                <w:rFonts w:eastAsia="Times New Roman"/>
                <w:color w:val="000000"/>
                <w:sz w:val="20"/>
                <w:szCs w:val="20"/>
              </w:rPr>
              <w:t>Harry A. Lawton II</w:t>
            </w:r>
            <w:r>
              <w:rPr>
                <w:rFonts w:eastAsia="Times New Roman"/>
                <w:color w:val="000000"/>
                <w:sz w:val="20"/>
                <w:szCs w:val="20"/>
              </w:rPr>
              <w:t>I</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President, Chief Executive Officer, and Director</w:t>
            </w:r>
            <w:r>
              <w:rPr>
                <w:rFonts w:eastAsia="Times New Roman"/>
                <w:color w:val="000000"/>
                <w:sz w:val="20"/>
                <w:szCs w:val="20"/>
              </w:rPr>
              <w:br/>
              <w:t>(Principal Executive Officer)</w:t>
            </w:r>
            <w:r>
              <w:rPr>
                <w:rFonts w:eastAsia="Times New Roman"/>
                <w:color w:val="000000"/>
                <w:sz w:val="20"/>
                <w:szCs w:val="20"/>
              </w:rPr>
              <w:br/>
            </w: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66349327"/>
              <w:rPr>
                <w:rFonts w:eastAsia="Times New Roman"/>
              </w:rPr>
            </w:pPr>
            <w:r>
              <w:rPr>
                <w:rFonts w:eastAsia="Times New Roman"/>
                <w:color w:val="000000"/>
                <w:sz w:val="20"/>
                <w:szCs w:val="20"/>
                <w:u w:val="single"/>
              </w:rPr>
              <w:t>/s/ Cynthia T. Jamiso</w:t>
            </w:r>
            <w:r>
              <w:rPr>
                <w:rFonts w:eastAsia="Times New Roman"/>
                <w:color w:val="000000"/>
                <w:sz w:val="20"/>
                <w:szCs w:val="20"/>
                <w:u w:val="single"/>
              </w:rPr>
              <w:t>n</w:t>
            </w:r>
          </w:p>
          <w:p w:rsidR="00000000" w:rsidRDefault="00CB61D5">
            <w:pPr>
              <w:divId w:val="346488833"/>
              <w:rPr>
                <w:rFonts w:eastAsia="Times New Roman"/>
              </w:rPr>
            </w:pPr>
            <w:r>
              <w:rPr>
                <w:rFonts w:eastAsia="Times New Roman"/>
                <w:color w:val="000000"/>
                <w:sz w:val="20"/>
                <w:szCs w:val="20"/>
              </w:rPr>
              <w:t>Cynthia T. Jamiso</w:t>
            </w:r>
            <w:r>
              <w:rPr>
                <w:rFonts w:eastAsia="Times New Roman"/>
                <w:color w:val="000000"/>
                <w:sz w:val="20"/>
                <w:szCs w:val="20"/>
              </w:rPr>
              <w:t>n</w:t>
            </w:r>
          </w:p>
          <w:p w:rsidR="00000000" w:rsidRDefault="00CB61D5">
            <w:pPr>
              <w:divId w:val="801846273"/>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321130209"/>
              <w:rPr>
                <w:rFonts w:eastAsia="Times New Roman"/>
              </w:rPr>
            </w:pPr>
            <w:r>
              <w:rPr>
                <w:rFonts w:eastAsia="Times New Roman"/>
                <w:color w:val="000000"/>
                <w:sz w:val="20"/>
                <w:szCs w:val="20"/>
              </w:rPr>
              <w:t>Chairman of the Boar</w:t>
            </w:r>
            <w:r>
              <w:rPr>
                <w:rFonts w:eastAsia="Times New Roman"/>
                <w:color w:val="000000"/>
                <w:sz w:val="20"/>
                <w:szCs w:val="20"/>
              </w:rPr>
              <w:t>d</w:t>
            </w:r>
          </w:p>
          <w:p w:rsidR="00000000" w:rsidRDefault="00CB61D5">
            <w:pPr>
              <w:divId w:val="1697267582"/>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1706448539"/>
              <w:rPr>
                <w:rFonts w:eastAsia="Times New Roman"/>
              </w:rPr>
            </w:pPr>
            <w:r>
              <w:rPr>
                <w:rFonts w:eastAsia="Times New Roman"/>
                <w:color w:val="000000"/>
                <w:sz w:val="20"/>
                <w:szCs w:val="20"/>
                <w:u w:val="single"/>
              </w:rPr>
              <w:t>/s/ Ricardo Cardena</w:t>
            </w:r>
            <w:r>
              <w:rPr>
                <w:rFonts w:eastAsia="Times New Roman"/>
                <w:color w:val="000000"/>
                <w:sz w:val="20"/>
                <w:szCs w:val="20"/>
                <w:u w:val="single"/>
              </w:rPr>
              <w:t>s</w:t>
            </w:r>
          </w:p>
          <w:p w:rsidR="00000000" w:rsidRDefault="00CB61D5">
            <w:pPr>
              <w:divId w:val="217866109"/>
              <w:rPr>
                <w:rFonts w:eastAsia="Times New Roman"/>
              </w:rPr>
            </w:pPr>
            <w:r>
              <w:rPr>
                <w:rFonts w:eastAsia="Times New Roman"/>
                <w:color w:val="000000"/>
                <w:sz w:val="20"/>
                <w:szCs w:val="20"/>
              </w:rPr>
              <w:t>Ricardo Cardena</w:t>
            </w:r>
            <w:r>
              <w:rPr>
                <w:rFonts w:eastAsia="Times New Roman"/>
                <w:color w:val="000000"/>
                <w:sz w:val="20"/>
                <w:szCs w:val="20"/>
              </w:rPr>
              <w:t>s</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1438132980"/>
              <w:rPr>
                <w:rFonts w:eastAsia="Times New Roman"/>
              </w:rPr>
            </w:pPr>
            <w:r>
              <w:rPr>
                <w:rFonts w:eastAsia="Times New Roman"/>
                <w:color w:val="000000"/>
                <w:sz w:val="20"/>
                <w:szCs w:val="20"/>
                <w:u w:val="single"/>
              </w:rPr>
              <w:t>/s/ Denise L. Jackso</w:t>
            </w:r>
            <w:r>
              <w:rPr>
                <w:rFonts w:eastAsia="Times New Roman"/>
                <w:color w:val="000000"/>
                <w:sz w:val="20"/>
                <w:szCs w:val="20"/>
                <w:u w:val="single"/>
              </w:rPr>
              <w:t>n</w:t>
            </w:r>
          </w:p>
          <w:p w:rsidR="00000000" w:rsidRDefault="00CB61D5">
            <w:pPr>
              <w:divId w:val="1665892220"/>
              <w:rPr>
                <w:rFonts w:eastAsia="Times New Roman"/>
              </w:rPr>
            </w:pPr>
            <w:r>
              <w:rPr>
                <w:rFonts w:eastAsia="Times New Roman"/>
                <w:color w:val="000000"/>
                <w:sz w:val="20"/>
                <w:szCs w:val="20"/>
              </w:rPr>
              <w:t>Denise L. Jackso</w:t>
            </w:r>
            <w:r>
              <w:rPr>
                <w:rFonts w:eastAsia="Times New Roman"/>
                <w:color w:val="000000"/>
                <w:sz w:val="20"/>
                <w:szCs w:val="20"/>
              </w:rPr>
              <w:t>n</w:t>
            </w:r>
          </w:p>
          <w:p w:rsidR="00000000" w:rsidRDefault="00CB61D5">
            <w:pPr>
              <w:divId w:val="1824853919"/>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1288313024"/>
              <w:rPr>
                <w:rFonts w:eastAsia="Times New Roman"/>
              </w:rPr>
            </w:pPr>
            <w:r>
              <w:rPr>
                <w:rFonts w:eastAsia="Times New Roman"/>
                <w:color w:val="000000"/>
                <w:sz w:val="20"/>
                <w:szCs w:val="20"/>
                <w:u w:val="single"/>
              </w:rPr>
              <w:t>/s/ Thomas A. Kingsbur</w:t>
            </w:r>
            <w:r>
              <w:rPr>
                <w:rFonts w:eastAsia="Times New Roman"/>
                <w:color w:val="000000"/>
                <w:sz w:val="20"/>
                <w:szCs w:val="20"/>
                <w:u w:val="single"/>
              </w:rPr>
              <w:t>y</w:t>
            </w:r>
          </w:p>
          <w:p w:rsidR="00000000" w:rsidRDefault="00CB61D5">
            <w:pPr>
              <w:divId w:val="188102108"/>
              <w:rPr>
                <w:rFonts w:eastAsia="Times New Roman"/>
              </w:rPr>
            </w:pPr>
            <w:r>
              <w:rPr>
                <w:rFonts w:eastAsia="Times New Roman"/>
                <w:color w:val="000000"/>
                <w:sz w:val="20"/>
                <w:szCs w:val="20"/>
              </w:rPr>
              <w:t>Thomas A. Kingsbur</w:t>
            </w:r>
            <w:r>
              <w:rPr>
                <w:rFonts w:eastAsia="Times New Roman"/>
                <w:color w:val="000000"/>
                <w:sz w:val="20"/>
                <w:szCs w:val="20"/>
              </w:rPr>
              <w:t>y</w:t>
            </w:r>
          </w:p>
          <w:p w:rsidR="00000000" w:rsidRDefault="00CB61D5">
            <w:pPr>
              <w:divId w:val="1352146499"/>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268047143"/>
              <w:rPr>
                <w:rFonts w:eastAsia="Times New Roman"/>
              </w:rPr>
            </w:pPr>
            <w:r>
              <w:rPr>
                <w:rFonts w:eastAsia="Times New Roman"/>
                <w:color w:val="000000"/>
                <w:sz w:val="20"/>
                <w:szCs w:val="20"/>
                <w:u w:val="single"/>
              </w:rPr>
              <w:t>/s/ Ramkumar Krishna</w:t>
            </w:r>
            <w:r>
              <w:rPr>
                <w:rFonts w:eastAsia="Times New Roman"/>
                <w:color w:val="000000"/>
                <w:sz w:val="20"/>
                <w:szCs w:val="20"/>
                <w:u w:val="single"/>
              </w:rPr>
              <w:t>n</w:t>
            </w:r>
          </w:p>
          <w:p w:rsidR="00000000" w:rsidRDefault="00CB61D5">
            <w:pPr>
              <w:divId w:val="1450396478"/>
              <w:rPr>
                <w:rFonts w:eastAsia="Times New Roman"/>
              </w:rPr>
            </w:pPr>
            <w:r>
              <w:rPr>
                <w:rFonts w:eastAsia="Times New Roman"/>
                <w:color w:val="000000"/>
                <w:sz w:val="20"/>
                <w:szCs w:val="20"/>
              </w:rPr>
              <w:t>Ramkumar Krishna</w:t>
            </w:r>
            <w:r>
              <w:rPr>
                <w:rFonts w:eastAsia="Times New Roman"/>
                <w:color w:val="000000"/>
                <w:sz w:val="20"/>
                <w:szCs w:val="20"/>
              </w:rPr>
              <w:t>n</w:t>
            </w:r>
          </w:p>
          <w:p w:rsidR="00000000" w:rsidRDefault="00CB61D5">
            <w:pPr>
              <w:divId w:val="452866709"/>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598100813"/>
              <w:rPr>
                <w:rFonts w:eastAsia="Times New Roman"/>
              </w:rPr>
            </w:pPr>
            <w:r>
              <w:rPr>
                <w:rFonts w:eastAsia="Times New Roman"/>
                <w:color w:val="000000"/>
                <w:sz w:val="20"/>
                <w:szCs w:val="20"/>
                <w:u w:val="single"/>
              </w:rPr>
              <w:t>/s/ George MacKenzi</w:t>
            </w:r>
            <w:r>
              <w:rPr>
                <w:rFonts w:eastAsia="Times New Roman"/>
                <w:color w:val="000000"/>
                <w:sz w:val="20"/>
                <w:szCs w:val="20"/>
                <w:u w:val="single"/>
              </w:rPr>
              <w:t>e</w:t>
            </w:r>
          </w:p>
          <w:p w:rsidR="00000000" w:rsidRDefault="00CB61D5">
            <w:pPr>
              <w:divId w:val="1886016238"/>
              <w:rPr>
                <w:rFonts w:eastAsia="Times New Roman"/>
              </w:rPr>
            </w:pPr>
            <w:r>
              <w:rPr>
                <w:rFonts w:eastAsia="Times New Roman"/>
                <w:color w:val="000000"/>
                <w:sz w:val="20"/>
                <w:szCs w:val="20"/>
              </w:rPr>
              <w:t>George MacKenzi</w:t>
            </w:r>
            <w:r>
              <w:rPr>
                <w:rFonts w:eastAsia="Times New Roman"/>
                <w:color w:val="000000"/>
                <w:sz w:val="20"/>
                <w:szCs w:val="20"/>
              </w:rPr>
              <w:t>e</w:t>
            </w:r>
          </w:p>
          <w:p w:rsidR="00000000" w:rsidRDefault="00CB61D5">
            <w:pPr>
              <w:divId w:val="468977507"/>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1917546486"/>
              <w:rPr>
                <w:rFonts w:eastAsia="Times New Roman"/>
              </w:rPr>
            </w:pPr>
            <w:r>
              <w:rPr>
                <w:rFonts w:eastAsia="Times New Roman"/>
                <w:color w:val="000000"/>
                <w:sz w:val="20"/>
                <w:szCs w:val="20"/>
                <w:u w:val="single"/>
              </w:rPr>
              <w:t>/s/ Edna K. Morri</w:t>
            </w:r>
            <w:r>
              <w:rPr>
                <w:rFonts w:eastAsia="Times New Roman"/>
                <w:color w:val="000000"/>
                <w:sz w:val="20"/>
                <w:szCs w:val="20"/>
                <w:u w:val="single"/>
              </w:rPr>
              <w:t>s</w:t>
            </w:r>
          </w:p>
          <w:p w:rsidR="00000000" w:rsidRDefault="00CB61D5">
            <w:pPr>
              <w:divId w:val="1465200389"/>
              <w:rPr>
                <w:rFonts w:eastAsia="Times New Roman"/>
              </w:rPr>
            </w:pPr>
            <w:r>
              <w:rPr>
                <w:rFonts w:eastAsia="Times New Roman"/>
                <w:color w:val="000000"/>
                <w:sz w:val="20"/>
                <w:szCs w:val="20"/>
              </w:rPr>
              <w:t>Edna K. Morri</w:t>
            </w:r>
            <w:r>
              <w:rPr>
                <w:rFonts w:eastAsia="Times New Roman"/>
                <w:color w:val="000000"/>
                <w:sz w:val="20"/>
                <w:szCs w:val="20"/>
              </w:rPr>
              <w:t>s</w:t>
            </w:r>
          </w:p>
          <w:p w:rsidR="00000000" w:rsidRDefault="00CB61D5">
            <w:pPr>
              <w:divId w:val="192298410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262540022"/>
              <w:rPr>
                <w:rFonts w:eastAsia="Times New Roman"/>
              </w:rPr>
            </w:pPr>
            <w:r>
              <w:rPr>
                <w:rFonts w:eastAsia="Times New Roman"/>
                <w:color w:val="000000"/>
                <w:sz w:val="20"/>
                <w:szCs w:val="20"/>
                <w:u w:val="single"/>
              </w:rPr>
              <w:t>/s/ Gregory A. Sandfor</w:t>
            </w:r>
            <w:r>
              <w:rPr>
                <w:rFonts w:eastAsia="Times New Roman"/>
                <w:color w:val="000000"/>
                <w:sz w:val="20"/>
                <w:szCs w:val="20"/>
                <w:u w:val="single"/>
              </w:rPr>
              <w:t>t</w:t>
            </w:r>
          </w:p>
          <w:p w:rsidR="00000000" w:rsidRDefault="00CB61D5">
            <w:pPr>
              <w:divId w:val="2050954851"/>
              <w:rPr>
                <w:rFonts w:eastAsia="Times New Roman"/>
              </w:rPr>
            </w:pPr>
            <w:r>
              <w:rPr>
                <w:rFonts w:eastAsia="Times New Roman"/>
                <w:color w:val="000000"/>
                <w:sz w:val="20"/>
                <w:szCs w:val="20"/>
              </w:rPr>
              <w:t>Gregory A. Sandfor</w:t>
            </w:r>
            <w:r>
              <w:rPr>
                <w:rFonts w:eastAsia="Times New Roman"/>
                <w:color w:val="000000"/>
                <w:sz w:val="20"/>
                <w:szCs w:val="20"/>
              </w:rPr>
              <w:t>t</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Director</w:t>
            </w:r>
            <w:r>
              <w:rPr>
                <w:rFonts w:eastAsia="Times New Roman"/>
                <w:color w:val="000000"/>
                <w:sz w:val="20"/>
                <w:szCs w:val="20"/>
              </w:rPr>
              <w:br/>
            </w:r>
            <w:r>
              <w:rPr>
                <w:rFonts w:eastAsia="Times New Roman"/>
                <w:color w:val="000000"/>
                <w:sz w:val="20"/>
                <w:szCs w:val="20"/>
              </w:rPr>
              <w:br/>
            </w: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r w:rsidR="00000000">
        <w:trPr>
          <w:divId w:val="1074818066"/>
        </w:trPr>
        <w:tc>
          <w:tcPr>
            <w:tcW w:w="0" w:type="auto"/>
            <w:gridSpan w:val="3"/>
            <w:tcMar>
              <w:top w:w="30" w:type="dxa"/>
              <w:left w:w="20" w:type="dxa"/>
              <w:bottom w:w="30" w:type="dxa"/>
              <w:right w:w="20" w:type="dxa"/>
            </w:tcMar>
            <w:hideMark/>
          </w:tcPr>
          <w:p w:rsidR="00000000" w:rsidRDefault="00CB61D5">
            <w:pPr>
              <w:divId w:val="1457482018"/>
              <w:rPr>
                <w:rFonts w:eastAsia="Times New Roman"/>
              </w:rPr>
            </w:pPr>
            <w:r>
              <w:rPr>
                <w:rFonts w:eastAsia="Times New Roman"/>
                <w:color w:val="000000"/>
                <w:sz w:val="20"/>
                <w:szCs w:val="20"/>
                <w:u w:val="single"/>
              </w:rPr>
              <w:t>/s/ Mark J. Weike</w:t>
            </w:r>
            <w:r>
              <w:rPr>
                <w:rFonts w:eastAsia="Times New Roman"/>
                <w:color w:val="000000"/>
                <w:sz w:val="20"/>
                <w:szCs w:val="20"/>
                <w:u w:val="single"/>
              </w:rPr>
              <w:t>l</w:t>
            </w:r>
          </w:p>
          <w:p w:rsidR="00000000" w:rsidRDefault="00CB61D5">
            <w:pPr>
              <w:divId w:val="1368605496"/>
              <w:rPr>
                <w:rFonts w:eastAsia="Times New Roman"/>
              </w:rPr>
            </w:pPr>
            <w:r>
              <w:rPr>
                <w:rFonts w:eastAsia="Times New Roman"/>
                <w:color w:val="000000"/>
                <w:sz w:val="20"/>
                <w:szCs w:val="20"/>
              </w:rPr>
              <w:t>Mark J. Weikel</w:t>
            </w: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30" w:type="dxa"/>
              <w:left w:w="20" w:type="dxa"/>
              <w:bottom w:w="30" w:type="dxa"/>
              <w:right w:w="20" w:type="dxa"/>
            </w:tcMar>
            <w:hideMark/>
          </w:tcPr>
          <w:p w:rsidR="00000000" w:rsidRDefault="00CB61D5">
            <w:pPr>
              <w:jc w:val="center"/>
              <w:rPr>
                <w:rFonts w:eastAsia="Times New Roman"/>
              </w:rPr>
            </w:pPr>
            <w:r>
              <w:rPr>
                <w:rFonts w:eastAsia="Times New Roman"/>
                <w:color w:val="000000"/>
                <w:sz w:val="20"/>
                <w:szCs w:val="20"/>
              </w:rPr>
              <w:t>February 20, 202</w:t>
            </w:r>
            <w:r>
              <w:rPr>
                <w:rFonts w:eastAsia="Times New Roman"/>
                <w:color w:val="000000"/>
                <w:sz w:val="20"/>
                <w:szCs w:val="20"/>
              </w:rPr>
              <w:t>0</w:t>
            </w:r>
          </w:p>
        </w:tc>
      </w:tr>
    </w:tbl>
    <w:p w:rsidR="00000000" w:rsidRDefault="00CB61D5">
      <w:pPr>
        <w:divId w:val="109669941"/>
        <w:rPr>
          <w:rFonts w:eastAsia="Times New Roman"/>
        </w:rPr>
      </w:pPr>
    </w:p>
    <w:p w:rsidR="00000000" w:rsidRDefault="00CB61D5">
      <w:pPr>
        <w:jc w:val="center"/>
        <w:divId w:val="2117939372"/>
        <w:rPr>
          <w:rFonts w:eastAsia="Times New Roman"/>
        </w:rPr>
      </w:pPr>
      <w:r>
        <w:rPr>
          <w:rFonts w:eastAsia="Times New Roman"/>
          <w:color w:val="000000"/>
          <w:sz w:val="20"/>
          <w:szCs w:val="20"/>
        </w:rPr>
        <w:t>7</w:t>
      </w:r>
      <w:r>
        <w:rPr>
          <w:rFonts w:eastAsia="Times New Roman"/>
          <w:color w:val="000000"/>
          <w:sz w:val="20"/>
          <w:szCs w:val="20"/>
        </w:rPr>
        <w:t>5</w:t>
      </w:r>
    </w:p>
    <w:p w:rsidR="00000000" w:rsidRDefault="00CB61D5">
      <w:pPr>
        <w:rPr>
          <w:rFonts w:eastAsia="Times New Roman"/>
        </w:rPr>
      </w:pPr>
      <w:r>
        <w:rPr>
          <w:rFonts w:eastAsia="Times New Roman"/>
        </w:rPr>
        <w:pict>
          <v:rect id="_x0000_i1104" style="width:0;height:1.5pt" o:hralign="center" o:hrstd="t" o:hr="t" fillcolor="#a0a0a0" stroked="f"/>
        </w:pict>
      </w:r>
    </w:p>
    <w:p w:rsidR="00000000" w:rsidRDefault="00CB61D5">
      <w:pPr>
        <w:divId w:val="1406486165"/>
        <w:rPr>
          <w:rFonts w:eastAsia="Times New Roman"/>
        </w:rPr>
      </w:pPr>
      <w:hyperlink w:anchor="i_0_7" w:history="1">
        <w:r>
          <w:rPr>
            <w:rStyle w:val="a3"/>
            <w:rFonts w:eastAsia="Times New Roman"/>
            <w:sz w:val="18"/>
            <w:szCs w:val="18"/>
          </w:rPr>
          <w:t>Index</w:t>
        </w:r>
      </w:hyperlink>
    </w:p>
    <w:p w:rsidR="00000000" w:rsidRDefault="00CB61D5">
      <w:pPr>
        <w:jc w:val="center"/>
        <w:rPr>
          <w:rFonts w:eastAsia="Times New Roman"/>
        </w:rPr>
      </w:pPr>
      <w:r>
        <w:rPr>
          <w:rFonts w:eastAsia="Times New Roman"/>
          <w:b/>
          <w:bCs/>
          <w:color w:val="000000"/>
          <w:sz w:val="20"/>
          <w:szCs w:val="20"/>
        </w:rPr>
        <w:t>EXHIBIT INDE</w:t>
      </w:r>
      <w:r>
        <w:rPr>
          <w:rFonts w:eastAsia="Times New Roman"/>
          <w:b/>
          <w:bCs/>
          <w:color w:val="000000"/>
          <w:sz w:val="20"/>
          <w:szCs w:val="20"/>
        </w:rPr>
        <w:t>X</w:t>
      </w:r>
    </w:p>
    <w:p w:rsidR="00000000" w:rsidRDefault="00CB61D5">
      <w:pPr>
        <w:divId w:val="118548349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2"/>
        <w:gridCol w:w="840"/>
        <w:gridCol w:w="85"/>
        <w:gridCol w:w="83"/>
        <w:gridCol w:w="7133"/>
        <w:gridCol w:w="83"/>
      </w:tblGrid>
      <w:tr w:rsidR="00000000">
        <w:trPr>
          <w:divId w:val="44528610"/>
        </w:trPr>
        <w:tc>
          <w:tcPr>
            <w:tcW w:w="50" w:type="pct"/>
            <w:vAlign w:val="center"/>
            <w:hideMark/>
          </w:tcPr>
          <w:p w:rsidR="00000000" w:rsidRDefault="00CB61D5">
            <w:pPr>
              <w:rPr>
                <w:rFonts w:eastAsia="Times New Roman"/>
              </w:rPr>
            </w:pPr>
          </w:p>
        </w:tc>
        <w:tc>
          <w:tcPr>
            <w:tcW w:w="5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29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77944432"/>
              <w:rPr>
                <w:rFonts w:eastAsia="Times New Roman"/>
              </w:rPr>
            </w:pPr>
            <w:hyperlink r:id="rId6" w:history="1">
              <w:r>
                <w:rPr>
                  <w:rStyle w:val="a3"/>
                  <w:rFonts w:eastAsia="Times New Roman"/>
                  <w:sz w:val="20"/>
                  <w:szCs w:val="20"/>
                </w:rPr>
                <w:t>Restated Certificate of Incorporation, as amended, of the Company (filed as Exhibit 3.1 to Registrant’s Annual Report on Form 10-K, filed with the Commission on</w:t>
              </w:r>
              <w:r>
                <w:rPr>
                  <w:rStyle w:val="a3"/>
                  <w:rFonts w:eastAsia="Times New Roman"/>
                  <w:sz w:val="20"/>
                  <w:szCs w:val="20"/>
                </w:rPr>
                <w:t xml:space="preserve"> February 29, 2012, Commission File No. 000-23314, and incorporated herein by reference).</w:t>
              </w:r>
            </w:hyperlink>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800224991"/>
              <w:rPr>
                <w:rFonts w:eastAsia="Times New Roman"/>
              </w:rPr>
            </w:pPr>
            <w:hyperlink r:id="rId7" w:history="1">
              <w:r>
                <w:rPr>
                  <w:rStyle w:val="a3"/>
                  <w:rFonts w:eastAsia="Times New Roman"/>
                  <w:sz w:val="20"/>
                  <w:szCs w:val="20"/>
                </w:rPr>
                <w:t>Fifth Amended and Restated By-laws (filed as Exhibit 3.1(i) to Registrant’s Current Report on Form 8-K, filed with the Commission on February 15</w:t>
              </w:r>
              <w:r>
                <w:rPr>
                  <w:rStyle w:val="a3"/>
                  <w:rFonts w:eastAsia="Times New Roman"/>
                  <w:sz w:val="20"/>
                  <w:szCs w:val="20"/>
                </w:rPr>
                <w:t>, 2017, Commission File No. 000-23314, and incorporated herein by reference).</w:t>
              </w:r>
            </w:hyperlink>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Form of Specimen Certificate representing the Company’s Common Stock, par value $.008 per share (filed as Exhibit 4.2 to Amendment No. 1 to Registrant’s Regis</w:t>
            </w:r>
            <w:r>
              <w:rPr>
                <w:rFonts w:eastAsia="Times New Roman"/>
                <w:color w:val="000000"/>
                <w:sz w:val="20"/>
                <w:szCs w:val="20"/>
              </w:rPr>
              <w:t>tration Statement on Form S-1, Registration No. 33-73028, filed in paper form with the Commission on January 31, 1994, and incorporated herein by reference)</w:t>
            </w:r>
            <w:r>
              <w:rPr>
                <w:rFonts w:eastAsia="Times New Roman"/>
                <w:color w:val="000000"/>
                <w:sz w:val="20"/>
                <w:szCs w:val="20"/>
              </w:rPr>
              <w:t>.</w:t>
            </w:r>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8" w:history="1">
              <w:r>
                <w:rPr>
                  <w:rStyle w:val="a3"/>
                  <w:rFonts w:eastAsia="Times New Roman"/>
                  <w:sz w:val="20"/>
                  <w:szCs w:val="20"/>
                </w:rPr>
                <w:t>Description of the Registrant's Securities Registered Pursuant to Section 12 of the Securities Exchange Act of 1934</w:t>
              </w:r>
            </w:hyperlink>
            <w:r>
              <w:rPr>
                <w:rFonts w:eastAsia="Times New Roman"/>
                <w:color w:val="000000"/>
                <w:sz w:val="20"/>
                <w:szCs w:val="20"/>
              </w:rPr>
              <w:t>.</w:t>
            </w:r>
          </w:p>
        </w:tc>
      </w:tr>
      <w:tr w:rsidR="00000000">
        <w:trPr>
          <w:divId w:val="445286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Certificate of Insurance relating to the Medical Expense Reimbursement Plan of the Company (filed as Exhibit 10.33 to Re</w:t>
            </w:r>
            <w:r>
              <w:rPr>
                <w:rFonts w:eastAsia="Times New Roman"/>
                <w:color w:val="000000"/>
                <w:sz w:val="20"/>
                <w:szCs w:val="20"/>
              </w:rPr>
              <w:t>gistrant’s Registration Statement on Form S-1, Registration No. 33-73028, filed in paper form with the Commission on December 17, 1993, and incorporated herein by reference)</w:t>
            </w:r>
            <w:r>
              <w:rPr>
                <w:rFonts w:eastAsia="Times New Roman"/>
                <w:color w:val="000000"/>
                <w:sz w:val="20"/>
                <w:szCs w:val="20"/>
              </w:rPr>
              <w:t>.</w:t>
            </w:r>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Summary Plan Description of the Executive Life Insurance Plan of the Company (filed as Exhibit 10.34 to Registrant’s Registration Statement on Form S-1, Registration No. 33-73028, filed in paper form with the Commission on December 17, 1993, and incorporat</w:t>
            </w:r>
            <w:r>
              <w:rPr>
                <w:rFonts w:eastAsia="Times New Roman"/>
                <w:color w:val="000000"/>
                <w:sz w:val="20"/>
                <w:szCs w:val="20"/>
              </w:rPr>
              <w:t>ed herein by reference).</w:t>
            </w:r>
            <w:r>
              <w:rPr>
                <w:rFonts w:eastAsia="Times New Roman"/>
                <w:color w:val="000000"/>
                <w:sz w:val="20"/>
                <w:szCs w:val="20"/>
              </w:rPr>
              <w:t>+</w:t>
            </w:r>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9" w:history="1">
              <w:r>
                <w:rPr>
                  <w:rStyle w:val="a3"/>
                  <w:rFonts w:eastAsia="Times New Roman"/>
                  <w:sz w:val="20"/>
                  <w:szCs w:val="20"/>
                </w:rPr>
                <w:t xml:space="preserve">Tractor Supply Company 1996 Associate Stock Purchase Plan (filed as Exhibit 4.4 to Registrant’s Registration Statement on </w:t>
              </w:r>
              <w:r>
                <w:rPr>
                  <w:rStyle w:val="a3"/>
                  <w:rFonts w:eastAsia="Times New Roman"/>
                  <w:sz w:val="20"/>
                  <w:szCs w:val="20"/>
                </w:rPr>
                <w:t>Form S-8, Registration No. 333-10699, filed with the Commission on August 23, 1996, and incorporated herein by reference).+</w:t>
              </w:r>
            </w:hyperlink>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0" w:history="1">
              <w:r>
                <w:rPr>
                  <w:rStyle w:val="a3"/>
                  <w:rFonts w:eastAsia="Times New Roman"/>
                  <w:sz w:val="20"/>
                  <w:szCs w:val="20"/>
                </w:rPr>
                <w:t>Tractor Supply Company Restated 401(k) Retirement Plan (filed as Exhibit 4.1 to Registrant’s Registration Statement on Form S-3, Registration No. 333-35317, filed with t</w:t>
              </w:r>
              <w:r>
                <w:rPr>
                  <w:rStyle w:val="a3"/>
                  <w:rFonts w:eastAsia="Times New Roman"/>
                  <w:sz w:val="20"/>
                  <w:szCs w:val="20"/>
                </w:rPr>
                <w:t>he Commission on September 10, 1997, and incorporated herein by reference).+</w:t>
              </w:r>
            </w:hyperlink>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1" w:history="1">
              <w:r>
                <w:rPr>
                  <w:rStyle w:val="a3"/>
                  <w:rFonts w:eastAsia="Times New Roman"/>
                  <w:sz w:val="20"/>
                  <w:szCs w:val="20"/>
                </w:rPr>
                <w:t>First Amendment, dated December 22, 2003 to the Tractor Supply Company Restated 401(k) Retirement Savings Plan (filed as Exhibit 10.53 to Registrant’s Annua</w:t>
              </w:r>
              <w:r>
                <w:rPr>
                  <w:rStyle w:val="a3"/>
                  <w:rFonts w:eastAsia="Times New Roman"/>
                  <w:sz w:val="20"/>
                  <w:szCs w:val="20"/>
                </w:rPr>
                <w:t>l Report on Form 10-K, filed with the Commission on March 8, 2004, Commission File No. 000-23314, and incorporated herein by reference).+</w:t>
              </w:r>
            </w:hyperlink>
          </w:p>
        </w:tc>
      </w:tr>
      <w:tr w:rsidR="00000000">
        <w:trPr>
          <w:divId w:val="44528610"/>
        </w:trPr>
        <w:tc>
          <w:tcPr>
            <w:tcW w:w="0" w:type="auto"/>
            <w:gridSpan w:val="3"/>
            <w:tcMar>
              <w:top w:w="30" w:type="dxa"/>
              <w:left w:w="20" w:type="dxa"/>
              <w:bottom w:w="30" w:type="dxa"/>
              <w:right w:w="20" w:type="dxa"/>
            </w:tcMar>
            <w:vAlign w:val="bottom"/>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2" w:history="1">
              <w:r>
                <w:rPr>
                  <w:rStyle w:val="a3"/>
                  <w:rFonts w:eastAsia="Times New Roman"/>
                  <w:sz w:val="20"/>
                  <w:szCs w:val="20"/>
                </w:rPr>
                <w:t>Second Amendment to Tractor Supply Company Restated 401(k) Retirement Plan (filed as Exhibit 10.57 to Registrant’s Annual Report on Form 10-K, filed with the Commission on March 23, 2001, Commission File No. 000-23314, and incorporated herein by referenc</w:t>
              </w:r>
              <w:r>
                <w:rPr>
                  <w:rStyle w:val="a3"/>
                  <w:rFonts w:eastAsia="Times New Roman"/>
                  <w:sz w:val="20"/>
                  <w:szCs w:val="20"/>
                </w:rPr>
                <w:t>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3" w:history="1">
              <w:r>
                <w:rPr>
                  <w:rStyle w:val="a3"/>
                  <w:rFonts w:eastAsia="Times New Roman"/>
                  <w:sz w:val="20"/>
                  <w:szCs w:val="20"/>
                </w:rPr>
                <w:t>Trust Agreement (filed as Exhibit 4.2 to Registrant’</w:t>
              </w:r>
              <w:r>
                <w:rPr>
                  <w:rStyle w:val="a3"/>
                  <w:rFonts w:eastAsia="Times New Roman"/>
                  <w:sz w:val="20"/>
                  <w:szCs w:val="20"/>
                </w:rPr>
                <w:t>s Registration Statement on Form S-3, Registration No. 333-35317, filed with the Commission on September 10, 1997, and incorporated herein by reference).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4" w:history="1">
              <w:r>
                <w:rPr>
                  <w:rStyle w:val="a3"/>
                  <w:rFonts w:eastAsia="Times New Roman"/>
                  <w:sz w:val="20"/>
                  <w:szCs w:val="20"/>
                </w:rPr>
                <w:t>Tractor Supply Company Executive Deferred Compensation Plan, dated November 11, 2001 (filed as Exhibit 10.58 to Registrant’s Quarterly Report on Form 10-Q, filed with the Commission on May 13, 2002, Commission File No. 000-23314, and in</w:t>
              </w:r>
              <w:r>
                <w:rPr>
                  <w:rStyle w:val="a3"/>
                  <w:rFonts w:eastAsia="Times New Roman"/>
                  <w:sz w:val="20"/>
                  <w:szCs w:val="20"/>
                </w:rPr>
                <w:t>corporated herein by reference).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5" w:history="1">
              <w:r>
                <w:rPr>
                  <w:rStyle w:val="a3"/>
                  <w:rFonts w:eastAsia="Times New Roman"/>
                  <w:sz w:val="20"/>
                  <w:szCs w:val="20"/>
                </w:rPr>
                <w:t>Form of Incentive Stock Option Agreement under the 2006 Stock Incentive Plan (filed as Exhibit 10.39 to Registrant’s Annual Report on Form 10-K, filed with the Commission on February 28, 2007, Commission File No. 000-23314, and incorporated herein by refer</w:t>
              </w:r>
              <w:r>
                <w:rPr>
                  <w:rStyle w:val="a3"/>
                  <w:rFonts w:eastAsia="Times New Roman"/>
                  <w:sz w:val="20"/>
                  <w:szCs w:val="20"/>
                </w:rPr>
                <w:t>ence).+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10.10</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6" w:history="1">
              <w:r>
                <w:rPr>
                  <w:rStyle w:val="a3"/>
                  <w:rFonts w:eastAsia="Times New Roman"/>
                  <w:sz w:val="20"/>
                  <w:szCs w:val="20"/>
                </w:rPr>
                <w:t>Form of Incentive Stock Option Agreement under the 2006 Stock Incentive Plan (filed as Exhibit 10.45 to Registrant’s Annual Report on Form 10-K, filed with the Commission on February 27, 2008, Commission File No. 000-23314, incorporated herein by reference</w:t>
              </w:r>
              <w:r>
                <w:rPr>
                  <w:rStyle w:val="a3"/>
                  <w:rFonts w:eastAsia="Times New Roman"/>
                  <w:sz w:val="20"/>
                  <w:szCs w:val="20"/>
                </w:rPr>
                <w:t>).+</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7" w:history="1">
              <w:r>
                <w:rPr>
                  <w:rStyle w:val="a3"/>
                  <w:rFonts w:eastAsia="Times New Roman"/>
                  <w:sz w:val="20"/>
                  <w:szCs w:val="20"/>
                </w:rPr>
                <w:t xml:space="preserve">Tractor Supply Company 2006 Stock Incentive Plan (filed as Exhibit 99.1 to the Registrant’s Current Report on Form 8-K filed with the </w:t>
              </w:r>
              <w:r>
                <w:rPr>
                  <w:rStyle w:val="a3"/>
                  <w:rFonts w:eastAsia="Times New Roman"/>
                  <w:sz w:val="20"/>
                  <w:szCs w:val="20"/>
                </w:rPr>
                <w:t>Commission on April 27, 2006, Commission File No. 000-23314 and incorporated herein by reference).+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8" w:history="1">
              <w:r>
                <w:rPr>
                  <w:rStyle w:val="a3"/>
                  <w:rFonts w:eastAsia="Times New Roman"/>
                  <w:sz w:val="20"/>
                  <w:szCs w:val="20"/>
                </w:rPr>
                <w:t xml:space="preserve">Second Amendment to the Tractor Supply Company 2006 Stock Incentive Plan, effective February 8, 2007 (filed as Exhibit 10.38 to Registrant’s Annual Report on Form </w:t>
              </w:r>
              <w:r>
                <w:rPr>
                  <w:rStyle w:val="a3"/>
                  <w:rFonts w:eastAsia="Times New Roman"/>
                  <w:sz w:val="20"/>
                  <w:szCs w:val="20"/>
                </w:rPr>
                <w:t>10-K, filed with the Commission on February 28, 2007, Commission File No. 000-23314, and incorporated herein by reference).+</w:t>
              </w:r>
            </w:hyperlink>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445286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19" w:history="1">
              <w:r>
                <w:rPr>
                  <w:rStyle w:val="a3"/>
                  <w:rFonts w:eastAsia="Times New Roman"/>
                  <w:sz w:val="20"/>
                  <w:szCs w:val="20"/>
                </w:rPr>
                <w:t>Form of Incentive Stock Option Agreement under the 2006 Stock Incentive Plan (filed as Exhibit 10.41 to the Registrant’s Annual Report on Form 10-K, filed w</w:t>
              </w:r>
              <w:r>
                <w:rPr>
                  <w:rStyle w:val="a3"/>
                  <w:rFonts w:eastAsia="Times New Roman"/>
                  <w:sz w:val="20"/>
                  <w:szCs w:val="20"/>
                </w:rPr>
                <w:t>ith the Commission on February 25, 2009, Commission File No. 000-23314, and incorporated herein by reference).+</w:t>
              </w:r>
            </w:hyperlink>
          </w:p>
        </w:tc>
      </w:tr>
      <w:tr w:rsidR="00000000">
        <w:trPr>
          <w:divId w:val="445286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jc w:val="center"/>
        <w:divId w:val="1098064078"/>
        <w:rPr>
          <w:rFonts w:eastAsia="Times New Roman"/>
        </w:rPr>
      </w:pPr>
      <w:r>
        <w:rPr>
          <w:rFonts w:eastAsia="Times New Roman"/>
          <w:color w:val="000000"/>
          <w:sz w:val="20"/>
          <w:szCs w:val="20"/>
        </w:rPr>
        <w:t>7</w:t>
      </w:r>
      <w:r>
        <w:rPr>
          <w:rFonts w:eastAsia="Times New Roman"/>
          <w:color w:val="000000"/>
          <w:sz w:val="20"/>
          <w:szCs w:val="20"/>
        </w:rPr>
        <w:t>6</w:t>
      </w:r>
    </w:p>
    <w:p w:rsidR="00000000" w:rsidRDefault="00CB61D5">
      <w:pPr>
        <w:rPr>
          <w:rFonts w:eastAsia="Times New Roman"/>
        </w:rPr>
      </w:pPr>
      <w:r>
        <w:rPr>
          <w:rFonts w:eastAsia="Times New Roman"/>
        </w:rPr>
        <w:pict>
          <v:rect id="_x0000_i1105" style="width:0;height:1.5pt" o:hralign="center" o:hrstd="t" o:hr="t" fillcolor="#a0a0a0" stroked="f"/>
        </w:pict>
      </w:r>
    </w:p>
    <w:p w:rsidR="00000000" w:rsidRDefault="00CB61D5">
      <w:pPr>
        <w:divId w:val="357774578"/>
        <w:rPr>
          <w:rFonts w:eastAsia="Times New Roman"/>
        </w:rPr>
      </w:pPr>
      <w:hyperlink w:anchor="i_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2"/>
        <w:gridCol w:w="840"/>
        <w:gridCol w:w="85"/>
        <w:gridCol w:w="83"/>
        <w:gridCol w:w="7133"/>
        <w:gridCol w:w="83"/>
      </w:tblGrid>
      <w:tr w:rsidR="00000000">
        <w:trPr>
          <w:divId w:val="1929773910"/>
        </w:trPr>
        <w:tc>
          <w:tcPr>
            <w:tcW w:w="50" w:type="pct"/>
            <w:vAlign w:val="center"/>
            <w:hideMark/>
          </w:tcPr>
          <w:p w:rsidR="00000000" w:rsidRDefault="00CB61D5">
            <w:pPr>
              <w:rPr>
                <w:rFonts w:eastAsia="Times New Roman"/>
              </w:rPr>
            </w:pPr>
          </w:p>
        </w:tc>
        <w:tc>
          <w:tcPr>
            <w:tcW w:w="5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29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0" w:history="1">
              <w:r>
                <w:rPr>
                  <w:rStyle w:val="a3"/>
                  <w:rFonts w:eastAsia="Times New Roman"/>
                  <w:sz w:val="20"/>
                  <w:szCs w:val="20"/>
                </w:rPr>
                <w:t>Tractor Supply Company 2009 Stock Incentive Plan (filed as Exhibit 99.</w:t>
              </w:r>
              <w:r>
                <w:rPr>
                  <w:rStyle w:val="a3"/>
                  <w:rFonts w:eastAsia="Times New Roman"/>
                  <w:sz w:val="20"/>
                  <w:szCs w:val="20"/>
                </w:rPr>
                <w:t>1 to Registrant’s Current Report on Form 8-K, filed with the Commission on April 14,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1" w:history="1">
              <w:r>
                <w:rPr>
                  <w:rStyle w:val="a3"/>
                  <w:rFonts w:eastAsia="Times New Roman"/>
                  <w:sz w:val="20"/>
                  <w:szCs w:val="20"/>
                </w:rPr>
                <w:t>Form of Incentive Stock Option Agreement under the Tractor Supply Company 2009 Stock Incentive Plan (filed as Exhibit 10.44 to Registrant’s Quarterly Report on Form 10-Q, filed with the Commission on August 4, 2009, Commission File No. 000-23314, and incor</w:t>
              </w:r>
              <w:r>
                <w:rPr>
                  <w:rStyle w:val="a3"/>
                  <w:rFonts w:eastAsia="Times New Roman"/>
                  <w:sz w:val="20"/>
                  <w:szCs w:val="20"/>
                </w:rPr>
                <w:t>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2" w:history="1">
              <w:r>
                <w:rPr>
                  <w:rStyle w:val="a3"/>
                  <w:rFonts w:eastAsia="Times New Roman"/>
                  <w:sz w:val="20"/>
                  <w:szCs w:val="20"/>
                </w:rPr>
                <w:t>Form of Restricted Share Unit Agreement under the Tractor Supply Company 2009 Stock Incentive Plan (f</w:t>
              </w:r>
              <w:r>
                <w:rPr>
                  <w:rStyle w:val="a3"/>
                  <w:rFonts w:eastAsia="Times New Roman"/>
                  <w:sz w:val="20"/>
                  <w:szCs w:val="20"/>
                </w:rPr>
                <w:t>iled as Exhibit 10.45 to Registrant’s Quarterly Report on Form 10-Q, filed with the Commission on August 4,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3" w:history="1">
              <w:r>
                <w:rPr>
                  <w:rStyle w:val="a3"/>
                  <w:rFonts w:eastAsia="Times New Roman"/>
                  <w:sz w:val="20"/>
                  <w:szCs w:val="20"/>
                </w:rPr>
                <w:t>Form of Nonqualified Stock Option Agreement under the Tractor Supply Company 2009 Stock Incentive Plan (filed as Exhibit 10.46 to Registrant’s Quarterly Rep</w:t>
              </w:r>
              <w:r>
                <w:rPr>
                  <w:rStyle w:val="a3"/>
                  <w:rFonts w:eastAsia="Times New Roman"/>
                  <w:sz w:val="20"/>
                  <w:szCs w:val="20"/>
                </w:rPr>
                <w:t>ort on Form 10-Q, filed with the Commission on August 4,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4" w:history="1">
              <w:r>
                <w:rPr>
                  <w:rStyle w:val="a3"/>
                  <w:rFonts w:eastAsia="Times New Roman"/>
                  <w:sz w:val="20"/>
                  <w:szCs w:val="20"/>
                </w:rPr>
                <w:t>Form of Director Restricted Stock Unit Award Agreement (filed as Exhibit 10.48 to Registrant’s Quarterly Report on Form 10-Q, filed with the Commission on N</w:t>
              </w:r>
              <w:r>
                <w:rPr>
                  <w:rStyle w:val="a3"/>
                  <w:rFonts w:eastAsia="Times New Roman"/>
                  <w:sz w:val="20"/>
                  <w:szCs w:val="20"/>
                </w:rPr>
                <w:t>ovember 2,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5" w:history="1">
              <w:r>
                <w:rPr>
                  <w:rStyle w:val="a3"/>
                  <w:rFonts w:eastAsia="Times New Roman"/>
                  <w:sz w:val="20"/>
                  <w:szCs w:val="20"/>
                </w:rPr>
                <w:t>Form of Restricted Share Unit Agreement for Officers (filed as Exhibit 10.49 to Registrant’s Quarterly Report on Form 10-Q, filed with the Commission on November 2,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10.20</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6" w:history="1">
              <w:r>
                <w:rPr>
                  <w:rStyle w:val="a3"/>
                  <w:rFonts w:eastAsia="Times New Roman"/>
                  <w:sz w:val="20"/>
                  <w:szCs w:val="20"/>
                </w:rPr>
                <w:t>Form of Deferred Stock Unit Award Agreement for Directors (filed as Exhibit 10.50 to Registrant’s Quarterly Report on Form 10-Q, filed with the C</w:t>
              </w:r>
              <w:r>
                <w:rPr>
                  <w:rStyle w:val="a3"/>
                  <w:rFonts w:eastAsia="Times New Roman"/>
                  <w:sz w:val="20"/>
                  <w:szCs w:val="20"/>
                </w:rPr>
                <w:t>ommission on November 2, 2009,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7" w:history="1">
              <w:r>
                <w:rPr>
                  <w:rStyle w:val="a3"/>
                  <w:rFonts w:eastAsia="Times New Roman"/>
                  <w:sz w:val="20"/>
                  <w:szCs w:val="20"/>
                </w:rPr>
                <w:t>Compensation Recoupment Policy (filed</w:t>
              </w:r>
              <w:r>
                <w:rPr>
                  <w:rStyle w:val="a3"/>
                  <w:rFonts w:eastAsia="Times New Roman"/>
                  <w:sz w:val="20"/>
                  <w:szCs w:val="20"/>
                </w:rPr>
                <w:t xml:space="preserve"> as Exhibit 10.42 to Registrant’s Quarterly Report on Form 10-Q, filed with the Commission on May 3, 2011, Commission File No. 000-23314, and incorporated herein by reference).+</w:t>
              </w:r>
            </w:hyperlink>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r>
              <w:rPr>
                <w:rFonts w:eastAsia="Times New Roman"/>
                <w:color w:val="000000"/>
                <w:sz w:val="20"/>
                <w:szCs w:val="20"/>
              </w:rPr>
              <w:t> </w:t>
            </w: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8" w:history="1">
              <w:r>
                <w:rPr>
                  <w:rStyle w:val="a3"/>
                  <w:rFonts w:eastAsia="Times New Roman"/>
                  <w:sz w:val="20"/>
                  <w:szCs w:val="20"/>
                </w:rPr>
                <w:t xml:space="preserve">Credit Agreement, dated as of October 24, 2011, by and among Tractor Supply Company, as Borrower, certain subsidiaries of the Company, certain lenders and </w:t>
              </w:r>
              <w:r>
                <w:rPr>
                  <w:rStyle w:val="a3"/>
                  <w:rFonts w:eastAsia="Times New Roman"/>
                  <w:sz w:val="20"/>
                  <w:szCs w:val="20"/>
                </w:rPr>
                <w:t>Bank of America, N.A., as Administrative Agent for the lenders (filed as Exhibit 10.1 to Registrant’s Current Report on Form 8-K, filed with the Commission on October 28, 2011, Commission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29" w:history="1">
              <w:r>
                <w:rPr>
                  <w:rStyle w:val="a3"/>
                  <w:rFonts w:eastAsia="Times New Roman"/>
                  <w:sz w:val="20"/>
                  <w:szCs w:val="20"/>
                </w:rPr>
                <w:t>First Amendment to Credit Agreement and Increase of Revolving Committed Amount dated May 16, 2014, by and among Tractor Supply Compan</w:t>
              </w:r>
              <w:r>
                <w:rPr>
                  <w:rStyle w:val="a3"/>
                  <w:rFonts w:eastAsia="Times New Roman"/>
                  <w:sz w:val="20"/>
                  <w:szCs w:val="20"/>
                </w:rPr>
                <w:t>y, as Borrower, certain subsidiaries of the Company, certain lenders and Bank of America, N.A., as Administrative Agent for the lenders (filed as Exhibit 10.1 to Registrant’s Current Report on Form 8-K, filed with the Commission on May 21, 2014, Commission</w:t>
              </w:r>
              <w:r>
                <w:rPr>
                  <w:rStyle w:val="a3"/>
                  <w:rFonts w:eastAsia="Times New Roman"/>
                  <w:sz w:val="20"/>
                  <w:szCs w:val="20"/>
                </w:rPr>
                <w:t xml:space="preserve">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0" w:history="1">
              <w:r>
                <w:rPr>
                  <w:rStyle w:val="a3"/>
                  <w:rFonts w:eastAsia="Times New Roman"/>
                  <w:sz w:val="20"/>
                  <w:szCs w:val="20"/>
                </w:rPr>
                <w:t>First Amendment to the Tractor Supply Company 2009 Stock Incentive Plan, effective February 4, 2015 (filed as Exhibit 10.34 to the Registrant’s Annual Repo</w:t>
              </w:r>
              <w:r>
                <w:rPr>
                  <w:rStyle w:val="a3"/>
                  <w:rFonts w:eastAsia="Times New Roman"/>
                  <w:sz w:val="20"/>
                  <w:szCs w:val="20"/>
                </w:rPr>
                <w:t>rt on Form 10-K, filed with the Commission on February 18, 2015, Commission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1" w:history="1">
              <w:r>
                <w:rPr>
                  <w:rStyle w:val="a3"/>
                  <w:rFonts w:eastAsia="Times New Roman"/>
                  <w:sz w:val="20"/>
                  <w:szCs w:val="20"/>
                </w:rPr>
                <w:t xml:space="preserve">Credit Agreement, dated as of February 19, 2016, by and among Tractor Supply Company, as Borrower, certain subsidiaries of the Company, certain </w:t>
              </w:r>
              <w:r>
                <w:rPr>
                  <w:rStyle w:val="a3"/>
                  <w:rFonts w:eastAsia="Times New Roman"/>
                  <w:sz w:val="20"/>
                  <w:szCs w:val="20"/>
                </w:rPr>
                <w:t>lenders and Wells Fargo Bank, National Association, as Administrative Agent and Regions Bank, as Syndication Agent, for the lenders (filed as Exhibit 10.1 to Current Report on Form 8-K, filed with the Commission on February 22, 2016, Commission File No. 00</w:t>
              </w:r>
              <w:r>
                <w:rPr>
                  <w:rStyle w:val="a3"/>
                  <w:rFonts w:eastAsia="Times New Roman"/>
                  <w:sz w:val="20"/>
                  <w:szCs w:val="20"/>
                </w:rPr>
                <w:t>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2" w:history="1">
              <w:r>
                <w:rPr>
                  <w:rStyle w:val="a3"/>
                  <w:rFonts w:eastAsia="Times New Roman"/>
                  <w:sz w:val="20"/>
                  <w:szCs w:val="20"/>
                </w:rPr>
                <w:t>Incremental Term Loan Agreement, dated as of June 15, 2017, by and among Tra</w:t>
              </w:r>
              <w:r>
                <w:rPr>
                  <w:rStyle w:val="a3"/>
                  <w:rFonts w:eastAsia="Times New Roman"/>
                  <w:sz w:val="20"/>
                  <w:szCs w:val="20"/>
                </w:rPr>
                <w:t>ctor Supply Company, as Borrower, certain subsidiaries of the Company, certain lenders and Wells Fargo Bank, National Association, as Administrative Agent and Regions Bank, as Syndication Agent, for the lenders (filed as Exhibit 10.1 to Current Report on F</w:t>
              </w:r>
              <w:r>
                <w:rPr>
                  <w:rStyle w:val="a3"/>
                  <w:rFonts w:eastAsia="Times New Roman"/>
                  <w:sz w:val="20"/>
                  <w:szCs w:val="20"/>
                </w:rPr>
                <w:t>orm 8-K, filed with the Commission on June 19, 2017, Commission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3" w:history="1">
              <w:r>
                <w:rPr>
                  <w:rStyle w:val="a3"/>
                  <w:rFonts w:eastAsia="Times New Roman"/>
                  <w:sz w:val="20"/>
                  <w:szCs w:val="20"/>
                </w:rPr>
                <w:t xml:space="preserve">Note Purchase and Private Shelf Agreement, dated August 14, 2017, by and among Tractor Supply Company, PGIM, Inc. (“Prudential”) and certain of </w:t>
              </w:r>
              <w:r>
                <w:rPr>
                  <w:rStyle w:val="a3"/>
                  <w:rFonts w:eastAsia="Times New Roman"/>
                  <w:sz w:val="20"/>
                  <w:szCs w:val="20"/>
                </w:rPr>
                <w:t>its affiliates (the “Prudential Affiliates”) party thereto (filed as Exhibit 10.1 to Current Report on Form 8-K, filed with the Commission on August 16, 2017, Commission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929773910"/>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4" w:history="1">
              <w:r>
                <w:rPr>
                  <w:rStyle w:val="a3"/>
                  <w:rFonts w:eastAsia="Times New Roman"/>
                  <w:sz w:val="20"/>
                  <w:szCs w:val="20"/>
                </w:rPr>
                <w:t>Form of Performance Share Unit Agreement for Officers under the Tractor Supply Company 2009 Stock Incentive Plan (filed as Exhibit 10.33 to the Registr</w:t>
              </w:r>
              <w:r>
                <w:rPr>
                  <w:rStyle w:val="a3"/>
                  <w:rFonts w:eastAsia="Times New Roman"/>
                  <w:sz w:val="20"/>
                  <w:szCs w:val="20"/>
                </w:rPr>
                <w:t>ant’s Annual Report on Form 10-K, filed with the Commission on February 22, 2018, Commission File No. 000-23314, and incorporated herein by reference).+</w:t>
              </w:r>
            </w:hyperlink>
          </w:p>
        </w:tc>
      </w:tr>
      <w:tr w:rsidR="00000000">
        <w:trPr>
          <w:divId w:val="1929773910"/>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jc w:val="center"/>
        <w:divId w:val="2087146186"/>
        <w:rPr>
          <w:rFonts w:eastAsia="Times New Roman"/>
        </w:rPr>
      </w:pPr>
      <w:r>
        <w:rPr>
          <w:rFonts w:eastAsia="Times New Roman"/>
          <w:color w:val="000000"/>
          <w:sz w:val="20"/>
          <w:szCs w:val="20"/>
        </w:rPr>
        <w:t>7</w:t>
      </w:r>
      <w:r>
        <w:rPr>
          <w:rFonts w:eastAsia="Times New Roman"/>
          <w:color w:val="000000"/>
          <w:sz w:val="20"/>
          <w:szCs w:val="20"/>
        </w:rPr>
        <w:t>7</w:t>
      </w:r>
    </w:p>
    <w:p w:rsidR="00000000" w:rsidRDefault="00CB61D5">
      <w:pPr>
        <w:rPr>
          <w:rFonts w:eastAsia="Times New Roman"/>
        </w:rPr>
      </w:pPr>
      <w:r>
        <w:rPr>
          <w:rFonts w:eastAsia="Times New Roman"/>
        </w:rPr>
        <w:pict>
          <v:rect id="_x0000_i1106" style="width:0;height:1.5pt" o:hralign="center" o:hrstd="t" o:hr="t" fillcolor="#a0a0a0" stroked="f"/>
        </w:pict>
      </w:r>
    </w:p>
    <w:p w:rsidR="00000000" w:rsidRDefault="00CB61D5">
      <w:pPr>
        <w:divId w:val="796991409"/>
        <w:rPr>
          <w:rFonts w:eastAsia="Times New Roman"/>
        </w:rPr>
      </w:pPr>
      <w:hyperlink w:anchor="i_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2"/>
        <w:gridCol w:w="840"/>
        <w:gridCol w:w="85"/>
        <w:gridCol w:w="83"/>
        <w:gridCol w:w="7133"/>
        <w:gridCol w:w="83"/>
      </w:tblGrid>
      <w:tr w:rsidR="00000000">
        <w:trPr>
          <w:divId w:val="898436449"/>
        </w:trPr>
        <w:tc>
          <w:tcPr>
            <w:tcW w:w="50" w:type="pct"/>
            <w:vAlign w:val="center"/>
            <w:hideMark/>
          </w:tcPr>
          <w:p w:rsidR="00000000" w:rsidRDefault="00CB61D5">
            <w:pPr>
              <w:rPr>
                <w:rFonts w:eastAsia="Times New Roman"/>
              </w:rPr>
            </w:pPr>
          </w:p>
        </w:tc>
        <w:tc>
          <w:tcPr>
            <w:tcW w:w="5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29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10.29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5" w:history="1">
              <w:r>
                <w:rPr>
                  <w:rStyle w:val="a3"/>
                  <w:rFonts w:eastAsia="Times New Roman"/>
                  <w:sz w:val="20"/>
                  <w:szCs w:val="20"/>
                </w:rPr>
                <w:t>Form of Performance Share Unit Agreement for the Chief Executive Officer under the Tractor Supply Company 2009 Stock Incentive Plan (filed as Ex</w:t>
              </w:r>
              <w:r>
                <w:rPr>
                  <w:rStyle w:val="a3"/>
                  <w:rFonts w:eastAsia="Times New Roman"/>
                  <w:sz w:val="20"/>
                  <w:szCs w:val="20"/>
                </w:rPr>
                <w:t>hibit 10.34 to the Registrant’s Annual Report on Form 10-K, filed with the Commission on February 22, 2018,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10.30</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6" w:history="1">
              <w:r>
                <w:rPr>
                  <w:rStyle w:val="a3"/>
                  <w:rFonts w:eastAsia="Times New Roman"/>
                  <w:sz w:val="20"/>
                  <w:szCs w:val="20"/>
                </w:rPr>
                <w:t>Tractor Supply Company 2018 Omnibus Incentive Plan (filed as Exhibit A to Registrant’s Proxy Statement on Schedule 14A for Registrant’s Annual Meeting of</w:t>
              </w:r>
              <w:r>
                <w:rPr>
                  <w:rStyle w:val="a3"/>
                  <w:rFonts w:eastAsia="Times New Roman"/>
                  <w:sz w:val="20"/>
                  <w:szCs w:val="20"/>
                </w:rPr>
                <w:t xml:space="preserve"> Shareholders held on May 10, 2018, filed with the Commission on March 27, 2018, Commission File No. 000-23314, and incorporated herein by reference).+</w:t>
              </w:r>
            </w:hyperlink>
          </w:p>
          <w:p w:rsidR="00000000" w:rsidRDefault="00CB61D5">
            <w:pPr>
              <w:jc w:val="both"/>
              <w:rPr>
                <w:rFonts w:eastAsia="Times New Roman"/>
              </w:rPr>
            </w:pPr>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7" w:history="1">
              <w:r>
                <w:rPr>
                  <w:rStyle w:val="a3"/>
                  <w:rFonts w:eastAsia="Times New Roman"/>
                  <w:sz w:val="20"/>
                  <w:szCs w:val="20"/>
                </w:rPr>
                <w:t>Form of Nonqualified Stock Option Agreement under the Tractor Supply Company 2018 Omnibus Incentive Plan (filed as Exhibit 10.2 to the Registrant’s Quarterly Report on Form 10-Q, filed with the Commission on August 9, 2018, Co</w:t>
              </w:r>
              <w:r>
                <w:rPr>
                  <w:rStyle w:val="a3"/>
                  <w:rFonts w:eastAsia="Times New Roman"/>
                  <w:sz w:val="20"/>
                  <w:szCs w:val="20"/>
                </w:rPr>
                <w:t>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8" w:history="1">
              <w:r>
                <w:rPr>
                  <w:rStyle w:val="a3"/>
                  <w:rFonts w:eastAsia="Times New Roman"/>
                  <w:sz w:val="20"/>
                  <w:szCs w:val="20"/>
                </w:rPr>
                <w:t xml:space="preserve">Form of Restricted Share Unit Agreement under the Tractor Supply Company 2018 Omnibus Incentive Plan (filed as Exhibit 10.3 to the Registrant’s </w:t>
              </w:r>
              <w:r>
                <w:rPr>
                  <w:rStyle w:val="a3"/>
                  <w:rFonts w:eastAsia="Times New Roman"/>
                  <w:sz w:val="20"/>
                  <w:szCs w:val="20"/>
                </w:rPr>
                <w:t>Quarterly Report on Form 10-Q, filed with the Commission on August 9, 2018,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39" w:history="1">
              <w:r>
                <w:rPr>
                  <w:rStyle w:val="a3"/>
                  <w:rFonts w:eastAsia="Times New Roman"/>
                  <w:sz w:val="20"/>
                  <w:szCs w:val="20"/>
                </w:rPr>
                <w:t>Form of Performance Share Unit Agreement for Officers under the Tractor Supply Company 2018 Omnibus Incentive Plan (filed as Exhibit 10.4 to the Registrant’s Quarterly Report on Form 10-Q, filed with the Commission on August 9, 2018, Commission File No. 00</w:t>
              </w:r>
              <w:r>
                <w:rPr>
                  <w:rStyle w:val="a3"/>
                  <w:rFonts w:eastAsia="Times New Roman"/>
                  <w:sz w:val="20"/>
                  <w:szCs w:val="20"/>
                </w:rPr>
                <w:t>0-23314, and incorporated herein by reference).+</w:t>
              </w:r>
            </w:hyperlink>
          </w:p>
        </w:tc>
      </w:tr>
      <w:tr w:rsidR="00000000">
        <w:trPr>
          <w:divId w:val="898436449"/>
          <w:trHeight w:val="12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B61D5">
            <w:pPr>
              <w:jc w:val="both"/>
              <w:rPr>
                <w:rFonts w:eastAsia="Times New Roman"/>
              </w:rPr>
            </w:pPr>
            <w:hyperlink r:id="rId40" w:history="1">
              <w:r>
                <w:rPr>
                  <w:rStyle w:val="a3"/>
                  <w:rFonts w:eastAsia="Times New Roman"/>
                  <w:sz w:val="20"/>
                  <w:szCs w:val="20"/>
                </w:rPr>
                <w:t xml:space="preserve">Form of Indemnification Agreement, by and between Tractor Supply Company and each </w:t>
              </w:r>
              <w:r>
                <w:rPr>
                  <w:rStyle w:val="a3"/>
                  <w:rFonts w:eastAsia="Times New Roman"/>
                  <w:sz w:val="20"/>
                  <w:szCs w:val="20"/>
                </w:rPr>
                <w:t>of its executive officers and directors, dated November 8, 2018 (filed as Exhibit 10.1 to Current Report on Form 8-K, filed with the Commission on November 14, 2018,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1" w:history="1">
              <w:r>
                <w:rPr>
                  <w:rStyle w:val="a3"/>
                  <w:rFonts w:eastAsia="Times New Roman"/>
                  <w:sz w:val="20"/>
                  <w:szCs w:val="20"/>
                </w:rPr>
                <w:t>Form of Performance Share Unit Agreement for Officers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w:t>
            </w:r>
            <w:r>
              <w:rPr>
                <w:rFonts w:eastAsia="Times New Roman"/>
                <w:color w:val="000000"/>
                <w:sz w:val="20"/>
                <w:szCs w:val="20"/>
              </w:rPr>
              <w:t>36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2" w:history="1">
              <w:r>
                <w:rPr>
                  <w:rStyle w:val="a3"/>
                  <w:rFonts w:eastAsia="Times New Roman"/>
                  <w:sz w:val="20"/>
                  <w:szCs w:val="20"/>
                </w:rPr>
                <w:t>Form of Performance Share Unit Agreement for Chief Executive Officer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3" w:history="1">
              <w:r>
                <w:rPr>
                  <w:rStyle w:val="a3"/>
                  <w:rFonts w:eastAsia="Times New Roman"/>
                  <w:sz w:val="20"/>
                  <w:szCs w:val="20"/>
                </w:rPr>
                <w:t>Form of Restricted Share Unit Agreement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4" w:history="1">
              <w:r>
                <w:rPr>
                  <w:rStyle w:val="a3"/>
                  <w:rFonts w:eastAsia="Times New Roman"/>
                  <w:sz w:val="20"/>
                  <w:szCs w:val="20"/>
                </w:rPr>
                <w:t>Form of Nonqualified Stock Option Agreement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10.39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5" w:history="1">
              <w:r>
                <w:rPr>
                  <w:rStyle w:val="a3"/>
                  <w:rFonts w:eastAsia="Times New Roman"/>
                  <w:sz w:val="20"/>
                  <w:szCs w:val="20"/>
                </w:rPr>
                <w:t>Change in Control Agreement, dated February 28, 2019, by and between Tractor Supply Company and each of Steve K. Barbarick, Kurt D. Barton, Benjami</w:t>
              </w:r>
              <w:r>
                <w:rPr>
                  <w:rStyle w:val="a3"/>
                  <w:rFonts w:eastAsia="Times New Roman"/>
                  <w:sz w:val="20"/>
                  <w:szCs w:val="20"/>
                </w:rPr>
                <w:t>n F. Parrish, Jr., Robert D. Mills and Chad M. Frazell (filed as Exhibit 10.1 to Current Report on Form 8-K, filed with the Commission on March 1, 2019,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10.40</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6" w:history="1">
              <w:r>
                <w:rPr>
                  <w:rStyle w:val="a3"/>
                  <w:rFonts w:eastAsia="Times New Roman"/>
                  <w:sz w:val="20"/>
                  <w:szCs w:val="20"/>
                </w:rPr>
                <w:t xml:space="preserve">Change in Control Agreement, dated May 31, 2019, by and between Tractor Supply Company and each of Jonathan Seth Estep and John Ordus (filed as </w:t>
              </w:r>
              <w:r>
                <w:rPr>
                  <w:rStyle w:val="a3"/>
                  <w:rFonts w:eastAsia="Times New Roman"/>
                  <w:sz w:val="20"/>
                  <w:szCs w:val="20"/>
                </w:rPr>
                <w:t>Exhibit 10.1 to Current Report on Form 8-K, filed with the Commission on May 31, 2019,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7" w:history="1">
              <w:r>
                <w:rPr>
                  <w:rStyle w:val="a3"/>
                  <w:rFonts w:eastAsia="Times New Roman"/>
                  <w:sz w:val="20"/>
                  <w:szCs w:val="20"/>
                </w:rPr>
                <w:t>Second Amended and Restated Employment Agreement, dated August 22, 2019, by and between Tractor Supply Company and Gregory A. Sandfort (filed as Exh</w:t>
              </w:r>
              <w:r>
                <w:rPr>
                  <w:rStyle w:val="a3"/>
                  <w:rFonts w:eastAsia="Times New Roman"/>
                  <w:sz w:val="20"/>
                  <w:szCs w:val="20"/>
                </w:rPr>
                <w:t>ibit 10.1 to Current Report on Form 8-K/A, filed with the Commission on August 23, 2019,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8" w:history="1">
              <w:r>
                <w:rPr>
                  <w:rStyle w:val="a3"/>
                  <w:rFonts w:eastAsia="Times New Roman"/>
                  <w:sz w:val="20"/>
                  <w:szCs w:val="20"/>
                </w:rPr>
                <w:t>Transition Agreement, dated September 3, 2019, by and between Tractor Supply Company and Steve K. Barbarick (filed as Exhibit 10.1 to Current Report on Form 8-K, filed with the Commission on September 6, 2019, Commission Fil</w:t>
              </w:r>
              <w:r>
                <w:rPr>
                  <w:rStyle w:val="a3"/>
                  <w:rFonts w:eastAsia="Times New Roman"/>
                  <w:sz w:val="20"/>
                  <w:szCs w:val="20"/>
                </w:rPr>
                <w:t>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49" w:history="1">
              <w:r>
                <w:rPr>
                  <w:rStyle w:val="a3"/>
                  <w:rFonts w:eastAsia="Times New Roman"/>
                  <w:sz w:val="20"/>
                  <w:szCs w:val="20"/>
                </w:rPr>
                <w:t>Tractor Supply Company Severance Plan (filed as Exhibit 10.1 to Current Report on Form 8-K, filed with the Commission on November 12, 2019, Commissi</w:t>
              </w:r>
              <w:r>
                <w:rPr>
                  <w:rStyle w:val="a3"/>
                  <w:rFonts w:eastAsia="Times New Roman"/>
                  <w:sz w:val="20"/>
                  <w:szCs w:val="20"/>
                </w:rPr>
                <w:t>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0" w:history="1">
              <w:r>
                <w:rPr>
                  <w:rStyle w:val="a3"/>
                  <w:rFonts w:eastAsia="Times New Roman"/>
                  <w:sz w:val="20"/>
                  <w:szCs w:val="20"/>
                </w:rPr>
                <w:t>Employment Agreement, dated December 4, 2019, by and between Trac</w:t>
              </w:r>
              <w:r>
                <w:rPr>
                  <w:rStyle w:val="a3"/>
                  <w:rFonts w:eastAsia="Times New Roman"/>
                  <w:sz w:val="20"/>
                  <w:szCs w:val="20"/>
                </w:rPr>
                <w:t>tor Supply Company and Harry A. Lawton III (filed as Exhibit 10.1 to Current Report on Form 8-K, filed with the Commission on December 6, 2019, Commission File No. 000-23314, and incorporated herein by reference).+</w:t>
              </w:r>
            </w:hyperlink>
          </w:p>
        </w:tc>
      </w:tr>
      <w:tr w:rsidR="00000000">
        <w:trPr>
          <w:divId w:val="898436449"/>
          <w:trHeight w:val="12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89843644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1" w:history="1">
              <w:r>
                <w:rPr>
                  <w:rStyle w:val="a3"/>
                  <w:rFonts w:eastAsia="Times New Roman"/>
                  <w:sz w:val="20"/>
                  <w:szCs w:val="20"/>
                </w:rPr>
                <w:t>Change in Control Agreement, dated December 4, 2019, by and between Tractor Supply Company and Harry A. Lawton III (filed as Exhibit 10.2 to Current</w:t>
              </w:r>
              <w:r>
                <w:rPr>
                  <w:rStyle w:val="a3"/>
                  <w:rFonts w:eastAsia="Times New Roman"/>
                  <w:sz w:val="20"/>
                  <w:szCs w:val="20"/>
                </w:rPr>
                <w:t xml:space="preserve"> Report on Form 8-K, filed with the Commission on December 6, 2019, Commission File No. 000-23314, and incorporated herein by reference).+</w:t>
              </w:r>
            </w:hyperlink>
          </w:p>
        </w:tc>
      </w:tr>
      <w:tr w:rsidR="00000000">
        <w:trPr>
          <w:divId w:val="898436449"/>
          <w:trHeight w:val="6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bl>
    <w:p w:rsidR="00000000" w:rsidRDefault="00CB61D5">
      <w:pPr>
        <w:jc w:val="center"/>
        <w:divId w:val="1279950050"/>
        <w:rPr>
          <w:rFonts w:eastAsia="Times New Roman"/>
        </w:rPr>
      </w:pPr>
      <w:r>
        <w:rPr>
          <w:rFonts w:eastAsia="Times New Roman"/>
          <w:color w:val="000000"/>
          <w:sz w:val="20"/>
          <w:szCs w:val="20"/>
        </w:rPr>
        <w:t>7</w:t>
      </w:r>
      <w:r>
        <w:rPr>
          <w:rFonts w:eastAsia="Times New Roman"/>
          <w:color w:val="000000"/>
          <w:sz w:val="20"/>
          <w:szCs w:val="20"/>
        </w:rPr>
        <w:t>8</w:t>
      </w:r>
    </w:p>
    <w:p w:rsidR="00000000" w:rsidRDefault="00CB61D5">
      <w:pPr>
        <w:rPr>
          <w:rFonts w:eastAsia="Times New Roman"/>
        </w:rPr>
      </w:pPr>
      <w:r>
        <w:rPr>
          <w:rFonts w:eastAsia="Times New Roman"/>
        </w:rPr>
        <w:pict>
          <v:rect id="_x0000_i1107" style="width:0;height:1.5pt" o:hralign="center" o:hrstd="t" o:hr="t" fillcolor="#a0a0a0" stroked="f"/>
        </w:pict>
      </w:r>
    </w:p>
    <w:p w:rsidR="00000000" w:rsidRDefault="00CB61D5">
      <w:pPr>
        <w:divId w:val="1159618785"/>
        <w:rPr>
          <w:rFonts w:eastAsia="Times New Roman"/>
        </w:rPr>
      </w:pPr>
      <w:hyperlink w:anchor="i_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2"/>
        <w:gridCol w:w="840"/>
        <w:gridCol w:w="85"/>
        <w:gridCol w:w="83"/>
        <w:gridCol w:w="7133"/>
        <w:gridCol w:w="83"/>
      </w:tblGrid>
      <w:tr w:rsidR="00000000">
        <w:trPr>
          <w:divId w:val="149248379"/>
        </w:trPr>
        <w:tc>
          <w:tcPr>
            <w:tcW w:w="50" w:type="pct"/>
            <w:vAlign w:val="center"/>
            <w:hideMark/>
          </w:tcPr>
          <w:p w:rsidR="00000000" w:rsidRDefault="00CB61D5">
            <w:pPr>
              <w:rPr>
                <w:rFonts w:eastAsia="Times New Roman"/>
              </w:rPr>
            </w:pPr>
          </w:p>
        </w:tc>
        <w:tc>
          <w:tcPr>
            <w:tcW w:w="506"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c>
          <w:tcPr>
            <w:tcW w:w="4293" w:type="pct"/>
            <w:vAlign w:val="center"/>
            <w:hideMark/>
          </w:tcPr>
          <w:p w:rsidR="00000000" w:rsidRDefault="00CB61D5">
            <w:pPr>
              <w:rPr>
                <w:rFonts w:eastAsia="Times New Roman"/>
                <w:sz w:val="20"/>
                <w:szCs w:val="20"/>
              </w:rPr>
            </w:pPr>
          </w:p>
        </w:tc>
        <w:tc>
          <w:tcPr>
            <w:tcW w:w="50" w:type="pct"/>
            <w:vAlign w:val="center"/>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2" w:history="1">
              <w:r>
                <w:rPr>
                  <w:rStyle w:val="a3"/>
                  <w:rFonts w:eastAsia="Times New Roman"/>
                  <w:sz w:val="20"/>
                  <w:szCs w:val="20"/>
                </w:rPr>
                <w:t>Transition Agreement, dated December 17, 2019, by and between Tractor Supply Company and Gregory A. Sandfort (filed as Exhibit 10.1 to Current Repor</w:t>
              </w:r>
              <w:r>
                <w:rPr>
                  <w:rStyle w:val="a3"/>
                  <w:rFonts w:eastAsia="Times New Roman"/>
                  <w:sz w:val="20"/>
                  <w:szCs w:val="20"/>
                </w:rPr>
                <w:t>t on Form 8-K, filed with the Commission on December 20, 2019, Commission File No. 000-23314, and incorporated herein by reference).+</w:t>
              </w:r>
            </w:hyperlink>
          </w:p>
        </w:tc>
      </w:tr>
      <w:tr w:rsidR="00000000">
        <w:trPr>
          <w:divId w:val="149248379"/>
          <w:trHeight w:val="1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3" w:history="1">
              <w:r>
                <w:rPr>
                  <w:rStyle w:val="a3"/>
                  <w:rFonts w:eastAsia="Times New Roman"/>
                  <w:sz w:val="20"/>
                  <w:szCs w:val="20"/>
                </w:rPr>
                <w:t>Change in Control Agreement, dated February 12, 2020, by and between Tractor Supply Company and each of Colin Yankee and Christi Korzekwa (filed</w:t>
              </w:r>
              <w:r>
                <w:rPr>
                  <w:rStyle w:val="a3"/>
                  <w:rFonts w:eastAsia="Times New Roman"/>
                  <w:sz w:val="20"/>
                  <w:szCs w:val="20"/>
                </w:rPr>
                <w:t xml:space="preserve"> as Exhibit 10.1 to Current Report on Form 8-K, filed with the Commission on February 13, 2020, Commission File No. 000-23314, and incorporated herein by reference).+</w:t>
              </w:r>
            </w:hyperlink>
          </w:p>
        </w:tc>
      </w:tr>
      <w:tr w:rsidR="00000000">
        <w:trPr>
          <w:divId w:val="149248379"/>
          <w:trHeight w:val="1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4" w:history="1">
              <w:r>
                <w:rPr>
                  <w:rStyle w:val="a3"/>
                  <w:rFonts w:eastAsia="Times New Roman"/>
                  <w:sz w:val="20"/>
                  <w:szCs w:val="20"/>
                </w:rPr>
                <w:t>Form of Performance Share Unit A</w:t>
              </w:r>
              <w:r>
                <w:rPr>
                  <w:rStyle w:val="a3"/>
                  <w:rFonts w:eastAsia="Times New Roman"/>
                  <w:sz w:val="20"/>
                  <w:szCs w:val="20"/>
                </w:rPr>
                <w:t>greement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149248379"/>
          <w:trHeight w:val="1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10.49*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jc w:val="both"/>
              <w:rPr>
                <w:rFonts w:eastAsia="Times New Roman"/>
              </w:rPr>
            </w:pPr>
            <w:hyperlink r:id="rId55" w:history="1">
              <w:r>
                <w:rPr>
                  <w:rStyle w:val="a3"/>
                  <w:rFonts w:eastAsia="Times New Roman"/>
                  <w:sz w:val="20"/>
                  <w:szCs w:val="20"/>
                </w:rPr>
                <w:t>Form of Restricted Share Unit Agreement under the Tractor Supply Company 2018 Omnibus Incentive Plan.+</w:t>
              </w:r>
            </w:hyperlink>
          </w:p>
          <w:p w:rsidR="00000000" w:rsidRDefault="00CB61D5">
            <w:pPr>
              <w:jc w:val="both"/>
              <w:rPr>
                <w:rFonts w:eastAsia="Times New Roman"/>
              </w:rPr>
            </w:pPr>
          </w:p>
          <w:p w:rsidR="00000000" w:rsidRDefault="00CB61D5">
            <w:pPr>
              <w:jc w:val="both"/>
              <w:rPr>
                <w:rFonts w:eastAsia="Times New Roman"/>
              </w:rPr>
            </w:pPr>
          </w:p>
        </w:tc>
      </w:tr>
      <w:tr w:rsidR="00000000">
        <w:trPr>
          <w:divId w:val="149248379"/>
          <w:trHeight w:val="100"/>
        </w:trPr>
        <w:tc>
          <w:tcPr>
            <w:tcW w:w="0" w:type="auto"/>
            <w:gridSpan w:val="3"/>
            <w:tcMar>
              <w:top w:w="15" w:type="dxa"/>
              <w:left w:w="20" w:type="dxa"/>
              <w:bottom w:w="15" w:type="dxa"/>
              <w:right w:w="20" w:type="dxa"/>
            </w:tcMar>
            <w:vAlign w:val="bottom"/>
            <w:hideMark/>
          </w:tcPr>
          <w:p w:rsidR="00000000" w:rsidRDefault="00CB61D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2018264645"/>
              <w:rPr>
                <w:rFonts w:eastAsia="Times New Roman"/>
              </w:rPr>
            </w:pPr>
            <w:hyperlink r:id="rId56" w:history="1">
              <w:r>
                <w:rPr>
                  <w:rStyle w:val="a3"/>
                  <w:rFonts w:eastAsia="Times New Roman"/>
                  <w:sz w:val="20"/>
                  <w:szCs w:val="20"/>
                </w:rPr>
                <w:t>List of subsidiaries.</w:t>
              </w:r>
            </w:hyperlink>
          </w:p>
        </w:tc>
      </w:tr>
      <w:tr w:rsidR="00000000">
        <w:trPr>
          <w:divId w:val="149248379"/>
          <w:trHeight w:val="60"/>
        </w:trPr>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1505436868"/>
              <w:rPr>
                <w:rFonts w:eastAsia="Times New Roman"/>
              </w:rPr>
            </w:pPr>
            <w:hyperlink r:id="rId57" w:history="1">
              <w:r>
                <w:rPr>
                  <w:rStyle w:val="a3"/>
                  <w:rFonts w:eastAsia="Times New Roman"/>
                  <w:sz w:val="20"/>
                  <w:szCs w:val="20"/>
                </w:rPr>
                <w:t>Consent of Ernst &amp; Young LLP.</w:t>
              </w:r>
            </w:hyperlink>
          </w:p>
        </w:tc>
      </w:tr>
      <w:tr w:rsidR="00000000">
        <w:trPr>
          <w:divId w:val="149248379"/>
          <w:trHeight w:val="60"/>
        </w:trPr>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85001947"/>
              <w:rPr>
                <w:rFonts w:eastAsia="Times New Roman"/>
              </w:rPr>
            </w:pPr>
            <w:hyperlink r:id="rId58" w:history="1">
              <w:r>
                <w:rPr>
                  <w:rStyle w:val="a3"/>
                  <w:rFonts w:eastAsia="Times New Roman"/>
                  <w:sz w:val="20"/>
                  <w:szCs w:val="20"/>
                </w:rPr>
                <w:t>Certification of Chief Executive Officer under Section 302 of the Sarbanes-Oxley Act of 2002.</w:t>
              </w:r>
            </w:hyperlink>
          </w:p>
        </w:tc>
      </w:tr>
      <w:tr w:rsidR="00000000">
        <w:trPr>
          <w:divId w:val="149248379"/>
          <w:trHeight w:val="60"/>
        </w:trPr>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121921680"/>
              <w:rPr>
                <w:rFonts w:eastAsia="Times New Roman"/>
              </w:rPr>
            </w:pPr>
            <w:hyperlink r:id="rId59" w:history="1">
              <w:r>
                <w:rPr>
                  <w:rStyle w:val="a3"/>
                  <w:rFonts w:eastAsia="Times New Roman"/>
                  <w:sz w:val="20"/>
                  <w:szCs w:val="20"/>
                </w:rPr>
                <w:t>Certification of Chief Financial Officer under Section 302 of the Sarbanes-Oxley Act of 2002.</w:t>
              </w:r>
            </w:hyperlink>
          </w:p>
        </w:tc>
      </w:tr>
      <w:tr w:rsidR="00000000">
        <w:trPr>
          <w:divId w:val="149248379"/>
          <w:trHeight w:val="60"/>
        </w:trPr>
        <w:tc>
          <w:tcPr>
            <w:tcW w:w="0" w:type="auto"/>
            <w:gridSpan w:val="3"/>
            <w:tcMar>
              <w:top w:w="15" w:type="dxa"/>
              <w:left w:w="20" w:type="dxa"/>
              <w:bottom w:w="15" w:type="dxa"/>
              <w:right w:w="20" w:type="dxa"/>
            </w:tcMar>
            <w:vAlign w:val="bottom"/>
            <w:hideMark/>
          </w:tcPr>
          <w:p w:rsidR="00000000" w:rsidRDefault="00CB61D5">
            <w:pPr>
              <w:rPr>
                <w:rFonts w:eastAsia="Times New Roman"/>
              </w:rPr>
            </w:pPr>
          </w:p>
        </w:tc>
        <w:tc>
          <w:tcPr>
            <w:tcW w:w="0" w:type="auto"/>
            <w:gridSpan w:val="3"/>
            <w:tcMar>
              <w:top w:w="15" w:type="dxa"/>
              <w:left w:w="20" w:type="dxa"/>
              <w:bottom w:w="15" w:type="dxa"/>
              <w:right w:w="20" w:type="dxa"/>
            </w:tcMar>
            <w:vAlign w:val="bottom"/>
            <w:hideMark/>
          </w:tcPr>
          <w:p w:rsidR="00000000" w:rsidRDefault="00CB61D5">
            <w:pPr>
              <w:rPr>
                <w:rFonts w:eastAsia="Times New Roman"/>
                <w:sz w:val="20"/>
                <w:szCs w:val="20"/>
              </w:rPr>
            </w:pPr>
          </w:p>
        </w:tc>
      </w:tr>
      <w:tr w:rsidR="00000000">
        <w:trPr>
          <w:divId w:val="149248379"/>
        </w:trPr>
        <w:tc>
          <w:tcPr>
            <w:tcW w:w="0" w:type="auto"/>
            <w:gridSpan w:val="2"/>
            <w:tcMar>
              <w:top w:w="30" w:type="dxa"/>
              <w:left w:w="20" w:type="dxa"/>
              <w:bottom w:w="30" w:type="dxa"/>
              <w:right w:w="0" w:type="dxa"/>
            </w:tcMar>
            <w:hideMark/>
          </w:tcPr>
          <w:p w:rsidR="00000000" w:rsidRDefault="00CB61D5">
            <w:pPr>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CB61D5">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B61D5">
            <w:pPr>
              <w:divId w:val="290138329"/>
              <w:rPr>
                <w:rFonts w:eastAsia="Times New Roman"/>
              </w:rPr>
            </w:pPr>
            <w:hyperlink r:id="rId60" w:history="1">
              <w:r>
                <w:rPr>
                  <w:rStyle w:val="a3"/>
                  <w:rFonts w:eastAsia="Times New Roman"/>
                  <w:sz w:val="20"/>
                  <w:szCs w:val="20"/>
                </w:rPr>
                <w:t>Certification of Chief Executive Officer and Chief Financial Officer under Section 906 of the Sarbanes-Oxley Act of 2002.</w:t>
              </w:r>
            </w:hyperlink>
          </w:p>
        </w:tc>
      </w:tr>
    </w:tbl>
    <w:p w:rsidR="00000000" w:rsidRDefault="00CB61D5">
      <w:pPr>
        <w:jc w:val="center"/>
        <w:rPr>
          <w:rFonts w:eastAsia="Times New Roman"/>
        </w:rPr>
      </w:pPr>
    </w:p>
    <w:p w:rsidR="00000000" w:rsidRDefault="00CB61D5">
      <w:pPr>
        <w:ind w:hanging="1440"/>
        <w:jc w:val="both"/>
        <w:rPr>
          <w:rFonts w:eastAsia="Times New Roman"/>
        </w:rPr>
      </w:pPr>
      <w:r>
        <w:rPr>
          <w:rFonts w:eastAsia="Times New Roman"/>
          <w:color w:val="000000"/>
          <w:sz w:val="20"/>
          <w:szCs w:val="20"/>
        </w:rPr>
        <w:t>101.INS  </w:t>
      </w:r>
      <w:r>
        <w:rPr>
          <w:rFonts w:eastAsia="Times New Roman"/>
          <w:color w:val="000000"/>
          <w:sz w:val="20"/>
          <w:szCs w:val="20"/>
        </w:rPr>
        <w:t>XBRL Instance Document - The instance document does not appear in the interactive data file because its XBRL tags are embedded within the Inline XBRL document</w:t>
      </w:r>
      <w:r>
        <w:rPr>
          <w:rFonts w:eastAsia="Times New Roman"/>
          <w:color w:val="000000"/>
          <w:sz w:val="20"/>
          <w:szCs w:val="20"/>
        </w:rPr>
        <w:t>.</w:t>
      </w:r>
    </w:p>
    <w:p w:rsidR="00000000" w:rsidRDefault="00CB61D5">
      <w:pPr>
        <w:ind w:hanging="720"/>
        <w:jc w:val="both"/>
        <w:rPr>
          <w:rFonts w:eastAsia="Times New Roman"/>
        </w:rPr>
      </w:pPr>
      <w:r>
        <w:rPr>
          <w:rFonts w:eastAsia="Times New Roman"/>
          <w:color w:val="000000"/>
          <w:sz w:val="20"/>
          <w:szCs w:val="20"/>
        </w:rPr>
        <w:t>101.SCH XBRL Taxonomy Extension Schema Documen</w:t>
      </w:r>
      <w:r>
        <w:rPr>
          <w:rFonts w:eastAsia="Times New Roman"/>
          <w:color w:val="000000"/>
          <w:sz w:val="20"/>
          <w:szCs w:val="20"/>
        </w:rPr>
        <w:t>t</w:t>
      </w:r>
    </w:p>
    <w:p w:rsidR="00000000" w:rsidRDefault="00CB61D5">
      <w:pPr>
        <w:ind w:hanging="720"/>
        <w:jc w:val="both"/>
        <w:rPr>
          <w:rFonts w:eastAsia="Times New Roman"/>
        </w:rPr>
      </w:pPr>
      <w:r>
        <w:rPr>
          <w:rFonts w:eastAsia="Times New Roman"/>
          <w:color w:val="000000"/>
          <w:sz w:val="20"/>
          <w:szCs w:val="20"/>
        </w:rPr>
        <w:t>101.CAL </w:t>
      </w:r>
      <w:r>
        <w:rPr>
          <w:rFonts w:eastAsia="Times New Roman"/>
          <w:color w:val="000000"/>
          <w:sz w:val="20"/>
          <w:szCs w:val="20"/>
        </w:rPr>
        <w:t>XBRL Taxonomy Extension Calculation Linkbase Documen</w:t>
      </w:r>
      <w:r>
        <w:rPr>
          <w:rFonts w:eastAsia="Times New Roman"/>
          <w:color w:val="000000"/>
          <w:sz w:val="20"/>
          <w:szCs w:val="20"/>
        </w:rPr>
        <w:t>t</w:t>
      </w:r>
    </w:p>
    <w:p w:rsidR="00000000" w:rsidRDefault="00CB61D5">
      <w:pPr>
        <w:ind w:hanging="720"/>
        <w:jc w:val="both"/>
        <w:rPr>
          <w:rFonts w:eastAsia="Times New Roman"/>
        </w:rPr>
      </w:pPr>
      <w:r>
        <w:rPr>
          <w:rFonts w:eastAsia="Times New Roman"/>
          <w:color w:val="000000"/>
          <w:sz w:val="20"/>
          <w:szCs w:val="20"/>
        </w:rPr>
        <w:t>101.DEF XBRL Taxonomy Extension Definition Linkbase Documen</w:t>
      </w:r>
      <w:r>
        <w:rPr>
          <w:rFonts w:eastAsia="Times New Roman"/>
          <w:color w:val="000000"/>
          <w:sz w:val="20"/>
          <w:szCs w:val="20"/>
        </w:rPr>
        <w:t>t</w:t>
      </w:r>
    </w:p>
    <w:p w:rsidR="00000000" w:rsidRDefault="00CB61D5">
      <w:pPr>
        <w:ind w:hanging="720"/>
        <w:jc w:val="both"/>
        <w:rPr>
          <w:rFonts w:eastAsia="Times New Roman"/>
        </w:rPr>
      </w:pPr>
      <w:r>
        <w:rPr>
          <w:rFonts w:eastAsia="Times New Roman"/>
          <w:color w:val="000000"/>
          <w:sz w:val="20"/>
          <w:szCs w:val="20"/>
        </w:rPr>
        <w:t>101.LAB XBRL Taxonomy Extension Label Linkbase Documen</w:t>
      </w:r>
      <w:r>
        <w:rPr>
          <w:rFonts w:eastAsia="Times New Roman"/>
          <w:color w:val="000000"/>
          <w:sz w:val="20"/>
          <w:szCs w:val="20"/>
        </w:rPr>
        <w:t>t</w:t>
      </w:r>
    </w:p>
    <w:p w:rsidR="00000000" w:rsidRDefault="00CB61D5">
      <w:pPr>
        <w:ind w:hanging="720"/>
        <w:jc w:val="both"/>
        <w:rPr>
          <w:rFonts w:eastAsia="Times New Roman"/>
        </w:rPr>
      </w:pPr>
      <w:r>
        <w:rPr>
          <w:rFonts w:eastAsia="Times New Roman"/>
          <w:color w:val="000000"/>
          <w:sz w:val="20"/>
          <w:szCs w:val="20"/>
        </w:rPr>
        <w:t>101.PRE  XBRL Taxonomy Extension Presentation Linkbase Documen</w:t>
      </w:r>
      <w:r>
        <w:rPr>
          <w:rFonts w:eastAsia="Times New Roman"/>
          <w:color w:val="000000"/>
          <w:sz w:val="20"/>
          <w:szCs w:val="20"/>
        </w:rPr>
        <w:t>t</w:t>
      </w:r>
    </w:p>
    <w:p w:rsidR="00000000" w:rsidRDefault="00CB61D5">
      <w:pPr>
        <w:ind w:hanging="1440"/>
        <w:jc w:val="both"/>
        <w:rPr>
          <w:rFonts w:eastAsia="Times New Roman"/>
        </w:rPr>
      </w:pPr>
      <w:r>
        <w:rPr>
          <w:rFonts w:eastAsia="Times New Roman"/>
          <w:color w:val="000000"/>
          <w:sz w:val="20"/>
          <w:szCs w:val="20"/>
        </w:rPr>
        <w:t>104  The cover page f</w:t>
      </w:r>
      <w:r>
        <w:rPr>
          <w:rFonts w:eastAsia="Times New Roman"/>
          <w:color w:val="000000"/>
          <w:sz w:val="20"/>
          <w:szCs w:val="20"/>
        </w:rPr>
        <w:t>rom the Company's Annual Report on Form 10-K for the year ended December 28, 2019, formatted in Inline XBRL (included in Exhibit 101)</w:t>
      </w:r>
      <w:r>
        <w:rPr>
          <w:rFonts w:eastAsia="Times New Roman"/>
          <w:color w:val="000000"/>
          <w:sz w:val="20"/>
          <w:szCs w:val="20"/>
        </w:rPr>
        <w:t>.</w:t>
      </w:r>
    </w:p>
    <w:p w:rsidR="00000000" w:rsidRDefault="00CB61D5">
      <w:pPr>
        <w:ind w:hanging="630"/>
        <w:jc w:val="both"/>
        <w:rPr>
          <w:rFonts w:eastAsia="Times New Roman"/>
        </w:rPr>
      </w:pPr>
    </w:p>
    <w:p w:rsidR="00000000" w:rsidRDefault="00CB61D5">
      <w:pPr>
        <w:ind w:firstLine="360"/>
        <w:divId w:val="1461722939"/>
        <w:rPr>
          <w:rFonts w:eastAsia="Times New Roman"/>
        </w:rPr>
      </w:pPr>
      <w:r>
        <w:rPr>
          <w:rFonts w:eastAsia="Times New Roman"/>
          <w:color w:val="000000"/>
          <w:sz w:val="20"/>
          <w:szCs w:val="20"/>
        </w:rPr>
        <w:t>*           Filed herewit</w:t>
      </w:r>
      <w:r>
        <w:rPr>
          <w:rFonts w:eastAsia="Times New Roman"/>
          <w:color w:val="000000"/>
          <w:sz w:val="20"/>
          <w:szCs w:val="20"/>
        </w:rPr>
        <w:t>h</w:t>
      </w:r>
    </w:p>
    <w:p w:rsidR="00000000" w:rsidRDefault="00CB61D5">
      <w:pPr>
        <w:ind w:firstLine="360"/>
        <w:divId w:val="911503102"/>
        <w:rPr>
          <w:rFonts w:eastAsia="Times New Roman"/>
        </w:rPr>
      </w:pPr>
      <w:r>
        <w:rPr>
          <w:rFonts w:eastAsia="Times New Roman"/>
          <w:color w:val="000000"/>
          <w:sz w:val="20"/>
          <w:szCs w:val="20"/>
        </w:rPr>
        <w:t>+           Management contract or compensatory plan or arrangemen</w:t>
      </w:r>
      <w:r>
        <w:rPr>
          <w:rFonts w:eastAsia="Times New Roman"/>
          <w:color w:val="000000"/>
          <w:sz w:val="20"/>
          <w:szCs w:val="20"/>
        </w:rPr>
        <w:t>t</w:t>
      </w:r>
    </w:p>
    <w:p w:rsidR="00CB61D5" w:rsidRDefault="00CB61D5">
      <w:pPr>
        <w:jc w:val="center"/>
        <w:divId w:val="967049431"/>
        <w:rPr>
          <w:rFonts w:eastAsia="Times New Roman"/>
        </w:rPr>
      </w:pPr>
      <w:r>
        <w:rPr>
          <w:rFonts w:eastAsia="Times New Roman"/>
          <w:color w:val="000000"/>
          <w:sz w:val="20"/>
          <w:szCs w:val="20"/>
        </w:rPr>
        <w:t>7</w:t>
      </w:r>
      <w:r>
        <w:rPr>
          <w:rFonts w:eastAsia="Times New Roman"/>
          <w:color w:val="000000"/>
          <w:sz w:val="20"/>
          <w:szCs w:val="20"/>
        </w:rPr>
        <w:t>9</w:t>
      </w:r>
    </w:p>
    <w:sectPr w:rsidR="00CB61D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61D5"/>
    <w:rsid w:val="00CB61D5"/>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fasb.org/us-gaap/2019-01-31"/>
  <w:attachedSchema w:val="http://www.xbrl.org/2003/linkbase"/>
  <w:attachedSchema w:val="http://www.xbrl.org/inlineXBRL/transformation/2015-02-26"/>
  <w:attachedSchema w:val="http://fasb.org/srt/2019-01-31"/>
  <w:attachedSchema w:val="http://www.tractorsupply.com/20191228"/>
  <w:attachedSchema w:val="http://www.w3.org/1999/xlink"/>
  <w:attachedSchema w:val="http://xbrl.sec.gov/stpr/2018-01-31"/>
  <w:attachedSchema w:val="http://www.xbrl.org/2003/instance"/>
  <w:attachedSchema w:val="http://www.sec.gov/inlineXBRL/transformation/2015-08-31"/>
  <w:attachedSchema w:val="http://www.xbrl.org/2013/inlineXBRL"/>
  <w:attachedSchema w:val="http://xbrl.sec.gov/dei/2019-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19">
      <w:marLeft w:val="0"/>
      <w:marRight w:val="0"/>
      <w:marTop w:val="0"/>
      <w:marBottom w:val="0"/>
      <w:divBdr>
        <w:top w:val="none" w:sz="0" w:space="0" w:color="auto"/>
        <w:left w:val="none" w:sz="0" w:space="0" w:color="auto"/>
        <w:bottom w:val="none" w:sz="0" w:space="0" w:color="auto"/>
        <w:right w:val="none" w:sz="0" w:space="0" w:color="auto"/>
      </w:divBdr>
    </w:div>
    <w:div w:id="32199210">
      <w:marLeft w:val="0"/>
      <w:marRight w:val="0"/>
      <w:marTop w:val="0"/>
      <w:marBottom w:val="0"/>
      <w:divBdr>
        <w:top w:val="none" w:sz="0" w:space="0" w:color="auto"/>
        <w:left w:val="none" w:sz="0" w:space="0" w:color="auto"/>
        <w:bottom w:val="none" w:sz="0" w:space="0" w:color="auto"/>
        <w:right w:val="none" w:sz="0" w:space="0" w:color="auto"/>
      </w:divBdr>
      <w:divsChild>
        <w:div w:id="603616174">
          <w:marLeft w:val="0"/>
          <w:marRight w:val="0"/>
          <w:marTop w:val="0"/>
          <w:marBottom w:val="0"/>
          <w:divBdr>
            <w:top w:val="none" w:sz="0" w:space="0" w:color="auto"/>
            <w:left w:val="none" w:sz="0" w:space="0" w:color="auto"/>
            <w:bottom w:val="none" w:sz="0" w:space="0" w:color="auto"/>
            <w:right w:val="none" w:sz="0" w:space="0" w:color="auto"/>
          </w:divBdr>
        </w:div>
      </w:divsChild>
    </w:div>
    <w:div w:id="39981961">
      <w:marLeft w:val="0"/>
      <w:marRight w:val="0"/>
      <w:marTop w:val="0"/>
      <w:marBottom w:val="120"/>
      <w:divBdr>
        <w:top w:val="none" w:sz="0" w:space="0" w:color="auto"/>
        <w:left w:val="none" w:sz="0" w:space="0" w:color="auto"/>
        <w:bottom w:val="none" w:sz="0" w:space="0" w:color="auto"/>
        <w:right w:val="none" w:sz="0" w:space="0" w:color="auto"/>
      </w:divBdr>
      <w:divsChild>
        <w:div w:id="527841849">
          <w:marLeft w:val="0"/>
          <w:marRight w:val="0"/>
          <w:marTop w:val="0"/>
          <w:marBottom w:val="0"/>
          <w:divBdr>
            <w:top w:val="none" w:sz="0" w:space="0" w:color="auto"/>
            <w:left w:val="none" w:sz="0" w:space="0" w:color="auto"/>
            <w:bottom w:val="none" w:sz="0" w:space="0" w:color="auto"/>
            <w:right w:val="none" w:sz="0" w:space="0" w:color="auto"/>
          </w:divBdr>
        </w:div>
        <w:div w:id="1190994262">
          <w:marLeft w:val="0"/>
          <w:marRight w:val="0"/>
          <w:marTop w:val="0"/>
          <w:marBottom w:val="0"/>
          <w:divBdr>
            <w:top w:val="none" w:sz="0" w:space="0" w:color="auto"/>
            <w:left w:val="none" w:sz="0" w:space="0" w:color="auto"/>
            <w:bottom w:val="none" w:sz="0" w:space="0" w:color="auto"/>
            <w:right w:val="none" w:sz="0" w:space="0" w:color="auto"/>
          </w:divBdr>
        </w:div>
        <w:div w:id="1663502643">
          <w:marLeft w:val="0"/>
          <w:marRight w:val="0"/>
          <w:marTop w:val="0"/>
          <w:marBottom w:val="0"/>
          <w:divBdr>
            <w:top w:val="none" w:sz="0" w:space="0" w:color="auto"/>
            <w:left w:val="none" w:sz="0" w:space="0" w:color="auto"/>
            <w:bottom w:val="none" w:sz="0" w:space="0" w:color="auto"/>
            <w:right w:val="none" w:sz="0" w:space="0" w:color="auto"/>
          </w:divBdr>
        </w:div>
        <w:div w:id="1658027862">
          <w:marLeft w:val="0"/>
          <w:marRight w:val="0"/>
          <w:marTop w:val="0"/>
          <w:marBottom w:val="0"/>
          <w:divBdr>
            <w:top w:val="none" w:sz="0" w:space="0" w:color="auto"/>
            <w:left w:val="none" w:sz="0" w:space="0" w:color="auto"/>
            <w:bottom w:val="none" w:sz="0" w:space="0" w:color="auto"/>
            <w:right w:val="none" w:sz="0" w:space="0" w:color="auto"/>
          </w:divBdr>
        </w:div>
        <w:div w:id="1186138527">
          <w:marLeft w:val="0"/>
          <w:marRight w:val="0"/>
          <w:marTop w:val="0"/>
          <w:marBottom w:val="0"/>
          <w:divBdr>
            <w:top w:val="none" w:sz="0" w:space="0" w:color="auto"/>
            <w:left w:val="none" w:sz="0" w:space="0" w:color="auto"/>
            <w:bottom w:val="none" w:sz="0" w:space="0" w:color="auto"/>
            <w:right w:val="none" w:sz="0" w:space="0" w:color="auto"/>
          </w:divBdr>
        </w:div>
      </w:divsChild>
    </w:div>
    <w:div w:id="41055979">
      <w:marLeft w:val="0"/>
      <w:marRight w:val="0"/>
      <w:marTop w:val="0"/>
      <w:marBottom w:val="0"/>
      <w:divBdr>
        <w:top w:val="none" w:sz="0" w:space="0" w:color="auto"/>
        <w:left w:val="none" w:sz="0" w:space="0" w:color="auto"/>
        <w:bottom w:val="none" w:sz="0" w:space="0" w:color="auto"/>
        <w:right w:val="none" w:sz="0" w:space="0" w:color="auto"/>
      </w:divBdr>
    </w:div>
    <w:div w:id="41953408">
      <w:marLeft w:val="0"/>
      <w:marRight w:val="0"/>
      <w:marTop w:val="0"/>
      <w:marBottom w:val="0"/>
      <w:divBdr>
        <w:top w:val="none" w:sz="0" w:space="0" w:color="auto"/>
        <w:left w:val="none" w:sz="0" w:space="0" w:color="auto"/>
        <w:bottom w:val="none" w:sz="0" w:space="0" w:color="auto"/>
        <w:right w:val="none" w:sz="0" w:space="0" w:color="auto"/>
      </w:divBdr>
    </w:div>
    <w:div w:id="44179815">
      <w:marLeft w:val="0"/>
      <w:marRight w:val="0"/>
      <w:marTop w:val="60"/>
      <w:marBottom w:val="120"/>
      <w:divBdr>
        <w:top w:val="none" w:sz="0" w:space="0" w:color="auto"/>
        <w:left w:val="none" w:sz="0" w:space="0" w:color="auto"/>
        <w:bottom w:val="none" w:sz="0" w:space="0" w:color="auto"/>
        <w:right w:val="none" w:sz="0" w:space="0" w:color="auto"/>
      </w:divBdr>
    </w:div>
    <w:div w:id="44528610">
      <w:marLeft w:val="0"/>
      <w:marRight w:val="0"/>
      <w:marTop w:val="0"/>
      <w:marBottom w:val="120"/>
      <w:divBdr>
        <w:top w:val="none" w:sz="0" w:space="0" w:color="auto"/>
        <w:left w:val="none" w:sz="0" w:space="0" w:color="auto"/>
        <w:bottom w:val="none" w:sz="0" w:space="0" w:color="auto"/>
        <w:right w:val="none" w:sz="0" w:space="0" w:color="auto"/>
      </w:divBdr>
      <w:divsChild>
        <w:div w:id="77944432">
          <w:marLeft w:val="0"/>
          <w:marRight w:val="0"/>
          <w:marTop w:val="0"/>
          <w:marBottom w:val="0"/>
          <w:divBdr>
            <w:top w:val="none" w:sz="0" w:space="0" w:color="auto"/>
            <w:left w:val="none" w:sz="0" w:space="0" w:color="auto"/>
            <w:bottom w:val="none" w:sz="0" w:space="0" w:color="auto"/>
            <w:right w:val="none" w:sz="0" w:space="0" w:color="auto"/>
          </w:divBdr>
        </w:div>
        <w:div w:id="800224991">
          <w:marLeft w:val="0"/>
          <w:marRight w:val="0"/>
          <w:marTop w:val="0"/>
          <w:marBottom w:val="0"/>
          <w:divBdr>
            <w:top w:val="none" w:sz="0" w:space="0" w:color="auto"/>
            <w:left w:val="none" w:sz="0" w:space="0" w:color="auto"/>
            <w:bottom w:val="none" w:sz="0" w:space="0" w:color="auto"/>
            <w:right w:val="none" w:sz="0" w:space="0" w:color="auto"/>
          </w:divBdr>
        </w:div>
      </w:divsChild>
    </w:div>
    <w:div w:id="47384687">
      <w:marLeft w:val="0"/>
      <w:marRight w:val="0"/>
      <w:marTop w:val="0"/>
      <w:marBottom w:val="0"/>
      <w:divBdr>
        <w:top w:val="none" w:sz="0" w:space="0" w:color="auto"/>
        <w:left w:val="none" w:sz="0" w:space="0" w:color="auto"/>
        <w:bottom w:val="none" w:sz="0" w:space="0" w:color="auto"/>
        <w:right w:val="none" w:sz="0" w:space="0" w:color="auto"/>
      </w:divBdr>
      <w:divsChild>
        <w:div w:id="1098064078">
          <w:marLeft w:val="0"/>
          <w:marRight w:val="0"/>
          <w:marTop w:val="0"/>
          <w:marBottom w:val="0"/>
          <w:divBdr>
            <w:top w:val="none" w:sz="0" w:space="0" w:color="auto"/>
            <w:left w:val="none" w:sz="0" w:space="0" w:color="auto"/>
            <w:bottom w:val="none" w:sz="0" w:space="0" w:color="auto"/>
            <w:right w:val="none" w:sz="0" w:space="0" w:color="auto"/>
          </w:divBdr>
        </w:div>
      </w:divsChild>
    </w:div>
    <w:div w:id="47848635">
      <w:marLeft w:val="0"/>
      <w:marRight w:val="0"/>
      <w:marTop w:val="0"/>
      <w:marBottom w:val="0"/>
      <w:divBdr>
        <w:top w:val="none" w:sz="0" w:space="0" w:color="auto"/>
        <w:left w:val="none" w:sz="0" w:space="0" w:color="auto"/>
        <w:bottom w:val="none" w:sz="0" w:space="0" w:color="auto"/>
        <w:right w:val="none" w:sz="0" w:space="0" w:color="auto"/>
      </w:divBdr>
    </w:div>
    <w:div w:id="66071326">
      <w:marLeft w:val="0"/>
      <w:marRight w:val="0"/>
      <w:marTop w:val="0"/>
      <w:marBottom w:val="0"/>
      <w:divBdr>
        <w:top w:val="none" w:sz="0" w:space="0" w:color="auto"/>
        <w:left w:val="none" w:sz="0" w:space="0" w:color="auto"/>
        <w:bottom w:val="none" w:sz="0" w:space="0" w:color="auto"/>
        <w:right w:val="none" w:sz="0" w:space="0" w:color="auto"/>
      </w:divBdr>
      <w:divsChild>
        <w:div w:id="1989089652">
          <w:marLeft w:val="0"/>
          <w:marRight w:val="0"/>
          <w:marTop w:val="0"/>
          <w:marBottom w:val="0"/>
          <w:divBdr>
            <w:top w:val="none" w:sz="0" w:space="0" w:color="auto"/>
            <w:left w:val="none" w:sz="0" w:space="0" w:color="auto"/>
            <w:bottom w:val="none" w:sz="0" w:space="0" w:color="auto"/>
            <w:right w:val="none" w:sz="0" w:space="0" w:color="auto"/>
          </w:divBdr>
        </w:div>
      </w:divsChild>
    </w:div>
    <w:div w:id="71240580">
      <w:marLeft w:val="0"/>
      <w:marRight w:val="0"/>
      <w:marTop w:val="0"/>
      <w:marBottom w:val="0"/>
      <w:divBdr>
        <w:top w:val="none" w:sz="0" w:space="0" w:color="auto"/>
        <w:left w:val="none" w:sz="0" w:space="0" w:color="auto"/>
        <w:bottom w:val="none" w:sz="0" w:space="0" w:color="auto"/>
        <w:right w:val="none" w:sz="0" w:space="0" w:color="auto"/>
      </w:divBdr>
      <w:divsChild>
        <w:div w:id="86393791">
          <w:marLeft w:val="0"/>
          <w:marRight w:val="0"/>
          <w:marTop w:val="0"/>
          <w:marBottom w:val="0"/>
          <w:divBdr>
            <w:top w:val="none" w:sz="0" w:space="0" w:color="auto"/>
            <w:left w:val="none" w:sz="0" w:space="0" w:color="auto"/>
            <w:bottom w:val="none" w:sz="0" w:space="0" w:color="auto"/>
            <w:right w:val="none" w:sz="0" w:space="0" w:color="auto"/>
          </w:divBdr>
        </w:div>
      </w:divsChild>
    </w:div>
    <w:div w:id="71780231">
      <w:marLeft w:val="0"/>
      <w:marRight w:val="0"/>
      <w:marTop w:val="0"/>
      <w:marBottom w:val="0"/>
      <w:divBdr>
        <w:top w:val="none" w:sz="0" w:space="0" w:color="auto"/>
        <w:left w:val="none" w:sz="0" w:space="0" w:color="auto"/>
        <w:bottom w:val="none" w:sz="0" w:space="0" w:color="auto"/>
        <w:right w:val="none" w:sz="0" w:space="0" w:color="auto"/>
      </w:divBdr>
      <w:divsChild>
        <w:div w:id="612592704">
          <w:marLeft w:val="0"/>
          <w:marRight w:val="0"/>
          <w:marTop w:val="0"/>
          <w:marBottom w:val="0"/>
          <w:divBdr>
            <w:top w:val="none" w:sz="0" w:space="0" w:color="auto"/>
            <w:left w:val="none" w:sz="0" w:space="0" w:color="auto"/>
            <w:bottom w:val="none" w:sz="0" w:space="0" w:color="auto"/>
            <w:right w:val="none" w:sz="0" w:space="0" w:color="auto"/>
          </w:divBdr>
        </w:div>
      </w:divsChild>
    </w:div>
    <w:div w:id="78793218">
      <w:marLeft w:val="0"/>
      <w:marRight w:val="0"/>
      <w:marTop w:val="0"/>
      <w:marBottom w:val="120"/>
      <w:divBdr>
        <w:top w:val="none" w:sz="0" w:space="0" w:color="auto"/>
        <w:left w:val="none" w:sz="0" w:space="0" w:color="auto"/>
        <w:bottom w:val="none" w:sz="0" w:space="0" w:color="auto"/>
        <w:right w:val="none" w:sz="0" w:space="0" w:color="auto"/>
      </w:divBdr>
    </w:div>
    <w:div w:id="78872048">
      <w:marLeft w:val="0"/>
      <w:marRight w:val="0"/>
      <w:marTop w:val="0"/>
      <w:marBottom w:val="0"/>
      <w:divBdr>
        <w:top w:val="none" w:sz="0" w:space="0" w:color="auto"/>
        <w:left w:val="none" w:sz="0" w:space="0" w:color="auto"/>
        <w:bottom w:val="none" w:sz="0" w:space="0" w:color="auto"/>
        <w:right w:val="none" w:sz="0" w:space="0" w:color="auto"/>
      </w:divBdr>
    </w:div>
    <w:div w:id="91439817">
      <w:marLeft w:val="0"/>
      <w:marRight w:val="0"/>
      <w:marTop w:val="0"/>
      <w:marBottom w:val="0"/>
      <w:divBdr>
        <w:top w:val="none" w:sz="0" w:space="0" w:color="auto"/>
        <w:left w:val="none" w:sz="0" w:space="0" w:color="auto"/>
        <w:bottom w:val="none" w:sz="0" w:space="0" w:color="auto"/>
        <w:right w:val="none" w:sz="0" w:space="0" w:color="auto"/>
      </w:divBdr>
    </w:div>
    <w:div w:id="93281231">
      <w:marLeft w:val="0"/>
      <w:marRight w:val="0"/>
      <w:marTop w:val="0"/>
      <w:marBottom w:val="0"/>
      <w:divBdr>
        <w:top w:val="none" w:sz="0" w:space="0" w:color="auto"/>
        <w:left w:val="none" w:sz="0" w:space="0" w:color="auto"/>
        <w:bottom w:val="none" w:sz="0" w:space="0" w:color="auto"/>
        <w:right w:val="none" w:sz="0" w:space="0" w:color="auto"/>
      </w:divBdr>
      <w:divsChild>
        <w:div w:id="236327714">
          <w:marLeft w:val="0"/>
          <w:marRight w:val="0"/>
          <w:marTop w:val="0"/>
          <w:marBottom w:val="0"/>
          <w:divBdr>
            <w:top w:val="none" w:sz="0" w:space="0" w:color="auto"/>
            <w:left w:val="none" w:sz="0" w:space="0" w:color="auto"/>
            <w:bottom w:val="none" w:sz="0" w:space="0" w:color="auto"/>
            <w:right w:val="none" w:sz="0" w:space="0" w:color="auto"/>
          </w:divBdr>
        </w:div>
      </w:divsChild>
    </w:div>
    <w:div w:id="97144782">
      <w:marLeft w:val="0"/>
      <w:marRight w:val="0"/>
      <w:marTop w:val="0"/>
      <w:marBottom w:val="0"/>
      <w:divBdr>
        <w:top w:val="none" w:sz="0" w:space="0" w:color="auto"/>
        <w:left w:val="none" w:sz="0" w:space="0" w:color="auto"/>
        <w:bottom w:val="none" w:sz="0" w:space="0" w:color="auto"/>
        <w:right w:val="none" w:sz="0" w:space="0" w:color="auto"/>
      </w:divBdr>
      <w:divsChild>
        <w:div w:id="1797261983">
          <w:marLeft w:val="0"/>
          <w:marRight w:val="0"/>
          <w:marTop w:val="0"/>
          <w:marBottom w:val="0"/>
          <w:divBdr>
            <w:top w:val="none" w:sz="0" w:space="0" w:color="auto"/>
            <w:left w:val="none" w:sz="0" w:space="0" w:color="auto"/>
            <w:bottom w:val="none" w:sz="0" w:space="0" w:color="auto"/>
            <w:right w:val="none" w:sz="0" w:space="0" w:color="auto"/>
          </w:divBdr>
        </w:div>
      </w:divsChild>
    </w:div>
    <w:div w:id="98184829">
      <w:marLeft w:val="0"/>
      <w:marRight w:val="0"/>
      <w:marTop w:val="0"/>
      <w:marBottom w:val="0"/>
      <w:divBdr>
        <w:top w:val="none" w:sz="0" w:space="0" w:color="auto"/>
        <w:left w:val="none" w:sz="0" w:space="0" w:color="auto"/>
        <w:bottom w:val="none" w:sz="0" w:space="0" w:color="auto"/>
        <w:right w:val="none" w:sz="0" w:space="0" w:color="auto"/>
      </w:divBdr>
      <w:divsChild>
        <w:div w:id="1309171522">
          <w:marLeft w:val="0"/>
          <w:marRight w:val="0"/>
          <w:marTop w:val="0"/>
          <w:marBottom w:val="0"/>
          <w:divBdr>
            <w:top w:val="none" w:sz="0" w:space="0" w:color="auto"/>
            <w:left w:val="none" w:sz="0" w:space="0" w:color="auto"/>
            <w:bottom w:val="none" w:sz="0" w:space="0" w:color="auto"/>
            <w:right w:val="none" w:sz="0" w:space="0" w:color="auto"/>
          </w:divBdr>
        </w:div>
      </w:divsChild>
    </w:div>
    <w:div w:id="102267754">
      <w:marLeft w:val="0"/>
      <w:marRight w:val="0"/>
      <w:marTop w:val="0"/>
      <w:marBottom w:val="0"/>
      <w:divBdr>
        <w:top w:val="none" w:sz="0" w:space="0" w:color="auto"/>
        <w:left w:val="none" w:sz="0" w:space="0" w:color="auto"/>
        <w:bottom w:val="none" w:sz="0" w:space="0" w:color="auto"/>
        <w:right w:val="none" w:sz="0" w:space="0" w:color="auto"/>
      </w:divBdr>
    </w:div>
    <w:div w:id="106705525">
      <w:marLeft w:val="0"/>
      <w:marRight w:val="0"/>
      <w:marTop w:val="0"/>
      <w:marBottom w:val="0"/>
      <w:divBdr>
        <w:top w:val="none" w:sz="0" w:space="0" w:color="auto"/>
        <w:left w:val="none" w:sz="0" w:space="0" w:color="auto"/>
        <w:bottom w:val="none" w:sz="0" w:space="0" w:color="auto"/>
        <w:right w:val="none" w:sz="0" w:space="0" w:color="auto"/>
      </w:divBdr>
    </w:div>
    <w:div w:id="107818082">
      <w:marLeft w:val="0"/>
      <w:marRight w:val="0"/>
      <w:marTop w:val="0"/>
      <w:marBottom w:val="0"/>
      <w:divBdr>
        <w:top w:val="none" w:sz="0" w:space="0" w:color="auto"/>
        <w:left w:val="none" w:sz="0" w:space="0" w:color="auto"/>
        <w:bottom w:val="none" w:sz="0" w:space="0" w:color="auto"/>
        <w:right w:val="none" w:sz="0" w:space="0" w:color="auto"/>
      </w:divBdr>
      <w:divsChild>
        <w:div w:id="1733848195">
          <w:marLeft w:val="0"/>
          <w:marRight w:val="0"/>
          <w:marTop w:val="0"/>
          <w:marBottom w:val="0"/>
          <w:divBdr>
            <w:top w:val="none" w:sz="0" w:space="0" w:color="auto"/>
            <w:left w:val="none" w:sz="0" w:space="0" w:color="auto"/>
            <w:bottom w:val="none" w:sz="0" w:space="0" w:color="auto"/>
            <w:right w:val="none" w:sz="0" w:space="0" w:color="auto"/>
          </w:divBdr>
        </w:div>
      </w:divsChild>
    </w:div>
    <w:div w:id="109669941">
      <w:marLeft w:val="0"/>
      <w:marRight w:val="0"/>
      <w:marTop w:val="0"/>
      <w:marBottom w:val="0"/>
      <w:divBdr>
        <w:top w:val="none" w:sz="0" w:space="0" w:color="auto"/>
        <w:left w:val="none" w:sz="0" w:space="0" w:color="auto"/>
        <w:bottom w:val="none" w:sz="0" w:space="0" w:color="auto"/>
        <w:right w:val="none" w:sz="0" w:space="0" w:color="auto"/>
      </w:divBdr>
    </w:div>
    <w:div w:id="112135627">
      <w:marLeft w:val="0"/>
      <w:marRight w:val="0"/>
      <w:marTop w:val="0"/>
      <w:marBottom w:val="0"/>
      <w:divBdr>
        <w:top w:val="none" w:sz="0" w:space="0" w:color="auto"/>
        <w:left w:val="none" w:sz="0" w:space="0" w:color="auto"/>
        <w:bottom w:val="none" w:sz="0" w:space="0" w:color="auto"/>
        <w:right w:val="none" w:sz="0" w:space="0" w:color="auto"/>
      </w:divBdr>
      <w:divsChild>
        <w:div w:id="888032041">
          <w:marLeft w:val="0"/>
          <w:marRight w:val="0"/>
          <w:marTop w:val="0"/>
          <w:marBottom w:val="0"/>
          <w:divBdr>
            <w:top w:val="none" w:sz="0" w:space="0" w:color="auto"/>
            <w:left w:val="none" w:sz="0" w:space="0" w:color="auto"/>
            <w:bottom w:val="none" w:sz="0" w:space="0" w:color="auto"/>
            <w:right w:val="none" w:sz="0" w:space="0" w:color="auto"/>
          </w:divBdr>
        </w:div>
      </w:divsChild>
    </w:div>
    <w:div w:id="113406177">
      <w:marLeft w:val="0"/>
      <w:marRight w:val="0"/>
      <w:marTop w:val="0"/>
      <w:marBottom w:val="0"/>
      <w:divBdr>
        <w:top w:val="none" w:sz="0" w:space="0" w:color="auto"/>
        <w:left w:val="none" w:sz="0" w:space="0" w:color="auto"/>
        <w:bottom w:val="none" w:sz="0" w:space="0" w:color="auto"/>
        <w:right w:val="none" w:sz="0" w:space="0" w:color="auto"/>
      </w:divBdr>
    </w:div>
    <w:div w:id="119883875">
      <w:marLeft w:val="0"/>
      <w:marRight w:val="0"/>
      <w:marTop w:val="0"/>
      <w:marBottom w:val="0"/>
      <w:divBdr>
        <w:top w:val="none" w:sz="0" w:space="0" w:color="auto"/>
        <w:left w:val="none" w:sz="0" w:space="0" w:color="auto"/>
        <w:bottom w:val="none" w:sz="0" w:space="0" w:color="auto"/>
        <w:right w:val="none" w:sz="0" w:space="0" w:color="auto"/>
      </w:divBdr>
    </w:div>
    <w:div w:id="125003785">
      <w:marLeft w:val="0"/>
      <w:marRight w:val="0"/>
      <w:marTop w:val="0"/>
      <w:marBottom w:val="0"/>
      <w:divBdr>
        <w:top w:val="none" w:sz="0" w:space="0" w:color="auto"/>
        <w:left w:val="none" w:sz="0" w:space="0" w:color="auto"/>
        <w:bottom w:val="none" w:sz="0" w:space="0" w:color="auto"/>
        <w:right w:val="none" w:sz="0" w:space="0" w:color="auto"/>
      </w:divBdr>
    </w:div>
    <w:div w:id="132330242">
      <w:marLeft w:val="0"/>
      <w:marRight w:val="0"/>
      <w:marTop w:val="0"/>
      <w:marBottom w:val="0"/>
      <w:divBdr>
        <w:top w:val="none" w:sz="0" w:space="0" w:color="auto"/>
        <w:left w:val="none" w:sz="0" w:space="0" w:color="auto"/>
        <w:bottom w:val="none" w:sz="0" w:space="0" w:color="auto"/>
        <w:right w:val="none" w:sz="0" w:space="0" w:color="auto"/>
      </w:divBdr>
      <w:divsChild>
        <w:div w:id="1756198987">
          <w:marLeft w:val="0"/>
          <w:marRight w:val="0"/>
          <w:marTop w:val="0"/>
          <w:marBottom w:val="0"/>
          <w:divBdr>
            <w:top w:val="none" w:sz="0" w:space="0" w:color="auto"/>
            <w:left w:val="none" w:sz="0" w:space="0" w:color="auto"/>
            <w:bottom w:val="none" w:sz="0" w:space="0" w:color="auto"/>
            <w:right w:val="none" w:sz="0" w:space="0" w:color="auto"/>
          </w:divBdr>
        </w:div>
      </w:divsChild>
    </w:div>
    <w:div w:id="135801130">
      <w:marLeft w:val="0"/>
      <w:marRight w:val="0"/>
      <w:marTop w:val="0"/>
      <w:marBottom w:val="0"/>
      <w:divBdr>
        <w:top w:val="none" w:sz="0" w:space="0" w:color="auto"/>
        <w:left w:val="none" w:sz="0" w:space="0" w:color="auto"/>
        <w:bottom w:val="none" w:sz="0" w:space="0" w:color="auto"/>
        <w:right w:val="none" w:sz="0" w:space="0" w:color="auto"/>
      </w:divBdr>
    </w:div>
    <w:div w:id="137962794">
      <w:marLeft w:val="0"/>
      <w:marRight w:val="0"/>
      <w:marTop w:val="0"/>
      <w:marBottom w:val="0"/>
      <w:divBdr>
        <w:top w:val="none" w:sz="0" w:space="0" w:color="auto"/>
        <w:left w:val="none" w:sz="0" w:space="0" w:color="auto"/>
        <w:bottom w:val="none" w:sz="0" w:space="0" w:color="auto"/>
        <w:right w:val="none" w:sz="0" w:space="0" w:color="auto"/>
      </w:divBdr>
    </w:div>
    <w:div w:id="142239797">
      <w:marLeft w:val="0"/>
      <w:marRight w:val="0"/>
      <w:marTop w:val="0"/>
      <w:marBottom w:val="0"/>
      <w:divBdr>
        <w:top w:val="none" w:sz="0" w:space="0" w:color="auto"/>
        <w:left w:val="none" w:sz="0" w:space="0" w:color="auto"/>
        <w:bottom w:val="none" w:sz="0" w:space="0" w:color="auto"/>
        <w:right w:val="none" w:sz="0" w:space="0" w:color="auto"/>
      </w:divBdr>
    </w:div>
    <w:div w:id="145360969">
      <w:marLeft w:val="0"/>
      <w:marRight w:val="0"/>
      <w:marTop w:val="0"/>
      <w:marBottom w:val="0"/>
      <w:divBdr>
        <w:top w:val="none" w:sz="0" w:space="0" w:color="auto"/>
        <w:left w:val="none" w:sz="0" w:space="0" w:color="auto"/>
        <w:bottom w:val="none" w:sz="0" w:space="0" w:color="auto"/>
        <w:right w:val="none" w:sz="0" w:space="0" w:color="auto"/>
      </w:divBdr>
    </w:div>
    <w:div w:id="148253796">
      <w:marLeft w:val="0"/>
      <w:marRight w:val="0"/>
      <w:marTop w:val="0"/>
      <w:marBottom w:val="0"/>
      <w:divBdr>
        <w:top w:val="none" w:sz="0" w:space="0" w:color="auto"/>
        <w:left w:val="none" w:sz="0" w:space="0" w:color="auto"/>
        <w:bottom w:val="none" w:sz="0" w:space="0" w:color="auto"/>
        <w:right w:val="none" w:sz="0" w:space="0" w:color="auto"/>
      </w:divBdr>
      <w:divsChild>
        <w:div w:id="914432386">
          <w:marLeft w:val="0"/>
          <w:marRight w:val="0"/>
          <w:marTop w:val="0"/>
          <w:marBottom w:val="0"/>
          <w:divBdr>
            <w:top w:val="none" w:sz="0" w:space="0" w:color="auto"/>
            <w:left w:val="none" w:sz="0" w:space="0" w:color="auto"/>
            <w:bottom w:val="none" w:sz="0" w:space="0" w:color="auto"/>
            <w:right w:val="none" w:sz="0" w:space="0" w:color="auto"/>
          </w:divBdr>
        </w:div>
      </w:divsChild>
    </w:div>
    <w:div w:id="149248379">
      <w:marLeft w:val="0"/>
      <w:marRight w:val="0"/>
      <w:marTop w:val="0"/>
      <w:marBottom w:val="120"/>
      <w:divBdr>
        <w:top w:val="none" w:sz="0" w:space="0" w:color="auto"/>
        <w:left w:val="none" w:sz="0" w:space="0" w:color="auto"/>
        <w:bottom w:val="none" w:sz="0" w:space="0" w:color="auto"/>
        <w:right w:val="none" w:sz="0" w:space="0" w:color="auto"/>
      </w:divBdr>
      <w:divsChild>
        <w:div w:id="2018264645">
          <w:marLeft w:val="0"/>
          <w:marRight w:val="0"/>
          <w:marTop w:val="0"/>
          <w:marBottom w:val="0"/>
          <w:divBdr>
            <w:top w:val="none" w:sz="0" w:space="0" w:color="auto"/>
            <w:left w:val="none" w:sz="0" w:space="0" w:color="auto"/>
            <w:bottom w:val="none" w:sz="0" w:space="0" w:color="auto"/>
            <w:right w:val="none" w:sz="0" w:space="0" w:color="auto"/>
          </w:divBdr>
        </w:div>
        <w:div w:id="1505436868">
          <w:marLeft w:val="0"/>
          <w:marRight w:val="0"/>
          <w:marTop w:val="0"/>
          <w:marBottom w:val="0"/>
          <w:divBdr>
            <w:top w:val="none" w:sz="0" w:space="0" w:color="auto"/>
            <w:left w:val="none" w:sz="0" w:space="0" w:color="auto"/>
            <w:bottom w:val="none" w:sz="0" w:space="0" w:color="auto"/>
            <w:right w:val="none" w:sz="0" w:space="0" w:color="auto"/>
          </w:divBdr>
        </w:div>
        <w:div w:id="85001947">
          <w:marLeft w:val="0"/>
          <w:marRight w:val="0"/>
          <w:marTop w:val="0"/>
          <w:marBottom w:val="0"/>
          <w:divBdr>
            <w:top w:val="none" w:sz="0" w:space="0" w:color="auto"/>
            <w:left w:val="none" w:sz="0" w:space="0" w:color="auto"/>
            <w:bottom w:val="none" w:sz="0" w:space="0" w:color="auto"/>
            <w:right w:val="none" w:sz="0" w:space="0" w:color="auto"/>
          </w:divBdr>
        </w:div>
        <w:div w:id="121921680">
          <w:marLeft w:val="0"/>
          <w:marRight w:val="0"/>
          <w:marTop w:val="0"/>
          <w:marBottom w:val="0"/>
          <w:divBdr>
            <w:top w:val="none" w:sz="0" w:space="0" w:color="auto"/>
            <w:left w:val="none" w:sz="0" w:space="0" w:color="auto"/>
            <w:bottom w:val="none" w:sz="0" w:space="0" w:color="auto"/>
            <w:right w:val="none" w:sz="0" w:space="0" w:color="auto"/>
          </w:divBdr>
        </w:div>
        <w:div w:id="290138329">
          <w:marLeft w:val="0"/>
          <w:marRight w:val="0"/>
          <w:marTop w:val="0"/>
          <w:marBottom w:val="0"/>
          <w:divBdr>
            <w:top w:val="none" w:sz="0" w:space="0" w:color="auto"/>
            <w:left w:val="none" w:sz="0" w:space="0" w:color="auto"/>
            <w:bottom w:val="none" w:sz="0" w:space="0" w:color="auto"/>
            <w:right w:val="none" w:sz="0" w:space="0" w:color="auto"/>
          </w:divBdr>
        </w:div>
      </w:divsChild>
    </w:div>
    <w:div w:id="156724785">
      <w:marLeft w:val="0"/>
      <w:marRight w:val="0"/>
      <w:marTop w:val="0"/>
      <w:marBottom w:val="0"/>
      <w:divBdr>
        <w:top w:val="none" w:sz="0" w:space="0" w:color="auto"/>
        <w:left w:val="none" w:sz="0" w:space="0" w:color="auto"/>
        <w:bottom w:val="none" w:sz="0" w:space="0" w:color="auto"/>
        <w:right w:val="none" w:sz="0" w:space="0" w:color="auto"/>
      </w:divBdr>
      <w:divsChild>
        <w:div w:id="1927229197">
          <w:marLeft w:val="0"/>
          <w:marRight w:val="0"/>
          <w:marTop w:val="0"/>
          <w:marBottom w:val="0"/>
          <w:divBdr>
            <w:top w:val="none" w:sz="0" w:space="0" w:color="auto"/>
            <w:left w:val="none" w:sz="0" w:space="0" w:color="auto"/>
            <w:bottom w:val="none" w:sz="0" w:space="0" w:color="auto"/>
            <w:right w:val="none" w:sz="0" w:space="0" w:color="auto"/>
          </w:divBdr>
        </w:div>
      </w:divsChild>
    </w:div>
    <w:div w:id="179245240">
      <w:marLeft w:val="0"/>
      <w:marRight w:val="0"/>
      <w:marTop w:val="0"/>
      <w:marBottom w:val="0"/>
      <w:divBdr>
        <w:top w:val="none" w:sz="0" w:space="0" w:color="auto"/>
        <w:left w:val="none" w:sz="0" w:space="0" w:color="auto"/>
        <w:bottom w:val="none" w:sz="0" w:space="0" w:color="auto"/>
        <w:right w:val="none" w:sz="0" w:space="0" w:color="auto"/>
      </w:divBdr>
    </w:div>
    <w:div w:id="184565436">
      <w:marLeft w:val="0"/>
      <w:marRight w:val="0"/>
      <w:marTop w:val="0"/>
      <w:marBottom w:val="0"/>
      <w:divBdr>
        <w:top w:val="none" w:sz="0" w:space="0" w:color="auto"/>
        <w:left w:val="none" w:sz="0" w:space="0" w:color="auto"/>
        <w:bottom w:val="none" w:sz="0" w:space="0" w:color="auto"/>
        <w:right w:val="none" w:sz="0" w:space="0" w:color="auto"/>
      </w:divBdr>
    </w:div>
    <w:div w:id="185797194">
      <w:marLeft w:val="0"/>
      <w:marRight w:val="0"/>
      <w:marTop w:val="0"/>
      <w:marBottom w:val="0"/>
      <w:divBdr>
        <w:top w:val="none" w:sz="0" w:space="0" w:color="auto"/>
        <w:left w:val="none" w:sz="0" w:space="0" w:color="auto"/>
        <w:bottom w:val="none" w:sz="0" w:space="0" w:color="auto"/>
        <w:right w:val="none" w:sz="0" w:space="0" w:color="auto"/>
      </w:divBdr>
    </w:div>
    <w:div w:id="200476785">
      <w:marLeft w:val="0"/>
      <w:marRight w:val="0"/>
      <w:marTop w:val="0"/>
      <w:marBottom w:val="0"/>
      <w:divBdr>
        <w:top w:val="none" w:sz="0" w:space="0" w:color="auto"/>
        <w:left w:val="none" w:sz="0" w:space="0" w:color="auto"/>
        <w:bottom w:val="none" w:sz="0" w:space="0" w:color="auto"/>
        <w:right w:val="none" w:sz="0" w:space="0" w:color="auto"/>
      </w:divBdr>
    </w:div>
    <w:div w:id="209995067">
      <w:marLeft w:val="0"/>
      <w:marRight w:val="0"/>
      <w:marTop w:val="0"/>
      <w:marBottom w:val="0"/>
      <w:divBdr>
        <w:top w:val="none" w:sz="0" w:space="0" w:color="auto"/>
        <w:left w:val="none" w:sz="0" w:space="0" w:color="auto"/>
        <w:bottom w:val="none" w:sz="0" w:space="0" w:color="auto"/>
        <w:right w:val="none" w:sz="0" w:space="0" w:color="auto"/>
      </w:divBdr>
      <w:divsChild>
        <w:div w:id="2055032945">
          <w:marLeft w:val="0"/>
          <w:marRight w:val="0"/>
          <w:marTop w:val="0"/>
          <w:marBottom w:val="0"/>
          <w:divBdr>
            <w:top w:val="none" w:sz="0" w:space="0" w:color="auto"/>
            <w:left w:val="none" w:sz="0" w:space="0" w:color="auto"/>
            <w:bottom w:val="none" w:sz="0" w:space="0" w:color="auto"/>
            <w:right w:val="none" w:sz="0" w:space="0" w:color="auto"/>
          </w:divBdr>
        </w:div>
      </w:divsChild>
    </w:div>
    <w:div w:id="210388104">
      <w:marLeft w:val="0"/>
      <w:marRight w:val="0"/>
      <w:marTop w:val="0"/>
      <w:marBottom w:val="0"/>
      <w:divBdr>
        <w:top w:val="none" w:sz="0" w:space="0" w:color="auto"/>
        <w:left w:val="none" w:sz="0" w:space="0" w:color="auto"/>
        <w:bottom w:val="none" w:sz="0" w:space="0" w:color="auto"/>
        <w:right w:val="none" w:sz="0" w:space="0" w:color="auto"/>
      </w:divBdr>
    </w:div>
    <w:div w:id="210583064">
      <w:marLeft w:val="0"/>
      <w:marRight w:val="0"/>
      <w:marTop w:val="0"/>
      <w:marBottom w:val="0"/>
      <w:divBdr>
        <w:top w:val="none" w:sz="0" w:space="0" w:color="auto"/>
        <w:left w:val="none" w:sz="0" w:space="0" w:color="auto"/>
        <w:bottom w:val="none" w:sz="0" w:space="0" w:color="auto"/>
        <w:right w:val="none" w:sz="0" w:space="0" w:color="auto"/>
      </w:divBdr>
    </w:div>
    <w:div w:id="212888283">
      <w:marLeft w:val="0"/>
      <w:marRight w:val="0"/>
      <w:marTop w:val="0"/>
      <w:marBottom w:val="120"/>
      <w:divBdr>
        <w:top w:val="none" w:sz="0" w:space="0" w:color="auto"/>
        <w:left w:val="none" w:sz="0" w:space="0" w:color="auto"/>
        <w:bottom w:val="none" w:sz="0" w:space="0" w:color="auto"/>
        <w:right w:val="none" w:sz="0" w:space="0" w:color="auto"/>
      </w:divBdr>
    </w:div>
    <w:div w:id="214633183">
      <w:marLeft w:val="0"/>
      <w:marRight w:val="0"/>
      <w:marTop w:val="0"/>
      <w:marBottom w:val="0"/>
      <w:divBdr>
        <w:top w:val="none" w:sz="0" w:space="0" w:color="auto"/>
        <w:left w:val="none" w:sz="0" w:space="0" w:color="auto"/>
        <w:bottom w:val="none" w:sz="0" w:space="0" w:color="auto"/>
        <w:right w:val="none" w:sz="0" w:space="0" w:color="auto"/>
      </w:divBdr>
    </w:div>
    <w:div w:id="221721283">
      <w:marLeft w:val="0"/>
      <w:marRight w:val="0"/>
      <w:marTop w:val="0"/>
      <w:marBottom w:val="0"/>
      <w:divBdr>
        <w:top w:val="none" w:sz="0" w:space="0" w:color="auto"/>
        <w:left w:val="none" w:sz="0" w:space="0" w:color="auto"/>
        <w:bottom w:val="none" w:sz="0" w:space="0" w:color="auto"/>
        <w:right w:val="none" w:sz="0" w:space="0" w:color="auto"/>
      </w:divBdr>
      <w:divsChild>
        <w:div w:id="758675288">
          <w:marLeft w:val="0"/>
          <w:marRight w:val="0"/>
          <w:marTop w:val="0"/>
          <w:marBottom w:val="0"/>
          <w:divBdr>
            <w:top w:val="none" w:sz="0" w:space="0" w:color="auto"/>
            <w:left w:val="none" w:sz="0" w:space="0" w:color="auto"/>
            <w:bottom w:val="none" w:sz="0" w:space="0" w:color="auto"/>
            <w:right w:val="none" w:sz="0" w:space="0" w:color="auto"/>
          </w:divBdr>
        </w:div>
      </w:divsChild>
    </w:div>
    <w:div w:id="222564938">
      <w:marLeft w:val="0"/>
      <w:marRight w:val="0"/>
      <w:marTop w:val="0"/>
      <w:marBottom w:val="0"/>
      <w:divBdr>
        <w:top w:val="none" w:sz="0" w:space="0" w:color="auto"/>
        <w:left w:val="none" w:sz="0" w:space="0" w:color="auto"/>
        <w:bottom w:val="none" w:sz="0" w:space="0" w:color="auto"/>
        <w:right w:val="none" w:sz="0" w:space="0" w:color="auto"/>
      </w:divBdr>
    </w:div>
    <w:div w:id="223371434">
      <w:marLeft w:val="0"/>
      <w:marRight w:val="0"/>
      <w:marTop w:val="0"/>
      <w:marBottom w:val="0"/>
      <w:divBdr>
        <w:top w:val="none" w:sz="0" w:space="0" w:color="auto"/>
        <w:left w:val="none" w:sz="0" w:space="0" w:color="auto"/>
        <w:bottom w:val="none" w:sz="0" w:space="0" w:color="auto"/>
        <w:right w:val="none" w:sz="0" w:space="0" w:color="auto"/>
      </w:divBdr>
    </w:div>
    <w:div w:id="225073221">
      <w:marLeft w:val="0"/>
      <w:marRight w:val="0"/>
      <w:marTop w:val="0"/>
      <w:marBottom w:val="0"/>
      <w:divBdr>
        <w:top w:val="none" w:sz="0" w:space="0" w:color="auto"/>
        <w:left w:val="none" w:sz="0" w:space="0" w:color="auto"/>
        <w:bottom w:val="none" w:sz="0" w:space="0" w:color="auto"/>
        <w:right w:val="none" w:sz="0" w:space="0" w:color="auto"/>
      </w:divBdr>
    </w:div>
    <w:div w:id="226115214">
      <w:marLeft w:val="0"/>
      <w:marRight w:val="0"/>
      <w:marTop w:val="0"/>
      <w:marBottom w:val="0"/>
      <w:divBdr>
        <w:top w:val="none" w:sz="0" w:space="0" w:color="auto"/>
        <w:left w:val="none" w:sz="0" w:space="0" w:color="auto"/>
        <w:bottom w:val="none" w:sz="0" w:space="0" w:color="auto"/>
        <w:right w:val="none" w:sz="0" w:space="0" w:color="auto"/>
      </w:divBdr>
    </w:div>
    <w:div w:id="226887122">
      <w:marLeft w:val="0"/>
      <w:marRight w:val="0"/>
      <w:marTop w:val="0"/>
      <w:marBottom w:val="0"/>
      <w:divBdr>
        <w:top w:val="none" w:sz="0" w:space="0" w:color="auto"/>
        <w:left w:val="none" w:sz="0" w:space="0" w:color="auto"/>
        <w:bottom w:val="none" w:sz="0" w:space="0" w:color="auto"/>
        <w:right w:val="none" w:sz="0" w:space="0" w:color="auto"/>
      </w:divBdr>
      <w:divsChild>
        <w:div w:id="2113090741">
          <w:marLeft w:val="0"/>
          <w:marRight w:val="0"/>
          <w:marTop w:val="0"/>
          <w:marBottom w:val="0"/>
          <w:divBdr>
            <w:top w:val="none" w:sz="0" w:space="0" w:color="auto"/>
            <w:left w:val="none" w:sz="0" w:space="0" w:color="auto"/>
            <w:bottom w:val="none" w:sz="0" w:space="0" w:color="auto"/>
            <w:right w:val="none" w:sz="0" w:space="0" w:color="auto"/>
          </w:divBdr>
        </w:div>
      </w:divsChild>
    </w:div>
    <w:div w:id="232784903">
      <w:marLeft w:val="0"/>
      <w:marRight w:val="0"/>
      <w:marTop w:val="0"/>
      <w:marBottom w:val="0"/>
      <w:divBdr>
        <w:top w:val="none" w:sz="0" w:space="0" w:color="auto"/>
        <w:left w:val="none" w:sz="0" w:space="0" w:color="auto"/>
        <w:bottom w:val="none" w:sz="0" w:space="0" w:color="auto"/>
        <w:right w:val="none" w:sz="0" w:space="0" w:color="auto"/>
      </w:divBdr>
    </w:div>
    <w:div w:id="233783326">
      <w:marLeft w:val="0"/>
      <w:marRight w:val="0"/>
      <w:marTop w:val="0"/>
      <w:marBottom w:val="0"/>
      <w:divBdr>
        <w:top w:val="none" w:sz="0" w:space="0" w:color="auto"/>
        <w:left w:val="none" w:sz="0" w:space="0" w:color="auto"/>
        <w:bottom w:val="none" w:sz="0" w:space="0" w:color="auto"/>
        <w:right w:val="none" w:sz="0" w:space="0" w:color="auto"/>
      </w:divBdr>
    </w:div>
    <w:div w:id="233786823">
      <w:marLeft w:val="0"/>
      <w:marRight w:val="0"/>
      <w:marTop w:val="0"/>
      <w:marBottom w:val="0"/>
      <w:divBdr>
        <w:top w:val="none" w:sz="0" w:space="0" w:color="auto"/>
        <w:left w:val="none" w:sz="0" w:space="0" w:color="auto"/>
        <w:bottom w:val="none" w:sz="0" w:space="0" w:color="auto"/>
        <w:right w:val="none" w:sz="0" w:space="0" w:color="auto"/>
      </w:divBdr>
    </w:div>
    <w:div w:id="245649608">
      <w:marLeft w:val="0"/>
      <w:marRight w:val="0"/>
      <w:marTop w:val="0"/>
      <w:marBottom w:val="0"/>
      <w:divBdr>
        <w:top w:val="none" w:sz="0" w:space="0" w:color="auto"/>
        <w:left w:val="none" w:sz="0" w:space="0" w:color="auto"/>
        <w:bottom w:val="none" w:sz="0" w:space="0" w:color="auto"/>
        <w:right w:val="none" w:sz="0" w:space="0" w:color="auto"/>
      </w:divBdr>
    </w:div>
    <w:div w:id="246815255">
      <w:marLeft w:val="0"/>
      <w:marRight w:val="0"/>
      <w:marTop w:val="0"/>
      <w:marBottom w:val="0"/>
      <w:divBdr>
        <w:top w:val="none" w:sz="0" w:space="0" w:color="auto"/>
        <w:left w:val="none" w:sz="0" w:space="0" w:color="auto"/>
        <w:bottom w:val="none" w:sz="0" w:space="0" w:color="auto"/>
        <w:right w:val="none" w:sz="0" w:space="0" w:color="auto"/>
      </w:divBdr>
      <w:divsChild>
        <w:div w:id="1308705303">
          <w:marLeft w:val="0"/>
          <w:marRight w:val="0"/>
          <w:marTop w:val="0"/>
          <w:marBottom w:val="0"/>
          <w:divBdr>
            <w:top w:val="none" w:sz="0" w:space="0" w:color="auto"/>
            <w:left w:val="none" w:sz="0" w:space="0" w:color="auto"/>
            <w:bottom w:val="none" w:sz="0" w:space="0" w:color="auto"/>
            <w:right w:val="none" w:sz="0" w:space="0" w:color="auto"/>
          </w:divBdr>
        </w:div>
      </w:divsChild>
    </w:div>
    <w:div w:id="259990144">
      <w:marLeft w:val="0"/>
      <w:marRight w:val="0"/>
      <w:marTop w:val="0"/>
      <w:marBottom w:val="0"/>
      <w:divBdr>
        <w:top w:val="none" w:sz="0" w:space="0" w:color="auto"/>
        <w:left w:val="none" w:sz="0" w:space="0" w:color="auto"/>
        <w:bottom w:val="none" w:sz="0" w:space="0" w:color="auto"/>
        <w:right w:val="none" w:sz="0" w:space="0" w:color="auto"/>
      </w:divBdr>
    </w:div>
    <w:div w:id="268046072">
      <w:marLeft w:val="0"/>
      <w:marRight w:val="0"/>
      <w:marTop w:val="0"/>
      <w:marBottom w:val="0"/>
      <w:divBdr>
        <w:top w:val="none" w:sz="0" w:space="0" w:color="auto"/>
        <w:left w:val="none" w:sz="0" w:space="0" w:color="auto"/>
        <w:bottom w:val="none" w:sz="0" w:space="0" w:color="auto"/>
        <w:right w:val="none" w:sz="0" w:space="0" w:color="auto"/>
      </w:divBdr>
      <w:divsChild>
        <w:div w:id="1279950050">
          <w:marLeft w:val="0"/>
          <w:marRight w:val="0"/>
          <w:marTop w:val="0"/>
          <w:marBottom w:val="0"/>
          <w:divBdr>
            <w:top w:val="none" w:sz="0" w:space="0" w:color="auto"/>
            <w:left w:val="none" w:sz="0" w:space="0" w:color="auto"/>
            <w:bottom w:val="none" w:sz="0" w:space="0" w:color="auto"/>
            <w:right w:val="none" w:sz="0" w:space="0" w:color="auto"/>
          </w:divBdr>
        </w:div>
      </w:divsChild>
    </w:div>
    <w:div w:id="268633471">
      <w:marLeft w:val="0"/>
      <w:marRight w:val="0"/>
      <w:marTop w:val="0"/>
      <w:marBottom w:val="0"/>
      <w:divBdr>
        <w:top w:val="none" w:sz="0" w:space="0" w:color="auto"/>
        <w:left w:val="none" w:sz="0" w:space="0" w:color="auto"/>
        <w:bottom w:val="none" w:sz="0" w:space="0" w:color="auto"/>
        <w:right w:val="none" w:sz="0" w:space="0" w:color="auto"/>
      </w:divBdr>
    </w:div>
    <w:div w:id="271014377">
      <w:marLeft w:val="0"/>
      <w:marRight w:val="0"/>
      <w:marTop w:val="0"/>
      <w:marBottom w:val="120"/>
      <w:divBdr>
        <w:top w:val="none" w:sz="0" w:space="0" w:color="auto"/>
        <w:left w:val="none" w:sz="0" w:space="0" w:color="auto"/>
        <w:bottom w:val="none" w:sz="0" w:space="0" w:color="auto"/>
        <w:right w:val="none" w:sz="0" w:space="0" w:color="auto"/>
      </w:divBdr>
    </w:div>
    <w:div w:id="271788738">
      <w:marLeft w:val="0"/>
      <w:marRight w:val="0"/>
      <w:marTop w:val="0"/>
      <w:marBottom w:val="0"/>
      <w:divBdr>
        <w:top w:val="none" w:sz="0" w:space="0" w:color="auto"/>
        <w:left w:val="none" w:sz="0" w:space="0" w:color="auto"/>
        <w:bottom w:val="none" w:sz="0" w:space="0" w:color="auto"/>
        <w:right w:val="none" w:sz="0" w:space="0" w:color="auto"/>
      </w:divBdr>
    </w:div>
    <w:div w:id="278681965">
      <w:marLeft w:val="0"/>
      <w:marRight w:val="0"/>
      <w:marTop w:val="0"/>
      <w:marBottom w:val="120"/>
      <w:divBdr>
        <w:top w:val="none" w:sz="0" w:space="0" w:color="auto"/>
        <w:left w:val="none" w:sz="0" w:space="0" w:color="auto"/>
        <w:bottom w:val="none" w:sz="0" w:space="0" w:color="auto"/>
        <w:right w:val="none" w:sz="0" w:space="0" w:color="auto"/>
      </w:divBdr>
      <w:divsChild>
        <w:div w:id="1852447454">
          <w:marLeft w:val="0"/>
          <w:marRight w:val="0"/>
          <w:marTop w:val="0"/>
          <w:marBottom w:val="0"/>
          <w:divBdr>
            <w:top w:val="none" w:sz="0" w:space="0" w:color="auto"/>
            <w:left w:val="none" w:sz="0" w:space="0" w:color="auto"/>
            <w:bottom w:val="none" w:sz="0" w:space="0" w:color="auto"/>
            <w:right w:val="none" w:sz="0" w:space="0" w:color="auto"/>
          </w:divBdr>
        </w:div>
        <w:div w:id="899750817">
          <w:marLeft w:val="0"/>
          <w:marRight w:val="0"/>
          <w:marTop w:val="0"/>
          <w:marBottom w:val="0"/>
          <w:divBdr>
            <w:top w:val="none" w:sz="0" w:space="0" w:color="auto"/>
            <w:left w:val="none" w:sz="0" w:space="0" w:color="auto"/>
            <w:bottom w:val="none" w:sz="0" w:space="0" w:color="auto"/>
            <w:right w:val="none" w:sz="0" w:space="0" w:color="auto"/>
          </w:divBdr>
        </w:div>
        <w:div w:id="2141796602">
          <w:marLeft w:val="0"/>
          <w:marRight w:val="0"/>
          <w:marTop w:val="0"/>
          <w:marBottom w:val="0"/>
          <w:divBdr>
            <w:top w:val="none" w:sz="0" w:space="0" w:color="auto"/>
            <w:left w:val="none" w:sz="0" w:space="0" w:color="auto"/>
            <w:bottom w:val="none" w:sz="0" w:space="0" w:color="auto"/>
            <w:right w:val="none" w:sz="0" w:space="0" w:color="auto"/>
          </w:divBdr>
        </w:div>
        <w:div w:id="1764108644">
          <w:marLeft w:val="0"/>
          <w:marRight w:val="0"/>
          <w:marTop w:val="0"/>
          <w:marBottom w:val="0"/>
          <w:divBdr>
            <w:top w:val="none" w:sz="0" w:space="0" w:color="auto"/>
            <w:left w:val="none" w:sz="0" w:space="0" w:color="auto"/>
            <w:bottom w:val="none" w:sz="0" w:space="0" w:color="auto"/>
            <w:right w:val="none" w:sz="0" w:space="0" w:color="auto"/>
          </w:divBdr>
        </w:div>
        <w:div w:id="1715622003">
          <w:marLeft w:val="0"/>
          <w:marRight w:val="0"/>
          <w:marTop w:val="0"/>
          <w:marBottom w:val="0"/>
          <w:divBdr>
            <w:top w:val="none" w:sz="0" w:space="0" w:color="auto"/>
            <w:left w:val="none" w:sz="0" w:space="0" w:color="auto"/>
            <w:bottom w:val="none" w:sz="0" w:space="0" w:color="auto"/>
            <w:right w:val="none" w:sz="0" w:space="0" w:color="auto"/>
          </w:divBdr>
        </w:div>
        <w:div w:id="1494101184">
          <w:marLeft w:val="0"/>
          <w:marRight w:val="0"/>
          <w:marTop w:val="0"/>
          <w:marBottom w:val="0"/>
          <w:divBdr>
            <w:top w:val="none" w:sz="0" w:space="0" w:color="auto"/>
            <w:left w:val="none" w:sz="0" w:space="0" w:color="auto"/>
            <w:bottom w:val="none" w:sz="0" w:space="0" w:color="auto"/>
            <w:right w:val="none" w:sz="0" w:space="0" w:color="auto"/>
          </w:divBdr>
        </w:div>
        <w:div w:id="1151557574">
          <w:marLeft w:val="0"/>
          <w:marRight w:val="0"/>
          <w:marTop w:val="0"/>
          <w:marBottom w:val="0"/>
          <w:divBdr>
            <w:top w:val="none" w:sz="0" w:space="0" w:color="auto"/>
            <w:left w:val="none" w:sz="0" w:space="0" w:color="auto"/>
            <w:bottom w:val="none" w:sz="0" w:space="0" w:color="auto"/>
            <w:right w:val="none" w:sz="0" w:space="0" w:color="auto"/>
          </w:divBdr>
        </w:div>
        <w:div w:id="1416433737">
          <w:marLeft w:val="0"/>
          <w:marRight w:val="0"/>
          <w:marTop w:val="0"/>
          <w:marBottom w:val="0"/>
          <w:divBdr>
            <w:top w:val="none" w:sz="0" w:space="0" w:color="auto"/>
            <w:left w:val="none" w:sz="0" w:space="0" w:color="auto"/>
            <w:bottom w:val="none" w:sz="0" w:space="0" w:color="auto"/>
            <w:right w:val="none" w:sz="0" w:space="0" w:color="auto"/>
          </w:divBdr>
        </w:div>
        <w:div w:id="1573546868">
          <w:marLeft w:val="0"/>
          <w:marRight w:val="0"/>
          <w:marTop w:val="0"/>
          <w:marBottom w:val="0"/>
          <w:divBdr>
            <w:top w:val="none" w:sz="0" w:space="0" w:color="auto"/>
            <w:left w:val="none" w:sz="0" w:space="0" w:color="auto"/>
            <w:bottom w:val="none" w:sz="0" w:space="0" w:color="auto"/>
            <w:right w:val="none" w:sz="0" w:space="0" w:color="auto"/>
          </w:divBdr>
        </w:div>
        <w:div w:id="1564214309">
          <w:marLeft w:val="0"/>
          <w:marRight w:val="0"/>
          <w:marTop w:val="0"/>
          <w:marBottom w:val="0"/>
          <w:divBdr>
            <w:top w:val="none" w:sz="0" w:space="0" w:color="auto"/>
            <w:left w:val="none" w:sz="0" w:space="0" w:color="auto"/>
            <w:bottom w:val="none" w:sz="0" w:space="0" w:color="auto"/>
            <w:right w:val="none" w:sz="0" w:space="0" w:color="auto"/>
          </w:divBdr>
        </w:div>
        <w:div w:id="270286205">
          <w:marLeft w:val="0"/>
          <w:marRight w:val="0"/>
          <w:marTop w:val="0"/>
          <w:marBottom w:val="0"/>
          <w:divBdr>
            <w:top w:val="none" w:sz="0" w:space="0" w:color="auto"/>
            <w:left w:val="none" w:sz="0" w:space="0" w:color="auto"/>
            <w:bottom w:val="none" w:sz="0" w:space="0" w:color="auto"/>
            <w:right w:val="none" w:sz="0" w:space="0" w:color="auto"/>
          </w:divBdr>
        </w:div>
        <w:div w:id="1804886716">
          <w:marLeft w:val="0"/>
          <w:marRight w:val="0"/>
          <w:marTop w:val="0"/>
          <w:marBottom w:val="0"/>
          <w:divBdr>
            <w:top w:val="none" w:sz="0" w:space="0" w:color="auto"/>
            <w:left w:val="none" w:sz="0" w:space="0" w:color="auto"/>
            <w:bottom w:val="none" w:sz="0" w:space="0" w:color="auto"/>
            <w:right w:val="none" w:sz="0" w:space="0" w:color="auto"/>
          </w:divBdr>
        </w:div>
        <w:div w:id="2053536537">
          <w:marLeft w:val="0"/>
          <w:marRight w:val="0"/>
          <w:marTop w:val="0"/>
          <w:marBottom w:val="0"/>
          <w:divBdr>
            <w:top w:val="none" w:sz="0" w:space="0" w:color="auto"/>
            <w:left w:val="none" w:sz="0" w:space="0" w:color="auto"/>
            <w:bottom w:val="none" w:sz="0" w:space="0" w:color="auto"/>
            <w:right w:val="none" w:sz="0" w:space="0" w:color="auto"/>
          </w:divBdr>
        </w:div>
        <w:div w:id="604265388">
          <w:marLeft w:val="0"/>
          <w:marRight w:val="0"/>
          <w:marTop w:val="0"/>
          <w:marBottom w:val="0"/>
          <w:divBdr>
            <w:top w:val="none" w:sz="0" w:space="0" w:color="auto"/>
            <w:left w:val="none" w:sz="0" w:space="0" w:color="auto"/>
            <w:bottom w:val="none" w:sz="0" w:space="0" w:color="auto"/>
            <w:right w:val="none" w:sz="0" w:space="0" w:color="auto"/>
          </w:divBdr>
        </w:div>
        <w:div w:id="1856456506">
          <w:marLeft w:val="0"/>
          <w:marRight w:val="0"/>
          <w:marTop w:val="0"/>
          <w:marBottom w:val="0"/>
          <w:divBdr>
            <w:top w:val="none" w:sz="0" w:space="0" w:color="auto"/>
            <w:left w:val="none" w:sz="0" w:space="0" w:color="auto"/>
            <w:bottom w:val="none" w:sz="0" w:space="0" w:color="auto"/>
            <w:right w:val="none" w:sz="0" w:space="0" w:color="auto"/>
          </w:divBdr>
        </w:div>
        <w:div w:id="407311321">
          <w:marLeft w:val="0"/>
          <w:marRight w:val="0"/>
          <w:marTop w:val="0"/>
          <w:marBottom w:val="0"/>
          <w:divBdr>
            <w:top w:val="none" w:sz="0" w:space="0" w:color="auto"/>
            <w:left w:val="none" w:sz="0" w:space="0" w:color="auto"/>
            <w:bottom w:val="none" w:sz="0" w:space="0" w:color="auto"/>
            <w:right w:val="none" w:sz="0" w:space="0" w:color="auto"/>
          </w:divBdr>
        </w:div>
        <w:div w:id="2046250850">
          <w:marLeft w:val="0"/>
          <w:marRight w:val="0"/>
          <w:marTop w:val="0"/>
          <w:marBottom w:val="0"/>
          <w:divBdr>
            <w:top w:val="none" w:sz="0" w:space="0" w:color="auto"/>
            <w:left w:val="none" w:sz="0" w:space="0" w:color="auto"/>
            <w:bottom w:val="none" w:sz="0" w:space="0" w:color="auto"/>
            <w:right w:val="none" w:sz="0" w:space="0" w:color="auto"/>
          </w:divBdr>
        </w:div>
        <w:div w:id="1977950480">
          <w:marLeft w:val="0"/>
          <w:marRight w:val="0"/>
          <w:marTop w:val="0"/>
          <w:marBottom w:val="0"/>
          <w:divBdr>
            <w:top w:val="none" w:sz="0" w:space="0" w:color="auto"/>
            <w:left w:val="none" w:sz="0" w:space="0" w:color="auto"/>
            <w:bottom w:val="none" w:sz="0" w:space="0" w:color="auto"/>
            <w:right w:val="none" w:sz="0" w:space="0" w:color="auto"/>
          </w:divBdr>
        </w:div>
        <w:div w:id="1859390022">
          <w:marLeft w:val="0"/>
          <w:marRight w:val="0"/>
          <w:marTop w:val="0"/>
          <w:marBottom w:val="0"/>
          <w:divBdr>
            <w:top w:val="none" w:sz="0" w:space="0" w:color="auto"/>
            <w:left w:val="none" w:sz="0" w:space="0" w:color="auto"/>
            <w:bottom w:val="none" w:sz="0" w:space="0" w:color="auto"/>
            <w:right w:val="none" w:sz="0" w:space="0" w:color="auto"/>
          </w:divBdr>
        </w:div>
        <w:div w:id="736591118">
          <w:marLeft w:val="0"/>
          <w:marRight w:val="0"/>
          <w:marTop w:val="0"/>
          <w:marBottom w:val="0"/>
          <w:divBdr>
            <w:top w:val="none" w:sz="0" w:space="0" w:color="auto"/>
            <w:left w:val="none" w:sz="0" w:space="0" w:color="auto"/>
            <w:bottom w:val="none" w:sz="0" w:space="0" w:color="auto"/>
            <w:right w:val="none" w:sz="0" w:space="0" w:color="auto"/>
          </w:divBdr>
        </w:div>
        <w:div w:id="1041512829">
          <w:marLeft w:val="0"/>
          <w:marRight w:val="0"/>
          <w:marTop w:val="0"/>
          <w:marBottom w:val="0"/>
          <w:divBdr>
            <w:top w:val="none" w:sz="0" w:space="0" w:color="auto"/>
            <w:left w:val="none" w:sz="0" w:space="0" w:color="auto"/>
            <w:bottom w:val="none" w:sz="0" w:space="0" w:color="auto"/>
            <w:right w:val="none" w:sz="0" w:space="0" w:color="auto"/>
          </w:divBdr>
        </w:div>
        <w:div w:id="457526803">
          <w:marLeft w:val="0"/>
          <w:marRight w:val="0"/>
          <w:marTop w:val="0"/>
          <w:marBottom w:val="0"/>
          <w:divBdr>
            <w:top w:val="none" w:sz="0" w:space="0" w:color="auto"/>
            <w:left w:val="none" w:sz="0" w:space="0" w:color="auto"/>
            <w:bottom w:val="none" w:sz="0" w:space="0" w:color="auto"/>
            <w:right w:val="none" w:sz="0" w:space="0" w:color="auto"/>
          </w:divBdr>
        </w:div>
        <w:div w:id="1434939216">
          <w:marLeft w:val="0"/>
          <w:marRight w:val="0"/>
          <w:marTop w:val="0"/>
          <w:marBottom w:val="0"/>
          <w:divBdr>
            <w:top w:val="none" w:sz="0" w:space="0" w:color="auto"/>
            <w:left w:val="none" w:sz="0" w:space="0" w:color="auto"/>
            <w:bottom w:val="none" w:sz="0" w:space="0" w:color="auto"/>
            <w:right w:val="none" w:sz="0" w:space="0" w:color="auto"/>
          </w:divBdr>
        </w:div>
        <w:div w:id="1851331875">
          <w:marLeft w:val="0"/>
          <w:marRight w:val="0"/>
          <w:marTop w:val="0"/>
          <w:marBottom w:val="0"/>
          <w:divBdr>
            <w:top w:val="none" w:sz="0" w:space="0" w:color="auto"/>
            <w:left w:val="none" w:sz="0" w:space="0" w:color="auto"/>
            <w:bottom w:val="none" w:sz="0" w:space="0" w:color="auto"/>
            <w:right w:val="none" w:sz="0" w:space="0" w:color="auto"/>
          </w:divBdr>
        </w:div>
        <w:div w:id="1612513980">
          <w:marLeft w:val="0"/>
          <w:marRight w:val="0"/>
          <w:marTop w:val="0"/>
          <w:marBottom w:val="0"/>
          <w:divBdr>
            <w:top w:val="none" w:sz="0" w:space="0" w:color="auto"/>
            <w:left w:val="none" w:sz="0" w:space="0" w:color="auto"/>
            <w:bottom w:val="none" w:sz="0" w:space="0" w:color="auto"/>
            <w:right w:val="none" w:sz="0" w:space="0" w:color="auto"/>
          </w:divBdr>
        </w:div>
        <w:div w:id="1821068920">
          <w:marLeft w:val="0"/>
          <w:marRight w:val="0"/>
          <w:marTop w:val="0"/>
          <w:marBottom w:val="0"/>
          <w:divBdr>
            <w:top w:val="none" w:sz="0" w:space="0" w:color="auto"/>
            <w:left w:val="none" w:sz="0" w:space="0" w:color="auto"/>
            <w:bottom w:val="none" w:sz="0" w:space="0" w:color="auto"/>
            <w:right w:val="none" w:sz="0" w:space="0" w:color="auto"/>
          </w:divBdr>
        </w:div>
        <w:div w:id="1785881476">
          <w:marLeft w:val="0"/>
          <w:marRight w:val="0"/>
          <w:marTop w:val="0"/>
          <w:marBottom w:val="0"/>
          <w:divBdr>
            <w:top w:val="none" w:sz="0" w:space="0" w:color="auto"/>
            <w:left w:val="none" w:sz="0" w:space="0" w:color="auto"/>
            <w:bottom w:val="none" w:sz="0" w:space="0" w:color="auto"/>
            <w:right w:val="none" w:sz="0" w:space="0" w:color="auto"/>
          </w:divBdr>
        </w:div>
        <w:div w:id="1922714411">
          <w:marLeft w:val="0"/>
          <w:marRight w:val="0"/>
          <w:marTop w:val="0"/>
          <w:marBottom w:val="0"/>
          <w:divBdr>
            <w:top w:val="none" w:sz="0" w:space="0" w:color="auto"/>
            <w:left w:val="none" w:sz="0" w:space="0" w:color="auto"/>
            <w:bottom w:val="none" w:sz="0" w:space="0" w:color="auto"/>
            <w:right w:val="none" w:sz="0" w:space="0" w:color="auto"/>
          </w:divBdr>
        </w:div>
        <w:div w:id="1277979907">
          <w:marLeft w:val="0"/>
          <w:marRight w:val="0"/>
          <w:marTop w:val="0"/>
          <w:marBottom w:val="0"/>
          <w:divBdr>
            <w:top w:val="none" w:sz="0" w:space="0" w:color="auto"/>
            <w:left w:val="none" w:sz="0" w:space="0" w:color="auto"/>
            <w:bottom w:val="none" w:sz="0" w:space="0" w:color="auto"/>
            <w:right w:val="none" w:sz="0" w:space="0" w:color="auto"/>
          </w:divBdr>
        </w:div>
        <w:div w:id="873352356">
          <w:marLeft w:val="0"/>
          <w:marRight w:val="0"/>
          <w:marTop w:val="0"/>
          <w:marBottom w:val="0"/>
          <w:divBdr>
            <w:top w:val="none" w:sz="0" w:space="0" w:color="auto"/>
            <w:left w:val="none" w:sz="0" w:space="0" w:color="auto"/>
            <w:bottom w:val="none" w:sz="0" w:space="0" w:color="auto"/>
            <w:right w:val="none" w:sz="0" w:space="0" w:color="auto"/>
          </w:divBdr>
        </w:div>
        <w:div w:id="1162235870">
          <w:marLeft w:val="0"/>
          <w:marRight w:val="0"/>
          <w:marTop w:val="0"/>
          <w:marBottom w:val="0"/>
          <w:divBdr>
            <w:top w:val="none" w:sz="0" w:space="0" w:color="auto"/>
            <w:left w:val="none" w:sz="0" w:space="0" w:color="auto"/>
            <w:bottom w:val="none" w:sz="0" w:space="0" w:color="auto"/>
            <w:right w:val="none" w:sz="0" w:space="0" w:color="auto"/>
          </w:divBdr>
        </w:div>
        <w:div w:id="378289531">
          <w:marLeft w:val="0"/>
          <w:marRight w:val="0"/>
          <w:marTop w:val="0"/>
          <w:marBottom w:val="0"/>
          <w:divBdr>
            <w:top w:val="none" w:sz="0" w:space="0" w:color="auto"/>
            <w:left w:val="none" w:sz="0" w:space="0" w:color="auto"/>
            <w:bottom w:val="none" w:sz="0" w:space="0" w:color="auto"/>
            <w:right w:val="none" w:sz="0" w:space="0" w:color="auto"/>
          </w:divBdr>
        </w:div>
        <w:div w:id="1019891134">
          <w:marLeft w:val="0"/>
          <w:marRight w:val="0"/>
          <w:marTop w:val="0"/>
          <w:marBottom w:val="0"/>
          <w:divBdr>
            <w:top w:val="none" w:sz="0" w:space="0" w:color="auto"/>
            <w:left w:val="none" w:sz="0" w:space="0" w:color="auto"/>
            <w:bottom w:val="none" w:sz="0" w:space="0" w:color="auto"/>
            <w:right w:val="none" w:sz="0" w:space="0" w:color="auto"/>
          </w:divBdr>
        </w:div>
        <w:div w:id="76026964">
          <w:marLeft w:val="0"/>
          <w:marRight w:val="0"/>
          <w:marTop w:val="0"/>
          <w:marBottom w:val="0"/>
          <w:divBdr>
            <w:top w:val="none" w:sz="0" w:space="0" w:color="auto"/>
            <w:left w:val="none" w:sz="0" w:space="0" w:color="auto"/>
            <w:bottom w:val="none" w:sz="0" w:space="0" w:color="auto"/>
            <w:right w:val="none" w:sz="0" w:space="0" w:color="auto"/>
          </w:divBdr>
        </w:div>
        <w:div w:id="1892421014">
          <w:marLeft w:val="0"/>
          <w:marRight w:val="0"/>
          <w:marTop w:val="0"/>
          <w:marBottom w:val="0"/>
          <w:divBdr>
            <w:top w:val="none" w:sz="0" w:space="0" w:color="auto"/>
            <w:left w:val="none" w:sz="0" w:space="0" w:color="auto"/>
            <w:bottom w:val="none" w:sz="0" w:space="0" w:color="auto"/>
            <w:right w:val="none" w:sz="0" w:space="0" w:color="auto"/>
          </w:divBdr>
        </w:div>
        <w:div w:id="1156455254">
          <w:marLeft w:val="0"/>
          <w:marRight w:val="0"/>
          <w:marTop w:val="0"/>
          <w:marBottom w:val="0"/>
          <w:divBdr>
            <w:top w:val="none" w:sz="0" w:space="0" w:color="auto"/>
            <w:left w:val="none" w:sz="0" w:space="0" w:color="auto"/>
            <w:bottom w:val="none" w:sz="0" w:space="0" w:color="auto"/>
            <w:right w:val="none" w:sz="0" w:space="0" w:color="auto"/>
          </w:divBdr>
        </w:div>
        <w:div w:id="824124617">
          <w:marLeft w:val="0"/>
          <w:marRight w:val="0"/>
          <w:marTop w:val="0"/>
          <w:marBottom w:val="0"/>
          <w:divBdr>
            <w:top w:val="none" w:sz="0" w:space="0" w:color="auto"/>
            <w:left w:val="none" w:sz="0" w:space="0" w:color="auto"/>
            <w:bottom w:val="none" w:sz="0" w:space="0" w:color="auto"/>
            <w:right w:val="none" w:sz="0" w:space="0" w:color="auto"/>
          </w:divBdr>
        </w:div>
        <w:div w:id="1107113503">
          <w:marLeft w:val="0"/>
          <w:marRight w:val="0"/>
          <w:marTop w:val="0"/>
          <w:marBottom w:val="0"/>
          <w:divBdr>
            <w:top w:val="none" w:sz="0" w:space="0" w:color="auto"/>
            <w:left w:val="none" w:sz="0" w:space="0" w:color="auto"/>
            <w:bottom w:val="none" w:sz="0" w:space="0" w:color="auto"/>
            <w:right w:val="none" w:sz="0" w:space="0" w:color="auto"/>
          </w:divBdr>
        </w:div>
        <w:div w:id="1717000597">
          <w:marLeft w:val="0"/>
          <w:marRight w:val="0"/>
          <w:marTop w:val="0"/>
          <w:marBottom w:val="0"/>
          <w:divBdr>
            <w:top w:val="none" w:sz="0" w:space="0" w:color="auto"/>
            <w:left w:val="none" w:sz="0" w:space="0" w:color="auto"/>
            <w:bottom w:val="none" w:sz="0" w:space="0" w:color="auto"/>
            <w:right w:val="none" w:sz="0" w:space="0" w:color="auto"/>
          </w:divBdr>
        </w:div>
        <w:div w:id="1588613378">
          <w:marLeft w:val="0"/>
          <w:marRight w:val="0"/>
          <w:marTop w:val="0"/>
          <w:marBottom w:val="0"/>
          <w:divBdr>
            <w:top w:val="none" w:sz="0" w:space="0" w:color="auto"/>
            <w:left w:val="none" w:sz="0" w:space="0" w:color="auto"/>
            <w:bottom w:val="none" w:sz="0" w:space="0" w:color="auto"/>
            <w:right w:val="none" w:sz="0" w:space="0" w:color="auto"/>
          </w:divBdr>
        </w:div>
        <w:div w:id="1646354351">
          <w:marLeft w:val="0"/>
          <w:marRight w:val="0"/>
          <w:marTop w:val="0"/>
          <w:marBottom w:val="0"/>
          <w:divBdr>
            <w:top w:val="none" w:sz="0" w:space="0" w:color="auto"/>
            <w:left w:val="none" w:sz="0" w:space="0" w:color="auto"/>
            <w:bottom w:val="none" w:sz="0" w:space="0" w:color="auto"/>
            <w:right w:val="none" w:sz="0" w:space="0" w:color="auto"/>
          </w:divBdr>
        </w:div>
        <w:div w:id="1381514742">
          <w:marLeft w:val="0"/>
          <w:marRight w:val="0"/>
          <w:marTop w:val="0"/>
          <w:marBottom w:val="0"/>
          <w:divBdr>
            <w:top w:val="none" w:sz="0" w:space="0" w:color="auto"/>
            <w:left w:val="none" w:sz="0" w:space="0" w:color="auto"/>
            <w:bottom w:val="none" w:sz="0" w:space="0" w:color="auto"/>
            <w:right w:val="none" w:sz="0" w:space="0" w:color="auto"/>
          </w:divBdr>
        </w:div>
        <w:div w:id="764376707">
          <w:marLeft w:val="0"/>
          <w:marRight w:val="0"/>
          <w:marTop w:val="0"/>
          <w:marBottom w:val="0"/>
          <w:divBdr>
            <w:top w:val="none" w:sz="0" w:space="0" w:color="auto"/>
            <w:left w:val="none" w:sz="0" w:space="0" w:color="auto"/>
            <w:bottom w:val="none" w:sz="0" w:space="0" w:color="auto"/>
            <w:right w:val="none" w:sz="0" w:space="0" w:color="auto"/>
          </w:divBdr>
        </w:div>
        <w:div w:id="476919740">
          <w:marLeft w:val="0"/>
          <w:marRight w:val="0"/>
          <w:marTop w:val="0"/>
          <w:marBottom w:val="0"/>
          <w:divBdr>
            <w:top w:val="none" w:sz="0" w:space="0" w:color="auto"/>
            <w:left w:val="none" w:sz="0" w:space="0" w:color="auto"/>
            <w:bottom w:val="none" w:sz="0" w:space="0" w:color="auto"/>
            <w:right w:val="none" w:sz="0" w:space="0" w:color="auto"/>
          </w:divBdr>
        </w:div>
        <w:div w:id="1186870881">
          <w:marLeft w:val="0"/>
          <w:marRight w:val="0"/>
          <w:marTop w:val="0"/>
          <w:marBottom w:val="0"/>
          <w:divBdr>
            <w:top w:val="none" w:sz="0" w:space="0" w:color="auto"/>
            <w:left w:val="none" w:sz="0" w:space="0" w:color="auto"/>
            <w:bottom w:val="none" w:sz="0" w:space="0" w:color="auto"/>
            <w:right w:val="none" w:sz="0" w:space="0" w:color="auto"/>
          </w:divBdr>
        </w:div>
        <w:div w:id="1202132167">
          <w:marLeft w:val="0"/>
          <w:marRight w:val="0"/>
          <w:marTop w:val="0"/>
          <w:marBottom w:val="0"/>
          <w:divBdr>
            <w:top w:val="none" w:sz="0" w:space="0" w:color="auto"/>
            <w:left w:val="none" w:sz="0" w:space="0" w:color="auto"/>
            <w:bottom w:val="none" w:sz="0" w:space="0" w:color="auto"/>
            <w:right w:val="none" w:sz="0" w:space="0" w:color="auto"/>
          </w:divBdr>
        </w:div>
        <w:div w:id="437876079">
          <w:marLeft w:val="0"/>
          <w:marRight w:val="0"/>
          <w:marTop w:val="0"/>
          <w:marBottom w:val="0"/>
          <w:divBdr>
            <w:top w:val="none" w:sz="0" w:space="0" w:color="auto"/>
            <w:left w:val="none" w:sz="0" w:space="0" w:color="auto"/>
            <w:bottom w:val="none" w:sz="0" w:space="0" w:color="auto"/>
            <w:right w:val="none" w:sz="0" w:space="0" w:color="auto"/>
          </w:divBdr>
        </w:div>
        <w:div w:id="1225221028">
          <w:marLeft w:val="0"/>
          <w:marRight w:val="0"/>
          <w:marTop w:val="0"/>
          <w:marBottom w:val="0"/>
          <w:divBdr>
            <w:top w:val="none" w:sz="0" w:space="0" w:color="auto"/>
            <w:left w:val="none" w:sz="0" w:space="0" w:color="auto"/>
            <w:bottom w:val="none" w:sz="0" w:space="0" w:color="auto"/>
            <w:right w:val="none" w:sz="0" w:space="0" w:color="auto"/>
          </w:divBdr>
        </w:div>
      </w:divsChild>
    </w:div>
    <w:div w:id="280110932">
      <w:marLeft w:val="0"/>
      <w:marRight w:val="0"/>
      <w:marTop w:val="0"/>
      <w:marBottom w:val="0"/>
      <w:divBdr>
        <w:top w:val="none" w:sz="0" w:space="0" w:color="auto"/>
        <w:left w:val="none" w:sz="0" w:space="0" w:color="auto"/>
        <w:bottom w:val="none" w:sz="0" w:space="0" w:color="auto"/>
        <w:right w:val="none" w:sz="0" w:space="0" w:color="auto"/>
      </w:divBdr>
    </w:div>
    <w:div w:id="283077908">
      <w:marLeft w:val="0"/>
      <w:marRight w:val="0"/>
      <w:marTop w:val="0"/>
      <w:marBottom w:val="0"/>
      <w:divBdr>
        <w:top w:val="none" w:sz="0" w:space="0" w:color="auto"/>
        <w:left w:val="none" w:sz="0" w:space="0" w:color="auto"/>
        <w:bottom w:val="none" w:sz="0" w:space="0" w:color="auto"/>
        <w:right w:val="none" w:sz="0" w:space="0" w:color="auto"/>
      </w:divBdr>
    </w:div>
    <w:div w:id="288779647">
      <w:marLeft w:val="0"/>
      <w:marRight w:val="0"/>
      <w:marTop w:val="0"/>
      <w:marBottom w:val="0"/>
      <w:divBdr>
        <w:top w:val="none" w:sz="0" w:space="0" w:color="auto"/>
        <w:left w:val="none" w:sz="0" w:space="0" w:color="auto"/>
        <w:bottom w:val="none" w:sz="0" w:space="0" w:color="auto"/>
        <w:right w:val="none" w:sz="0" w:space="0" w:color="auto"/>
      </w:divBdr>
      <w:divsChild>
        <w:div w:id="2115707930">
          <w:marLeft w:val="0"/>
          <w:marRight w:val="0"/>
          <w:marTop w:val="0"/>
          <w:marBottom w:val="0"/>
          <w:divBdr>
            <w:top w:val="none" w:sz="0" w:space="0" w:color="auto"/>
            <w:left w:val="none" w:sz="0" w:space="0" w:color="auto"/>
            <w:bottom w:val="none" w:sz="0" w:space="0" w:color="auto"/>
            <w:right w:val="none" w:sz="0" w:space="0" w:color="auto"/>
          </w:divBdr>
        </w:div>
      </w:divsChild>
    </w:div>
    <w:div w:id="304509705">
      <w:marLeft w:val="0"/>
      <w:marRight w:val="0"/>
      <w:marTop w:val="0"/>
      <w:marBottom w:val="0"/>
      <w:divBdr>
        <w:top w:val="none" w:sz="0" w:space="0" w:color="auto"/>
        <w:left w:val="none" w:sz="0" w:space="0" w:color="auto"/>
        <w:bottom w:val="none" w:sz="0" w:space="0" w:color="auto"/>
        <w:right w:val="none" w:sz="0" w:space="0" w:color="auto"/>
      </w:divBdr>
    </w:div>
    <w:div w:id="307705709">
      <w:marLeft w:val="0"/>
      <w:marRight w:val="0"/>
      <w:marTop w:val="0"/>
      <w:marBottom w:val="0"/>
      <w:divBdr>
        <w:top w:val="none" w:sz="0" w:space="0" w:color="auto"/>
        <w:left w:val="none" w:sz="0" w:space="0" w:color="auto"/>
        <w:bottom w:val="none" w:sz="0" w:space="0" w:color="auto"/>
        <w:right w:val="none" w:sz="0" w:space="0" w:color="auto"/>
      </w:divBdr>
      <w:divsChild>
        <w:div w:id="805270997">
          <w:marLeft w:val="0"/>
          <w:marRight w:val="0"/>
          <w:marTop w:val="0"/>
          <w:marBottom w:val="0"/>
          <w:divBdr>
            <w:top w:val="none" w:sz="0" w:space="0" w:color="auto"/>
            <w:left w:val="none" w:sz="0" w:space="0" w:color="auto"/>
            <w:bottom w:val="none" w:sz="0" w:space="0" w:color="auto"/>
            <w:right w:val="none" w:sz="0" w:space="0" w:color="auto"/>
          </w:divBdr>
        </w:div>
      </w:divsChild>
    </w:div>
    <w:div w:id="313795638">
      <w:marLeft w:val="0"/>
      <w:marRight w:val="0"/>
      <w:marTop w:val="0"/>
      <w:marBottom w:val="0"/>
      <w:divBdr>
        <w:top w:val="none" w:sz="0" w:space="0" w:color="auto"/>
        <w:left w:val="none" w:sz="0" w:space="0" w:color="auto"/>
        <w:bottom w:val="none" w:sz="0" w:space="0" w:color="auto"/>
        <w:right w:val="none" w:sz="0" w:space="0" w:color="auto"/>
      </w:divBdr>
    </w:div>
    <w:div w:id="317467410">
      <w:marLeft w:val="0"/>
      <w:marRight w:val="0"/>
      <w:marTop w:val="0"/>
      <w:marBottom w:val="0"/>
      <w:divBdr>
        <w:top w:val="none" w:sz="0" w:space="0" w:color="auto"/>
        <w:left w:val="none" w:sz="0" w:space="0" w:color="auto"/>
        <w:bottom w:val="none" w:sz="0" w:space="0" w:color="auto"/>
        <w:right w:val="none" w:sz="0" w:space="0" w:color="auto"/>
      </w:divBdr>
    </w:div>
    <w:div w:id="322204603">
      <w:marLeft w:val="0"/>
      <w:marRight w:val="0"/>
      <w:marTop w:val="0"/>
      <w:marBottom w:val="0"/>
      <w:divBdr>
        <w:top w:val="none" w:sz="0" w:space="0" w:color="auto"/>
        <w:left w:val="none" w:sz="0" w:space="0" w:color="auto"/>
        <w:bottom w:val="none" w:sz="0" w:space="0" w:color="auto"/>
        <w:right w:val="none" w:sz="0" w:space="0" w:color="auto"/>
      </w:divBdr>
    </w:div>
    <w:div w:id="325716979">
      <w:marLeft w:val="0"/>
      <w:marRight w:val="0"/>
      <w:marTop w:val="0"/>
      <w:marBottom w:val="0"/>
      <w:divBdr>
        <w:top w:val="none" w:sz="0" w:space="0" w:color="auto"/>
        <w:left w:val="none" w:sz="0" w:space="0" w:color="auto"/>
        <w:bottom w:val="none" w:sz="0" w:space="0" w:color="auto"/>
        <w:right w:val="none" w:sz="0" w:space="0" w:color="auto"/>
      </w:divBdr>
      <w:divsChild>
        <w:div w:id="373846044">
          <w:marLeft w:val="0"/>
          <w:marRight w:val="0"/>
          <w:marTop w:val="0"/>
          <w:marBottom w:val="0"/>
          <w:divBdr>
            <w:top w:val="none" w:sz="0" w:space="0" w:color="auto"/>
            <w:left w:val="none" w:sz="0" w:space="0" w:color="auto"/>
            <w:bottom w:val="none" w:sz="0" w:space="0" w:color="auto"/>
            <w:right w:val="none" w:sz="0" w:space="0" w:color="auto"/>
          </w:divBdr>
        </w:div>
      </w:divsChild>
    </w:div>
    <w:div w:id="329598804">
      <w:marLeft w:val="0"/>
      <w:marRight w:val="0"/>
      <w:marTop w:val="0"/>
      <w:marBottom w:val="0"/>
      <w:divBdr>
        <w:top w:val="none" w:sz="0" w:space="0" w:color="auto"/>
        <w:left w:val="none" w:sz="0" w:space="0" w:color="auto"/>
        <w:bottom w:val="none" w:sz="0" w:space="0" w:color="auto"/>
        <w:right w:val="none" w:sz="0" w:space="0" w:color="auto"/>
      </w:divBdr>
    </w:div>
    <w:div w:id="335573688">
      <w:marLeft w:val="0"/>
      <w:marRight w:val="0"/>
      <w:marTop w:val="0"/>
      <w:marBottom w:val="0"/>
      <w:divBdr>
        <w:top w:val="none" w:sz="0" w:space="0" w:color="auto"/>
        <w:left w:val="none" w:sz="0" w:space="0" w:color="auto"/>
        <w:bottom w:val="none" w:sz="0" w:space="0" w:color="auto"/>
        <w:right w:val="none" w:sz="0" w:space="0" w:color="auto"/>
      </w:divBdr>
    </w:div>
    <w:div w:id="339085351">
      <w:marLeft w:val="0"/>
      <w:marRight w:val="0"/>
      <w:marTop w:val="0"/>
      <w:marBottom w:val="0"/>
      <w:divBdr>
        <w:top w:val="none" w:sz="0" w:space="0" w:color="auto"/>
        <w:left w:val="none" w:sz="0" w:space="0" w:color="auto"/>
        <w:bottom w:val="none" w:sz="0" w:space="0" w:color="auto"/>
        <w:right w:val="none" w:sz="0" w:space="0" w:color="auto"/>
      </w:divBdr>
    </w:div>
    <w:div w:id="344094674">
      <w:marLeft w:val="0"/>
      <w:marRight w:val="0"/>
      <w:marTop w:val="0"/>
      <w:marBottom w:val="0"/>
      <w:divBdr>
        <w:top w:val="none" w:sz="0" w:space="0" w:color="auto"/>
        <w:left w:val="none" w:sz="0" w:space="0" w:color="auto"/>
        <w:bottom w:val="none" w:sz="0" w:space="0" w:color="auto"/>
        <w:right w:val="none" w:sz="0" w:space="0" w:color="auto"/>
      </w:divBdr>
    </w:div>
    <w:div w:id="348331702">
      <w:marLeft w:val="0"/>
      <w:marRight w:val="0"/>
      <w:marTop w:val="0"/>
      <w:marBottom w:val="0"/>
      <w:divBdr>
        <w:top w:val="none" w:sz="0" w:space="0" w:color="auto"/>
        <w:left w:val="none" w:sz="0" w:space="0" w:color="auto"/>
        <w:bottom w:val="none" w:sz="0" w:space="0" w:color="auto"/>
        <w:right w:val="none" w:sz="0" w:space="0" w:color="auto"/>
      </w:divBdr>
    </w:div>
    <w:div w:id="348798950">
      <w:marLeft w:val="0"/>
      <w:marRight w:val="0"/>
      <w:marTop w:val="0"/>
      <w:marBottom w:val="120"/>
      <w:divBdr>
        <w:top w:val="none" w:sz="0" w:space="0" w:color="auto"/>
        <w:left w:val="none" w:sz="0" w:space="0" w:color="auto"/>
        <w:bottom w:val="none" w:sz="0" w:space="0" w:color="auto"/>
        <w:right w:val="none" w:sz="0" w:space="0" w:color="auto"/>
      </w:divBdr>
    </w:div>
    <w:div w:id="352265002">
      <w:marLeft w:val="0"/>
      <w:marRight w:val="0"/>
      <w:marTop w:val="0"/>
      <w:marBottom w:val="120"/>
      <w:divBdr>
        <w:top w:val="none" w:sz="0" w:space="0" w:color="auto"/>
        <w:left w:val="none" w:sz="0" w:space="0" w:color="auto"/>
        <w:bottom w:val="none" w:sz="0" w:space="0" w:color="auto"/>
        <w:right w:val="none" w:sz="0" w:space="0" w:color="auto"/>
      </w:divBdr>
    </w:div>
    <w:div w:id="352607574">
      <w:marLeft w:val="0"/>
      <w:marRight w:val="0"/>
      <w:marTop w:val="0"/>
      <w:marBottom w:val="0"/>
      <w:divBdr>
        <w:top w:val="none" w:sz="0" w:space="0" w:color="auto"/>
        <w:left w:val="none" w:sz="0" w:space="0" w:color="auto"/>
        <w:bottom w:val="none" w:sz="0" w:space="0" w:color="auto"/>
        <w:right w:val="none" w:sz="0" w:space="0" w:color="auto"/>
      </w:divBdr>
    </w:div>
    <w:div w:id="358556772">
      <w:marLeft w:val="0"/>
      <w:marRight w:val="0"/>
      <w:marTop w:val="0"/>
      <w:marBottom w:val="0"/>
      <w:divBdr>
        <w:top w:val="none" w:sz="0" w:space="0" w:color="auto"/>
        <w:left w:val="none" w:sz="0" w:space="0" w:color="auto"/>
        <w:bottom w:val="none" w:sz="0" w:space="0" w:color="auto"/>
        <w:right w:val="none" w:sz="0" w:space="0" w:color="auto"/>
      </w:divBdr>
    </w:div>
    <w:div w:id="364140746">
      <w:marLeft w:val="0"/>
      <w:marRight w:val="0"/>
      <w:marTop w:val="0"/>
      <w:marBottom w:val="0"/>
      <w:divBdr>
        <w:top w:val="none" w:sz="0" w:space="0" w:color="auto"/>
        <w:left w:val="none" w:sz="0" w:space="0" w:color="auto"/>
        <w:bottom w:val="none" w:sz="0" w:space="0" w:color="auto"/>
        <w:right w:val="none" w:sz="0" w:space="0" w:color="auto"/>
      </w:divBdr>
      <w:divsChild>
        <w:div w:id="1853569505">
          <w:marLeft w:val="0"/>
          <w:marRight w:val="0"/>
          <w:marTop w:val="0"/>
          <w:marBottom w:val="0"/>
          <w:divBdr>
            <w:top w:val="none" w:sz="0" w:space="0" w:color="auto"/>
            <w:left w:val="none" w:sz="0" w:space="0" w:color="auto"/>
            <w:bottom w:val="none" w:sz="0" w:space="0" w:color="auto"/>
            <w:right w:val="none" w:sz="0" w:space="0" w:color="auto"/>
          </w:divBdr>
        </w:div>
      </w:divsChild>
    </w:div>
    <w:div w:id="364329851">
      <w:marLeft w:val="0"/>
      <w:marRight w:val="0"/>
      <w:marTop w:val="0"/>
      <w:marBottom w:val="0"/>
      <w:divBdr>
        <w:top w:val="none" w:sz="0" w:space="0" w:color="auto"/>
        <w:left w:val="none" w:sz="0" w:space="0" w:color="auto"/>
        <w:bottom w:val="none" w:sz="0" w:space="0" w:color="auto"/>
        <w:right w:val="none" w:sz="0" w:space="0" w:color="auto"/>
      </w:divBdr>
    </w:div>
    <w:div w:id="378286825">
      <w:marLeft w:val="0"/>
      <w:marRight w:val="0"/>
      <w:marTop w:val="0"/>
      <w:marBottom w:val="0"/>
      <w:divBdr>
        <w:top w:val="none" w:sz="0" w:space="0" w:color="auto"/>
        <w:left w:val="none" w:sz="0" w:space="0" w:color="auto"/>
        <w:bottom w:val="none" w:sz="0" w:space="0" w:color="auto"/>
        <w:right w:val="none" w:sz="0" w:space="0" w:color="auto"/>
      </w:divBdr>
      <w:divsChild>
        <w:div w:id="1347564121">
          <w:marLeft w:val="0"/>
          <w:marRight w:val="0"/>
          <w:marTop w:val="0"/>
          <w:marBottom w:val="0"/>
          <w:divBdr>
            <w:top w:val="none" w:sz="0" w:space="0" w:color="auto"/>
            <w:left w:val="none" w:sz="0" w:space="0" w:color="auto"/>
            <w:bottom w:val="none" w:sz="0" w:space="0" w:color="auto"/>
            <w:right w:val="none" w:sz="0" w:space="0" w:color="auto"/>
          </w:divBdr>
        </w:div>
      </w:divsChild>
    </w:div>
    <w:div w:id="382952572">
      <w:marLeft w:val="0"/>
      <w:marRight w:val="0"/>
      <w:marTop w:val="0"/>
      <w:marBottom w:val="0"/>
      <w:divBdr>
        <w:top w:val="none" w:sz="0" w:space="0" w:color="auto"/>
        <w:left w:val="none" w:sz="0" w:space="0" w:color="auto"/>
        <w:bottom w:val="none" w:sz="0" w:space="0" w:color="auto"/>
        <w:right w:val="none" w:sz="0" w:space="0" w:color="auto"/>
      </w:divBdr>
    </w:div>
    <w:div w:id="384373682">
      <w:marLeft w:val="0"/>
      <w:marRight w:val="0"/>
      <w:marTop w:val="0"/>
      <w:marBottom w:val="0"/>
      <w:divBdr>
        <w:top w:val="none" w:sz="0" w:space="0" w:color="auto"/>
        <w:left w:val="none" w:sz="0" w:space="0" w:color="auto"/>
        <w:bottom w:val="none" w:sz="0" w:space="0" w:color="auto"/>
        <w:right w:val="none" w:sz="0" w:space="0" w:color="auto"/>
      </w:divBdr>
    </w:div>
    <w:div w:id="387188488">
      <w:marLeft w:val="0"/>
      <w:marRight w:val="0"/>
      <w:marTop w:val="0"/>
      <w:marBottom w:val="0"/>
      <w:divBdr>
        <w:top w:val="none" w:sz="0" w:space="0" w:color="auto"/>
        <w:left w:val="none" w:sz="0" w:space="0" w:color="auto"/>
        <w:bottom w:val="none" w:sz="0" w:space="0" w:color="auto"/>
        <w:right w:val="none" w:sz="0" w:space="0" w:color="auto"/>
      </w:divBdr>
    </w:div>
    <w:div w:id="388454821">
      <w:marLeft w:val="0"/>
      <w:marRight w:val="0"/>
      <w:marTop w:val="0"/>
      <w:marBottom w:val="0"/>
      <w:divBdr>
        <w:top w:val="none" w:sz="0" w:space="0" w:color="auto"/>
        <w:left w:val="none" w:sz="0" w:space="0" w:color="auto"/>
        <w:bottom w:val="none" w:sz="0" w:space="0" w:color="auto"/>
        <w:right w:val="none" w:sz="0" w:space="0" w:color="auto"/>
      </w:divBdr>
    </w:div>
    <w:div w:id="388922530">
      <w:marLeft w:val="0"/>
      <w:marRight w:val="0"/>
      <w:marTop w:val="0"/>
      <w:marBottom w:val="0"/>
      <w:divBdr>
        <w:top w:val="none" w:sz="0" w:space="0" w:color="auto"/>
        <w:left w:val="none" w:sz="0" w:space="0" w:color="auto"/>
        <w:bottom w:val="none" w:sz="0" w:space="0" w:color="auto"/>
        <w:right w:val="none" w:sz="0" w:space="0" w:color="auto"/>
      </w:divBdr>
    </w:div>
    <w:div w:id="391780363">
      <w:marLeft w:val="0"/>
      <w:marRight w:val="0"/>
      <w:marTop w:val="0"/>
      <w:marBottom w:val="0"/>
      <w:divBdr>
        <w:top w:val="none" w:sz="0" w:space="0" w:color="auto"/>
        <w:left w:val="none" w:sz="0" w:space="0" w:color="auto"/>
        <w:bottom w:val="none" w:sz="0" w:space="0" w:color="auto"/>
        <w:right w:val="none" w:sz="0" w:space="0" w:color="auto"/>
      </w:divBdr>
    </w:div>
    <w:div w:id="405498727">
      <w:marLeft w:val="0"/>
      <w:marRight w:val="0"/>
      <w:marTop w:val="0"/>
      <w:marBottom w:val="120"/>
      <w:divBdr>
        <w:top w:val="none" w:sz="0" w:space="0" w:color="auto"/>
        <w:left w:val="none" w:sz="0" w:space="0" w:color="auto"/>
        <w:bottom w:val="none" w:sz="0" w:space="0" w:color="auto"/>
        <w:right w:val="none" w:sz="0" w:space="0" w:color="auto"/>
      </w:divBdr>
    </w:div>
    <w:div w:id="405885405">
      <w:marLeft w:val="0"/>
      <w:marRight w:val="0"/>
      <w:marTop w:val="0"/>
      <w:marBottom w:val="120"/>
      <w:divBdr>
        <w:top w:val="none" w:sz="0" w:space="0" w:color="auto"/>
        <w:left w:val="none" w:sz="0" w:space="0" w:color="auto"/>
        <w:bottom w:val="none" w:sz="0" w:space="0" w:color="auto"/>
        <w:right w:val="none" w:sz="0" w:space="0" w:color="auto"/>
      </w:divBdr>
    </w:div>
    <w:div w:id="406927596">
      <w:marLeft w:val="0"/>
      <w:marRight w:val="0"/>
      <w:marTop w:val="0"/>
      <w:marBottom w:val="0"/>
      <w:divBdr>
        <w:top w:val="none" w:sz="0" w:space="0" w:color="auto"/>
        <w:left w:val="none" w:sz="0" w:space="0" w:color="auto"/>
        <w:bottom w:val="none" w:sz="0" w:space="0" w:color="auto"/>
        <w:right w:val="none" w:sz="0" w:space="0" w:color="auto"/>
      </w:divBdr>
      <w:divsChild>
        <w:div w:id="11075751">
          <w:marLeft w:val="0"/>
          <w:marRight w:val="0"/>
          <w:marTop w:val="0"/>
          <w:marBottom w:val="0"/>
          <w:divBdr>
            <w:top w:val="none" w:sz="0" w:space="0" w:color="auto"/>
            <w:left w:val="none" w:sz="0" w:space="0" w:color="auto"/>
            <w:bottom w:val="none" w:sz="0" w:space="0" w:color="auto"/>
            <w:right w:val="none" w:sz="0" w:space="0" w:color="auto"/>
          </w:divBdr>
        </w:div>
      </w:divsChild>
    </w:div>
    <w:div w:id="408505319">
      <w:marLeft w:val="0"/>
      <w:marRight w:val="0"/>
      <w:marTop w:val="0"/>
      <w:marBottom w:val="0"/>
      <w:divBdr>
        <w:top w:val="none" w:sz="0" w:space="0" w:color="auto"/>
        <w:left w:val="none" w:sz="0" w:space="0" w:color="auto"/>
        <w:bottom w:val="none" w:sz="0" w:space="0" w:color="auto"/>
        <w:right w:val="none" w:sz="0" w:space="0" w:color="auto"/>
      </w:divBdr>
    </w:div>
    <w:div w:id="413624062">
      <w:marLeft w:val="0"/>
      <w:marRight w:val="0"/>
      <w:marTop w:val="0"/>
      <w:marBottom w:val="0"/>
      <w:divBdr>
        <w:top w:val="none" w:sz="0" w:space="0" w:color="auto"/>
        <w:left w:val="none" w:sz="0" w:space="0" w:color="auto"/>
        <w:bottom w:val="none" w:sz="0" w:space="0" w:color="auto"/>
        <w:right w:val="none" w:sz="0" w:space="0" w:color="auto"/>
      </w:divBdr>
    </w:div>
    <w:div w:id="415786279">
      <w:marLeft w:val="0"/>
      <w:marRight w:val="0"/>
      <w:marTop w:val="0"/>
      <w:marBottom w:val="0"/>
      <w:divBdr>
        <w:top w:val="none" w:sz="0" w:space="0" w:color="auto"/>
        <w:left w:val="none" w:sz="0" w:space="0" w:color="auto"/>
        <w:bottom w:val="none" w:sz="0" w:space="0" w:color="auto"/>
        <w:right w:val="none" w:sz="0" w:space="0" w:color="auto"/>
      </w:divBdr>
    </w:div>
    <w:div w:id="417288134">
      <w:marLeft w:val="0"/>
      <w:marRight w:val="0"/>
      <w:marTop w:val="0"/>
      <w:marBottom w:val="0"/>
      <w:divBdr>
        <w:top w:val="none" w:sz="0" w:space="0" w:color="auto"/>
        <w:left w:val="none" w:sz="0" w:space="0" w:color="auto"/>
        <w:bottom w:val="none" w:sz="0" w:space="0" w:color="auto"/>
        <w:right w:val="none" w:sz="0" w:space="0" w:color="auto"/>
      </w:divBdr>
      <w:divsChild>
        <w:div w:id="1960452102">
          <w:marLeft w:val="0"/>
          <w:marRight w:val="0"/>
          <w:marTop w:val="0"/>
          <w:marBottom w:val="0"/>
          <w:divBdr>
            <w:top w:val="none" w:sz="0" w:space="0" w:color="auto"/>
            <w:left w:val="none" w:sz="0" w:space="0" w:color="auto"/>
            <w:bottom w:val="none" w:sz="0" w:space="0" w:color="auto"/>
            <w:right w:val="none" w:sz="0" w:space="0" w:color="auto"/>
          </w:divBdr>
        </w:div>
      </w:divsChild>
    </w:div>
    <w:div w:id="422066190">
      <w:marLeft w:val="0"/>
      <w:marRight w:val="0"/>
      <w:marTop w:val="0"/>
      <w:marBottom w:val="0"/>
      <w:divBdr>
        <w:top w:val="none" w:sz="0" w:space="0" w:color="auto"/>
        <w:left w:val="none" w:sz="0" w:space="0" w:color="auto"/>
        <w:bottom w:val="none" w:sz="0" w:space="0" w:color="auto"/>
        <w:right w:val="none" w:sz="0" w:space="0" w:color="auto"/>
      </w:divBdr>
    </w:div>
    <w:div w:id="430322674">
      <w:marLeft w:val="0"/>
      <w:marRight w:val="0"/>
      <w:marTop w:val="0"/>
      <w:marBottom w:val="0"/>
      <w:divBdr>
        <w:top w:val="none" w:sz="0" w:space="0" w:color="auto"/>
        <w:left w:val="none" w:sz="0" w:space="0" w:color="auto"/>
        <w:bottom w:val="none" w:sz="0" w:space="0" w:color="auto"/>
        <w:right w:val="none" w:sz="0" w:space="0" w:color="auto"/>
      </w:divBdr>
      <w:divsChild>
        <w:div w:id="1229996461">
          <w:marLeft w:val="0"/>
          <w:marRight w:val="0"/>
          <w:marTop w:val="0"/>
          <w:marBottom w:val="0"/>
          <w:divBdr>
            <w:top w:val="none" w:sz="0" w:space="0" w:color="auto"/>
            <w:left w:val="none" w:sz="0" w:space="0" w:color="auto"/>
            <w:bottom w:val="none" w:sz="0" w:space="0" w:color="auto"/>
            <w:right w:val="none" w:sz="0" w:space="0" w:color="auto"/>
          </w:divBdr>
        </w:div>
      </w:divsChild>
    </w:div>
    <w:div w:id="434641094">
      <w:marLeft w:val="0"/>
      <w:marRight w:val="0"/>
      <w:marTop w:val="0"/>
      <w:marBottom w:val="0"/>
      <w:divBdr>
        <w:top w:val="none" w:sz="0" w:space="0" w:color="auto"/>
        <w:left w:val="none" w:sz="0" w:space="0" w:color="auto"/>
        <w:bottom w:val="none" w:sz="0" w:space="0" w:color="auto"/>
        <w:right w:val="none" w:sz="0" w:space="0" w:color="auto"/>
      </w:divBdr>
      <w:divsChild>
        <w:div w:id="1369992387">
          <w:marLeft w:val="0"/>
          <w:marRight w:val="0"/>
          <w:marTop w:val="0"/>
          <w:marBottom w:val="0"/>
          <w:divBdr>
            <w:top w:val="none" w:sz="0" w:space="0" w:color="auto"/>
            <w:left w:val="none" w:sz="0" w:space="0" w:color="auto"/>
            <w:bottom w:val="none" w:sz="0" w:space="0" w:color="auto"/>
            <w:right w:val="none" w:sz="0" w:space="0" w:color="auto"/>
          </w:divBdr>
        </w:div>
      </w:divsChild>
    </w:div>
    <w:div w:id="436676676">
      <w:marLeft w:val="0"/>
      <w:marRight w:val="0"/>
      <w:marTop w:val="0"/>
      <w:marBottom w:val="0"/>
      <w:divBdr>
        <w:top w:val="none" w:sz="0" w:space="0" w:color="auto"/>
        <w:left w:val="none" w:sz="0" w:space="0" w:color="auto"/>
        <w:bottom w:val="none" w:sz="0" w:space="0" w:color="auto"/>
        <w:right w:val="none" w:sz="0" w:space="0" w:color="auto"/>
      </w:divBdr>
      <w:divsChild>
        <w:div w:id="219950788">
          <w:marLeft w:val="0"/>
          <w:marRight w:val="0"/>
          <w:marTop w:val="0"/>
          <w:marBottom w:val="0"/>
          <w:divBdr>
            <w:top w:val="none" w:sz="0" w:space="0" w:color="auto"/>
            <w:left w:val="none" w:sz="0" w:space="0" w:color="auto"/>
            <w:bottom w:val="none" w:sz="0" w:space="0" w:color="auto"/>
            <w:right w:val="none" w:sz="0" w:space="0" w:color="auto"/>
          </w:divBdr>
        </w:div>
      </w:divsChild>
    </w:div>
    <w:div w:id="441342569">
      <w:marLeft w:val="0"/>
      <w:marRight w:val="0"/>
      <w:marTop w:val="0"/>
      <w:marBottom w:val="0"/>
      <w:divBdr>
        <w:top w:val="none" w:sz="0" w:space="0" w:color="auto"/>
        <w:left w:val="none" w:sz="0" w:space="0" w:color="auto"/>
        <w:bottom w:val="none" w:sz="0" w:space="0" w:color="auto"/>
        <w:right w:val="none" w:sz="0" w:space="0" w:color="auto"/>
      </w:divBdr>
    </w:div>
    <w:div w:id="447242917">
      <w:marLeft w:val="0"/>
      <w:marRight w:val="0"/>
      <w:marTop w:val="0"/>
      <w:marBottom w:val="0"/>
      <w:divBdr>
        <w:top w:val="none" w:sz="0" w:space="0" w:color="auto"/>
        <w:left w:val="none" w:sz="0" w:space="0" w:color="auto"/>
        <w:bottom w:val="none" w:sz="0" w:space="0" w:color="auto"/>
        <w:right w:val="none" w:sz="0" w:space="0" w:color="auto"/>
      </w:divBdr>
    </w:div>
    <w:div w:id="453715425">
      <w:marLeft w:val="0"/>
      <w:marRight w:val="0"/>
      <w:marTop w:val="0"/>
      <w:marBottom w:val="0"/>
      <w:divBdr>
        <w:top w:val="none" w:sz="0" w:space="0" w:color="auto"/>
        <w:left w:val="none" w:sz="0" w:space="0" w:color="auto"/>
        <w:bottom w:val="none" w:sz="0" w:space="0" w:color="auto"/>
        <w:right w:val="none" w:sz="0" w:space="0" w:color="auto"/>
      </w:divBdr>
    </w:div>
    <w:div w:id="454642025">
      <w:marLeft w:val="0"/>
      <w:marRight w:val="0"/>
      <w:marTop w:val="0"/>
      <w:marBottom w:val="0"/>
      <w:divBdr>
        <w:top w:val="none" w:sz="0" w:space="0" w:color="auto"/>
        <w:left w:val="none" w:sz="0" w:space="0" w:color="auto"/>
        <w:bottom w:val="none" w:sz="0" w:space="0" w:color="auto"/>
        <w:right w:val="none" w:sz="0" w:space="0" w:color="auto"/>
      </w:divBdr>
    </w:div>
    <w:div w:id="465468829">
      <w:marLeft w:val="0"/>
      <w:marRight w:val="0"/>
      <w:marTop w:val="0"/>
      <w:marBottom w:val="0"/>
      <w:divBdr>
        <w:top w:val="none" w:sz="0" w:space="0" w:color="auto"/>
        <w:left w:val="none" w:sz="0" w:space="0" w:color="auto"/>
        <w:bottom w:val="none" w:sz="0" w:space="0" w:color="auto"/>
        <w:right w:val="none" w:sz="0" w:space="0" w:color="auto"/>
      </w:divBdr>
    </w:div>
    <w:div w:id="472261665">
      <w:marLeft w:val="0"/>
      <w:marRight w:val="0"/>
      <w:marTop w:val="0"/>
      <w:marBottom w:val="0"/>
      <w:divBdr>
        <w:top w:val="none" w:sz="0" w:space="0" w:color="auto"/>
        <w:left w:val="none" w:sz="0" w:space="0" w:color="auto"/>
        <w:bottom w:val="none" w:sz="0" w:space="0" w:color="auto"/>
        <w:right w:val="none" w:sz="0" w:space="0" w:color="auto"/>
      </w:divBdr>
    </w:div>
    <w:div w:id="475495431">
      <w:marLeft w:val="0"/>
      <w:marRight w:val="0"/>
      <w:marTop w:val="0"/>
      <w:marBottom w:val="120"/>
      <w:divBdr>
        <w:top w:val="none" w:sz="0" w:space="0" w:color="auto"/>
        <w:left w:val="none" w:sz="0" w:space="0" w:color="auto"/>
        <w:bottom w:val="none" w:sz="0" w:space="0" w:color="auto"/>
        <w:right w:val="none" w:sz="0" w:space="0" w:color="auto"/>
      </w:divBdr>
    </w:div>
    <w:div w:id="475807544">
      <w:marLeft w:val="0"/>
      <w:marRight w:val="0"/>
      <w:marTop w:val="0"/>
      <w:marBottom w:val="0"/>
      <w:divBdr>
        <w:top w:val="none" w:sz="0" w:space="0" w:color="auto"/>
        <w:left w:val="none" w:sz="0" w:space="0" w:color="auto"/>
        <w:bottom w:val="none" w:sz="0" w:space="0" w:color="auto"/>
        <w:right w:val="none" w:sz="0" w:space="0" w:color="auto"/>
      </w:divBdr>
    </w:div>
    <w:div w:id="479079721">
      <w:marLeft w:val="0"/>
      <w:marRight w:val="0"/>
      <w:marTop w:val="0"/>
      <w:marBottom w:val="0"/>
      <w:divBdr>
        <w:top w:val="none" w:sz="0" w:space="0" w:color="auto"/>
        <w:left w:val="none" w:sz="0" w:space="0" w:color="auto"/>
        <w:bottom w:val="none" w:sz="0" w:space="0" w:color="auto"/>
        <w:right w:val="none" w:sz="0" w:space="0" w:color="auto"/>
      </w:divBdr>
      <w:divsChild>
        <w:div w:id="1021709347">
          <w:marLeft w:val="0"/>
          <w:marRight w:val="0"/>
          <w:marTop w:val="0"/>
          <w:marBottom w:val="0"/>
          <w:divBdr>
            <w:top w:val="none" w:sz="0" w:space="0" w:color="auto"/>
            <w:left w:val="none" w:sz="0" w:space="0" w:color="auto"/>
            <w:bottom w:val="none" w:sz="0" w:space="0" w:color="auto"/>
            <w:right w:val="none" w:sz="0" w:space="0" w:color="auto"/>
          </w:divBdr>
        </w:div>
      </w:divsChild>
    </w:div>
    <w:div w:id="488593270">
      <w:marLeft w:val="0"/>
      <w:marRight w:val="0"/>
      <w:marTop w:val="0"/>
      <w:marBottom w:val="120"/>
      <w:divBdr>
        <w:top w:val="none" w:sz="0" w:space="0" w:color="auto"/>
        <w:left w:val="none" w:sz="0" w:space="0" w:color="auto"/>
        <w:bottom w:val="none" w:sz="0" w:space="0" w:color="auto"/>
        <w:right w:val="none" w:sz="0" w:space="0" w:color="auto"/>
      </w:divBdr>
    </w:div>
    <w:div w:id="492330926">
      <w:marLeft w:val="0"/>
      <w:marRight w:val="0"/>
      <w:marTop w:val="0"/>
      <w:marBottom w:val="0"/>
      <w:divBdr>
        <w:top w:val="none" w:sz="0" w:space="0" w:color="auto"/>
        <w:left w:val="none" w:sz="0" w:space="0" w:color="auto"/>
        <w:bottom w:val="none" w:sz="0" w:space="0" w:color="auto"/>
        <w:right w:val="none" w:sz="0" w:space="0" w:color="auto"/>
      </w:divBdr>
    </w:div>
    <w:div w:id="492457154">
      <w:marLeft w:val="0"/>
      <w:marRight w:val="0"/>
      <w:marTop w:val="0"/>
      <w:marBottom w:val="0"/>
      <w:divBdr>
        <w:top w:val="none" w:sz="0" w:space="0" w:color="auto"/>
        <w:left w:val="none" w:sz="0" w:space="0" w:color="auto"/>
        <w:bottom w:val="none" w:sz="0" w:space="0" w:color="auto"/>
        <w:right w:val="none" w:sz="0" w:space="0" w:color="auto"/>
      </w:divBdr>
    </w:div>
    <w:div w:id="499658878">
      <w:marLeft w:val="0"/>
      <w:marRight w:val="0"/>
      <w:marTop w:val="0"/>
      <w:marBottom w:val="120"/>
      <w:divBdr>
        <w:top w:val="none" w:sz="0" w:space="0" w:color="auto"/>
        <w:left w:val="none" w:sz="0" w:space="0" w:color="auto"/>
        <w:bottom w:val="none" w:sz="0" w:space="0" w:color="auto"/>
        <w:right w:val="none" w:sz="0" w:space="0" w:color="auto"/>
      </w:divBdr>
    </w:div>
    <w:div w:id="504635036">
      <w:marLeft w:val="0"/>
      <w:marRight w:val="0"/>
      <w:marTop w:val="0"/>
      <w:marBottom w:val="0"/>
      <w:divBdr>
        <w:top w:val="none" w:sz="0" w:space="0" w:color="auto"/>
        <w:left w:val="none" w:sz="0" w:space="0" w:color="auto"/>
        <w:bottom w:val="none" w:sz="0" w:space="0" w:color="auto"/>
        <w:right w:val="none" w:sz="0" w:space="0" w:color="auto"/>
      </w:divBdr>
      <w:divsChild>
        <w:div w:id="1107852681">
          <w:marLeft w:val="0"/>
          <w:marRight w:val="0"/>
          <w:marTop w:val="0"/>
          <w:marBottom w:val="0"/>
          <w:divBdr>
            <w:top w:val="none" w:sz="0" w:space="0" w:color="auto"/>
            <w:left w:val="none" w:sz="0" w:space="0" w:color="auto"/>
            <w:bottom w:val="none" w:sz="0" w:space="0" w:color="auto"/>
            <w:right w:val="none" w:sz="0" w:space="0" w:color="auto"/>
          </w:divBdr>
        </w:div>
      </w:divsChild>
    </w:div>
    <w:div w:id="512571271">
      <w:marLeft w:val="0"/>
      <w:marRight w:val="0"/>
      <w:marTop w:val="0"/>
      <w:marBottom w:val="0"/>
      <w:divBdr>
        <w:top w:val="none" w:sz="0" w:space="0" w:color="auto"/>
        <w:left w:val="none" w:sz="0" w:space="0" w:color="auto"/>
        <w:bottom w:val="none" w:sz="0" w:space="0" w:color="auto"/>
        <w:right w:val="none" w:sz="0" w:space="0" w:color="auto"/>
      </w:divBdr>
    </w:div>
    <w:div w:id="512838625">
      <w:marLeft w:val="0"/>
      <w:marRight w:val="0"/>
      <w:marTop w:val="0"/>
      <w:marBottom w:val="200"/>
      <w:divBdr>
        <w:top w:val="none" w:sz="0" w:space="0" w:color="auto"/>
        <w:left w:val="none" w:sz="0" w:space="0" w:color="auto"/>
        <w:bottom w:val="none" w:sz="0" w:space="0" w:color="auto"/>
        <w:right w:val="none" w:sz="0" w:space="0" w:color="auto"/>
      </w:divBdr>
    </w:div>
    <w:div w:id="516620584">
      <w:marLeft w:val="0"/>
      <w:marRight w:val="0"/>
      <w:marTop w:val="0"/>
      <w:marBottom w:val="120"/>
      <w:divBdr>
        <w:top w:val="none" w:sz="0" w:space="0" w:color="auto"/>
        <w:left w:val="none" w:sz="0" w:space="0" w:color="auto"/>
        <w:bottom w:val="none" w:sz="0" w:space="0" w:color="auto"/>
        <w:right w:val="none" w:sz="0" w:space="0" w:color="auto"/>
      </w:divBdr>
    </w:div>
    <w:div w:id="519851751">
      <w:marLeft w:val="0"/>
      <w:marRight w:val="0"/>
      <w:marTop w:val="0"/>
      <w:marBottom w:val="0"/>
      <w:divBdr>
        <w:top w:val="none" w:sz="0" w:space="0" w:color="auto"/>
        <w:left w:val="none" w:sz="0" w:space="0" w:color="auto"/>
        <w:bottom w:val="none" w:sz="0" w:space="0" w:color="auto"/>
        <w:right w:val="none" w:sz="0" w:space="0" w:color="auto"/>
      </w:divBdr>
    </w:div>
    <w:div w:id="525749493">
      <w:marLeft w:val="0"/>
      <w:marRight w:val="0"/>
      <w:marTop w:val="0"/>
      <w:marBottom w:val="120"/>
      <w:divBdr>
        <w:top w:val="none" w:sz="0" w:space="0" w:color="auto"/>
        <w:left w:val="none" w:sz="0" w:space="0" w:color="auto"/>
        <w:bottom w:val="none" w:sz="0" w:space="0" w:color="auto"/>
        <w:right w:val="none" w:sz="0" w:space="0" w:color="auto"/>
      </w:divBdr>
    </w:div>
    <w:div w:id="528908192">
      <w:marLeft w:val="0"/>
      <w:marRight w:val="0"/>
      <w:marTop w:val="0"/>
      <w:marBottom w:val="0"/>
      <w:divBdr>
        <w:top w:val="none" w:sz="0" w:space="0" w:color="auto"/>
        <w:left w:val="none" w:sz="0" w:space="0" w:color="auto"/>
        <w:bottom w:val="none" w:sz="0" w:space="0" w:color="auto"/>
        <w:right w:val="none" w:sz="0" w:space="0" w:color="auto"/>
      </w:divBdr>
      <w:divsChild>
        <w:div w:id="257837245">
          <w:marLeft w:val="0"/>
          <w:marRight w:val="0"/>
          <w:marTop w:val="0"/>
          <w:marBottom w:val="0"/>
          <w:divBdr>
            <w:top w:val="none" w:sz="0" w:space="0" w:color="auto"/>
            <w:left w:val="none" w:sz="0" w:space="0" w:color="auto"/>
            <w:bottom w:val="none" w:sz="0" w:space="0" w:color="auto"/>
            <w:right w:val="none" w:sz="0" w:space="0" w:color="auto"/>
          </w:divBdr>
        </w:div>
      </w:divsChild>
    </w:div>
    <w:div w:id="530454286">
      <w:marLeft w:val="0"/>
      <w:marRight w:val="0"/>
      <w:marTop w:val="0"/>
      <w:marBottom w:val="0"/>
      <w:divBdr>
        <w:top w:val="none" w:sz="0" w:space="0" w:color="auto"/>
        <w:left w:val="none" w:sz="0" w:space="0" w:color="auto"/>
        <w:bottom w:val="none" w:sz="0" w:space="0" w:color="auto"/>
        <w:right w:val="none" w:sz="0" w:space="0" w:color="auto"/>
      </w:divBdr>
    </w:div>
    <w:div w:id="530797922">
      <w:marLeft w:val="0"/>
      <w:marRight w:val="0"/>
      <w:marTop w:val="0"/>
      <w:marBottom w:val="0"/>
      <w:divBdr>
        <w:top w:val="none" w:sz="0" w:space="0" w:color="auto"/>
        <w:left w:val="none" w:sz="0" w:space="0" w:color="auto"/>
        <w:bottom w:val="none" w:sz="0" w:space="0" w:color="auto"/>
        <w:right w:val="none" w:sz="0" w:space="0" w:color="auto"/>
      </w:divBdr>
    </w:div>
    <w:div w:id="532379382">
      <w:marLeft w:val="0"/>
      <w:marRight w:val="0"/>
      <w:marTop w:val="0"/>
      <w:marBottom w:val="0"/>
      <w:divBdr>
        <w:top w:val="none" w:sz="0" w:space="0" w:color="auto"/>
        <w:left w:val="none" w:sz="0" w:space="0" w:color="auto"/>
        <w:bottom w:val="none" w:sz="0" w:space="0" w:color="auto"/>
        <w:right w:val="none" w:sz="0" w:space="0" w:color="auto"/>
      </w:divBdr>
    </w:div>
    <w:div w:id="534851089">
      <w:marLeft w:val="0"/>
      <w:marRight w:val="0"/>
      <w:marTop w:val="0"/>
      <w:marBottom w:val="0"/>
      <w:divBdr>
        <w:top w:val="none" w:sz="0" w:space="0" w:color="auto"/>
        <w:left w:val="none" w:sz="0" w:space="0" w:color="auto"/>
        <w:bottom w:val="none" w:sz="0" w:space="0" w:color="auto"/>
        <w:right w:val="none" w:sz="0" w:space="0" w:color="auto"/>
      </w:divBdr>
      <w:divsChild>
        <w:div w:id="210043798">
          <w:marLeft w:val="0"/>
          <w:marRight w:val="0"/>
          <w:marTop w:val="0"/>
          <w:marBottom w:val="0"/>
          <w:divBdr>
            <w:top w:val="none" w:sz="0" w:space="0" w:color="auto"/>
            <w:left w:val="none" w:sz="0" w:space="0" w:color="auto"/>
            <w:bottom w:val="none" w:sz="0" w:space="0" w:color="auto"/>
            <w:right w:val="none" w:sz="0" w:space="0" w:color="auto"/>
          </w:divBdr>
        </w:div>
      </w:divsChild>
    </w:div>
    <w:div w:id="540627486">
      <w:marLeft w:val="0"/>
      <w:marRight w:val="0"/>
      <w:marTop w:val="0"/>
      <w:marBottom w:val="0"/>
      <w:divBdr>
        <w:top w:val="none" w:sz="0" w:space="0" w:color="auto"/>
        <w:left w:val="none" w:sz="0" w:space="0" w:color="auto"/>
        <w:bottom w:val="none" w:sz="0" w:space="0" w:color="auto"/>
        <w:right w:val="none" w:sz="0" w:space="0" w:color="auto"/>
      </w:divBdr>
    </w:div>
    <w:div w:id="546379631">
      <w:marLeft w:val="0"/>
      <w:marRight w:val="0"/>
      <w:marTop w:val="0"/>
      <w:marBottom w:val="0"/>
      <w:divBdr>
        <w:top w:val="none" w:sz="0" w:space="0" w:color="auto"/>
        <w:left w:val="none" w:sz="0" w:space="0" w:color="auto"/>
        <w:bottom w:val="none" w:sz="0" w:space="0" w:color="auto"/>
        <w:right w:val="none" w:sz="0" w:space="0" w:color="auto"/>
      </w:divBdr>
    </w:div>
    <w:div w:id="547953858">
      <w:marLeft w:val="0"/>
      <w:marRight w:val="0"/>
      <w:marTop w:val="0"/>
      <w:marBottom w:val="0"/>
      <w:divBdr>
        <w:top w:val="none" w:sz="0" w:space="0" w:color="auto"/>
        <w:left w:val="none" w:sz="0" w:space="0" w:color="auto"/>
        <w:bottom w:val="none" w:sz="0" w:space="0" w:color="auto"/>
        <w:right w:val="none" w:sz="0" w:space="0" w:color="auto"/>
      </w:divBdr>
      <w:divsChild>
        <w:div w:id="544294020">
          <w:marLeft w:val="0"/>
          <w:marRight w:val="0"/>
          <w:marTop w:val="0"/>
          <w:marBottom w:val="0"/>
          <w:divBdr>
            <w:top w:val="none" w:sz="0" w:space="0" w:color="auto"/>
            <w:left w:val="none" w:sz="0" w:space="0" w:color="auto"/>
            <w:bottom w:val="none" w:sz="0" w:space="0" w:color="auto"/>
            <w:right w:val="none" w:sz="0" w:space="0" w:color="auto"/>
          </w:divBdr>
        </w:div>
      </w:divsChild>
    </w:div>
    <w:div w:id="548340535">
      <w:marLeft w:val="0"/>
      <w:marRight w:val="0"/>
      <w:marTop w:val="0"/>
      <w:marBottom w:val="0"/>
      <w:divBdr>
        <w:top w:val="none" w:sz="0" w:space="0" w:color="auto"/>
        <w:left w:val="none" w:sz="0" w:space="0" w:color="auto"/>
        <w:bottom w:val="none" w:sz="0" w:space="0" w:color="auto"/>
        <w:right w:val="none" w:sz="0" w:space="0" w:color="auto"/>
      </w:divBdr>
    </w:div>
    <w:div w:id="552541649">
      <w:marLeft w:val="0"/>
      <w:marRight w:val="0"/>
      <w:marTop w:val="0"/>
      <w:marBottom w:val="0"/>
      <w:divBdr>
        <w:top w:val="none" w:sz="0" w:space="0" w:color="auto"/>
        <w:left w:val="none" w:sz="0" w:space="0" w:color="auto"/>
        <w:bottom w:val="none" w:sz="0" w:space="0" w:color="auto"/>
        <w:right w:val="none" w:sz="0" w:space="0" w:color="auto"/>
      </w:divBdr>
    </w:div>
    <w:div w:id="552927861">
      <w:marLeft w:val="0"/>
      <w:marRight w:val="0"/>
      <w:marTop w:val="0"/>
      <w:marBottom w:val="0"/>
      <w:divBdr>
        <w:top w:val="none" w:sz="0" w:space="0" w:color="auto"/>
        <w:left w:val="none" w:sz="0" w:space="0" w:color="auto"/>
        <w:bottom w:val="none" w:sz="0" w:space="0" w:color="auto"/>
        <w:right w:val="none" w:sz="0" w:space="0" w:color="auto"/>
      </w:divBdr>
    </w:div>
    <w:div w:id="559437106">
      <w:marLeft w:val="0"/>
      <w:marRight w:val="0"/>
      <w:marTop w:val="0"/>
      <w:marBottom w:val="0"/>
      <w:divBdr>
        <w:top w:val="none" w:sz="0" w:space="0" w:color="auto"/>
        <w:left w:val="none" w:sz="0" w:space="0" w:color="auto"/>
        <w:bottom w:val="none" w:sz="0" w:space="0" w:color="auto"/>
        <w:right w:val="none" w:sz="0" w:space="0" w:color="auto"/>
      </w:divBdr>
      <w:divsChild>
        <w:div w:id="1144814274">
          <w:marLeft w:val="0"/>
          <w:marRight w:val="0"/>
          <w:marTop w:val="0"/>
          <w:marBottom w:val="0"/>
          <w:divBdr>
            <w:top w:val="none" w:sz="0" w:space="0" w:color="auto"/>
            <w:left w:val="none" w:sz="0" w:space="0" w:color="auto"/>
            <w:bottom w:val="none" w:sz="0" w:space="0" w:color="auto"/>
            <w:right w:val="none" w:sz="0" w:space="0" w:color="auto"/>
          </w:divBdr>
        </w:div>
      </w:divsChild>
    </w:div>
    <w:div w:id="560212338">
      <w:marLeft w:val="0"/>
      <w:marRight w:val="0"/>
      <w:marTop w:val="0"/>
      <w:marBottom w:val="0"/>
      <w:divBdr>
        <w:top w:val="none" w:sz="0" w:space="0" w:color="auto"/>
        <w:left w:val="none" w:sz="0" w:space="0" w:color="auto"/>
        <w:bottom w:val="none" w:sz="0" w:space="0" w:color="auto"/>
        <w:right w:val="none" w:sz="0" w:space="0" w:color="auto"/>
      </w:divBdr>
    </w:div>
    <w:div w:id="560484161">
      <w:marLeft w:val="0"/>
      <w:marRight w:val="0"/>
      <w:marTop w:val="0"/>
      <w:marBottom w:val="0"/>
      <w:divBdr>
        <w:top w:val="none" w:sz="0" w:space="0" w:color="auto"/>
        <w:left w:val="none" w:sz="0" w:space="0" w:color="auto"/>
        <w:bottom w:val="none" w:sz="0" w:space="0" w:color="auto"/>
        <w:right w:val="none" w:sz="0" w:space="0" w:color="auto"/>
      </w:divBdr>
      <w:divsChild>
        <w:div w:id="1907184179">
          <w:marLeft w:val="0"/>
          <w:marRight w:val="0"/>
          <w:marTop w:val="0"/>
          <w:marBottom w:val="0"/>
          <w:divBdr>
            <w:top w:val="none" w:sz="0" w:space="0" w:color="auto"/>
            <w:left w:val="none" w:sz="0" w:space="0" w:color="auto"/>
            <w:bottom w:val="none" w:sz="0" w:space="0" w:color="auto"/>
            <w:right w:val="none" w:sz="0" w:space="0" w:color="auto"/>
          </w:divBdr>
        </w:div>
      </w:divsChild>
    </w:div>
    <w:div w:id="566233890">
      <w:marLeft w:val="0"/>
      <w:marRight w:val="0"/>
      <w:marTop w:val="0"/>
      <w:marBottom w:val="0"/>
      <w:divBdr>
        <w:top w:val="none" w:sz="0" w:space="0" w:color="auto"/>
        <w:left w:val="none" w:sz="0" w:space="0" w:color="auto"/>
        <w:bottom w:val="none" w:sz="0" w:space="0" w:color="auto"/>
        <w:right w:val="none" w:sz="0" w:space="0" w:color="auto"/>
      </w:divBdr>
    </w:div>
    <w:div w:id="566955793">
      <w:marLeft w:val="0"/>
      <w:marRight w:val="0"/>
      <w:marTop w:val="0"/>
      <w:marBottom w:val="0"/>
      <w:divBdr>
        <w:top w:val="none" w:sz="0" w:space="0" w:color="auto"/>
        <w:left w:val="none" w:sz="0" w:space="0" w:color="auto"/>
        <w:bottom w:val="none" w:sz="0" w:space="0" w:color="auto"/>
        <w:right w:val="none" w:sz="0" w:space="0" w:color="auto"/>
      </w:divBdr>
      <w:divsChild>
        <w:div w:id="217976804">
          <w:marLeft w:val="0"/>
          <w:marRight w:val="0"/>
          <w:marTop w:val="0"/>
          <w:marBottom w:val="0"/>
          <w:divBdr>
            <w:top w:val="none" w:sz="0" w:space="0" w:color="auto"/>
            <w:left w:val="none" w:sz="0" w:space="0" w:color="auto"/>
            <w:bottom w:val="none" w:sz="0" w:space="0" w:color="auto"/>
            <w:right w:val="none" w:sz="0" w:space="0" w:color="auto"/>
          </w:divBdr>
        </w:div>
      </w:divsChild>
    </w:div>
    <w:div w:id="575093700">
      <w:marLeft w:val="0"/>
      <w:marRight w:val="0"/>
      <w:marTop w:val="0"/>
      <w:marBottom w:val="0"/>
      <w:divBdr>
        <w:top w:val="none" w:sz="0" w:space="0" w:color="auto"/>
        <w:left w:val="none" w:sz="0" w:space="0" w:color="auto"/>
        <w:bottom w:val="none" w:sz="0" w:space="0" w:color="auto"/>
        <w:right w:val="none" w:sz="0" w:space="0" w:color="auto"/>
      </w:divBdr>
    </w:div>
    <w:div w:id="575364513">
      <w:marLeft w:val="0"/>
      <w:marRight w:val="0"/>
      <w:marTop w:val="0"/>
      <w:marBottom w:val="0"/>
      <w:divBdr>
        <w:top w:val="none" w:sz="0" w:space="0" w:color="auto"/>
        <w:left w:val="none" w:sz="0" w:space="0" w:color="auto"/>
        <w:bottom w:val="none" w:sz="0" w:space="0" w:color="auto"/>
        <w:right w:val="none" w:sz="0" w:space="0" w:color="auto"/>
      </w:divBdr>
    </w:div>
    <w:div w:id="585917054">
      <w:marLeft w:val="0"/>
      <w:marRight w:val="0"/>
      <w:marTop w:val="0"/>
      <w:marBottom w:val="0"/>
      <w:divBdr>
        <w:top w:val="none" w:sz="0" w:space="0" w:color="auto"/>
        <w:left w:val="none" w:sz="0" w:space="0" w:color="auto"/>
        <w:bottom w:val="none" w:sz="0" w:space="0" w:color="auto"/>
        <w:right w:val="none" w:sz="0" w:space="0" w:color="auto"/>
      </w:divBdr>
    </w:div>
    <w:div w:id="588848471">
      <w:marLeft w:val="0"/>
      <w:marRight w:val="0"/>
      <w:marTop w:val="0"/>
      <w:marBottom w:val="0"/>
      <w:divBdr>
        <w:top w:val="none" w:sz="0" w:space="0" w:color="auto"/>
        <w:left w:val="none" w:sz="0" w:space="0" w:color="auto"/>
        <w:bottom w:val="none" w:sz="0" w:space="0" w:color="auto"/>
        <w:right w:val="none" w:sz="0" w:space="0" w:color="auto"/>
      </w:divBdr>
    </w:div>
    <w:div w:id="589388467">
      <w:marLeft w:val="0"/>
      <w:marRight w:val="0"/>
      <w:marTop w:val="0"/>
      <w:marBottom w:val="0"/>
      <w:divBdr>
        <w:top w:val="none" w:sz="0" w:space="0" w:color="auto"/>
        <w:left w:val="none" w:sz="0" w:space="0" w:color="auto"/>
        <w:bottom w:val="none" w:sz="0" w:space="0" w:color="auto"/>
        <w:right w:val="none" w:sz="0" w:space="0" w:color="auto"/>
      </w:divBdr>
    </w:div>
    <w:div w:id="591400063">
      <w:marLeft w:val="0"/>
      <w:marRight w:val="0"/>
      <w:marTop w:val="0"/>
      <w:marBottom w:val="0"/>
      <w:divBdr>
        <w:top w:val="none" w:sz="0" w:space="0" w:color="auto"/>
        <w:left w:val="none" w:sz="0" w:space="0" w:color="auto"/>
        <w:bottom w:val="none" w:sz="0" w:space="0" w:color="auto"/>
        <w:right w:val="none" w:sz="0" w:space="0" w:color="auto"/>
      </w:divBdr>
      <w:divsChild>
        <w:div w:id="731074773">
          <w:marLeft w:val="0"/>
          <w:marRight w:val="0"/>
          <w:marTop w:val="0"/>
          <w:marBottom w:val="0"/>
          <w:divBdr>
            <w:top w:val="none" w:sz="0" w:space="0" w:color="auto"/>
            <w:left w:val="none" w:sz="0" w:space="0" w:color="auto"/>
            <w:bottom w:val="none" w:sz="0" w:space="0" w:color="auto"/>
            <w:right w:val="none" w:sz="0" w:space="0" w:color="auto"/>
          </w:divBdr>
        </w:div>
      </w:divsChild>
    </w:div>
    <w:div w:id="596913036">
      <w:marLeft w:val="0"/>
      <w:marRight w:val="0"/>
      <w:marTop w:val="0"/>
      <w:marBottom w:val="0"/>
      <w:divBdr>
        <w:top w:val="none" w:sz="0" w:space="0" w:color="auto"/>
        <w:left w:val="none" w:sz="0" w:space="0" w:color="auto"/>
        <w:bottom w:val="none" w:sz="0" w:space="0" w:color="auto"/>
        <w:right w:val="none" w:sz="0" w:space="0" w:color="auto"/>
      </w:divBdr>
      <w:divsChild>
        <w:div w:id="1312296375">
          <w:marLeft w:val="0"/>
          <w:marRight w:val="0"/>
          <w:marTop w:val="0"/>
          <w:marBottom w:val="0"/>
          <w:divBdr>
            <w:top w:val="none" w:sz="0" w:space="0" w:color="auto"/>
            <w:left w:val="none" w:sz="0" w:space="0" w:color="auto"/>
            <w:bottom w:val="none" w:sz="0" w:space="0" w:color="auto"/>
            <w:right w:val="none" w:sz="0" w:space="0" w:color="auto"/>
          </w:divBdr>
        </w:div>
      </w:divsChild>
    </w:div>
    <w:div w:id="604921872">
      <w:marLeft w:val="0"/>
      <w:marRight w:val="0"/>
      <w:marTop w:val="0"/>
      <w:marBottom w:val="0"/>
      <w:divBdr>
        <w:top w:val="none" w:sz="0" w:space="0" w:color="auto"/>
        <w:left w:val="none" w:sz="0" w:space="0" w:color="auto"/>
        <w:bottom w:val="none" w:sz="0" w:space="0" w:color="auto"/>
        <w:right w:val="none" w:sz="0" w:space="0" w:color="auto"/>
      </w:divBdr>
    </w:div>
    <w:div w:id="609892982">
      <w:marLeft w:val="0"/>
      <w:marRight w:val="0"/>
      <w:marTop w:val="0"/>
      <w:marBottom w:val="0"/>
      <w:divBdr>
        <w:top w:val="none" w:sz="0" w:space="0" w:color="auto"/>
        <w:left w:val="none" w:sz="0" w:space="0" w:color="auto"/>
        <w:bottom w:val="none" w:sz="0" w:space="0" w:color="auto"/>
        <w:right w:val="none" w:sz="0" w:space="0" w:color="auto"/>
      </w:divBdr>
    </w:div>
    <w:div w:id="610362831">
      <w:marLeft w:val="0"/>
      <w:marRight w:val="0"/>
      <w:marTop w:val="0"/>
      <w:marBottom w:val="0"/>
      <w:divBdr>
        <w:top w:val="none" w:sz="0" w:space="0" w:color="auto"/>
        <w:left w:val="none" w:sz="0" w:space="0" w:color="auto"/>
        <w:bottom w:val="none" w:sz="0" w:space="0" w:color="auto"/>
        <w:right w:val="none" w:sz="0" w:space="0" w:color="auto"/>
      </w:divBdr>
      <w:divsChild>
        <w:div w:id="1532037618">
          <w:marLeft w:val="0"/>
          <w:marRight w:val="0"/>
          <w:marTop w:val="0"/>
          <w:marBottom w:val="0"/>
          <w:divBdr>
            <w:top w:val="none" w:sz="0" w:space="0" w:color="auto"/>
            <w:left w:val="none" w:sz="0" w:space="0" w:color="auto"/>
            <w:bottom w:val="none" w:sz="0" w:space="0" w:color="auto"/>
            <w:right w:val="none" w:sz="0" w:space="0" w:color="auto"/>
          </w:divBdr>
        </w:div>
      </w:divsChild>
    </w:div>
    <w:div w:id="610863297">
      <w:marLeft w:val="0"/>
      <w:marRight w:val="0"/>
      <w:marTop w:val="0"/>
      <w:marBottom w:val="0"/>
      <w:divBdr>
        <w:top w:val="none" w:sz="0" w:space="0" w:color="auto"/>
        <w:left w:val="none" w:sz="0" w:space="0" w:color="auto"/>
        <w:bottom w:val="none" w:sz="0" w:space="0" w:color="auto"/>
        <w:right w:val="none" w:sz="0" w:space="0" w:color="auto"/>
      </w:divBdr>
    </w:div>
    <w:div w:id="622467729">
      <w:marLeft w:val="0"/>
      <w:marRight w:val="0"/>
      <w:marTop w:val="0"/>
      <w:marBottom w:val="0"/>
      <w:divBdr>
        <w:top w:val="none" w:sz="0" w:space="0" w:color="auto"/>
        <w:left w:val="none" w:sz="0" w:space="0" w:color="auto"/>
        <w:bottom w:val="none" w:sz="0" w:space="0" w:color="auto"/>
        <w:right w:val="none" w:sz="0" w:space="0" w:color="auto"/>
      </w:divBdr>
    </w:div>
    <w:div w:id="624435603">
      <w:marLeft w:val="0"/>
      <w:marRight w:val="0"/>
      <w:marTop w:val="0"/>
      <w:marBottom w:val="0"/>
      <w:divBdr>
        <w:top w:val="none" w:sz="0" w:space="0" w:color="auto"/>
        <w:left w:val="none" w:sz="0" w:space="0" w:color="auto"/>
        <w:bottom w:val="none" w:sz="0" w:space="0" w:color="auto"/>
        <w:right w:val="none" w:sz="0" w:space="0" w:color="auto"/>
      </w:divBdr>
    </w:div>
    <w:div w:id="627930055">
      <w:marLeft w:val="0"/>
      <w:marRight w:val="0"/>
      <w:marTop w:val="120"/>
      <w:marBottom w:val="0"/>
      <w:divBdr>
        <w:top w:val="none" w:sz="0" w:space="0" w:color="auto"/>
        <w:left w:val="none" w:sz="0" w:space="0" w:color="auto"/>
        <w:bottom w:val="none" w:sz="0" w:space="0" w:color="auto"/>
        <w:right w:val="none" w:sz="0" w:space="0" w:color="auto"/>
      </w:divBdr>
    </w:div>
    <w:div w:id="628391917">
      <w:marLeft w:val="0"/>
      <w:marRight w:val="0"/>
      <w:marTop w:val="0"/>
      <w:marBottom w:val="120"/>
      <w:divBdr>
        <w:top w:val="none" w:sz="0" w:space="0" w:color="auto"/>
        <w:left w:val="none" w:sz="0" w:space="0" w:color="auto"/>
        <w:bottom w:val="none" w:sz="0" w:space="0" w:color="auto"/>
        <w:right w:val="none" w:sz="0" w:space="0" w:color="auto"/>
      </w:divBdr>
    </w:div>
    <w:div w:id="628710576">
      <w:marLeft w:val="0"/>
      <w:marRight w:val="0"/>
      <w:marTop w:val="0"/>
      <w:marBottom w:val="0"/>
      <w:divBdr>
        <w:top w:val="none" w:sz="0" w:space="0" w:color="auto"/>
        <w:left w:val="none" w:sz="0" w:space="0" w:color="auto"/>
        <w:bottom w:val="none" w:sz="0" w:space="0" w:color="auto"/>
        <w:right w:val="none" w:sz="0" w:space="0" w:color="auto"/>
      </w:divBdr>
      <w:divsChild>
        <w:div w:id="1456678612">
          <w:marLeft w:val="0"/>
          <w:marRight w:val="0"/>
          <w:marTop w:val="0"/>
          <w:marBottom w:val="0"/>
          <w:divBdr>
            <w:top w:val="none" w:sz="0" w:space="0" w:color="auto"/>
            <w:left w:val="none" w:sz="0" w:space="0" w:color="auto"/>
            <w:bottom w:val="none" w:sz="0" w:space="0" w:color="auto"/>
            <w:right w:val="none" w:sz="0" w:space="0" w:color="auto"/>
          </w:divBdr>
        </w:div>
      </w:divsChild>
    </w:div>
    <w:div w:id="635111286">
      <w:marLeft w:val="0"/>
      <w:marRight w:val="0"/>
      <w:marTop w:val="0"/>
      <w:marBottom w:val="0"/>
      <w:divBdr>
        <w:top w:val="none" w:sz="0" w:space="0" w:color="auto"/>
        <w:left w:val="none" w:sz="0" w:space="0" w:color="auto"/>
        <w:bottom w:val="none" w:sz="0" w:space="0" w:color="auto"/>
        <w:right w:val="none" w:sz="0" w:space="0" w:color="auto"/>
      </w:divBdr>
      <w:divsChild>
        <w:div w:id="25110028">
          <w:marLeft w:val="0"/>
          <w:marRight w:val="0"/>
          <w:marTop w:val="0"/>
          <w:marBottom w:val="0"/>
          <w:divBdr>
            <w:top w:val="none" w:sz="0" w:space="0" w:color="auto"/>
            <w:left w:val="none" w:sz="0" w:space="0" w:color="auto"/>
            <w:bottom w:val="none" w:sz="0" w:space="0" w:color="auto"/>
            <w:right w:val="none" w:sz="0" w:space="0" w:color="auto"/>
          </w:divBdr>
        </w:div>
      </w:divsChild>
    </w:div>
    <w:div w:id="638654045">
      <w:marLeft w:val="0"/>
      <w:marRight w:val="0"/>
      <w:marTop w:val="0"/>
      <w:marBottom w:val="0"/>
      <w:divBdr>
        <w:top w:val="none" w:sz="0" w:space="0" w:color="auto"/>
        <w:left w:val="none" w:sz="0" w:space="0" w:color="auto"/>
        <w:bottom w:val="none" w:sz="0" w:space="0" w:color="auto"/>
        <w:right w:val="none" w:sz="0" w:space="0" w:color="auto"/>
      </w:divBdr>
      <w:divsChild>
        <w:div w:id="835455581">
          <w:marLeft w:val="0"/>
          <w:marRight w:val="0"/>
          <w:marTop w:val="0"/>
          <w:marBottom w:val="0"/>
          <w:divBdr>
            <w:top w:val="none" w:sz="0" w:space="0" w:color="auto"/>
            <w:left w:val="none" w:sz="0" w:space="0" w:color="auto"/>
            <w:bottom w:val="none" w:sz="0" w:space="0" w:color="auto"/>
            <w:right w:val="none" w:sz="0" w:space="0" w:color="auto"/>
          </w:divBdr>
        </w:div>
      </w:divsChild>
    </w:div>
    <w:div w:id="640578395">
      <w:marLeft w:val="0"/>
      <w:marRight w:val="0"/>
      <w:marTop w:val="0"/>
      <w:marBottom w:val="0"/>
      <w:divBdr>
        <w:top w:val="none" w:sz="0" w:space="0" w:color="auto"/>
        <w:left w:val="none" w:sz="0" w:space="0" w:color="auto"/>
        <w:bottom w:val="none" w:sz="0" w:space="0" w:color="auto"/>
        <w:right w:val="none" w:sz="0" w:space="0" w:color="auto"/>
      </w:divBdr>
      <w:divsChild>
        <w:div w:id="634485399">
          <w:marLeft w:val="0"/>
          <w:marRight w:val="0"/>
          <w:marTop w:val="0"/>
          <w:marBottom w:val="0"/>
          <w:divBdr>
            <w:top w:val="none" w:sz="0" w:space="0" w:color="auto"/>
            <w:left w:val="none" w:sz="0" w:space="0" w:color="auto"/>
            <w:bottom w:val="none" w:sz="0" w:space="0" w:color="auto"/>
            <w:right w:val="none" w:sz="0" w:space="0" w:color="auto"/>
          </w:divBdr>
        </w:div>
      </w:divsChild>
    </w:div>
    <w:div w:id="644621657">
      <w:marLeft w:val="0"/>
      <w:marRight w:val="0"/>
      <w:marTop w:val="0"/>
      <w:marBottom w:val="0"/>
      <w:divBdr>
        <w:top w:val="none" w:sz="0" w:space="0" w:color="auto"/>
        <w:left w:val="none" w:sz="0" w:space="0" w:color="auto"/>
        <w:bottom w:val="none" w:sz="0" w:space="0" w:color="auto"/>
        <w:right w:val="none" w:sz="0" w:space="0" w:color="auto"/>
      </w:divBdr>
    </w:div>
    <w:div w:id="651132282">
      <w:marLeft w:val="0"/>
      <w:marRight w:val="0"/>
      <w:marTop w:val="0"/>
      <w:marBottom w:val="0"/>
      <w:divBdr>
        <w:top w:val="none" w:sz="0" w:space="0" w:color="auto"/>
        <w:left w:val="none" w:sz="0" w:space="0" w:color="auto"/>
        <w:bottom w:val="none" w:sz="0" w:space="0" w:color="auto"/>
        <w:right w:val="none" w:sz="0" w:space="0" w:color="auto"/>
      </w:divBdr>
    </w:div>
    <w:div w:id="651983264">
      <w:marLeft w:val="0"/>
      <w:marRight w:val="0"/>
      <w:marTop w:val="0"/>
      <w:marBottom w:val="120"/>
      <w:divBdr>
        <w:top w:val="none" w:sz="0" w:space="0" w:color="auto"/>
        <w:left w:val="none" w:sz="0" w:space="0" w:color="auto"/>
        <w:bottom w:val="none" w:sz="0" w:space="0" w:color="auto"/>
        <w:right w:val="none" w:sz="0" w:space="0" w:color="auto"/>
      </w:divBdr>
    </w:div>
    <w:div w:id="656109977">
      <w:marLeft w:val="0"/>
      <w:marRight w:val="0"/>
      <w:marTop w:val="0"/>
      <w:marBottom w:val="0"/>
      <w:divBdr>
        <w:top w:val="none" w:sz="0" w:space="0" w:color="auto"/>
        <w:left w:val="none" w:sz="0" w:space="0" w:color="auto"/>
        <w:bottom w:val="none" w:sz="0" w:space="0" w:color="auto"/>
        <w:right w:val="none" w:sz="0" w:space="0" w:color="auto"/>
      </w:divBdr>
    </w:div>
    <w:div w:id="657155565">
      <w:marLeft w:val="0"/>
      <w:marRight w:val="0"/>
      <w:marTop w:val="0"/>
      <w:marBottom w:val="0"/>
      <w:divBdr>
        <w:top w:val="none" w:sz="0" w:space="0" w:color="auto"/>
        <w:left w:val="none" w:sz="0" w:space="0" w:color="auto"/>
        <w:bottom w:val="none" w:sz="0" w:space="0" w:color="auto"/>
        <w:right w:val="none" w:sz="0" w:space="0" w:color="auto"/>
      </w:divBdr>
      <w:divsChild>
        <w:div w:id="754934311">
          <w:marLeft w:val="0"/>
          <w:marRight w:val="0"/>
          <w:marTop w:val="0"/>
          <w:marBottom w:val="0"/>
          <w:divBdr>
            <w:top w:val="none" w:sz="0" w:space="0" w:color="auto"/>
            <w:left w:val="none" w:sz="0" w:space="0" w:color="auto"/>
            <w:bottom w:val="none" w:sz="0" w:space="0" w:color="auto"/>
            <w:right w:val="none" w:sz="0" w:space="0" w:color="auto"/>
          </w:divBdr>
        </w:div>
      </w:divsChild>
    </w:div>
    <w:div w:id="657660751">
      <w:marLeft w:val="0"/>
      <w:marRight w:val="0"/>
      <w:marTop w:val="0"/>
      <w:marBottom w:val="0"/>
      <w:divBdr>
        <w:top w:val="none" w:sz="0" w:space="0" w:color="auto"/>
        <w:left w:val="none" w:sz="0" w:space="0" w:color="auto"/>
        <w:bottom w:val="none" w:sz="0" w:space="0" w:color="auto"/>
        <w:right w:val="none" w:sz="0" w:space="0" w:color="auto"/>
      </w:divBdr>
    </w:div>
    <w:div w:id="661471484">
      <w:marLeft w:val="0"/>
      <w:marRight w:val="0"/>
      <w:marTop w:val="0"/>
      <w:marBottom w:val="0"/>
      <w:divBdr>
        <w:top w:val="none" w:sz="0" w:space="0" w:color="auto"/>
        <w:left w:val="none" w:sz="0" w:space="0" w:color="auto"/>
        <w:bottom w:val="none" w:sz="0" w:space="0" w:color="auto"/>
        <w:right w:val="none" w:sz="0" w:space="0" w:color="auto"/>
      </w:divBdr>
    </w:div>
    <w:div w:id="663363643">
      <w:marLeft w:val="0"/>
      <w:marRight w:val="0"/>
      <w:marTop w:val="0"/>
      <w:marBottom w:val="0"/>
      <w:divBdr>
        <w:top w:val="none" w:sz="0" w:space="0" w:color="auto"/>
        <w:left w:val="none" w:sz="0" w:space="0" w:color="auto"/>
        <w:bottom w:val="none" w:sz="0" w:space="0" w:color="auto"/>
        <w:right w:val="none" w:sz="0" w:space="0" w:color="auto"/>
      </w:divBdr>
    </w:div>
    <w:div w:id="664553793">
      <w:marLeft w:val="0"/>
      <w:marRight w:val="0"/>
      <w:marTop w:val="0"/>
      <w:marBottom w:val="0"/>
      <w:divBdr>
        <w:top w:val="none" w:sz="0" w:space="0" w:color="auto"/>
        <w:left w:val="none" w:sz="0" w:space="0" w:color="auto"/>
        <w:bottom w:val="none" w:sz="0" w:space="0" w:color="auto"/>
        <w:right w:val="none" w:sz="0" w:space="0" w:color="auto"/>
      </w:divBdr>
    </w:div>
    <w:div w:id="664867162">
      <w:marLeft w:val="0"/>
      <w:marRight w:val="0"/>
      <w:marTop w:val="0"/>
      <w:marBottom w:val="120"/>
      <w:divBdr>
        <w:top w:val="none" w:sz="0" w:space="0" w:color="auto"/>
        <w:left w:val="none" w:sz="0" w:space="0" w:color="auto"/>
        <w:bottom w:val="none" w:sz="0" w:space="0" w:color="auto"/>
        <w:right w:val="none" w:sz="0" w:space="0" w:color="auto"/>
      </w:divBdr>
    </w:div>
    <w:div w:id="670715104">
      <w:marLeft w:val="0"/>
      <w:marRight w:val="0"/>
      <w:marTop w:val="0"/>
      <w:marBottom w:val="0"/>
      <w:divBdr>
        <w:top w:val="none" w:sz="0" w:space="0" w:color="auto"/>
        <w:left w:val="none" w:sz="0" w:space="0" w:color="auto"/>
        <w:bottom w:val="none" w:sz="0" w:space="0" w:color="auto"/>
        <w:right w:val="none" w:sz="0" w:space="0" w:color="auto"/>
      </w:divBdr>
    </w:div>
    <w:div w:id="674068683">
      <w:marLeft w:val="0"/>
      <w:marRight w:val="0"/>
      <w:marTop w:val="0"/>
      <w:marBottom w:val="0"/>
      <w:divBdr>
        <w:top w:val="none" w:sz="0" w:space="0" w:color="auto"/>
        <w:left w:val="none" w:sz="0" w:space="0" w:color="auto"/>
        <w:bottom w:val="none" w:sz="0" w:space="0" w:color="auto"/>
        <w:right w:val="none" w:sz="0" w:space="0" w:color="auto"/>
      </w:divBdr>
      <w:divsChild>
        <w:div w:id="2087146186">
          <w:marLeft w:val="0"/>
          <w:marRight w:val="0"/>
          <w:marTop w:val="0"/>
          <w:marBottom w:val="0"/>
          <w:divBdr>
            <w:top w:val="none" w:sz="0" w:space="0" w:color="auto"/>
            <w:left w:val="none" w:sz="0" w:space="0" w:color="auto"/>
            <w:bottom w:val="none" w:sz="0" w:space="0" w:color="auto"/>
            <w:right w:val="none" w:sz="0" w:space="0" w:color="auto"/>
          </w:divBdr>
        </w:div>
      </w:divsChild>
    </w:div>
    <w:div w:id="681397445">
      <w:marLeft w:val="0"/>
      <w:marRight w:val="0"/>
      <w:marTop w:val="0"/>
      <w:marBottom w:val="120"/>
      <w:divBdr>
        <w:top w:val="none" w:sz="0" w:space="0" w:color="auto"/>
        <w:left w:val="none" w:sz="0" w:space="0" w:color="auto"/>
        <w:bottom w:val="none" w:sz="0" w:space="0" w:color="auto"/>
        <w:right w:val="none" w:sz="0" w:space="0" w:color="auto"/>
      </w:divBdr>
    </w:div>
    <w:div w:id="687098878">
      <w:marLeft w:val="0"/>
      <w:marRight w:val="0"/>
      <w:marTop w:val="0"/>
      <w:marBottom w:val="0"/>
      <w:divBdr>
        <w:top w:val="none" w:sz="0" w:space="0" w:color="auto"/>
        <w:left w:val="none" w:sz="0" w:space="0" w:color="auto"/>
        <w:bottom w:val="none" w:sz="0" w:space="0" w:color="auto"/>
        <w:right w:val="none" w:sz="0" w:space="0" w:color="auto"/>
      </w:divBdr>
      <w:divsChild>
        <w:div w:id="2101171721">
          <w:marLeft w:val="0"/>
          <w:marRight w:val="0"/>
          <w:marTop w:val="0"/>
          <w:marBottom w:val="0"/>
          <w:divBdr>
            <w:top w:val="none" w:sz="0" w:space="0" w:color="auto"/>
            <w:left w:val="none" w:sz="0" w:space="0" w:color="auto"/>
            <w:bottom w:val="none" w:sz="0" w:space="0" w:color="auto"/>
            <w:right w:val="none" w:sz="0" w:space="0" w:color="auto"/>
          </w:divBdr>
        </w:div>
      </w:divsChild>
    </w:div>
    <w:div w:id="688609309">
      <w:marLeft w:val="0"/>
      <w:marRight w:val="0"/>
      <w:marTop w:val="0"/>
      <w:marBottom w:val="0"/>
      <w:divBdr>
        <w:top w:val="none" w:sz="0" w:space="0" w:color="auto"/>
        <w:left w:val="none" w:sz="0" w:space="0" w:color="auto"/>
        <w:bottom w:val="none" w:sz="0" w:space="0" w:color="auto"/>
        <w:right w:val="none" w:sz="0" w:space="0" w:color="auto"/>
      </w:divBdr>
    </w:div>
    <w:div w:id="690374861">
      <w:marLeft w:val="0"/>
      <w:marRight w:val="0"/>
      <w:marTop w:val="0"/>
      <w:marBottom w:val="0"/>
      <w:divBdr>
        <w:top w:val="none" w:sz="0" w:space="0" w:color="auto"/>
        <w:left w:val="none" w:sz="0" w:space="0" w:color="auto"/>
        <w:bottom w:val="none" w:sz="0" w:space="0" w:color="auto"/>
        <w:right w:val="none" w:sz="0" w:space="0" w:color="auto"/>
      </w:divBdr>
      <w:divsChild>
        <w:div w:id="1464882046">
          <w:marLeft w:val="0"/>
          <w:marRight w:val="0"/>
          <w:marTop w:val="0"/>
          <w:marBottom w:val="0"/>
          <w:divBdr>
            <w:top w:val="none" w:sz="0" w:space="0" w:color="auto"/>
            <w:left w:val="none" w:sz="0" w:space="0" w:color="auto"/>
            <w:bottom w:val="none" w:sz="0" w:space="0" w:color="auto"/>
            <w:right w:val="none" w:sz="0" w:space="0" w:color="auto"/>
          </w:divBdr>
        </w:div>
      </w:divsChild>
    </w:div>
    <w:div w:id="698941779">
      <w:marLeft w:val="0"/>
      <w:marRight w:val="0"/>
      <w:marTop w:val="0"/>
      <w:marBottom w:val="120"/>
      <w:divBdr>
        <w:top w:val="none" w:sz="0" w:space="0" w:color="auto"/>
        <w:left w:val="none" w:sz="0" w:space="0" w:color="auto"/>
        <w:bottom w:val="none" w:sz="0" w:space="0" w:color="auto"/>
        <w:right w:val="none" w:sz="0" w:space="0" w:color="auto"/>
      </w:divBdr>
    </w:div>
    <w:div w:id="699668767">
      <w:marLeft w:val="0"/>
      <w:marRight w:val="0"/>
      <w:marTop w:val="0"/>
      <w:marBottom w:val="0"/>
      <w:divBdr>
        <w:top w:val="none" w:sz="0" w:space="0" w:color="auto"/>
        <w:left w:val="none" w:sz="0" w:space="0" w:color="auto"/>
        <w:bottom w:val="none" w:sz="0" w:space="0" w:color="auto"/>
        <w:right w:val="none" w:sz="0" w:space="0" w:color="auto"/>
      </w:divBdr>
    </w:div>
    <w:div w:id="704327499">
      <w:marLeft w:val="0"/>
      <w:marRight w:val="0"/>
      <w:marTop w:val="0"/>
      <w:marBottom w:val="0"/>
      <w:divBdr>
        <w:top w:val="none" w:sz="0" w:space="0" w:color="auto"/>
        <w:left w:val="none" w:sz="0" w:space="0" w:color="auto"/>
        <w:bottom w:val="none" w:sz="0" w:space="0" w:color="auto"/>
        <w:right w:val="none" w:sz="0" w:space="0" w:color="auto"/>
      </w:divBdr>
    </w:div>
    <w:div w:id="709917105">
      <w:marLeft w:val="0"/>
      <w:marRight w:val="0"/>
      <w:marTop w:val="0"/>
      <w:marBottom w:val="0"/>
      <w:divBdr>
        <w:top w:val="none" w:sz="0" w:space="0" w:color="auto"/>
        <w:left w:val="none" w:sz="0" w:space="0" w:color="auto"/>
        <w:bottom w:val="none" w:sz="0" w:space="0" w:color="auto"/>
        <w:right w:val="none" w:sz="0" w:space="0" w:color="auto"/>
      </w:divBdr>
    </w:div>
    <w:div w:id="710495723">
      <w:marLeft w:val="0"/>
      <w:marRight w:val="0"/>
      <w:marTop w:val="0"/>
      <w:marBottom w:val="0"/>
      <w:divBdr>
        <w:top w:val="none" w:sz="0" w:space="0" w:color="auto"/>
        <w:left w:val="none" w:sz="0" w:space="0" w:color="auto"/>
        <w:bottom w:val="none" w:sz="0" w:space="0" w:color="auto"/>
        <w:right w:val="none" w:sz="0" w:space="0" w:color="auto"/>
      </w:divBdr>
    </w:div>
    <w:div w:id="710805104">
      <w:marLeft w:val="0"/>
      <w:marRight w:val="0"/>
      <w:marTop w:val="0"/>
      <w:marBottom w:val="0"/>
      <w:divBdr>
        <w:top w:val="none" w:sz="0" w:space="0" w:color="auto"/>
        <w:left w:val="none" w:sz="0" w:space="0" w:color="auto"/>
        <w:bottom w:val="none" w:sz="0" w:space="0" w:color="auto"/>
        <w:right w:val="none" w:sz="0" w:space="0" w:color="auto"/>
      </w:divBdr>
      <w:divsChild>
        <w:div w:id="692462132">
          <w:marLeft w:val="0"/>
          <w:marRight w:val="0"/>
          <w:marTop w:val="0"/>
          <w:marBottom w:val="0"/>
          <w:divBdr>
            <w:top w:val="none" w:sz="0" w:space="0" w:color="auto"/>
            <w:left w:val="none" w:sz="0" w:space="0" w:color="auto"/>
            <w:bottom w:val="none" w:sz="0" w:space="0" w:color="auto"/>
            <w:right w:val="none" w:sz="0" w:space="0" w:color="auto"/>
          </w:divBdr>
        </w:div>
      </w:divsChild>
    </w:div>
    <w:div w:id="711617049">
      <w:marLeft w:val="0"/>
      <w:marRight w:val="0"/>
      <w:marTop w:val="0"/>
      <w:marBottom w:val="0"/>
      <w:divBdr>
        <w:top w:val="none" w:sz="0" w:space="0" w:color="auto"/>
        <w:left w:val="none" w:sz="0" w:space="0" w:color="auto"/>
        <w:bottom w:val="none" w:sz="0" w:space="0" w:color="auto"/>
        <w:right w:val="none" w:sz="0" w:space="0" w:color="auto"/>
      </w:divBdr>
    </w:div>
    <w:div w:id="719400008">
      <w:marLeft w:val="0"/>
      <w:marRight w:val="0"/>
      <w:marTop w:val="0"/>
      <w:marBottom w:val="0"/>
      <w:divBdr>
        <w:top w:val="none" w:sz="0" w:space="0" w:color="auto"/>
        <w:left w:val="none" w:sz="0" w:space="0" w:color="auto"/>
        <w:bottom w:val="none" w:sz="0" w:space="0" w:color="auto"/>
        <w:right w:val="none" w:sz="0" w:space="0" w:color="auto"/>
      </w:divBdr>
      <w:divsChild>
        <w:div w:id="172259548">
          <w:marLeft w:val="0"/>
          <w:marRight w:val="0"/>
          <w:marTop w:val="0"/>
          <w:marBottom w:val="0"/>
          <w:divBdr>
            <w:top w:val="none" w:sz="0" w:space="0" w:color="auto"/>
            <w:left w:val="none" w:sz="0" w:space="0" w:color="auto"/>
            <w:bottom w:val="none" w:sz="0" w:space="0" w:color="auto"/>
            <w:right w:val="none" w:sz="0" w:space="0" w:color="auto"/>
          </w:divBdr>
        </w:div>
      </w:divsChild>
    </w:div>
    <w:div w:id="725102441">
      <w:marLeft w:val="0"/>
      <w:marRight w:val="0"/>
      <w:marTop w:val="0"/>
      <w:marBottom w:val="0"/>
      <w:divBdr>
        <w:top w:val="none" w:sz="0" w:space="0" w:color="auto"/>
        <w:left w:val="none" w:sz="0" w:space="0" w:color="auto"/>
        <w:bottom w:val="none" w:sz="0" w:space="0" w:color="auto"/>
        <w:right w:val="none" w:sz="0" w:space="0" w:color="auto"/>
      </w:divBdr>
    </w:div>
    <w:div w:id="732852810">
      <w:marLeft w:val="0"/>
      <w:marRight w:val="0"/>
      <w:marTop w:val="0"/>
      <w:marBottom w:val="0"/>
      <w:divBdr>
        <w:top w:val="none" w:sz="0" w:space="0" w:color="auto"/>
        <w:left w:val="none" w:sz="0" w:space="0" w:color="auto"/>
        <w:bottom w:val="none" w:sz="0" w:space="0" w:color="auto"/>
        <w:right w:val="none" w:sz="0" w:space="0" w:color="auto"/>
      </w:divBdr>
    </w:div>
    <w:div w:id="740442039">
      <w:marLeft w:val="0"/>
      <w:marRight w:val="0"/>
      <w:marTop w:val="0"/>
      <w:marBottom w:val="0"/>
      <w:divBdr>
        <w:top w:val="none" w:sz="0" w:space="0" w:color="auto"/>
        <w:left w:val="none" w:sz="0" w:space="0" w:color="auto"/>
        <w:bottom w:val="none" w:sz="0" w:space="0" w:color="auto"/>
        <w:right w:val="none" w:sz="0" w:space="0" w:color="auto"/>
      </w:divBdr>
      <w:divsChild>
        <w:div w:id="1706327033">
          <w:marLeft w:val="0"/>
          <w:marRight w:val="0"/>
          <w:marTop w:val="0"/>
          <w:marBottom w:val="0"/>
          <w:divBdr>
            <w:top w:val="none" w:sz="0" w:space="0" w:color="auto"/>
            <w:left w:val="none" w:sz="0" w:space="0" w:color="auto"/>
            <w:bottom w:val="none" w:sz="0" w:space="0" w:color="auto"/>
            <w:right w:val="none" w:sz="0" w:space="0" w:color="auto"/>
          </w:divBdr>
        </w:div>
      </w:divsChild>
    </w:div>
    <w:div w:id="743407455">
      <w:marLeft w:val="0"/>
      <w:marRight w:val="0"/>
      <w:marTop w:val="0"/>
      <w:marBottom w:val="0"/>
      <w:divBdr>
        <w:top w:val="none" w:sz="0" w:space="0" w:color="auto"/>
        <w:left w:val="none" w:sz="0" w:space="0" w:color="auto"/>
        <w:bottom w:val="none" w:sz="0" w:space="0" w:color="auto"/>
        <w:right w:val="none" w:sz="0" w:space="0" w:color="auto"/>
      </w:divBdr>
      <w:divsChild>
        <w:div w:id="930167600">
          <w:marLeft w:val="0"/>
          <w:marRight w:val="0"/>
          <w:marTop w:val="0"/>
          <w:marBottom w:val="0"/>
          <w:divBdr>
            <w:top w:val="none" w:sz="0" w:space="0" w:color="auto"/>
            <w:left w:val="none" w:sz="0" w:space="0" w:color="auto"/>
            <w:bottom w:val="none" w:sz="0" w:space="0" w:color="auto"/>
            <w:right w:val="none" w:sz="0" w:space="0" w:color="auto"/>
          </w:divBdr>
        </w:div>
      </w:divsChild>
    </w:div>
    <w:div w:id="757406574">
      <w:marLeft w:val="0"/>
      <w:marRight w:val="0"/>
      <w:marTop w:val="0"/>
      <w:marBottom w:val="0"/>
      <w:divBdr>
        <w:top w:val="none" w:sz="0" w:space="0" w:color="auto"/>
        <w:left w:val="none" w:sz="0" w:space="0" w:color="auto"/>
        <w:bottom w:val="none" w:sz="0" w:space="0" w:color="auto"/>
        <w:right w:val="none" w:sz="0" w:space="0" w:color="auto"/>
      </w:divBdr>
      <w:divsChild>
        <w:div w:id="615256129">
          <w:marLeft w:val="0"/>
          <w:marRight w:val="0"/>
          <w:marTop w:val="0"/>
          <w:marBottom w:val="0"/>
          <w:divBdr>
            <w:top w:val="none" w:sz="0" w:space="0" w:color="auto"/>
            <w:left w:val="none" w:sz="0" w:space="0" w:color="auto"/>
            <w:bottom w:val="none" w:sz="0" w:space="0" w:color="auto"/>
            <w:right w:val="none" w:sz="0" w:space="0" w:color="auto"/>
          </w:divBdr>
        </w:div>
      </w:divsChild>
    </w:div>
    <w:div w:id="762074311">
      <w:marLeft w:val="0"/>
      <w:marRight w:val="0"/>
      <w:marTop w:val="0"/>
      <w:marBottom w:val="120"/>
      <w:divBdr>
        <w:top w:val="none" w:sz="0" w:space="0" w:color="auto"/>
        <w:left w:val="none" w:sz="0" w:space="0" w:color="auto"/>
        <w:bottom w:val="none" w:sz="0" w:space="0" w:color="auto"/>
        <w:right w:val="none" w:sz="0" w:space="0" w:color="auto"/>
      </w:divBdr>
    </w:div>
    <w:div w:id="772893556">
      <w:marLeft w:val="0"/>
      <w:marRight w:val="0"/>
      <w:marTop w:val="0"/>
      <w:marBottom w:val="0"/>
      <w:divBdr>
        <w:top w:val="none" w:sz="0" w:space="0" w:color="auto"/>
        <w:left w:val="none" w:sz="0" w:space="0" w:color="auto"/>
        <w:bottom w:val="none" w:sz="0" w:space="0" w:color="auto"/>
        <w:right w:val="none" w:sz="0" w:space="0" w:color="auto"/>
      </w:divBdr>
      <w:divsChild>
        <w:div w:id="1319260327">
          <w:marLeft w:val="0"/>
          <w:marRight w:val="0"/>
          <w:marTop w:val="0"/>
          <w:marBottom w:val="0"/>
          <w:divBdr>
            <w:top w:val="none" w:sz="0" w:space="0" w:color="auto"/>
            <w:left w:val="none" w:sz="0" w:space="0" w:color="auto"/>
            <w:bottom w:val="none" w:sz="0" w:space="0" w:color="auto"/>
            <w:right w:val="none" w:sz="0" w:space="0" w:color="auto"/>
          </w:divBdr>
        </w:div>
      </w:divsChild>
    </w:div>
    <w:div w:id="797262950">
      <w:marLeft w:val="0"/>
      <w:marRight w:val="0"/>
      <w:marTop w:val="0"/>
      <w:marBottom w:val="0"/>
      <w:divBdr>
        <w:top w:val="none" w:sz="0" w:space="0" w:color="auto"/>
        <w:left w:val="none" w:sz="0" w:space="0" w:color="auto"/>
        <w:bottom w:val="none" w:sz="0" w:space="0" w:color="auto"/>
        <w:right w:val="none" w:sz="0" w:space="0" w:color="auto"/>
      </w:divBdr>
    </w:div>
    <w:div w:id="800462935">
      <w:marLeft w:val="0"/>
      <w:marRight w:val="0"/>
      <w:marTop w:val="0"/>
      <w:marBottom w:val="0"/>
      <w:divBdr>
        <w:top w:val="none" w:sz="0" w:space="0" w:color="auto"/>
        <w:left w:val="none" w:sz="0" w:space="0" w:color="auto"/>
        <w:bottom w:val="none" w:sz="0" w:space="0" w:color="auto"/>
        <w:right w:val="none" w:sz="0" w:space="0" w:color="auto"/>
      </w:divBdr>
    </w:div>
    <w:div w:id="802502219">
      <w:marLeft w:val="0"/>
      <w:marRight w:val="0"/>
      <w:marTop w:val="0"/>
      <w:marBottom w:val="120"/>
      <w:divBdr>
        <w:top w:val="none" w:sz="0" w:space="0" w:color="auto"/>
        <w:left w:val="none" w:sz="0" w:space="0" w:color="auto"/>
        <w:bottom w:val="none" w:sz="0" w:space="0" w:color="auto"/>
        <w:right w:val="none" w:sz="0" w:space="0" w:color="auto"/>
      </w:divBdr>
    </w:div>
    <w:div w:id="811605583">
      <w:marLeft w:val="0"/>
      <w:marRight w:val="0"/>
      <w:marTop w:val="0"/>
      <w:marBottom w:val="120"/>
      <w:divBdr>
        <w:top w:val="none" w:sz="0" w:space="0" w:color="auto"/>
        <w:left w:val="none" w:sz="0" w:space="0" w:color="auto"/>
        <w:bottom w:val="none" w:sz="0" w:space="0" w:color="auto"/>
        <w:right w:val="none" w:sz="0" w:space="0" w:color="auto"/>
      </w:divBdr>
    </w:div>
    <w:div w:id="812715472">
      <w:marLeft w:val="0"/>
      <w:marRight w:val="0"/>
      <w:marTop w:val="0"/>
      <w:marBottom w:val="0"/>
      <w:divBdr>
        <w:top w:val="none" w:sz="0" w:space="0" w:color="auto"/>
        <w:left w:val="none" w:sz="0" w:space="0" w:color="auto"/>
        <w:bottom w:val="none" w:sz="0" w:space="0" w:color="auto"/>
        <w:right w:val="none" w:sz="0" w:space="0" w:color="auto"/>
      </w:divBdr>
    </w:div>
    <w:div w:id="815951665">
      <w:marLeft w:val="0"/>
      <w:marRight w:val="0"/>
      <w:marTop w:val="0"/>
      <w:marBottom w:val="0"/>
      <w:divBdr>
        <w:top w:val="none" w:sz="0" w:space="0" w:color="auto"/>
        <w:left w:val="none" w:sz="0" w:space="0" w:color="auto"/>
        <w:bottom w:val="none" w:sz="0" w:space="0" w:color="auto"/>
        <w:right w:val="none" w:sz="0" w:space="0" w:color="auto"/>
      </w:divBdr>
      <w:divsChild>
        <w:div w:id="1652249046">
          <w:marLeft w:val="0"/>
          <w:marRight w:val="0"/>
          <w:marTop w:val="0"/>
          <w:marBottom w:val="0"/>
          <w:divBdr>
            <w:top w:val="none" w:sz="0" w:space="0" w:color="auto"/>
            <w:left w:val="none" w:sz="0" w:space="0" w:color="auto"/>
            <w:bottom w:val="none" w:sz="0" w:space="0" w:color="auto"/>
            <w:right w:val="none" w:sz="0" w:space="0" w:color="auto"/>
          </w:divBdr>
        </w:div>
      </w:divsChild>
    </w:div>
    <w:div w:id="817067740">
      <w:marLeft w:val="0"/>
      <w:marRight w:val="0"/>
      <w:marTop w:val="0"/>
      <w:marBottom w:val="0"/>
      <w:divBdr>
        <w:top w:val="none" w:sz="0" w:space="0" w:color="auto"/>
        <w:left w:val="none" w:sz="0" w:space="0" w:color="auto"/>
        <w:bottom w:val="none" w:sz="0" w:space="0" w:color="auto"/>
        <w:right w:val="none" w:sz="0" w:space="0" w:color="auto"/>
      </w:divBdr>
      <w:divsChild>
        <w:div w:id="105776573">
          <w:marLeft w:val="0"/>
          <w:marRight w:val="0"/>
          <w:marTop w:val="0"/>
          <w:marBottom w:val="0"/>
          <w:divBdr>
            <w:top w:val="none" w:sz="0" w:space="0" w:color="auto"/>
            <w:left w:val="none" w:sz="0" w:space="0" w:color="auto"/>
            <w:bottom w:val="none" w:sz="0" w:space="0" w:color="auto"/>
            <w:right w:val="none" w:sz="0" w:space="0" w:color="auto"/>
          </w:divBdr>
        </w:div>
      </w:divsChild>
    </w:div>
    <w:div w:id="821848291">
      <w:marLeft w:val="0"/>
      <w:marRight w:val="0"/>
      <w:marTop w:val="0"/>
      <w:marBottom w:val="0"/>
      <w:divBdr>
        <w:top w:val="none" w:sz="0" w:space="0" w:color="auto"/>
        <w:left w:val="none" w:sz="0" w:space="0" w:color="auto"/>
        <w:bottom w:val="none" w:sz="0" w:space="0" w:color="auto"/>
        <w:right w:val="none" w:sz="0" w:space="0" w:color="auto"/>
      </w:divBdr>
      <w:divsChild>
        <w:div w:id="1640187156">
          <w:marLeft w:val="0"/>
          <w:marRight w:val="0"/>
          <w:marTop w:val="0"/>
          <w:marBottom w:val="0"/>
          <w:divBdr>
            <w:top w:val="none" w:sz="0" w:space="0" w:color="auto"/>
            <w:left w:val="none" w:sz="0" w:space="0" w:color="auto"/>
            <w:bottom w:val="none" w:sz="0" w:space="0" w:color="auto"/>
            <w:right w:val="none" w:sz="0" w:space="0" w:color="auto"/>
          </w:divBdr>
        </w:div>
      </w:divsChild>
    </w:div>
    <w:div w:id="835341960">
      <w:marLeft w:val="0"/>
      <w:marRight w:val="0"/>
      <w:marTop w:val="0"/>
      <w:marBottom w:val="0"/>
      <w:divBdr>
        <w:top w:val="none" w:sz="0" w:space="0" w:color="auto"/>
        <w:left w:val="none" w:sz="0" w:space="0" w:color="auto"/>
        <w:bottom w:val="none" w:sz="0" w:space="0" w:color="auto"/>
        <w:right w:val="none" w:sz="0" w:space="0" w:color="auto"/>
      </w:divBdr>
    </w:div>
    <w:div w:id="835412763">
      <w:marLeft w:val="0"/>
      <w:marRight w:val="0"/>
      <w:marTop w:val="0"/>
      <w:marBottom w:val="0"/>
      <w:divBdr>
        <w:top w:val="none" w:sz="0" w:space="0" w:color="auto"/>
        <w:left w:val="none" w:sz="0" w:space="0" w:color="auto"/>
        <w:bottom w:val="none" w:sz="0" w:space="0" w:color="auto"/>
        <w:right w:val="none" w:sz="0" w:space="0" w:color="auto"/>
      </w:divBdr>
    </w:div>
    <w:div w:id="836117606">
      <w:marLeft w:val="0"/>
      <w:marRight w:val="0"/>
      <w:marTop w:val="0"/>
      <w:marBottom w:val="0"/>
      <w:divBdr>
        <w:top w:val="none" w:sz="0" w:space="0" w:color="auto"/>
        <w:left w:val="none" w:sz="0" w:space="0" w:color="auto"/>
        <w:bottom w:val="none" w:sz="0" w:space="0" w:color="auto"/>
        <w:right w:val="none" w:sz="0" w:space="0" w:color="auto"/>
      </w:divBdr>
    </w:div>
    <w:div w:id="842357433">
      <w:marLeft w:val="0"/>
      <w:marRight w:val="0"/>
      <w:marTop w:val="0"/>
      <w:marBottom w:val="0"/>
      <w:divBdr>
        <w:top w:val="none" w:sz="0" w:space="0" w:color="auto"/>
        <w:left w:val="none" w:sz="0" w:space="0" w:color="auto"/>
        <w:bottom w:val="none" w:sz="0" w:space="0" w:color="auto"/>
        <w:right w:val="none" w:sz="0" w:space="0" w:color="auto"/>
      </w:divBdr>
    </w:div>
    <w:div w:id="842742607">
      <w:marLeft w:val="0"/>
      <w:marRight w:val="0"/>
      <w:marTop w:val="0"/>
      <w:marBottom w:val="120"/>
      <w:divBdr>
        <w:top w:val="none" w:sz="0" w:space="0" w:color="auto"/>
        <w:left w:val="none" w:sz="0" w:space="0" w:color="auto"/>
        <w:bottom w:val="none" w:sz="0" w:space="0" w:color="auto"/>
        <w:right w:val="none" w:sz="0" w:space="0" w:color="auto"/>
      </w:divBdr>
    </w:div>
    <w:div w:id="843055788">
      <w:marLeft w:val="0"/>
      <w:marRight w:val="0"/>
      <w:marTop w:val="0"/>
      <w:marBottom w:val="0"/>
      <w:divBdr>
        <w:top w:val="none" w:sz="0" w:space="0" w:color="auto"/>
        <w:left w:val="none" w:sz="0" w:space="0" w:color="auto"/>
        <w:bottom w:val="none" w:sz="0" w:space="0" w:color="auto"/>
        <w:right w:val="none" w:sz="0" w:space="0" w:color="auto"/>
      </w:divBdr>
      <w:divsChild>
        <w:div w:id="880826772">
          <w:marLeft w:val="0"/>
          <w:marRight w:val="0"/>
          <w:marTop w:val="0"/>
          <w:marBottom w:val="0"/>
          <w:divBdr>
            <w:top w:val="none" w:sz="0" w:space="0" w:color="auto"/>
            <w:left w:val="none" w:sz="0" w:space="0" w:color="auto"/>
            <w:bottom w:val="none" w:sz="0" w:space="0" w:color="auto"/>
            <w:right w:val="none" w:sz="0" w:space="0" w:color="auto"/>
          </w:divBdr>
        </w:div>
      </w:divsChild>
    </w:div>
    <w:div w:id="846136661">
      <w:marLeft w:val="0"/>
      <w:marRight w:val="0"/>
      <w:marTop w:val="0"/>
      <w:marBottom w:val="0"/>
      <w:divBdr>
        <w:top w:val="none" w:sz="0" w:space="0" w:color="auto"/>
        <w:left w:val="none" w:sz="0" w:space="0" w:color="auto"/>
        <w:bottom w:val="none" w:sz="0" w:space="0" w:color="auto"/>
        <w:right w:val="none" w:sz="0" w:space="0" w:color="auto"/>
      </w:divBdr>
    </w:div>
    <w:div w:id="852257563">
      <w:marLeft w:val="0"/>
      <w:marRight w:val="0"/>
      <w:marTop w:val="0"/>
      <w:marBottom w:val="0"/>
      <w:divBdr>
        <w:top w:val="none" w:sz="0" w:space="0" w:color="auto"/>
        <w:left w:val="none" w:sz="0" w:space="0" w:color="auto"/>
        <w:bottom w:val="none" w:sz="0" w:space="0" w:color="auto"/>
        <w:right w:val="none" w:sz="0" w:space="0" w:color="auto"/>
      </w:divBdr>
    </w:div>
    <w:div w:id="856309287">
      <w:marLeft w:val="0"/>
      <w:marRight w:val="0"/>
      <w:marTop w:val="0"/>
      <w:marBottom w:val="0"/>
      <w:divBdr>
        <w:top w:val="none" w:sz="0" w:space="0" w:color="auto"/>
        <w:left w:val="none" w:sz="0" w:space="0" w:color="auto"/>
        <w:bottom w:val="none" w:sz="0" w:space="0" w:color="auto"/>
        <w:right w:val="none" w:sz="0" w:space="0" w:color="auto"/>
      </w:divBdr>
    </w:div>
    <w:div w:id="865755118">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
    <w:div w:id="874468266">
      <w:marLeft w:val="0"/>
      <w:marRight w:val="0"/>
      <w:marTop w:val="0"/>
      <w:marBottom w:val="0"/>
      <w:divBdr>
        <w:top w:val="none" w:sz="0" w:space="0" w:color="auto"/>
        <w:left w:val="none" w:sz="0" w:space="0" w:color="auto"/>
        <w:bottom w:val="none" w:sz="0" w:space="0" w:color="auto"/>
        <w:right w:val="none" w:sz="0" w:space="0" w:color="auto"/>
      </w:divBdr>
      <w:divsChild>
        <w:div w:id="141624492">
          <w:marLeft w:val="0"/>
          <w:marRight w:val="0"/>
          <w:marTop w:val="0"/>
          <w:marBottom w:val="0"/>
          <w:divBdr>
            <w:top w:val="none" w:sz="0" w:space="0" w:color="auto"/>
            <w:left w:val="none" w:sz="0" w:space="0" w:color="auto"/>
            <w:bottom w:val="none" w:sz="0" w:space="0" w:color="auto"/>
            <w:right w:val="none" w:sz="0" w:space="0" w:color="auto"/>
          </w:divBdr>
        </w:div>
      </w:divsChild>
    </w:div>
    <w:div w:id="879786097">
      <w:marLeft w:val="0"/>
      <w:marRight w:val="0"/>
      <w:marTop w:val="0"/>
      <w:marBottom w:val="0"/>
      <w:divBdr>
        <w:top w:val="none" w:sz="0" w:space="0" w:color="auto"/>
        <w:left w:val="none" w:sz="0" w:space="0" w:color="auto"/>
        <w:bottom w:val="none" w:sz="0" w:space="0" w:color="auto"/>
        <w:right w:val="none" w:sz="0" w:space="0" w:color="auto"/>
      </w:divBdr>
      <w:divsChild>
        <w:div w:id="916985185">
          <w:marLeft w:val="0"/>
          <w:marRight w:val="0"/>
          <w:marTop w:val="0"/>
          <w:marBottom w:val="0"/>
          <w:divBdr>
            <w:top w:val="none" w:sz="0" w:space="0" w:color="auto"/>
            <w:left w:val="none" w:sz="0" w:space="0" w:color="auto"/>
            <w:bottom w:val="none" w:sz="0" w:space="0" w:color="auto"/>
            <w:right w:val="none" w:sz="0" w:space="0" w:color="auto"/>
          </w:divBdr>
        </w:div>
      </w:divsChild>
    </w:div>
    <w:div w:id="883322983">
      <w:marLeft w:val="0"/>
      <w:marRight w:val="0"/>
      <w:marTop w:val="0"/>
      <w:marBottom w:val="0"/>
      <w:divBdr>
        <w:top w:val="none" w:sz="0" w:space="0" w:color="auto"/>
        <w:left w:val="none" w:sz="0" w:space="0" w:color="auto"/>
        <w:bottom w:val="none" w:sz="0" w:space="0" w:color="auto"/>
        <w:right w:val="none" w:sz="0" w:space="0" w:color="auto"/>
      </w:divBdr>
    </w:div>
    <w:div w:id="884681075">
      <w:marLeft w:val="0"/>
      <w:marRight w:val="0"/>
      <w:marTop w:val="0"/>
      <w:marBottom w:val="0"/>
      <w:divBdr>
        <w:top w:val="none" w:sz="0" w:space="0" w:color="auto"/>
        <w:left w:val="none" w:sz="0" w:space="0" w:color="auto"/>
        <w:bottom w:val="none" w:sz="0" w:space="0" w:color="auto"/>
        <w:right w:val="none" w:sz="0" w:space="0" w:color="auto"/>
      </w:divBdr>
    </w:div>
    <w:div w:id="886331184">
      <w:marLeft w:val="0"/>
      <w:marRight w:val="0"/>
      <w:marTop w:val="0"/>
      <w:marBottom w:val="0"/>
      <w:divBdr>
        <w:top w:val="none" w:sz="0" w:space="0" w:color="auto"/>
        <w:left w:val="none" w:sz="0" w:space="0" w:color="auto"/>
        <w:bottom w:val="none" w:sz="0" w:space="0" w:color="auto"/>
        <w:right w:val="none" w:sz="0" w:space="0" w:color="auto"/>
      </w:divBdr>
    </w:div>
    <w:div w:id="889461199">
      <w:marLeft w:val="0"/>
      <w:marRight w:val="0"/>
      <w:marTop w:val="0"/>
      <w:marBottom w:val="0"/>
      <w:divBdr>
        <w:top w:val="none" w:sz="0" w:space="0" w:color="auto"/>
        <w:left w:val="none" w:sz="0" w:space="0" w:color="auto"/>
        <w:bottom w:val="none" w:sz="0" w:space="0" w:color="auto"/>
        <w:right w:val="none" w:sz="0" w:space="0" w:color="auto"/>
      </w:divBdr>
      <w:divsChild>
        <w:div w:id="1983381942">
          <w:marLeft w:val="0"/>
          <w:marRight w:val="0"/>
          <w:marTop w:val="0"/>
          <w:marBottom w:val="0"/>
          <w:divBdr>
            <w:top w:val="none" w:sz="0" w:space="0" w:color="auto"/>
            <w:left w:val="none" w:sz="0" w:space="0" w:color="auto"/>
            <w:bottom w:val="none" w:sz="0" w:space="0" w:color="auto"/>
            <w:right w:val="none" w:sz="0" w:space="0" w:color="auto"/>
          </w:divBdr>
        </w:div>
      </w:divsChild>
    </w:div>
    <w:div w:id="889802002">
      <w:marLeft w:val="0"/>
      <w:marRight w:val="0"/>
      <w:marTop w:val="0"/>
      <w:marBottom w:val="0"/>
      <w:divBdr>
        <w:top w:val="none" w:sz="0" w:space="0" w:color="auto"/>
        <w:left w:val="none" w:sz="0" w:space="0" w:color="auto"/>
        <w:bottom w:val="none" w:sz="0" w:space="0" w:color="auto"/>
        <w:right w:val="none" w:sz="0" w:space="0" w:color="auto"/>
      </w:divBdr>
      <w:divsChild>
        <w:div w:id="1447843547">
          <w:marLeft w:val="0"/>
          <w:marRight w:val="0"/>
          <w:marTop w:val="0"/>
          <w:marBottom w:val="0"/>
          <w:divBdr>
            <w:top w:val="none" w:sz="0" w:space="0" w:color="auto"/>
            <w:left w:val="none" w:sz="0" w:space="0" w:color="auto"/>
            <w:bottom w:val="none" w:sz="0" w:space="0" w:color="auto"/>
            <w:right w:val="none" w:sz="0" w:space="0" w:color="auto"/>
          </w:divBdr>
        </w:div>
      </w:divsChild>
    </w:div>
    <w:div w:id="894269459">
      <w:marLeft w:val="0"/>
      <w:marRight w:val="0"/>
      <w:marTop w:val="0"/>
      <w:marBottom w:val="0"/>
      <w:divBdr>
        <w:top w:val="none" w:sz="0" w:space="0" w:color="auto"/>
        <w:left w:val="none" w:sz="0" w:space="0" w:color="auto"/>
        <w:bottom w:val="none" w:sz="0" w:space="0" w:color="auto"/>
        <w:right w:val="none" w:sz="0" w:space="0" w:color="auto"/>
      </w:divBdr>
    </w:div>
    <w:div w:id="896284540">
      <w:marLeft w:val="0"/>
      <w:marRight w:val="0"/>
      <w:marTop w:val="0"/>
      <w:marBottom w:val="120"/>
      <w:divBdr>
        <w:top w:val="none" w:sz="0" w:space="0" w:color="auto"/>
        <w:left w:val="none" w:sz="0" w:space="0" w:color="auto"/>
        <w:bottom w:val="none" w:sz="0" w:space="0" w:color="auto"/>
        <w:right w:val="none" w:sz="0" w:space="0" w:color="auto"/>
      </w:divBdr>
    </w:div>
    <w:div w:id="898436449">
      <w:marLeft w:val="0"/>
      <w:marRight w:val="0"/>
      <w:marTop w:val="0"/>
      <w:marBottom w:val="120"/>
      <w:divBdr>
        <w:top w:val="none" w:sz="0" w:space="0" w:color="auto"/>
        <w:left w:val="none" w:sz="0" w:space="0" w:color="auto"/>
        <w:bottom w:val="none" w:sz="0" w:space="0" w:color="auto"/>
        <w:right w:val="none" w:sz="0" w:space="0" w:color="auto"/>
      </w:divBdr>
    </w:div>
    <w:div w:id="904342166">
      <w:marLeft w:val="0"/>
      <w:marRight w:val="0"/>
      <w:marTop w:val="0"/>
      <w:marBottom w:val="0"/>
      <w:divBdr>
        <w:top w:val="none" w:sz="0" w:space="0" w:color="auto"/>
        <w:left w:val="none" w:sz="0" w:space="0" w:color="auto"/>
        <w:bottom w:val="none" w:sz="0" w:space="0" w:color="auto"/>
        <w:right w:val="none" w:sz="0" w:space="0" w:color="auto"/>
      </w:divBdr>
      <w:divsChild>
        <w:div w:id="1513952532">
          <w:marLeft w:val="0"/>
          <w:marRight w:val="0"/>
          <w:marTop w:val="0"/>
          <w:marBottom w:val="0"/>
          <w:divBdr>
            <w:top w:val="none" w:sz="0" w:space="0" w:color="auto"/>
            <w:left w:val="none" w:sz="0" w:space="0" w:color="auto"/>
            <w:bottom w:val="none" w:sz="0" w:space="0" w:color="auto"/>
            <w:right w:val="none" w:sz="0" w:space="0" w:color="auto"/>
          </w:divBdr>
        </w:div>
      </w:divsChild>
    </w:div>
    <w:div w:id="904489655">
      <w:marLeft w:val="0"/>
      <w:marRight w:val="0"/>
      <w:marTop w:val="0"/>
      <w:marBottom w:val="0"/>
      <w:divBdr>
        <w:top w:val="none" w:sz="0" w:space="0" w:color="auto"/>
        <w:left w:val="none" w:sz="0" w:space="0" w:color="auto"/>
        <w:bottom w:val="none" w:sz="0" w:space="0" w:color="auto"/>
        <w:right w:val="none" w:sz="0" w:space="0" w:color="auto"/>
      </w:divBdr>
    </w:div>
    <w:div w:id="904800150">
      <w:marLeft w:val="0"/>
      <w:marRight w:val="0"/>
      <w:marTop w:val="0"/>
      <w:marBottom w:val="0"/>
      <w:divBdr>
        <w:top w:val="none" w:sz="0" w:space="0" w:color="auto"/>
        <w:left w:val="none" w:sz="0" w:space="0" w:color="auto"/>
        <w:bottom w:val="none" w:sz="0" w:space="0" w:color="auto"/>
        <w:right w:val="none" w:sz="0" w:space="0" w:color="auto"/>
      </w:divBdr>
    </w:div>
    <w:div w:id="911503102">
      <w:marLeft w:val="0"/>
      <w:marRight w:val="0"/>
      <w:marTop w:val="0"/>
      <w:marBottom w:val="0"/>
      <w:divBdr>
        <w:top w:val="none" w:sz="0" w:space="0" w:color="auto"/>
        <w:left w:val="none" w:sz="0" w:space="0" w:color="auto"/>
        <w:bottom w:val="none" w:sz="0" w:space="0" w:color="auto"/>
        <w:right w:val="none" w:sz="0" w:space="0" w:color="auto"/>
      </w:divBdr>
    </w:div>
    <w:div w:id="913710456">
      <w:marLeft w:val="0"/>
      <w:marRight w:val="0"/>
      <w:marTop w:val="0"/>
      <w:marBottom w:val="0"/>
      <w:divBdr>
        <w:top w:val="none" w:sz="0" w:space="0" w:color="auto"/>
        <w:left w:val="none" w:sz="0" w:space="0" w:color="auto"/>
        <w:bottom w:val="none" w:sz="0" w:space="0" w:color="auto"/>
        <w:right w:val="none" w:sz="0" w:space="0" w:color="auto"/>
      </w:divBdr>
    </w:div>
    <w:div w:id="914120867">
      <w:marLeft w:val="0"/>
      <w:marRight w:val="0"/>
      <w:marTop w:val="0"/>
      <w:marBottom w:val="0"/>
      <w:divBdr>
        <w:top w:val="none" w:sz="0" w:space="0" w:color="auto"/>
        <w:left w:val="none" w:sz="0" w:space="0" w:color="auto"/>
        <w:bottom w:val="none" w:sz="0" w:space="0" w:color="auto"/>
        <w:right w:val="none" w:sz="0" w:space="0" w:color="auto"/>
      </w:divBdr>
      <w:divsChild>
        <w:div w:id="1348214858">
          <w:marLeft w:val="0"/>
          <w:marRight w:val="0"/>
          <w:marTop w:val="0"/>
          <w:marBottom w:val="0"/>
          <w:divBdr>
            <w:top w:val="none" w:sz="0" w:space="0" w:color="auto"/>
            <w:left w:val="none" w:sz="0" w:space="0" w:color="auto"/>
            <w:bottom w:val="none" w:sz="0" w:space="0" w:color="auto"/>
            <w:right w:val="none" w:sz="0" w:space="0" w:color="auto"/>
          </w:divBdr>
        </w:div>
      </w:divsChild>
    </w:div>
    <w:div w:id="915282720">
      <w:marLeft w:val="0"/>
      <w:marRight w:val="0"/>
      <w:marTop w:val="0"/>
      <w:marBottom w:val="0"/>
      <w:divBdr>
        <w:top w:val="none" w:sz="0" w:space="0" w:color="auto"/>
        <w:left w:val="none" w:sz="0" w:space="0" w:color="auto"/>
        <w:bottom w:val="none" w:sz="0" w:space="0" w:color="auto"/>
        <w:right w:val="none" w:sz="0" w:space="0" w:color="auto"/>
      </w:divBdr>
    </w:div>
    <w:div w:id="921908728">
      <w:marLeft w:val="0"/>
      <w:marRight w:val="0"/>
      <w:marTop w:val="0"/>
      <w:marBottom w:val="0"/>
      <w:divBdr>
        <w:top w:val="none" w:sz="0" w:space="0" w:color="auto"/>
        <w:left w:val="none" w:sz="0" w:space="0" w:color="auto"/>
        <w:bottom w:val="none" w:sz="0" w:space="0" w:color="auto"/>
        <w:right w:val="none" w:sz="0" w:space="0" w:color="auto"/>
      </w:divBdr>
    </w:div>
    <w:div w:id="927466051">
      <w:marLeft w:val="0"/>
      <w:marRight w:val="0"/>
      <w:marTop w:val="0"/>
      <w:marBottom w:val="0"/>
      <w:divBdr>
        <w:top w:val="none" w:sz="0" w:space="0" w:color="auto"/>
        <w:left w:val="none" w:sz="0" w:space="0" w:color="auto"/>
        <w:bottom w:val="none" w:sz="0" w:space="0" w:color="auto"/>
        <w:right w:val="none" w:sz="0" w:space="0" w:color="auto"/>
      </w:divBdr>
    </w:div>
    <w:div w:id="939947429">
      <w:marLeft w:val="0"/>
      <w:marRight w:val="0"/>
      <w:marTop w:val="0"/>
      <w:marBottom w:val="0"/>
      <w:divBdr>
        <w:top w:val="none" w:sz="0" w:space="0" w:color="auto"/>
        <w:left w:val="none" w:sz="0" w:space="0" w:color="auto"/>
        <w:bottom w:val="none" w:sz="0" w:space="0" w:color="auto"/>
        <w:right w:val="none" w:sz="0" w:space="0" w:color="auto"/>
      </w:divBdr>
    </w:div>
    <w:div w:id="942346060">
      <w:marLeft w:val="0"/>
      <w:marRight w:val="0"/>
      <w:marTop w:val="0"/>
      <w:marBottom w:val="0"/>
      <w:divBdr>
        <w:top w:val="none" w:sz="0" w:space="0" w:color="auto"/>
        <w:left w:val="none" w:sz="0" w:space="0" w:color="auto"/>
        <w:bottom w:val="none" w:sz="0" w:space="0" w:color="auto"/>
        <w:right w:val="none" w:sz="0" w:space="0" w:color="auto"/>
      </w:divBdr>
    </w:div>
    <w:div w:id="946081100">
      <w:marLeft w:val="0"/>
      <w:marRight w:val="0"/>
      <w:marTop w:val="0"/>
      <w:marBottom w:val="0"/>
      <w:divBdr>
        <w:top w:val="none" w:sz="0" w:space="0" w:color="auto"/>
        <w:left w:val="none" w:sz="0" w:space="0" w:color="auto"/>
        <w:bottom w:val="none" w:sz="0" w:space="0" w:color="auto"/>
        <w:right w:val="none" w:sz="0" w:space="0" w:color="auto"/>
      </w:divBdr>
      <w:divsChild>
        <w:div w:id="2047488792">
          <w:marLeft w:val="0"/>
          <w:marRight w:val="0"/>
          <w:marTop w:val="0"/>
          <w:marBottom w:val="0"/>
          <w:divBdr>
            <w:top w:val="none" w:sz="0" w:space="0" w:color="auto"/>
            <w:left w:val="none" w:sz="0" w:space="0" w:color="auto"/>
            <w:bottom w:val="none" w:sz="0" w:space="0" w:color="auto"/>
            <w:right w:val="none" w:sz="0" w:space="0" w:color="auto"/>
          </w:divBdr>
        </w:div>
      </w:divsChild>
    </w:div>
    <w:div w:id="947390693">
      <w:marLeft w:val="0"/>
      <w:marRight w:val="0"/>
      <w:marTop w:val="0"/>
      <w:marBottom w:val="0"/>
      <w:divBdr>
        <w:top w:val="none" w:sz="0" w:space="0" w:color="auto"/>
        <w:left w:val="none" w:sz="0" w:space="0" w:color="auto"/>
        <w:bottom w:val="none" w:sz="0" w:space="0" w:color="auto"/>
        <w:right w:val="none" w:sz="0" w:space="0" w:color="auto"/>
      </w:divBdr>
    </w:div>
    <w:div w:id="953364084">
      <w:marLeft w:val="0"/>
      <w:marRight w:val="0"/>
      <w:marTop w:val="0"/>
      <w:marBottom w:val="0"/>
      <w:divBdr>
        <w:top w:val="none" w:sz="0" w:space="0" w:color="auto"/>
        <w:left w:val="none" w:sz="0" w:space="0" w:color="auto"/>
        <w:bottom w:val="none" w:sz="0" w:space="0" w:color="auto"/>
        <w:right w:val="none" w:sz="0" w:space="0" w:color="auto"/>
      </w:divBdr>
      <w:divsChild>
        <w:div w:id="711345148">
          <w:marLeft w:val="0"/>
          <w:marRight w:val="0"/>
          <w:marTop w:val="0"/>
          <w:marBottom w:val="0"/>
          <w:divBdr>
            <w:top w:val="none" w:sz="0" w:space="0" w:color="auto"/>
            <w:left w:val="none" w:sz="0" w:space="0" w:color="auto"/>
            <w:bottom w:val="none" w:sz="0" w:space="0" w:color="auto"/>
            <w:right w:val="none" w:sz="0" w:space="0" w:color="auto"/>
          </w:divBdr>
        </w:div>
      </w:divsChild>
    </w:div>
    <w:div w:id="955328500">
      <w:marLeft w:val="0"/>
      <w:marRight w:val="0"/>
      <w:marTop w:val="0"/>
      <w:marBottom w:val="0"/>
      <w:divBdr>
        <w:top w:val="none" w:sz="0" w:space="0" w:color="auto"/>
        <w:left w:val="none" w:sz="0" w:space="0" w:color="auto"/>
        <w:bottom w:val="none" w:sz="0" w:space="0" w:color="auto"/>
        <w:right w:val="none" w:sz="0" w:space="0" w:color="auto"/>
      </w:divBdr>
      <w:divsChild>
        <w:div w:id="233128586">
          <w:marLeft w:val="0"/>
          <w:marRight w:val="0"/>
          <w:marTop w:val="0"/>
          <w:marBottom w:val="0"/>
          <w:divBdr>
            <w:top w:val="none" w:sz="0" w:space="0" w:color="auto"/>
            <w:left w:val="none" w:sz="0" w:space="0" w:color="auto"/>
            <w:bottom w:val="none" w:sz="0" w:space="0" w:color="auto"/>
            <w:right w:val="none" w:sz="0" w:space="0" w:color="auto"/>
          </w:divBdr>
        </w:div>
      </w:divsChild>
    </w:div>
    <w:div w:id="961959402">
      <w:marLeft w:val="0"/>
      <w:marRight w:val="0"/>
      <w:marTop w:val="0"/>
      <w:marBottom w:val="0"/>
      <w:divBdr>
        <w:top w:val="none" w:sz="0" w:space="0" w:color="auto"/>
        <w:left w:val="none" w:sz="0" w:space="0" w:color="auto"/>
        <w:bottom w:val="none" w:sz="0" w:space="0" w:color="auto"/>
        <w:right w:val="none" w:sz="0" w:space="0" w:color="auto"/>
      </w:divBdr>
    </w:div>
    <w:div w:id="965115847">
      <w:marLeft w:val="0"/>
      <w:marRight w:val="0"/>
      <w:marTop w:val="0"/>
      <w:marBottom w:val="0"/>
      <w:divBdr>
        <w:top w:val="none" w:sz="0" w:space="0" w:color="auto"/>
        <w:left w:val="none" w:sz="0" w:space="0" w:color="auto"/>
        <w:bottom w:val="none" w:sz="0" w:space="0" w:color="auto"/>
        <w:right w:val="none" w:sz="0" w:space="0" w:color="auto"/>
      </w:divBdr>
    </w:div>
    <w:div w:id="965309204">
      <w:marLeft w:val="0"/>
      <w:marRight w:val="0"/>
      <w:marTop w:val="0"/>
      <w:marBottom w:val="0"/>
      <w:divBdr>
        <w:top w:val="none" w:sz="0" w:space="0" w:color="auto"/>
        <w:left w:val="none" w:sz="0" w:space="0" w:color="auto"/>
        <w:bottom w:val="none" w:sz="0" w:space="0" w:color="auto"/>
        <w:right w:val="none" w:sz="0" w:space="0" w:color="auto"/>
      </w:divBdr>
      <w:divsChild>
        <w:div w:id="1850678876">
          <w:marLeft w:val="0"/>
          <w:marRight w:val="0"/>
          <w:marTop w:val="0"/>
          <w:marBottom w:val="0"/>
          <w:divBdr>
            <w:top w:val="none" w:sz="0" w:space="0" w:color="auto"/>
            <w:left w:val="none" w:sz="0" w:space="0" w:color="auto"/>
            <w:bottom w:val="none" w:sz="0" w:space="0" w:color="auto"/>
            <w:right w:val="none" w:sz="0" w:space="0" w:color="auto"/>
          </w:divBdr>
        </w:div>
      </w:divsChild>
    </w:div>
    <w:div w:id="974023544">
      <w:marLeft w:val="0"/>
      <w:marRight w:val="0"/>
      <w:marTop w:val="0"/>
      <w:marBottom w:val="0"/>
      <w:divBdr>
        <w:top w:val="none" w:sz="0" w:space="0" w:color="auto"/>
        <w:left w:val="none" w:sz="0" w:space="0" w:color="auto"/>
        <w:bottom w:val="none" w:sz="0" w:space="0" w:color="auto"/>
        <w:right w:val="none" w:sz="0" w:space="0" w:color="auto"/>
      </w:divBdr>
      <w:divsChild>
        <w:div w:id="1910849278">
          <w:marLeft w:val="0"/>
          <w:marRight w:val="0"/>
          <w:marTop w:val="0"/>
          <w:marBottom w:val="0"/>
          <w:divBdr>
            <w:top w:val="none" w:sz="0" w:space="0" w:color="auto"/>
            <w:left w:val="none" w:sz="0" w:space="0" w:color="auto"/>
            <w:bottom w:val="none" w:sz="0" w:space="0" w:color="auto"/>
            <w:right w:val="none" w:sz="0" w:space="0" w:color="auto"/>
          </w:divBdr>
        </w:div>
      </w:divsChild>
    </w:div>
    <w:div w:id="980161297">
      <w:marLeft w:val="0"/>
      <w:marRight w:val="0"/>
      <w:marTop w:val="0"/>
      <w:marBottom w:val="0"/>
      <w:divBdr>
        <w:top w:val="none" w:sz="0" w:space="0" w:color="auto"/>
        <w:left w:val="none" w:sz="0" w:space="0" w:color="auto"/>
        <w:bottom w:val="none" w:sz="0" w:space="0" w:color="auto"/>
        <w:right w:val="none" w:sz="0" w:space="0" w:color="auto"/>
      </w:divBdr>
      <w:divsChild>
        <w:div w:id="1159618785">
          <w:marLeft w:val="0"/>
          <w:marRight w:val="0"/>
          <w:marTop w:val="0"/>
          <w:marBottom w:val="0"/>
          <w:divBdr>
            <w:top w:val="none" w:sz="0" w:space="0" w:color="auto"/>
            <w:left w:val="none" w:sz="0" w:space="0" w:color="auto"/>
            <w:bottom w:val="none" w:sz="0" w:space="0" w:color="auto"/>
            <w:right w:val="none" w:sz="0" w:space="0" w:color="auto"/>
          </w:divBdr>
        </w:div>
      </w:divsChild>
    </w:div>
    <w:div w:id="988051347">
      <w:marLeft w:val="0"/>
      <w:marRight w:val="0"/>
      <w:marTop w:val="0"/>
      <w:marBottom w:val="0"/>
      <w:divBdr>
        <w:top w:val="none" w:sz="0" w:space="0" w:color="auto"/>
        <w:left w:val="none" w:sz="0" w:space="0" w:color="auto"/>
        <w:bottom w:val="none" w:sz="0" w:space="0" w:color="auto"/>
        <w:right w:val="none" w:sz="0" w:space="0" w:color="auto"/>
      </w:divBdr>
    </w:div>
    <w:div w:id="989794818">
      <w:marLeft w:val="0"/>
      <w:marRight w:val="0"/>
      <w:marTop w:val="0"/>
      <w:marBottom w:val="120"/>
      <w:divBdr>
        <w:top w:val="none" w:sz="0" w:space="0" w:color="auto"/>
        <w:left w:val="none" w:sz="0" w:space="0" w:color="auto"/>
        <w:bottom w:val="none" w:sz="0" w:space="0" w:color="auto"/>
        <w:right w:val="none" w:sz="0" w:space="0" w:color="auto"/>
      </w:divBdr>
    </w:div>
    <w:div w:id="994185826">
      <w:marLeft w:val="0"/>
      <w:marRight w:val="0"/>
      <w:marTop w:val="0"/>
      <w:marBottom w:val="0"/>
      <w:divBdr>
        <w:top w:val="none" w:sz="0" w:space="0" w:color="auto"/>
        <w:left w:val="none" w:sz="0" w:space="0" w:color="auto"/>
        <w:bottom w:val="none" w:sz="0" w:space="0" w:color="auto"/>
        <w:right w:val="none" w:sz="0" w:space="0" w:color="auto"/>
      </w:divBdr>
      <w:divsChild>
        <w:div w:id="357774578">
          <w:marLeft w:val="0"/>
          <w:marRight w:val="0"/>
          <w:marTop w:val="0"/>
          <w:marBottom w:val="0"/>
          <w:divBdr>
            <w:top w:val="none" w:sz="0" w:space="0" w:color="auto"/>
            <w:left w:val="none" w:sz="0" w:space="0" w:color="auto"/>
            <w:bottom w:val="none" w:sz="0" w:space="0" w:color="auto"/>
            <w:right w:val="none" w:sz="0" w:space="0" w:color="auto"/>
          </w:divBdr>
        </w:div>
      </w:divsChild>
    </w:div>
    <w:div w:id="999964558">
      <w:marLeft w:val="0"/>
      <w:marRight w:val="0"/>
      <w:marTop w:val="0"/>
      <w:marBottom w:val="0"/>
      <w:divBdr>
        <w:top w:val="none" w:sz="0" w:space="0" w:color="auto"/>
        <w:left w:val="none" w:sz="0" w:space="0" w:color="auto"/>
        <w:bottom w:val="none" w:sz="0" w:space="0" w:color="auto"/>
        <w:right w:val="none" w:sz="0" w:space="0" w:color="auto"/>
      </w:divBdr>
      <w:divsChild>
        <w:div w:id="1377970377">
          <w:marLeft w:val="0"/>
          <w:marRight w:val="0"/>
          <w:marTop w:val="0"/>
          <w:marBottom w:val="0"/>
          <w:divBdr>
            <w:top w:val="none" w:sz="0" w:space="0" w:color="auto"/>
            <w:left w:val="none" w:sz="0" w:space="0" w:color="auto"/>
            <w:bottom w:val="none" w:sz="0" w:space="0" w:color="auto"/>
            <w:right w:val="none" w:sz="0" w:space="0" w:color="auto"/>
          </w:divBdr>
        </w:div>
      </w:divsChild>
    </w:div>
    <w:div w:id="1001202759">
      <w:marLeft w:val="0"/>
      <w:marRight w:val="0"/>
      <w:marTop w:val="60"/>
      <w:marBottom w:val="120"/>
      <w:divBdr>
        <w:top w:val="none" w:sz="0" w:space="0" w:color="auto"/>
        <w:left w:val="none" w:sz="0" w:space="0" w:color="auto"/>
        <w:bottom w:val="none" w:sz="0" w:space="0" w:color="auto"/>
        <w:right w:val="none" w:sz="0" w:space="0" w:color="auto"/>
      </w:divBdr>
    </w:div>
    <w:div w:id="1016233482">
      <w:marLeft w:val="0"/>
      <w:marRight w:val="0"/>
      <w:marTop w:val="0"/>
      <w:marBottom w:val="0"/>
      <w:divBdr>
        <w:top w:val="none" w:sz="0" w:space="0" w:color="auto"/>
        <w:left w:val="none" w:sz="0" w:space="0" w:color="auto"/>
        <w:bottom w:val="none" w:sz="0" w:space="0" w:color="auto"/>
        <w:right w:val="none" w:sz="0" w:space="0" w:color="auto"/>
      </w:divBdr>
    </w:div>
    <w:div w:id="1023046099">
      <w:marLeft w:val="0"/>
      <w:marRight w:val="0"/>
      <w:marTop w:val="0"/>
      <w:marBottom w:val="120"/>
      <w:divBdr>
        <w:top w:val="none" w:sz="0" w:space="0" w:color="auto"/>
        <w:left w:val="none" w:sz="0" w:space="0" w:color="auto"/>
        <w:bottom w:val="none" w:sz="0" w:space="0" w:color="auto"/>
        <w:right w:val="none" w:sz="0" w:space="0" w:color="auto"/>
      </w:divBdr>
    </w:div>
    <w:div w:id="1025254448">
      <w:marLeft w:val="0"/>
      <w:marRight w:val="0"/>
      <w:marTop w:val="0"/>
      <w:marBottom w:val="120"/>
      <w:divBdr>
        <w:top w:val="none" w:sz="0" w:space="0" w:color="auto"/>
        <w:left w:val="none" w:sz="0" w:space="0" w:color="auto"/>
        <w:bottom w:val="none" w:sz="0" w:space="0" w:color="auto"/>
        <w:right w:val="none" w:sz="0" w:space="0" w:color="auto"/>
      </w:divBdr>
    </w:div>
    <w:div w:id="1031802530">
      <w:marLeft w:val="0"/>
      <w:marRight w:val="0"/>
      <w:marTop w:val="0"/>
      <w:marBottom w:val="0"/>
      <w:divBdr>
        <w:top w:val="none" w:sz="0" w:space="0" w:color="auto"/>
        <w:left w:val="none" w:sz="0" w:space="0" w:color="auto"/>
        <w:bottom w:val="none" w:sz="0" w:space="0" w:color="auto"/>
        <w:right w:val="none" w:sz="0" w:space="0" w:color="auto"/>
      </w:divBdr>
    </w:div>
    <w:div w:id="1033919184">
      <w:marLeft w:val="0"/>
      <w:marRight w:val="0"/>
      <w:marTop w:val="0"/>
      <w:marBottom w:val="0"/>
      <w:divBdr>
        <w:top w:val="none" w:sz="0" w:space="0" w:color="auto"/>
        <w:left w:val="none" w:sz="0" w:space="0" w:color="auto"/>
        <w:bottom w:val="none" w:sz="0" w:space="0" w:color="auto"/>
        <w:right w:val="none" w:sz="0" w:space="0" w:color="auto"/>
      </w:divBdr>
    </w:div>
    <w:div w:id="1037856467">
      <w:marLeft w:val="0"/>
      <w:marRight w:val="0"/>
      <w:marTop w:val="0"/>
      <w:marBottom w:val="0"/>
      <w:divBdr>
        <w:top w:val="none" w:sz="0" w:space="0" w:color="auto"/>
        <w:left w:val="none" w:sz="0" w:space="0" w:color="auto"/>
        <w:bottom w:val="none" w:sz="0" w:space="0" w:color="auto"/>
        <w:right w:val="none" w:sz="0" w:space="0" w:color="auto"/>
      </w:divBdr>
    </w:div>
    <w:div w:id="1041129208">
      <w:marLeft w:val="0"/>
      <w:marRight w:val="0"/>
      <w:marTop w:val="0"/>
      <w:marBottom w:val="0"/>
      <w:divBdr>
        <w:top w:val="none" w:sz="0" w:space="0" w:color="auto"/>
        <w:left w:val="none" w:sz="0" w:space="0" w:color="auto"/>
        <w:bottom w:val="none" w:sz="0" w:space="0" w:color="auto"/>
        <w:right w:val="none" w:sz="0" w:space="0" w:color="auto"/>
      </w:divBdr>
      <w:divsChild>
        <w:div w:id="1080063730">
          <w:marLeft w:val="0"/>
          <w:marRight w:val="0"/>
          <w:marTop w:val="0"/>
          <w:marBottom w:val="0"/>
          <w:divBdr>
            <w:top w:val="none" w:sz="0" w:space="0" w:color="auto"/>
            <w:left w:val="none" w:sz="0" w:space="0" w:color="auto"/>
            <w:bottom w:val="none" w:sz="0" w:space="0" w:color="auto"/>
            <w:right w:val="none" w:sz="0" w:space="0" w:color="auto"/>
          </w:divBdr>
        </w:div>
      </w:divsChild>
    </w:div>
    <w:div w:id="1042751835">
      <w:marLeft w:val="0"/>
      <w:marRight w:val="0"/>
      <w:marTop w:val="0"/>
      <w:marBottom w:val="0"/>
      <w:divBdr>
        <w:top w:val="none" w:sz="0" w:space="0" w:color="auto"/>
        <w:left w:val="none" w:sz="0" w:space="0" w:color="auto"/>
        <w:bottom w:val="none" w:sz="0" w:space="0" w:color="auto"/>
        <w:right w:val="none" w:sz="0" w:space="0" w:color="auto"/>
      </w:divBdr>
      <w:divsChild>
        <w:div w:id="134179002">
          <w:marLeft w:val="0"/>
          <w:marRight w:val="0"/>
          <w:marTop w:val="0"/>
          <w:marBottom w:val="0"/>
          <w:divBdr>
            <w:top w:val="none" w:sz="0" w:space="0" w:color="auto"/>
            <w:left w:val="none" w:sz="0" w:space="0" w:color="auto"/>
            <w:bottom w:val="none" w:sz="0" w:space="0" w:color="auto"/>
            <w:right w:val="none" w:sz="0" w:space="0" w:color="auto"/>
          </w:divBdr>
        </w:div>
      </w:divsChild>
    </w:div>
    <w:div w:id="1044057005">
      <w:marLeft w:val="0"/>
      <w:marRight w:val="0"/>
      <w:marTop w:val="0"/>
      <w:marBottom w:val="0"/>
      <w:divBdr>
        <w:top w:val="none" w:sz="0" w:space="0" w:color="auto"/>
        <w:left w:val="none" w:sz="0" w:space="0" w:color="auto"/>
        <w:bottom w:val="none" w:sz="0" w:space="0" w:color="auto"/>
        <w:right w:val="none" w:sz="0" w:space="0" w:color="auto"/>
      </w:divBdr>
    </w:div>
    <w:div w:id="1050694010">
      <w:marLeft w:val="0"/>
      <w:marRight w:val="0"/>
      <w:marTop w:val="0"/>
      <w:marBottom w:val="0"/>
      <w:divBdr>
        <w:top w:val="none" w:sz="0" w:space="0" w:color="auto"/>
        <w:left w:val="none" w:sz="0" w:space="0" w:color="auto"/>
        <w:bottom w:val="none" w:sz="0" w:space="0" w:color="auto"/>
        <w:right w:val="none" w:sz="0" w:space="0" w:color="auto"/>
      </w:divBdr>
    </w:div>
    <w:div w:id="1054619427">
      <w:marLeft w:val="0"/>
      <w:marRight w:val="0"/>
      <w:marTop w:val="0"/>
      <w:marBottom w:val="0"/>
      <w:divBdr>
        <w:top w:val="none" w:sz="0" w:space="0" w:color="auto"/>
        <w:left w:val="none" w:sz="0" w:space="0" w:color="auto"/>
        <w:bottom w:val="none" w:sz="0" w:space="0" w:color="auto"/>
        <w:right w:val="none" w:sz="0" w:space="0" w:color="auto"/>
      </w:divBdr>
    </w:div>
    <w:div w:id="1060666748">
      <w:marLeft w:val="0"/>
      <w:marRight w:val="0"/>
      <w:marTop w:val="0"/>
      <w:marBottom w:val="0"/>
      <w:divBdr>
        <w:top w:val="none" w:sz="0" w:space="0" w:color="auto"/>
        <w:left w:val="none" w:sz="0" w:space="0" w:color="auto"/>
        <w:bottom w:val="none" w:sz="0" w:space="0" w:color="auto"/>
        <w:right w:val="none" w:sz="0" w:space="0" w:color="auto"/>
      </w:divBdr>
    </w:div>
    <w:div w:id="1064989657">
      <w:marLeft w:val="0"/>
      <w:marRight w:val="0"/>
      <w:marTop w:val="0"/>
      <w:marBottom w:val="0"/>
      <w:divBdr>
        <w:top w:val="none" w:sz="0" w:space="0" w:color="auto"/>
        <w:left w:val="none" w:sz="0" w:space="0" w:color="auto"/>
        <w:bottom w:val="none" w:sz="0" w:space="0" w:color="auto"/>
        <w:right w:val="none" w:sz="0" w:space="0" w:color="auto"/>
      </w:divBdr>
      <w:divsChild>
        <w:div w:id="237138066">
          <w:marLeft w:val="0"/>
          <w:marRight w:val="0"/>
          <w:marTop w:val="0"/>
          <w:marBottom w:val="0"/>
          <w:divBdr>
            <w:top w:val="none" w:sz="0" w:space="0" w:color="auto"/>
            <w:left w:val="none" w:sz="0" w:space="0" w:color="auto"/>
            <w:bottom w:val="none" w:sz="0" w:space="0" w:color="auto"/>
            <w:right w:val="none" w:sz="0" w:space="0" w:color="auto"/>
          </w:divBdr>
        </w:div>
      </w:divsChild>
    </w:div>
    <w:div w:id="1072968977">
      <w:marLeft w:val="0"/>
      <w:marRight w:val="0"/>
      <w:marTop w:val="0"/>
      <w:marBottom w:val="0"/>
      <w:divBdr>
        <w:top w:val="none" w:sz="0" w:space="0" w:color="auto"/>
        <w:left w:val="none" w:sz="0" w:space="0" w:color="auto"/>
        <w:bottom w:val="none" w:sz="0" w:space="0" w:color="auto"/>
        <w:right w:val="none" w:sz="0" w:space="0" w:color="auto"/>
      </w:divBdr>
    </w:div>
    <w:div w:id="1074818066">
      <w:marLeft w:val="0"/>
      <w:marRight w:val="0"/>
      <w:marTop w:val="0"/>
      <w:marBottom w:val="120"/>
      <w:divBdr>
        <w:top w:val="none" w:sz="0" w:space="0" w:color="auto"/>
        <w:left w:val="none" w:sz="0" w:space="0" w:color="auto"/>
        <w:bottom w:val="none" w:sz="0" w:space="0" w:color="auto"/>
        <w:right w:val="none" w:sz="0" w:space="0" w:color="auto"/>
      </w:divBdr>
      <w:divsChild>
        <w:div w:id="77607033">
          <w:marLeft w:val="0"/>
          <w:marRight w:val="0"/>
          <w:marTop w:val="0"/>
          <w:marBottom w:val="0"/>
          <w:divBdr>
            <w:top w:val="none" w:sz="0" w:space="0" w:color="auto"/>
            <w:left w:val="none" w:sz="0" w:space="0" w:color="auto"/>
            <w:bottom w:val="none" w:sz="0" w:space="0" w:color="auto"/>
            <w:right w:val="none" w:sz="0" w:space="0" w:color="auto"/>
          </w:divBdr>
        </w:div>
        <w:div w:id="971907478">
          <w:marLeft w:val="0"/>
          <w:marRight w:val="0"/>
          <w:marTop w:val="0"/>
          <w:marBottom w:val="0"/>
          <w:divBdr>
            <w:top w:val="none" w:sz="0" w:space="0" w:color="auto"/>
            <w:left w:val="none" w:sz="0" w:space="0" w:color="auto"/>
            <w:bottom w:val="none" w:sz="0" w:space="0" w:color="auto"/>
            <w:right w:val="none" w:sz="0" w:space="0" w:color="auto"/>
          </w:divBdr>
        </w:div>
        <w:div w:id="2064256592">
          <w:marLeft w:val="0"/>
          <w:marRight w:val="0"/>
          <w:marTop w:val="0"/>
          <w:marBottom w:val="0"/>
          <w:divBdr>
            <w:top w:val="none" w:sz="0" w:space="0" w:color="auto"/>
            <w:left w:val="none" w:sz="0" w:space="0" w:color="auto"/>
            <w:bottom w:val="none" w:sz="0" w:space="0" w:color="auto"/>
            <w:right w:val="none" w:sz="0" w:space="0" w:color="auto"/>
          </w:divBdr>
        </w:div>
        <w:div w:id="589586722">
          <w:marLeft w:val="0"/>
          <w:marRight w:val="0"/>
          <w:marTop w:val="0"/>
          <w:marBottom w:val="0"/>
          <w:divBdr>
            <w:top w:val="none" w:sz="0" w:space="0" w:color="auto"/>
            <w:left w:val="none" w:sz="0" w:space="0" w:color="auto"/>
            <w:bottom w:val="none" w:sz="0" w:space="0" w:color="auto"/>
            <w:right w:val="none" w:sz="0" w:space="0" w:color="auto"/>
          </w:divBdr>
        </w:div>
        <w:div w:id="88351574">
          <w:marLeft w:val="0"/>
          <w:marRight w:val="0"/>
          <w:marTop w:val="0"/>
          <w:marBottom w:val="0"/>
          <w:divBdr>
            <w:top w:val="none" w:sz="0" w:space="0" w:color="auto"/>
            <w:left w:val="none" w:sz="0" w:space="0" w:color="auto"/>
            <w:bottom w:val="none" w:sz="0" w:space="0" w:color="auto"/>
            <w:right w:val="none" w:sz="0" w:space="0" w:color="auto"/>
          </w:divBdr>
        </w:div>
        <w:div w:id="910624929">
          <w:marLeft w:val="0"/>
          <w:marRight w:val="0"/>
          <w:marTop w:val="0"/>
          <w:marBottom w:val="0"/>
          <w:divBdr>
            <w:top w:val="none" w:sz="0" w:space="0" w:color="auto"/>
            <w:left w:val="none" w:sz="0" w:space="0" w:color="auto"/>
            <w:bottom w:val="none" w:sz="0" w:space="0" w:color="auto"/>
            <w:right w:val="none" w:sz="0" w:space="0" w:color="auto"/>
          </w:divBdr>
        </w:div>
        <w:div w:id="398098264">
          <w:marLeft w:val="0"/>
          <w:marRight w:val="0"/>
          <w:marTop w:val="0"/>
          <w:marBottom w:val="0"/>
          <w:divBdr>
            <w:top w:val="none" w:sz="0" w:space="0" w:color="auto"/>
            <w:left w:val="none" w:sz="0" w:space="0" w:color="auto"/>
            <w:bottom w:val="none" w:sz="0" w:space="0" w:color="auto"/>
            <w:right w:val="none" w:sz="0" w:space="0" w:color="auto"/>
          </w:divBdr>
        </w:div>
        <w:div w:id="274606817">
          <w:marLeft w:val="0"/>
          <w:marRight w:val="0"/>
          <w:marTop w:val="0"/>
          <w:marBottom w:val="0"/>
          <w:divBdr>
            <w:top w:val="none" w:sz="0" w:space="0" w:color="auto"/>
            <w:left w:val="none" w:sz="0" w:space="0" w:color="auto"/>
            <w:bottom w:val="none" w:sz="0" w:space="0" w:color="auto"/>
            <w:right w:val="none" w:sz="0" w:space="0" w:color="auto"/>
          </w:divBdr>
        </w:div>
        <w:div w:id="66349327">
          <w:marLeft w:val="0"/>
          <w:marRight w:val="0"/>
          <w:marTop w:val="0"/>
          <w:marBottom w:val="0"/>
          <w:divBdr>
            <w:top w:val="none" w:sz="0" w:space="0" w:color="auto"/>
            <w:left w:val="none" w:sz="0" w:space="0" w:color="auto"/>
            <w:bottom w:val="none" w:sz="0" w:space="0" w:color="auto"/>
            <w:right w:val="none" w:sz="0" w:space="0" w:color="auto"/>
          </w:divBdr>
        </w:div>
        <w:div w:id="346488833">
          <w:marLeft w:val="0"/>
          <w:marRight w:val="0"/>
          <w:marTop w:val="0"/>
          <w:marBottom w:val="0"/>
          <w:divBdr>
            <w:top w:val="none" w:sz="0" w:space="0" w:color="auto"/>
            <w:left w:val="none" w:sz="0" w:space="0" w:color="auto"/>
            <w:bottom w:val="none" w:sz="0" w:space="0" w:color="auto"/>
            <w:right w:val="none" w:sz="0" w:space="0" w:color="auto"/>
          </w:divBdr>
        </w:div>
        <w:div w:id="801846273">
          <w:marLeft w:val="0"/>
          <w:marRight w:val="0"/>
          <w:marTop w:val="0"/>
          <w:marBottom w:val="0"/>
          <w:divBdr>
            <w:top w:val="none" w:sz="0" w:space="0" w:color="auto"/>
            <w:left w:val="none" w:sz="0" w:space="0" w:color="auto"/>
            <w:bottom w:val="none" w:sz="0" w:space="0" w:color="auto"/>
            <w:right w:val="none" w:sz="0" w:space="0" w:color="auto"/>
          </w:divBdr>
        </w:div>
        <w:div w:id="321130209">
          <w:marLeft w:val="0"/>
          <w:marRight w:val="0"/>
          <w:marTop w:val="0"/>
          <w:marBottom w:val="0"/>
          <w:divBdr>
            <w:top w:val="none" w:sz="0" w:space="0" w:color="auto"/>
            <w:left w:val="none" w:sz="0" w:space="0" w:color="auto"/>
            <w:bottom w:val="none" w:sz="0" w:space="0" w:color="auto"/>
            <w:right w:val="none" w:sz="0" w:space="0" w:color="auto"/>
          </w:divBdr>
        </w:div>
        <w:div w:id="1697267582">
          <w:marLeft w:val="0"/>
          <w:marRight w:val="0"/>
          <w:marTop w:val="0"/>
          <w:marBottom w:val="0"/>
          <w:divBdr>
            <w:top w:val="none" w:sz="0" w:space="0" w:color="auto"/>
            <w:left w:val="none" w:sz="0" w:space="0" w:color="auto"/>
            <w:bottom w:val="none" w:sz="0" w:space="0" w:color="auto"/>
            <w:right w:val="none" w:sz="0" w:space="0" w:color="auto"/>
          </w:divBdr>
        </w:div>
        <w:div w:id="1706448539">
          <w:marLeft w:val="0"/>
          <w:marRight w:val="0"/>
          <w:marTop w:val="0"/>
          <w:marBottom w:val="0"/>
          <w:divBdr>
            <w:top w:val="none" w:sz="0" w:space="0" w:color="auto"/>
            <w:left w:val="none" w:sz="0" w:space="0" w:color="auto"/>
            <w:bottom w:val="none" w:sz="0" w:space="0" w:color="auto"/>
            <w:right w:val="none" w:sz="0" w:space="0" w:color="auto"/>
          </w:divBdr>
        </w:div>
        <w:div w:id="217866109">
          <w:marLeft w:val="0"/>
          <w:marRight w:val="0"/>
          <w:marTop w:val="0"/>
          <w:marBottom w:val="0"/>
          <w:divBdr>
            <w:top w:val="none" w:sz="0" w:space="0" w:color="auto"/>
            <w:left w:val="none" w:sz="0" w:space="0" w:color="auto"/>
            <w:bottom w:val="none" w:sz="0" w:space="0" w:color="auto"/>
            <w:right w:val="none" w:sz="0" w:space="0" w:color="auto"/>
          </w:divBdr>
        </w:div>
        <w:div w:id="1438132980">
          <w:marLeft w:val="0"/>
          <w:marRight w:val="0"/>
          <w:marTop w:val="0"/>
          <w:marBottom w:val="0"/>
          <w:divBdr>
            <w:top w:val="none" w:sz="0" w:space="0" w:color="auto"/>
            <w:left w:val="none" w:sz="0" w:space="0" w:color="auto"/>
            <w:bottom w:val="none" w:sz="0" w:space="0" w:color="auto"/>
            <w:right w:val="none" w:sz="0" w:space="0" w:color="auto"/>
          </w:divBdr>
        </w:div>
        <w:div w:id="1665892220">
          <w:marLeft w:val="0"/>
          <w:marRight w:val="0"/>
          <w:marTop w:val="0"/>
          <w:marBottom w:val="0"/>
          <w:divBdr>
            <w:top w:val="none" w:sz="0" w:space="0" w:color="auto"/>
            <w:left w:val="none" w:sz="0" w:space="0" w:color="auto"/>
            <w:bottom w:val="none" w:sz="0" w:space="0" w:color="auto"/>
            <w:right w:val="none" w:sz="0" w:space="0" w:color="auto"/>
          </w:divBdr>
        </w:div>
        <w:div w:id="1824853919">
          <w:marLeft w:val="0"/>
          <w:marRight w:val="0"/>
          <w:marTop w:val="0"/>
          <w:marBottom w:val="0"/>
          <w:divBdr>
            <w:top w:val="none" w:sz="0" w:space="0" w:color="auto"/>
            <w:left w:val="none" w:sz="0" w:space="0" w:color="auto"/>
            <w:bottom w:val="none" w:sz="0" w:space="0" w:color="auto"/>
            <w:right w:val="none" w:sz="0" w:space="0" w:color="auto"/>
          </w:divBdr>
        </w:div>
        <w:div w:id="1288313024">
          <w:marLeft w:val="0"/>
          <w:marRight w:val="0"/>
          <w:marTop w:val="0"/>
          <w:marBottom w:val="0"/>
          <w:divBdr>
            <w:top w:val="none" w:sz="0" w:space="0" w:color="auto"/>
            <w:left w:val="none" w:sz="0" w:space="0" w:color="auto"/>
            <w:bottom w:val="none" w:sz="0" w:space="0" w:color="auto"/>
            <w:right w:val="none" w:sz="0" w:space="0" w:color="auto"/>
          </w:divBdr>
        </w:div>
        <w:div w:id="188102108">
          <w:marLeft w:val="0"/>
          <w:marRight w:val="0"/>
          <w:marTop w:val="0"/>
          <w:marBottom w:val="0"/>
          <w:divBdr>
            <w:top w:val="none" w:sz="0" w:space="0" w:color="auto"/>
            <w:left w:val="none" w:sz="0" w:space="0" w:color="auto"/>
            <w:bottom w:val="none" w:sz="0" w:space="0" w:color="auto"/>
            <w:right w:val="none" w:sz="0" w:space="0" w:color="auto"/>
          </w:divBdr>
        </w:div>
        <w:div w:id="1352146499">
          <w:marLeft w:val="0"/>
          <w:marRight w:val="0"/>
          <w:marTop w:val="0"/>
          <w:marBottom w:val="0"/>
          <w:divBdr>
            <w:top w:val="none" w:sz="0" w:space="0" w:color="auto"/>
            <w:left w:val="none" w:sz="0" w:space="0" w:color="auto"/>
            <w:bottom w:val="none" w:sz="0" w:space="0" w:color="auto"/>
            <w:right w:val="none" w:sz="0" w:space="0" w:color="auto"/>
          </w:divBdr>
        </w:div>
        <w:div w:id="268047143">
          <w:marLeft w:val="0"/>
          <w:marRight w:val="0"/>
          <w:marTop w:val="0"/>
          <w:marBottom w:val="0"/>
          <w:divBdr>
            <w:top w:val="none" w:sz="0" w:space="0" w:color="auto"/>
            <w:left w:val="none" w:sz="0" w:space="0" w:color="auto"/>
            <w:bottom w:val="none" w:sz="0" w:space="0" w:color="auto"/>
            <w:right w:val="none" w:sz="0" w:space="0" w:color="auto"/>
          </w:divBdr>
        </w:div>
        <w:div w:id="1450396478">
          <w:marLeft w:val="0"/>
          <w:marRight w:val="0"/>
          <w:marTop w:val="0"/>
          <w:marBottom w:val="0"/>
          <w:divBdr>
            <w:top w:val="none" w:sz="0" w:space="0" w:color="auto"/>
            <w:left w:val="none" w:sz="0" w:space="0" w:color="auto"/>
            <w:bottom w:val="none" w:sz="0" w:space="0" w:color="auto"/>
            <w:right w:val="none" w:sz="0" w:space="0" w:color="auto"/>
          </w:divBdr>
        </w:div>
        <w:div w:id="452866709">
          <w:marLeft w:val="0"/>
          <w:marRight w:val="0"/>
          <w:marTop w:val="0"/>
          <w:marBottom w:val="0"/>
          <w:divBdr>
            <w:top w:val="none" w:sz="0" w:space="0" w:color="auto"/>
            <w:left w:val="none" w:sz="0" w:space="0" w:color="auto"/>
            <w:bottom w:val="none" w:sz="0" w:space="0" w:color="auto"/>
            <w:right w:val="none" w:sz="0" w:space="0" w:color="auto"/>
          </w:divBdr>
        </w:div>
        <w:div w:id="598100813">
          <w:marLeft w:val="0"/>
          <w:marRight w:val="0"/>
          <w:marTop w:val="0"/>
          <w:marBottom w:val="0"/>
          <w:divBdr>
            <w:top w:val="none" w:sz="0" w:space="0" w:color="auto"/>
            <w:left w:val="none" w:sz="0" w:space="0" w:color="auto"/>
            <w:bottom w:val="none" w:sz="0" w:space="0" w:color="auto"/>
            <w:right w:val="none" w:sz="0" w:space="0" w:color="auto"/>
          </w:divBdr>
        </w:div>
        <w:div w:id="1886016238">
          <w:marLeft w:val="0"/>
          <w:marRight w:val="0"/>
          <w:marTop w:val="0"/>
          <w:marBottom w:val="0"/>
          <w:divBdr>
            <w:top w:val="none" w:sz="0" w:space="0" w:color="auto"/>
            <w:left w:val="none" w:sz="0" w:space="0" w:color="auto"/>
            <w:bottom w:val="none" w:sz="0" w:space="0" w:color="auto"/>
            <w:right w:val="none" w:sz="0" w:space="0" w:color="auto"/>
          </w:divBdr>
        </w:div>
        <w:div w:id="468977507">
          <w:marLeft w:val="0"/>
          <w:marRight w:val="0"/>
          <w:marTop w:val="0"/>
          <w:marBottom w:val="0"/>
          <w:divBdr>
            <w:top w:val="none" w:sz="0" w:space="0" w:color="auto"/>
            <w:left w:val="none" w:sz="0" w:space="0" w:color="auto"/>
            <w:bottom w:val="none" w:sz="0" w:space="0" w:color="auto"/>
            <w:right w:val="none" w:sz="0" w:space="0" w:color="auto"/>
          </w:divBdr>
        </w:div>
        <w:div w:id="1917546486">
          <w:marLeft w:val="0"/>
          <w:marRight w:val="0"/>
          <w:marTop w:val="0"/>
          <w:marBottom w:val="0"/>
          <w:divBdr>
            <w:top w:val="none" w:sz="0" w:space="0" w:color="auto"/>
            <w:left w:val="none" w:sz="0" w:space="0" w:color="auto"/>
            <w:bottom w:val="none" w:sz="0" w:space="0" w:color="auto"/>
            <w:right w:val="none" w:sz="0" w:space="0" w:color="auto"/>
          </w:divBdr>
        </w:div>
        <w:div w:id="1465200389">
          <w:marLeft w:val="0"/>
          <w:marRight w:val="0"/>
          <w:marTop w:val="0"/>
          <w:marBottom w:val="0"/>
          <w:divBdr>
            <w:top w:val="none" w:sz="0" w:space="0" w:color="auto"/>
            <w:left w:val="none" w:sz="0" w:space="0" w:color="auto"/>
            <w:bottom w:val="none" w:sz="0" w:space="0" w:color="auto"/>
            <w:right w:val="none" w:sz="0" w:space="0" w:color="auto"/>
          </w:divBdr>
        </w:div>
        <w:div w:id="1922984104">
          <w:marLeft w:val="0"/>
          <w:marRight w:val="0"/>
          <w:marTop w:val="0"/>
          <w:marBottom w:val="0"/>
          <w:divBdr>
            <w:top w:val="none" w:sz="0" w:space="0" w:color="auto"/>
            <w:left w:val="none" w:sz="0" w:space="0" w:color="auto"/>
            <w:bottom w:val="none" w:sz="0" w:space="0" w:color="auto"/>
            <w:right w:val="none" w:sz="0" w:space="0" w:color="auto"/>
          </w:divBdr>
        </w:div>
        <w:div w:id="262540022">
          <w:marLeft w:val="0"/>
          <w:marRight w:val="0"/>
          <w:marTop w:val="0"/>
          <w:marBottom w:val="0"/>
          <w:divBdr>
            <w:top w:val="none" w:sz="0" w:space="0" w:color="auto"/>
            <w:left w:val="none" w:sz="0" w:space="0" w:color="auto"/>
            <w:bottom w:val="none" w:sz="0" w:space="0" w:color="auto"/>
            <w:right w:val="none" w:sz="0" w:space="0" w:color="auto"/>
          </w:divBdr>
        </w:div>
        <w:div w:id="2050954851">
          <w:marLeft w:val="0"/>
          <w:marRight w:val="0"/>
          <w:marTop w:val="0"/>
          <w:marBottom w:val="0"/>
          <w:divBdr>
            <w:top w:val="none" w:sz="0" w:space="0" w:color="auto"/>
            <w:left w:val="none" w:sz="0" w:space="0" w:color="auto"/>
            <w:bottom w:val="none" w:sz="0" w:space="0" w:color="auto"/>
            <w:right w:val="none" w:sz="0" w:space="0" w:color="auto"/>
          </w:divBdr>
        </w:div>
        <w:div w:id="1457482018">
          <w:marLeft w:val="0"/>
          <w:marRight w:val="0"/>
          <w:marTop w:val="0"/>
          <w:marBottom w:val="0"/>
          <w:divBdr>
            <w:top w:val="none" w:sz="0" w:space="0" w:color="auto"/>
            <w:left w:val="none" w:sz="0" w:space="0" w:color="auto"/>
            <w:bottom w:val="none" w:sz="0" w:space="0" w:color="auto"/>
            <w:right w:val="none" w:sz="0" w:space="0" w:color="auto"/>
          </w:divBdr>
        </w:div>
        <w:div w:id="1368605496">
          <w:marLeft w:val="0"/>
          <w:marRight w:val="0"/>
          <w:marTop w:val="0"/>
          <w:marBottom w:val="0"/>
          <w:divBdr>
            <w:top w:val="none" w:sz="0" w:space="0" w:color="auto"/>
            <w:left w:val="none" w:sz="0" w:space="0" w:color="auto"/>
            <w:bottom w:val="none" w:sz="0" w:space="0" w:color="auto"/>
            <w:right w:val="none" w:sz="0" w:space="0" w:color="auto"/>
          </w:divBdr>
        </w:div>
      </w:divsChild>
    </w:div>
    <w:div w:id="1087506030">
      <w:marLeft w:val="0"/>
      <w:marRight w:val="0"/>
      <w:marTop w:val="0"/>
      <w:marBottom w:val="0"/>
      <w:divBdr>
        <w:top w:val="none" w:sz="0" w:space="0" w:color="auto"/>
        <w:left w:val="none" w:sz="0" w:space="0" w:color="auto"/>
        <w:bottom w:val="none" w:sz="0" w:space="0" w:color="auto"/>
        <w:right w:val="none" w:sz="0" w:space="0" w:color="auto"/>
      </w:divBdr>
    </w:div>
    <w:div w:id="1091315554">
      <w:marLeft w:val="0"/>
      <w:marRight w:val="0"/>
      <w:marTop w:val="0"/>
      <w:marBottom w:val="0"/>
      <w:divBdr>
        <w:top w:val="none" w:sz="0" w:space="0" w:color="auto"/>
        <w:left w:val="none" w:sz="0" w:space="0" w:color="auto"/>
        <w:bottom w:val="none" w:sz="0" w:space="0" w:color="auto"/>
        <w:right w:val="none" w:sz="0" w:space="0" w:color="auto"/>
      </w:divBdr>
      <w:divsChild>
        <w:div w:id="1680042727">
          <w:marLeft w:val="0"/>
          <w:marRight w:val="0"/>
          <w:marTop w:val="0"/>
          <w:marBottom w:val="0"/>
          <w:divBdr>
            <w:top w:val="none" w:sz="0" w:space="0" w:color="auto"/>
            <w:left w:val="none" w:sz="0" w:space="0" w:color="auto"/>
            <w:bottom w:val="none" w:sz="0" w:space="0" w:color="auto"/>
            <w:right w:val="none" w:sz="0" w:space="0" w:color="auto"/>
          </w:divBdr>
        </w:div>
      </w:divsChild>
    </w:div>
    <w:div w:id="1096484767">
      <w:marLeft w:val="0"/>
      <w:marRight w:val="0"/>
      <w:marTop w:val="0"/>
      <w:marBottom w:val="0"/>
      <w:divBdr>
        <w:top w:val="none" w:sz="0" w:space="0" w:color="auto"/>
        <w:left w:val="none" w:sz="0" w:space="0" w:color="auto"/>
        <w:bottom w:val="none" w:sz="0" w:space="0" w:color="auto"/>
        <w:right w:val="none" w:sz="0" w:space="0" w:color="auto"/>
      </w:divBdr>
      <w:divsChild>
        <w:div w:id="276522159">
          <w:marLeft w:val="0"/>
          <w:marRight w:val="0"/>
          <w:marTop w:val="0"/>
          <w:marBottom w:val="0"/>
          <w:divBdr>
            <w:top w:val="none" w:sz="0" w:space="0" w:color="auto"/>
            <w:left w:val="none" w:sz="0" w:space="0" w:color="auto"/>
            <w:bottom w:val="none" w:sz="0" w:space="0" w:color="auto"/>
            <w:right w:val="none" w:sz="0" w:space="0" w:color="auto"/>
          </w:divBdr>
        </w:div>
      </w:divsChild>
    </w:div>
    <w:div w:id="1104571925">
      <w:marLeft w:val="0"/>
      <w:marRight w:val="0"/>
      <w:marTop w:val="0"/>
      <w:marBottom w:val="0"/>
      <w:divBdr>
        <w:top w:val="none" w:sz="0" w:space="0" w:color="auto"/>
        <w:left w:val="none" w:sz="0" w:space="0" w:color="auto"/>
        <w:bottom w:val="none" w:sz="0" w:space="0" w:color="auto"/>
        <w:right w:val="none" w:sz="0" w:space="0" w:color="auto"/>
      </w:divBdr>
    </w:div>
    <w:div w:id="1105347853">
      <w:marLeft w:val="0"/>
      <w:marRight w:val="0"/>
      <w:marTop w:val="0"/>
      <w:marBottom w:val="120"/>
      <w:divBdr>
        <w:top w:val="none" w:sz="0" w:space="0" w:color="auto"/>
        <w:left w:val="none" w:sz="0" w:space="0" w:color="auto"/>
        <w:bottom w:val="none" w:sz="0" w:space="0" w:color="auto"/>
        <w:right w:val="none" w:sz="0" w:space="0" w:color="auto"/>
      </w:divBdr>
    </w:div>
    <w:div w:id="1106850979">
      <w:marLeft w:val="0"/>
      <w:marRight w:val="0"/>
      <w:marTop w:val="0"/>
      <w:marBottom w:val="0"/>
      <w:divBdr>
        <w:top w:val="none" w:sz="0" w:space="0" w:color="auto"/>
        <w:left w:val="none" w:sz="0" w:space="0" w:color="auto"/>
        <w:bottom w:val="none" w:sz="0" w:space="0" w:color="auto"/>
        <w:right w:val="none" w:sz="0" w:space="0" w:color="auto"/>
      </w:divBdr>
    </w:div>
    <w:div w:id="1114252093">
      <w:marLeft w:val="0"/>
      <w:marRight w:val="0"/>
      <w:marTop w:val="0"/>
      <w:marBottom w:val="0"/>
      <w:divBdr>
        <w:top w:val="none" w:sz="0" w:space="0" w:color="auto"/>
        <w:left w:val="none" w:sz="0" w:space="0" w:color="auto"/>
        <w:bottom w:val="none" w:sz="0" w:space="0" w:color="auto"/>
        <w:right w:val="none" w:sz="0" w:space="0" w:color="auto"/>
      </w:divBdr>
      <w:divsChild>
        <w:div w:id="1027216884">
          <w:marLeft w:val="0"/>
          <w:marRight w:val="0"/>
          <w:marTop w:val="0"/>
          <w:marBottom w:val="0"/>
          <w:divBdr>
            <w:top w:val="none" w:sz="0" w:space="0" w:color="auto"/>
            <w:left w:val="none" w:sz="0" w:space="0" w:color="auto"/>
            <w:bottom w:val="none" w:sz="0" w:space="0" w:color="auto"/>
            <w:right w:val="none" w:sz="0" w:space="0" w:color="auto"/>
          </w:divBdr>
        </w:div>
      </w:divsChild>
    </w:div>
    <w:div w:id="1118254712">
      <w:marLeft w:val="0"/>
      <w:marRight w:val="0"/>
      <w:marTop w:val="0"/>
      <w:marBottom w:val="120"/>
      <w:divBdr>
        <w:top w:val="none" w:sz="0" w:space="0" w:color="auto"/>
        <w:left w:val="none" w:sz="0" w:space="0" w:color="auto"/>
        <w:bottom w:val="none" w:sz="0" w:space="0" w:color="auto"/>
        <w:right w:val="none" w:sz="0" w:space="0" w:color="auto"/>
      </w:divBdr>
      <w:divsChild>
        <w:div w:id="2077824068">
          <w:marLeft w:val="0"/>
          <w:marRight w:val="0"/>
          <w:marTop w:val="0"/>
          <w:marBottom w:val="0"/>
          <w:divBdr>
            <w:top w:val="none" w:sz="0" w:space="0" w:color="auto"/>
            <w:left w:val="none" w:sz="0" w:space="0" w:color="auto"/>
            <w:bottom w:val="none" w:sz="0" w:space="0" w:color="auto"/>
            <w:right w:val="none" w:sz="0" w:space="0" w:color="auto"/>
          </w:divBdr>
        </w:div>
      </w:divsChild>
    </w:div>
    <w:div w:id="1122307130">
      <w:marLeft w:val="0"/>
      <w:marRight w:val="0"/>
      <w:marTop w:val="0"/>
      <w:marBottom w:val="0"/>
      <w:divBdr>
        <w:top w:val="none" w:sz="0" w:space="0" w:color="auto"/>
        <w:left w:val="none" w:sz="0" w:space="0" w:color="auto"/>
        <w:bottom w:val="none" w:sz="0" w:space="0" w:color="auto"/>
        <w:right w:val="none" w:sz="0" w:space="0" w:color="auto"/>
      </w:divBdr>
    </w:div>
    <w:div w:id="1125076330">
      <w:marLeft w:val="0"/>
      <w:marRight w:val="0"/>
      <w:marTop w:val="0"/>
      <w:marBottom w:val="120"/>
      <w:divBdr>
        <w:top w:val="none" w:sz="0" w:space="0" w:color="auto"/>
        <w:left w:val="none" w:sz="0" w:space="0" w:color="auto"/>
        <w:bottom w:val="none" w:sz="0" w:space="0" w:color="auto"/>
        <w:right w:val="none" w:sz="0" w:space="0" w:color="auto"/>
      </w:divBdr>
    </w:div>
    <w:div w:id="1125778661">
      <w:marLeft w:val="0"/>
      <w:marRight w:val="0"/>
      <w:marTop w:val="0"/>
      <w:marBottom w:val="0"/>
      <w:divBdr>
        <w:top w:val="none" w:sz="0" w:space="0" w:color="auto"/>
        <w:left w:val="none" w:sz="0" w:space="0" w:color="auto"/>
        <w:bottom w:val="none" w:sz="0" w:space="0" w:color="auto"/>
        <w:right w:val="none" w:sz="0" w:space="0" w:color="auto"/>
      </w:divBdr>
    </w:div>
    <w:div w:id="1128548102">
      <w:marLeft w:val="0"/>
      <w:marRight w:val="0"/>
      <w:marTop w:val="0"/>
      <w:marBottom w:val="0"/>
      <w:divBdr>
        <w:top w:val="none" w:sz="0" w:space="0" w:color="auto"/>
        <w:left w:val="none" w:sz="0" w:space="0" w:color="auto"/>
        <w:bottom w:val="none" w:sz="0" w:space="0" w:color="auto"/>
        <w:right w:val="none" w:sz="0" w:space="0" w:color="auto"/>
      </w:divBdr>
      <w:divsChild>
        <w:div w:id="1429620215">
          <w:marLeft w:val="0"/>
          <w:marRight w:val="0"/>
          <w:marTop w:val="0"/>
          <w:marBottom w:val="0"/>
          <w:divBdr>
            <w:top w:val="none" w:sz="0" w:space="0" w:color="auto"/>
            <w:left w:val="none" w:sz="0" w:space="0" w:color="auto"/>
            <w:bottom w:val="none" w:sz="0" w:space="0" w:color="auto"/>
            <w:right w:val="none" w:sz="0" w:space="0" w:color="auto"/>
          </w:divBdr>
        </w:div>
      </w:divsChild>
    </w:div>
    <w:div w:id="1128667913">
      <w:marLeft w:val="0"/>
      <w:marRight w:val="0"/>
      <w:marTop w:val="0"/>
      <w:marBottom w:val="0"/>
      <w:divBdr>
        <w:top w:val="none" w:sz="0" w:space="0" w:color="auto"/>
        <w:left w:val="none" w:sz="0" w:space="0" w:color="auto"/>
        <w:bottom w:val="none" w:sz="0" w:space="0" w:color="auto"/>
        <w:right w:val="none" w:sz="0" w:space="0" w:color="auto"/>
      </w:divBdr>
      <w:divsChild>
        <w:div w:id="1498156041">
          <w:marLeft w:val="0"/>
          <w:marRight w:val="0"/>
          <w:marTop w:val="0"/>
          <w:marBottom w:val="0"/>
          <w:divBdr>
            <w:top w:val="none" w:sz="0" w:space="0" w:color="auto"/>
            <w:left w:val="none" w:sz="0" w:space="0" w:color="auto"/>
            <w:bottom w:val="none" w:sz="0" w:space="0" w:color="auto"/>
            <w:right w:val="none" w:sz="0" w:space="0" w:color="auto"/>
          </w:divBdr>
        </w:div>
      </w:divsChild>
    </w:div>
    <w:div w:id="1130979504">
      <w:marLeft w:val="0"/>
      <w:marRight w:val="0"/>
      <w:marTop w:val="0"/>
      <w:marBottom w:val="0"/>
      <w:divBdr>
        <w:top w:val="none" w:sz="0" w:space="0" w:color="auto"/>
        <w:left w:val="none" w:sz="0" w:space="0" w:color="auto"/>
        <w:bottom w:val="none" w:sz="0" w:space="0" w:color="auto"/>
        <w:right w:val="none" w:sz="0" w:space="0" w:color="auto"/>
      </w:divBdr>
    </w:div>
    <w:div w:id="1132677272">
      <w:marLeft w:val="0"/>
      <w:marRight w:val="0"/>
      <w:marTop w:val="0"/>
      <w:marBottom w:val="0"/>
      <w:divBdr>
        <w:top w:val="none" w:sz="0" w:space="0" w:color="auto"/>
        <w:left w:val="none" w:sz="0" w:space="0" w:color="auto"/>
        <w:bottom w:val="none" w:sz="0" w:space="0" w:color="auto"/>
        <w:right w:val="none" w:sz="0" w:space="0" w:color="auto"/>
      </w:divBdr>
    </w:div>
    <w:div w:id="1132796041">
      <w:marLeft w:val="0"/>
      <w:marRight w:val="0"/>
      <w:marTop w:val="0"/>
      <w:marBottom w:val="0"/>
      <w:divBdr>
        <w:top w:val="none" w:sz="0" w:space="0" w:color="auto"/>
        <w:left w:val="none" w:sz="0" w:space="0" w:color="auto"/>
        <w:bottom w:val="none" w:sz="0" w:space="0" w:color="auto"/>
        <w:right w:val="none" w:sz="0" w:space="0" w:color="auto"/>
      </w:divBdr>
    </w:div>
    <w:div w:id="1135635348">
      <w:marLeft w:val="0"/>
      <w:marRight w:val="0"/>
      <w:marTop w:val="0"/>
      <w:marBottom w:val="0"/>
      <w:divBdr>
        <w:top w:val="none" w:sz="0" w:space="0" w:color="auto"/>
        <w:left w:val="none" w:sz="0" w:space="0" w:color="auto"/>
        <w:bottom w:val="none" w:sz="0" w:space="0" w:color="auto"/>
        <w:right w:val="none" w:sz="0" w:space="0" w:color="auto"/>
      </w:divBdr>
      <w:divsChild>
        <w:div w:id="1573661430">
          <w:marLeft w:val="0"/>
          <w:marRight w:val="0"/>
          <w:marTop w:val="0"/>
          <w:marBottom w:val="0"/>
          <w:divBdr>
            <w:top w:val="none" w:sz="0" w:space="0" w:color="auto"/>
            <w:left w:val="none" w:sz="0" w:space="0" w:color="auto"/>
            <w:bottom w:val="none" w:sz="0" w:space="0" w:color="auto"/>
            <w:right w:val="none" w:sz="0" w:space="0" w:color="auto"/>
          </w:divBdr>
        </w:div>
      </w:divsChild>
    </w:div>
    <w:div w:id="1139147842">
      <w:marLeft w:val="0"/>
      <w:marRight w:val="0"/>
      <w:marTop w:val="0"/>
      <w:marBottom w:val="0"/>
      <w:divBdr>
        <w:top w:val="none" w:sz="0" w:space="0" w:color="auto"/>
        <w:left w:val="none" w:sz="0" w:space="0" w:color="auto"/>
        <w:bottom w:val="none" w:sz="0" w:space="0" w:color="auto"/>
        <w:right w:val="none" w:sz="0" w:space="0" w:color="auto"/>
      </w:divBdr>
    </w:div>
    <w:div w:id="1145470001">
      <w:marLeft w:val="0"/>
      <w:marRight w:val="0"/>
      <w:marTop w:val="0"/>
      <w:marBottom w:val="120"/>
      <w:divBdr>
        <w:top w:val="none" w:sz="0" w:space="0" w:color="auto"/>
        <w:left w:val="none" w:sz="0" w:space="0" w:color="auto"/>
        <w:bottom w:val="none" w:sz="0" w:space="0" w:color="auto"/>
        <w:right w:val="none" w:sz="0" w:space="0" w:color="auto"/>
      </w:divBdr>
    </w:div>
    <w:div w:id="1146702508">
      <w:marLeft w:val="0"/>
      <w:marRight w:val="0"/>
      <w:marTop w:val="0"/>
      <w:marBottom w:val="0"/>
      <w:divBdr>
        <w:top w:val="none" w:sz="0" w:space="0" w:color="auto"/>
        <w:left w:val="none" w:sz="0" w:space="0" w:color="auto"/>
        <w:bottom w:val="none" w:sz="0" w:space="0" w:color="auto"/>
        <w:right w:val="none" w:sz="0" w:space="0" w:color="auto"/>
      </w:divBdr>
    </w:div>
    <w:div w:id="1151167503">
      <w:marLeft w:val="0"/>
      <w:marRight w:val="0"/>
      <w:marTop w:val="0"/>
      <w:marBottom w:val="0"/>
      <w:divBdr>
        <w:top w:val="none" w:sz="0" w:space="0" w:color="auto"/>
        <w:left w:val="none" w:sz="0" w:space="0" w:color="auto"/>
        <w:bottom w:val="none" w:sz="0" w:space="0" w:color="auto"/>
        <w:right w:val="none" w:sz="0" w:space="0" w:color="auto"/>
      </w:divBdr>
    </w:div>
    <w:div w:id="1155219937">
      <w:marLeft w:val="0"/>
      <w:marRight w:val="0"/>
      <w:marTop w:val="0"/>
      <w:marBottom w:val="0"/>
      <w:divBdr>
        <w:top w:val="none" w:sz="0" w:space="0" w:color="auto"/>
        <w:left w:val="none" w:sz="0" w:space="0" w:color="auto"/>
        <w:bottom w:val="none" w:sz="0" w:space="0" w:color="auto"/>
        <w:right w:val="none" w:sz="0" w:space="0" w:color="auto"/>
      </w:divBdr>
      <w:divsChild>
        <w:div w:id="403375676">
          <w:marLeft w:val="0"/>
          <w:marRight w:val="0"/>
          <w:marTop w:val="0"/>
          <w:marBottom w:val="0"/>
          <w:divBdr>
            <w:top w:val="none" w:sz="0" w:space="0" w:color="auto"/>
            <w:left w:val="none" w:sz="0" w:space="0" w:color="auto"/>
            <w:bottom w:val="none" w:sz="0" w:space="0" w:color="auto"/>
            <w:right w:val="none" w:sz="0" w:space="0" w:color="auto"/>
          </w:divBdr>
        </w:div>
      </w:divsChild>
    </w:div>
    <w:div w:id="1159348259">
      <w:marLeft w:val="0"/>
      <w:marRight w:val="0"/>
      <w:marTop w:val="0"/>
      <w:marBottom w:val="0"/>
      <w:divBdr>
        <w:top w:val="none" w:sz="0" w:space="0" w:color="auto"/>
        <w:left w:val="none" w:sz="0" w:space="0" w:color="auto"/>
        <w:bottom w:val="none" w:sz="0" w:space="0" w:color="auto"/>
        <w:right w:val="none" w:sz="0" w:space="0" w:color="auto"/>
      </w:divBdr>
    </w:div>
    <w:div w:id="1161114558">
      <w:marLeft w:val="0"/>
      <w:marRight w:val="0"/>
      <w:marTop w:val="0"/>
      <w:marBottom w:val="0"/>
      <w:divBdr>
        <w:top w:val="none" w:sz="0" w:space="0" w:color="auto"/>
        <w:left w:val="none" w:sz="0" w:space="0" w:color="auto"/>
        <w:bottom w:val="none" w:sz="0" w:space="0" w:color="auto"/>
        <w:right w:val="none" w:sz="0" w:space="0" w:color="auto"/>
      </w:divBdr>
      <w:divsChild>
        <w:div w:id="1587152087">
          <w:marLeft w:val="0"/>
          <w:marRight w:val="0"/>
          <w:marTop w:val="0"/>
          <w:marBottom w:val="0"/>
          <w:divBdr>
            <w:top w:val="none" w:sz="0" w:space="0" w:color="auto"/>
            <w:left w:val="none" w:sz="0" w:space="0" w:color="auto"/>
            <w:bottom w:val="none" w:sz="0" w:space="0" w:color="auto"/>
            <w:right w:val="none" w:sz="0" w:space="0" w:color="auto"/>
          </w:divBdr>
        </w:div>
      </w:divsChild>
    </w:div>
    <w:div w:id="1168523018">
      <w:marLeft w:val="0"/>
      <w:marRight w:val="0"/>
      <w:marTop w:val="0"/>
      <w:marBottom w:val="0"/>
      <w:divBdr>
        <w:top w:val="none" w:sz="0" w:space="0" w:color="auto"/>
        <w:left w:val="none" w:sz="0" w:space="0" w:color="auto"/>
        <w:bottom w:val="none" w:sz="0" w:space="0" w:color="auto"/>
        <w:right w:val="none" w:sz="0" w:space="0" w:color="auto"/>
      </w:divBdr>
      <w:divsChild>
        <w:div w:id="657617313">
          <w:marLeft w:val="0"/>
          <w:marRight w:val="0"/>
          <w:marTop w:val="0"/>
          <w:marBottom w:val="0"/>
          <w:divBdr>
            <w:top w:val="none" w:sz="0" w:space="0" w:color="auto"/>
            <w:left w:val="none" w:sz="0" w:space="0" w:color="auto"/>
            <w:bottom w:val="none" w:sz="0" w:space="0" w:color="auto"/>
            <w:right w:val="none" w:sz="0" w:space="0" w:color="auto"/>
          </w:divBdr>
        </w:div>
      </w:divsChild>
    </w:div>
    <w:div w:id="1171870661">
      <w:marLeft w:val="0"/>
      <w:marRight w:val="0"/>
      <w:marTop w:val="0"/>
      <w:marBottom w:val="0"/>
      <w:divBdr>
        <w:top w:val="none" w:sz="0" w:space="0" w:color="auto"/>
        <w:left w:val="none" w:sz="0" w:space="0" w:color="auto"/>
        <w:bottom w:val="none" w:sz="0" w:space="0" w:color="auto"/>
        <w:right w:val="none" w:sz="0" w:space="0" w:color="auto"/>
      </w:divBdr>
    </w:div>
    <w:div w:id="1173642464">
      <w:marLeft w:val="0"/>
      <w:marRight w:val="0"/>
      <w:marTop w:val="0"/>
      <w:marBottom w:val="0"/>
      <w:divBdr>
        <w:top w:val="none" w:sz="0" w:space="0" w:color="auto"/>
        <w:left w:val="none" w:sz="0" w:space="0" w:color="auto"/>
        <w:bottom w:val="none" w:sz="0" w:space="0" w:color="auto"/>
        <w:right w:val="none" w:sz="0" w:space="0" w:color="auto"/>
      </w:divBdr>
      <w:divsChild>
        <w:div w:id="288629174">
          <w:marLeft w:val="0"/>
          <w:marRight w:val="0"/>
          <w:marTop w:val="0"/>
          <w:marBottom w:val="0"/>
          <w:divBdr>
            <w:top w:val="none" w:sz="0" w:space="0" w:color="auto"/>
            <w:left w:val="none" w:sz="0" w:space="0" w:color="auto"/>
            <w:bottom w:val="none" w:sz="0" w:space="0" w:color="auto"/>
            <w:right w:val="none" w:sz="0" w:space="0" w:color="auto"/>
          </w:divBdr>
        </w:div>
      </w:divsChild>
    </w:div>
    <w:div w:id="1175724163">
      <w:marLeft w:val="0"/>
      <w:marRight w:val="0"/>
      <w:marTop w:val="0"/>
      <w:marBottom w:val="0"/>
      <w:divBdr>
        <w:top w:val="none" w:sz="0" w:space="0" w:color="auto"/>
        <w:left w:val="none" w:sz="0" w:space="0" w:color="auto"/>
        <w:bottom w:val="none" w:sz="0" w:space="0" w:color="auto"/>
        <w:right w:val="none" w:sz="0" w:space="0" w:color="auto"/>
      </w:divBdr>
    </w:div>
    <w:div w:id="1177042208">
      <w:marLeft w:val="0"/>
      <w:marRight w:val="0"/>
      <w:marTop w:val="0"/>
      <w:marBottom w:val="120"/>
      <w:divBdr>
        <w:top w:val="none" w:sz="0" w:space="0" w:color="auto"/>
        <w:left w:val="none" w:sz="0" w:space="0" w:color="auto"/>
        <w:bottom w:val="none" w:sz="0" w:space="0" w:color="auto"/>
        <w:right w:val="none" w:sz="0" w:space="0" w:color="auto"/>
      </w:divBdr>
    </w:div>
    <w:div w:id="1185483497">
      <w:marLeft w:val="0"/>
      <w:marRight w:val="0"/>
      <w:marTop w:val="0"/>
      <w:marBottom w:val="0"/>
      <w:divBdr>
        <w:top w:val="none" w:sz="0" w:space="0" w:color="auto"/>
        <w:left w:val="none" w:sz="0" w:space="0" w:color="auto"/>
        <w:bottom w:val="none" w:sz="0" w:space="0" w:color="auto"/>
        <w:right w:val="none" w:sz="0" w:space="0" w:color="auto"/>
      </w:divBdr>
    </w:div>
    <w:div w:id="1195847114">
      <w:marLeft w:val="0"/>
      <w:marRight w:val="0"/>
      <w:marTop w:val="0"/>
      <w:marBottom w:val="0"/>
      <w:divBdr>
        <w:top w:val="none" w:sz="0" w:space="0" w:color="auto"/>
        <w:left w:val="none" w:sz="0" w:space="0" w:color="auto"/>
        <w:bottom w:val="none" w:sz="0" w:space="0" w:color="auto"/>
        <w:right w:val="none" w:sz="0" w:space="0" w:color="auto"/>
      </w:divBdr>
      <w:divsChild>
        <w:div w:id="1624194201">
          <w:marLeft w:val="0"/>
          <w:marRight w:val="0"/>
          <w:marTop w:val="0"/>
          <w:marBottom w:val="0"/>
          <w:divBdr>
            <w:top w:val="none" w:sz="0" w:space="0" w:color="auto"/>
            <w:left w:val="none" w:sz="0" w:space="0" w:color="auto"/>
            <w:bottom w:val="none" w:sz="0" w:space="0" w:color="auto"/>
            <w:right w:val="none" w:sz="0" w:space="0" w:color="auto"/>
          </w:divBdr>
        </w:div>
      </w:divsChild>
    </w:div>
    <w:div w:id="1199850731">
      <w:marLeft w:val="0"/>
      <w:marRight w:val="0"/>
      <w:marTop w:val="0"/>
      <w:marBottom w:val="0"/>
      <w:divBdr>
        <w:top w:val="none" w:sz="0" w:space="0" w:color="auto"/>
        <w:left w:val="none" w:sz="0" w:space="0" w:color="auto"/>
        <w:bottom w:val="none" w:sz="0" w:space="0" w:color="auto"/>
        <w:right w:val="none" w:sz="0" w:space="0" w:color="auto"/>
      </w:divBdr>
    </w:div>
    <w:div w:id="1216158494">
      <w:marLeft w:val="0"/>
      <w:marRight w:val="0"/>
      <w:marTop w:val="0"/>
      <w:marBottom w:val="0"/>
      <w:divBdr>
        <w:top w:val="none" w:sz="0" w:space="0" w:color="auto"/>
        <w:left w:val="none" w:sz="0" w:space="0" w:color="auto"/>
        <w:bottom w:val="none" w:sz="0" w:space="0" w:color="auto"/>
        <w:right w:val="none" w:sz="0" w:space="0" w:color="auto"/>
      </w:divBdr>
      <w:divsChild>
        <w:div w:id="1045522064">
          <w:marLeft w:val="0"/>
          <w:marRight w:val="0"/>
          <w:marTop w:val="0"/>
          <w:marBottom w:val="0"/>
          <w:divBdr>
            <w:top w:val="none" w:sz="0" w:space="0" w:color="auto"/>
            <w:left w:val="none" w:sz="0" w:space="0" w:color="auto"/>
            <w:bottom w:val="none" w:sz="0" w:space="0" w:color="auto"/>
            <w:right w:val="none" w:sz="0" w:space="0" w:color="auto"/>
          </w:divBdr>
        </w:div>
      </w:divsChild>
    </w:div>
    <w:div w:id="1218203081">
      <w:marLeft w:val="0"/>
      <w:marRight w:val="0"/>
      <w:marTop w:val="0"/>
      <w:marBottom w:val="0"/>
      <w:divBdr>
        <w:top w:val="none" w:sz="0" w:space="0" w:color="auto"/>
        <w:left w:val="none" w:sz="0" w:space="0" w:color="auto"/>
        <w:bottom w:val="none" w:sz="0" w:space="0" w:color="auto"/>
        <w:right w:val="none" w:sz="0" w:space="0" w:color="auto"/>
      </w:divBdr>
      <w:divsChild>
        <w:div w:id="1515146267">
          <w:marLeft w:val="0"/>
          <w:marRight w:val="0"/>
          <w:marTop w:val="0"/>
          <w:marBottom w:val="0"/>
          <w:divBdr>
            <w:top w:val="none" w:sz="0" w:space="0" w:color="auto"/>
            <w:left w:val="none" w:sz="0" w:space="0" w:color="auto"/>
            <w:bottom w:val="none" w:sz="0" w:space="0" w:color="auto"/>
            <w:right w:val="none" w:sz="0" w:space="0" w:color="auto"/>
          </w:divBdr>
        </w:div>
      </w:divsChild>
    </w:div>
    <w:div w:id="1229000285">
      <w:marLeft w:val="0"/>
      <w:marRight w:val="0"/>
      <w:marTop w:val="0"/>
      <w:marBottom w:val="0"/>
      <w:divBdr>
        <w:top w:val="none" w:sz="0" w:space="0" w:color="auto"/>
        <w:left w:val="none" w:sz="0" w:space="0" w:color="auto"/>
        <w:bottom w:val="none" w:sz="0" w:space="0" w:color="auto"/>
        <w:right w:val="none" w:sz="0" w:space="0" w:color="auto"/>
      </w:divBdr>
      <w:divsChild>
        <w:div w:id="2030401383">
          <w:marLeft w:val="0"/>
          <w:marRight w:val="0"/>
          <w:marTop w:val="0"/>
          <w:marBottom w:val="0"/>
          <w:divBdr>
            <w:top w:val="none" w:sz="0" w:space="0" w:color="auto"/>
            <w:left w:val="none" w:sz="0" w:space="0" w:color="auto"/>
            <w:bottom w:val="none" w:sz="0" w:space="0" w:color="auto"/>
            <w:right w:val="none" w:sz="0" w:space="0" w:color="auto"/>
          </w:divBdr>
        </w:div>
      </w:divsChild>
    </w:div>
    <w:div w:id="1232736490">
      <w:marLeft w:val="0"/>
      <w:marRight w:val="0"/>
      <w:marTop w:val="0"/>
      <w:marBottom w:val="120"/>
      <w:divBdr>
        <w:top w:val="none" w:sz="0" w:space="0" w:color="auto"/>
        <w:left w:val="none" w:sz="0" w:space="0" w:color="auto"/>
        <w:bottom w:val="none" w:sz="0" w:space="0" w:color="auto"/>
        <w:right w:val="none" w:sz="0" w:space="0" w:color="auto"/>
      </w:divBdr>
    </w:div>
    <w:div w:id="1259558036">
      <w:marLeft w:val="0"/>
      <w:marRight w:val="0"/>
      <w:marTop w:val="0"/>
      <w:marBottom w:val="0"/>
      <w:divBdr>
        <w:top w:val="none" w:sz="0" w:space="0" w:color="auto"/>
        <w:left w:val="none" w:sz="0" w:space="0" w:color="auto"/>
        <w:bottom w:val="none" w:sz="0" w:space="0" w:color="auto"/>
        <w:right w:val="none" w:sz="0" w:space="0" w:color="auto"/>
      </w:divBdr>
      <w:divsChild>
        <w:div w:id="1858422110">
          <w:marLeft w:val="0"/>
          <w:marRight w:val="0"/>
          <w:marTop w:val="0"/>
          <w:marBottom w:val="0"/>
          <w:divBdr>
            <w:top w:val="none" w:sz="0" w:space="0" w:color="auto"/>
            <w:left w:val="none" w:sz="0" w:space="0" w:color="auto"/>
            <w:bottom w:val="none" w:sz="0" w:space="0" w:color="auto"/>
            <w:right w:val="none" w:sz="0" w:space="0" w:color="auto"/>
          </w:divBdr>
        </w:div>
      </w:divsChild>
    </w:div>
    <w:div w:id="1265069529">
      <w:marLeft w:val="0"/>
      <w:marRight w:val="0"/>
      <w:marTop w:val="0"/>
      <w:marBottom w:val="0"/>
      <w:divBdr>
        <w:top w:val="none" w:sz="0" w:space="0" w:color="auto"/>
        <w:left w:val="none" w:sz="0" w:space="0" w:color="auto"/>
        <w:bottom w:val="none" w:sz="0" w:space="0" w:color="auto"/>
        <w:right w:val="none" w:sz="0" w:space="0" w:color="auto"/>
      </w:divBdr>
    </w:div>
    <w:div w:id="1267617246">
      <w:marLeft w:val="0"/>
      <w:marRight w:val="0"/>
      <w:marTop w:val="0"/>
      <w:marBottom w:val="0"/>
      <w:divBdr>
        <w:top w:val="none" w:sz="0" w:space="0" w:color="auto"/>
        <w:left w:val="none" w:sz="0" w:space="0" w:color="auto"/>
        <w:bottom w:val="none" w:sz="0" w:space="0" w:color="auto"/>
        <w:right w:val="none" w:sz="0" w:space="0" w:color="auto"/>
      </w:divBdr>
    </w:div>
    <w:div w:id="1268271229">
      <w:marLeft w:val="0"/>
      <w:marRight w:val="0"/>
      <w:marTop w:val="0"/>
      <w:marBottom w:val="0"/>
      <w:divBdr>
        <w:top w:val="none" w:sz="0" w:space="0" w:color="auto"/>
        <w:left w:val="none" w:sz="0" w:space="0" w:color="auto"/>
        <w:bottom w:val="none" w:sz="0" w:space="0" w:color="auto"/>
        <w:right w:val="none" w:sz="0" w:space="0" w:color="auto"/>
      </w:divBdr>
    </w:div>
    <w:div w:id="1269435235">
      <w:marLeft w:val="0"/>
      <w:marRight w:val="0"/>
      <w:marTop w:val="0"/>
      <w:marBottom w:val="0"/>
      <w:divBdr>
        <w:top w:val="none" w:sz="0" w:space="0" w:color="auto"/>
        <w:left w:val="none" w:sz="0" w:space="0" w:color="auto"/>
        <w:bottom w:val="none" w:sz="0" w:space="0" w:color="auto"/>
        <w:right w:val="none" w:sz="0" w:space="0" w:color="auto"/>
      </w:divBdr>
      <w:divsChild>
        <w:div w:id="849836476">
          <w:marLeft w:val="0"/>
          <w:marRight w:val="0"/>
          <w:marTop w:val="0"/>
          <w:marBottom w:val="0"/>
          <w:divBdr>
            <w:top w:val="none" w:sz="0" w:space="0" w:color="auto"/>
            <w:left w:val="none" w:sz="0" w:space="0" w:color="auto"/>
            <w:bottom w:val="none" w:sz="0" w:space="0" w:color="auto"/>
            <w:right w:val="none" w:sz="0" w:space="0" w:color="auto"/>
          </w:divBdr>
        </w:div>
      </w:divsChild>
    </w:div>
    <w:div w:id="1273245989">
      <w:marLeft w:val="0"/>
      <w:marRight w:val="0"/>
      <w:marTop w:val="0"/>
      <w:marBottom w:val="0"/>
      <w:divBdr>
        <w:top w:val="none" w:sz="0" w:space="0" w:color="auto"/>
        <w:left w:val="none" w:sz="0" w:space="0" w:color="auto"/>
        <w:bottom w:val="none" w:sz="0" w:space="0" w:color="auto"/>
        <w:right w:val="none" w:sz="0" w:space="0" w:color="auto"/>
      </w:divBdr>
    </w:div>
    <w:div w:id="1276986839">
      <w:marLeft w:val="0"/>
      <w:marRight w:val="0"/>
      <w:marTop w:val="0"/>
      <w:marBottom w:val="0"/>
      <w:divBdr>
        <w:top w:val="none" w:sz="0" w:space="0" w:color="auto"/>
        <w:left w:val="none" w:sz="0" w:space="0" w:color="auto"/>
        <w:bottom w:val="none" w:sz="0" w:space="0" w:color="auto"/>
        <w:right w:val="none" w:sz="0" w:space="0" w:color="auto"/>
      </w:divBdr>
      <w:divsChild>
        <w:div w:id="1851331294">
          <w:marLeft w:val="0"/>
          <w:marRight w:val="0"/>
          <w:marTop w:val="0"/>
          <w:marBottom w:val="0"/>
          <w:divBdr>
            <w:top w:val="none" w:sz="0" w:space="0" w:color="auto"/>
            <w:left w:val="none" w:sz="0" w:space="0" w:color="auto"/>
            <w:bottom w:val="none" w:sz="0" w:space="0" w:color="auto"/>
            <w:right w:val="none" w:sz="0" w:space="0" w:color="auto"/>
          </w:divBdr>
        </w:div>
      </w:divsChild>
    </w:div>
    <w:div w:id="1279336849">
      <w:marLeft w:val="0"/>
      <w:marRight w:val="0"/>
      <w:marTop w:val="0"/>
      <w:marBottom w:val="0"/>
      <w:divBdr>
        <w:top w:val="none" w:sz="0" w:space="0" w:color="auto"/>
        <w:left w:val="none" w:sz="0" w:space="0" w:color="auto"/>
        <w:bottom w:val="none" w:sz="0" w:space="0" w:color="auto"/>
        <w:right w:val="none" w:sz="0" w:space="0" w:color="auto"/>
      </w:divBdr>
    </w:div>
    <w:div w:id="1287156870">
      <w:marLeft w:val="0"/>
      <w:marRight w:val="0"/>
      <w:marTop w:val="0"/>
      <w:marBottom w:val="0"/>
      <w:divBdr>
        <w:top w:val="none" w:sz="0" w:space="0" w:color="auto"/>
        <w:left w:val="none" w:sz="0" w:space="0" w:color="auto"/>
        <w:bottom w:val="none" w:sz="0" w:space="0" w:color="auto"/>
        <w:right w:val="none" w:sz="0" w:space="0" w:color="auto"/>
      </w:divBdr>
    </w:div>
    <w:div w:id="1288468062">
      <w:marLeft w:val="0"/>
      <w:marRight w:val="0"/>
      <w:marTop w:val="0"/>
      <w:marBottom w:val="120"/>
      <w:divBdr>
        <w:top w:val="none" w:sz="0" w:space="0" w:color="auto"/>
        <w:left w:val="none" w:sz="0" w:space="0" w:color="auto"/>
        <w:bottom w:val="none" w:sz="0" w:space="0" w:color="auto"/>
        <w:right w:val="none" w:sz="0" w:space="0" w:color="auto"/>
      </w:divBdr>
    </w:div>
    <w:div w:id="1295524410">
      <w:marLeft w:val="0"/>
      <w:marRight w:val="0"/>
      <w:marTop w:val="0"/>
      <w:marBottom w:val="0"/>
      <w:divBdr>
        <w:top w:val="none" w:sz="0" w:space="0" w:color="auto"/>
        <w:left w:val="none" w:sz="0" w:space="0" w:color="auto"/>
        <w:bottom w:val="none" w:sz="0" w:space="0" w:color="auto"/>
        <w:right w:val="none" w:sz="0" w:space="0" w:color="auto"/>
      </w:divBdr>
      <w:divsChild>
        <w:div w:id="1922566710">
          <w:marLeft w:val="0"/>
          <w:marRight w:val="0"/>
          <w:marTop w:val="0"/>
          <w:marBottom w:val="0"/>
          <w:divBdr>
            <w:top w:val="none" w:sz="0" w:space="0" w:color="auto"/>
            <w:left w:val="none" w:sz="0" w:space="0" w:color="auto"/>
            <w:bottom w:val="none" w:sz="0" w:space="0" w:color="auto"/>
            <w:right w:val="none" w:sz="0" w:space="0" w:color="auto"/>
          </w:divBdr>
        </w:div>
      </w:divsChild>
    </w:div>
    <w:div w:id="1298073996">
      <w:marLeft w:val="0"/>
      <w:marRight w:val="0"/>
      <w:marTop w:val="0"/>
      <w:marBottom w:val="0"/>
      <w:divBdr>
        <w:top w:val="none" w:sz="0" w:space="0" w:color="auto"/>
        <w:left w:val="none" w:sz="0" w:space="0" w:color="auto"/>
        <w:bottom w:val="none" w:sz="0" w:space="0" w:color="auto"/>
        <w:right w:val="none" w:sz="0" w:space="0" w:color="auto"/>
      </w:divBdr>
      <w:divsChild>
        <w:div w:id="1987974628">
          <w:marLeft w:val="0"/>
          <w:marRight w:val="0"/>
          <w:marTop w:val="0"/>
          <w:marBottom w:val="0"/>
          <w:divBdr>
            <w:top w:val="none" w:sz="0" w:space="0" w:color="auto"/>
            <w:left w:val="none" w:sz="0" w:space="0" w:color="auto"/>
            <w:bottom w:val="none" w:sz="0" w:space="0" w:color="auto"/>
            <w:right w:val="none" w:sz="0" w:space="0" w:color="auto"/>
          </w:divBdr>
        </w:div>
      </w:divsChild>
    </w:div>
    <w:div w:id="1305702183">
      <w:marLeft w:val="0"/>
      <w:marRight w:val="0"/>
      <w:marTop w:val="0"/>
      <w:marBottom w:val="0"/>
      <w:divBdr>
        <w:top w:val="none" w:sz="0" w:space="0" w:color="auto"/>
        <w:left w:val="none" w:sz="0" w:space="0" w:color="auto"/>
        <w:bottom w:val="none" w:sz="0" w:space="0" w:color="auto"/>
        <w:right w:val="none" w:sz="0" w:space="0" w:color="auto"/>
      </w:divBdr>
    </w:div>
    <w:div w:id="1307708808">
      <w:marLeft w:val="0"/>
      <w:marRight w:val="0"/>
      <w:marTop w:val="0"/>
      <w:marBottom w:val="0"/>
      <w:divBdr>
        <w:top w:val="none" w:sz="0" w:space="0" w:color="auto"/>
        <w:left w:val="none" w:sz="0" w:space="0" w:color="auto"/>
        <w:bottom w:val="none" w:sz="0" w:space="0" w:color="auto"/>
        <w:right w:val="none" w:sz="0" w:space="0" w:color="auto"/>
      </w:divBdr>
    </w:div>
    <w:div w:id="1309553805">
      <w:marLeft w:val="0"/>
      <w:marRight w:val="0"/>
      <w:marTop w:val="0"/>
      <w:marBottom w:val="0"/>
      <w:divBdr>
        <w:top w:val="none" w:sz="0" w:space="0" w:color="auto"/>
        <w:left w:val="none" w:sz="0" w:space="0" w:color="auto"/>
        <w:bottom w:val="none" w:sz="0" w:space="0" w:color="auto"/>
        <w:right w:val="none" w:sz="0" w:space="0" w:color="auto"/>
      </w:divBdr>
      <w:divsChild>
        <w:div w:id="960303654">
          <w:marLeft w:val="0"/>
          <w:marRight w:val="0"/>
          <w:marTop w:val="0"/>
          <w:marBottom w:val="0"/>
          <w:divBdr>
            <w:top w:val="none" w:sz="0" w:space="0" w:color="auto"/>
            <w:left w:val="none" w:sz="0" w:space="0" w:color="auto"/>
            <w:bottom w:val="none" w:sz="0" w:space="0" w:color="auto"/>
            <w:right w:val="none" w:sz="0" w:space="0" w:color="auto"/>
          </w:divBdr>
        </w:div>
      </w:divsChild>
    </w:div>
    <w:div w:id="1318991523">
      <w:marLeft w:val="0"/>
      <w:marRight w:val="0"/>
      <w:marTop w:val="0"/>
      <w:marBottom w:val="0"/>
      <w:divBdr>
        <w:top w:val="none" w:sz="0" w:space="0" w:color="auto"/>
        <w:left w:val="none" w:sz="0" w:space="0" w:color="auto"/>
        <w:bottom w:val="none" w:sz="0" w:space="0" w:color="auto"/>
        <w:right w:val="none" w:sz="0" w:space="0" w:color="auto"/>
      </w:divBdr>
    </w:div>
    <w:div w:id="1327131960">
      <w:marLeft w:val="0"/>
      <w:marRight w:val="0"/>
      <w:marTop w:val="0"/>
      <w:marBottom w:val="0"/>
      <w:divBdr>
        <w:top w:val="none" w:sz="0" w:space="0" w:color="auto"/>
        <w:left w:val="none" w:sz="0" w:space="0" w:color="auto"/>
        <w:bottom w:val="none" w:sz="0" w:space="0" w:color="auto"/>
        <w:right w:val="none" w:sz="0" w:space="0" w:color="auto"/>
      </w:divBdr>
    </w:div>
    <w:div w:id="1332217924">
      <w:marLeft w:val="0"/>
      <w:marRight w:val="0"/>
      <w:marTop w:val="0"/>
      <w:marBottom w:val="0"/>
      <w:divBdr>
        <w:top w:val="none" w:sz="0" w:space="0" w:color="auto"/>
        <w:left w:val="none" w:sz="0" w:space="0" w:color="auto"/>
        <w:bottom w:val="none" w:sz="0" w:space="0" w:color="auto"/>
        <w:right w:val="none" w:sz="0" w:space="0" w:color="auto"/>
      </w:divBdr>
      <w:divsChild>
        <w:div w:id="1776049174">
          <w:marLeft w:val="0"/>
          <w:marRight w:val="0"/>
          <w:marTop w:val="0"/>
          <w:marBottom w:val="0"/>
          <w:divBdr>
            <w:top w:val="none" w:sz="0" w:space="0" w:color="auto"/>
            <w:left w:val="none" w:sz="0" w:space="0" w:color="auto"/>
            <w:bottom w:val="none" w:sz="0" w:space="0" w:color="auto"/>
            <w:right w:val="none" w:sz="0" w:space="0" w:color="auto"/>
          </w:divBdr>
        </w:div>
      </w:divsChild>
    </w:div>
    <w:div w:id="1335917990">
      <w:marLeft w:val="0"/>
      <w:marRight w:val="0"/>
      <w:marTop w:val="0"/>
      <w:marBottom w:val="0"/>
      <w:divBdr>
        <w:top w:val="none" w:sz="0" w:space="0" w:color="auto"/>
        <w:left w:val="none" w:sz="0" w:space="0" w:color="auto"/>
        <w:bottom w:val="none" w:sz="0" w:space="0" w:color="auto"/>
        <w:right w:val="none" w:sz="0" w:space="0" w:color="auto"/>
      </w:divBdr>
    </w:div>
    <w:div w:id="1336421730">
      <w:marLeft w:val="0"/>
      <w:marRight w:val="0"/>
      <w:marTop w:val="0"/>
      <w:marBottom w:val="0"/>
      <w:divBdr>
        <w:top w:val="none" w:sz="0" w:space="0" w:color="auto"/>
        <w:left w:val="none" w:sz="0" w:space="0" w:color="auto"/>
        <w:bottom w:val="none" w:sz="0" w:space="0" w:color="auto"/>
        <w:right w:val="none" w:sz="0" w:space="0" w:color="auto"/>
      </w:divBdr>
      <w:divsChild>
        <w:div w:id="1341853352">
          <w:marLeft w:val="0"/>
          <w:marRight w:val="0"/>
          <w:marTop w:val="0"/>
          <w:marBottom w:val="0"/>
          <w:divBdr>
            <w:top w:val="none" w:sz="0" w:space="0" w:color="auto"/>
            <w:left w:val="none" w:sz="0" w:space="0" w:color="auto"/>
            <w:bottom w:val="none" w:sz="0" w:space="0" w:color="auto"/>
            <w:right w:val="none" w:sz="0" w:space="0" w:color="auto"/>
          </w:divBdr>
        </w:div>
      </w:divsChild>
    </w:div>
    <w:div w:id="1337927145">
      <w:marLeft w:val="0"/>
      <w:marRight w:val="0"/>
      <w:marTop w:val="0"/>
      <w:marBottom w:val="120"/>
      <w:divBdr>
        <w:top w:val="none" w:sz="0" w:space="0" w:color="auto"/>
        <w:left w:val="none" w:sz="0" w:space="0" w:color="auto"/>
        <w:bottom w:val="none" w:sz="0" w:space="0" w:color="auto"/>
        <w:right w:val="none" w:sz="0" w:space="0" w:color="auto"/>
      </w:divBdr>
      <w:divsChild>
        <w:div w:id="256526236">
          <w:marLeft w:val="0"/>
          <w:marRight w:val="0"/>
          <w:marTop w:val="0"/>
          <w:marBottom w:val="0"/>
          <w:divBdr>
            <w:top w:val="none" w:sz="0" w:space="0" w:color="auto"/>
            <w:left w:val="none" w:sz="0" w:space="0" w:color="auto"/>
            <w:bottom w:val="none" w:sz="0" w:space="0" w:color="auto"/>
            <w:right w:val="none" w:sz="0" w:space="0" w:color="auto"/>
          </w:divBdr>
        </w:div>
        <w:div w:id="1177501282">
          <w:marLeft w:val="0"/>
          <w:marRight w:val="0"/>
          <w:marTop w:val="0"/>
          <w:marBottom w:val="0"/>
          <w:divBdr>
            <w:top w:val="none" w:sz="0" w:space="0" w:color="auto"/>
            <w:left w:val="none" w:sz="0" w:space="0" w:color="auto"/>
            <w:bottom w:val="none" w:sz="0" w:space="0" w:color="auto"/>
            <w:right w:val="none" w:sz="0" w:space="0" w:color="auto"/>
          </w:divBdr>
        </w:div>
        <w:div w:id="1448967950">
          <w:marLeft w:val="0"/>
          <w:marRight w:val="0"/>
          <w:marTop w:val="0"/>
          <w:marBottom w:val="0"/>
          <w:divBdr>
            <w:top w:val="none" w:sz="0" w:space="0" w:color="auto"/>
            <w:left w:val="none" w:sz="0" w:space="0" w:color="auto"/>
            <w:bottom w:val="none" w:sz="0" w:space="0" w:color="auto"/>
            <w:right w:val="none" w:sz="0" w:space="0" w:color="auto"/>
          </w:divBdr>
        </w:div>
        <w:div w:id="1956324209">
          <w:marLeft w:val="0"/>
          <w:marRight w:val="0"/>
          <w:marTop w:val="0"/>
          <w:marBottom w:val="0"/>
          <w:divBdr>
            <w:top w:val="none" w:sz="0" w:space="0" w:color="auto"/>
            <w:left w:val="none" w:sz="0" w:space="0" w:color="auto"/>
            <w:bottom w:val="none" w:sz="0" w:space="0" w:color="auto"/>
            <w:right w:val="none" w:sz="0" w:space="0" w:color="auto"/>
          </w:divBdr>
        </w:div>
        <w:div w:id="809858113">
          <w:marLeft w:val="0"/>
          <w:marRight w:val="0"/>
          <w:marTop w:val="0"/>
          <w:marBottom w:val="0"/>
          <w:divBdr>
            <w:top w:val="none" w:sz="0" w:space="0" w:color="auto"/>
            <w:left w:val="none" w:sz="0" w:space="0" w:color="auto"/>
            <w:bottom w:val="none" w:sz="0" w:space="0" w:color="auto"/>
            <w:right w:val="none" w:sz="0" w:space="0" w:color="auto"/>
          </w:divBdr>
        </w:div>
        <w:div w:id="497888255">
          <w:marLeft w:val="0"/>
          <w:marRight w:val="0"/>
          <w:marTop w:val="0"/>
          <w:marBottom w:val="0"/>
          <w:divBdr>
            <w:top w:val="none" w:sz="0" w:space="0" w:color="auto"/>
            <w:left w:val="none" w:sz="0" w:space="0" w:color="auto"/>
            <w:bottom w:val="none" w:sz="0" w:space="0" w:color="auto"/>
            <w:right w:val="none" w:sz="0" w:space="0" w:color="auto"/>
          </w:divBdr>
        </w:div>
        <w:div w:id="1573660023">
          <w:marLeft w:val="0"/>
          <w:marRight w:val="0"/>
          <w:marTop w:val="0"/>
          <w:marBottom w:val="0"/>
          <w:divBdr>
            <w:top w:val="none" w:sz="0" w:space="0" w:color="auto"/>
            <w:left w:val="none" w:sz="0" w:space="0" w:color="auto"/>
            <w:bottom w:val="none" w:sz="0" w:space="0" w:color="auto"/>
            <w:right w:val="none" w:sz="0" w:space="0" w:color="auto"/>
          </w:divBdr>
        </w:div>
        <w:div w:id="1646816740">
          <w:marLeft w:val="0"/>
          <w:marRight w:val="0"/>
          <w:marTop w:val="0"/>
          <w:marBottom w:val="0"/>
          <w:divBdr>
            <w:top w:val="none" w:sz="0" w:space="0" w:color="auto"/>
            <w:left w:val="none" w:sz="0" w:space="0" w:color="auto"/>
            <w:bottom w:val="none" w:sz="0" w:space="0" w:color="auto"/>
            <w:right w:val="none" w:sz="0" w:space="0" w:color="auto"/>
          </w:divBdr>
        </w:div>
        <w:div w:id="2068919912">
          <w:marLeft w:val="0"/>
          <w:marRight w:val="0"/>
          <w:marTop w:val="0"/>
          <w:marBottom w:val="0"/>
          <w:divBdr>
            <w:top w:val="none" w:sz="0" w:space="0" w:color="auto"/>
            <w:left w:val="none" w:sz="0" w:space="0" w:color="auto"/>
            <w:bottom w:val="none" w:sz="0" w:space="0" w:color="auto"/>
            <w:right w:val="none" w:sz="0" w:space="0" w:color="auto"/>
          </w:divBdr>
        </w:div>
        <w:div w:id="1458598751">
          <w:marLeft w:val="0"/>
          <w:marRight w:val="0"/>
          <w:marTop w:val="0"/>
          <w:marBottom w:val="0"/>
          <w:divBdr>
            <w:top w:val="none" w:sz="0" w:space="0" w:color="auto"/>
            <w:left w:val="none" w:sz="0" w:space="0" w:color="auto"/>
            <w:bottom w:val="none" w:sz="0" w:space="0" w:color="auto"/>
            <w:right w:val="none" w:sz="0" w:space="0" w:color="auto"/>
          </w:divBdr>
        </w:div>
        <w:div w:id="571893385">
          <w:marLeft w:val="0"/>
          <w:marRight w:val="0"/>
          <w:marTop w:val="0"/>
          <w:marBottom w:val="0"/>
          <w:divBdr>
            <w:top w:val="none" w:sz="0" w:space="0" w:color="auto"/>
            <w:left w:val="none" w:sz="0" w:space="0" w:color="auto"/>
            <w:bottom w:val="none" w:sz="0" w:space="0" w:color="auto"/>
            <w:right w:val="none" w:sz="0" w:space="0" w:color="auto"/>
          </w:divBdr>
        </w:div>
      </w:divsChild>
    </w:div>
    <w:div w:id="1344747268">
      <w:marLeft w:val="0"/>
      <w:marRight w:val="0"/>
      <w:marTop w:val="0"/>
      <w:marBottom w:val="120"/>
      <w:divBdr>
        <w:top w:val="none" w:sz="0" w:space="0" w:color="auto"/>
        <w:left w:val="none" w:sz="0" w:space="0" w:color="auto"/>
        <w:bottom w:val="none" w:sz="0" w:space="0" w:color="auto"/>
        <w:right w:val="none" w:sz="0" w:space="0" w:color="auto"/>
      </w:divBdr>
      <w:divsChild>
        <w:div w:id="1121221979">
          <w:marLeft w:val="0"/>
          <w:marRight w:val="0"/>
          <w:marTop w:val="0"/>
          <w:marBottom w:val="0"/>
          <w:divBdr>
            <w:top w:val="none" w:sz="0" w:space="0" w:color="auto"/>
            <w:left w:val="none" w:sz="0" w:space="0" w:color="auto"/>
            <w:bottom w:val="none" w:sz="0" w:space="0" w:color="auto"/>
            <w:right w:val="none" w:sz="0" w:space="0" w:color="auto"/>
          </w:divBdr>
        </w:div>
        <w:div w:id="1082414578">
          <w:marLeft w:val="0"/>
          <w:marRight w:val="0"/>
          <w:marTop w:val="0"/>
          <w:marBottom w:val="0"/>
          <w:divBdr>
            <w:top w:val="none" w:sz="0" w:space="0" w:color="auto"/>
            <w:left w:val="none" w:sz="0" w:space="0" w:color="auto"/>
            <w:bottom w:val="none" w:sz="0" w:space="0" w:color="auto"/>
            <w:right w:val="none" w:sz="0" w:space="0" w:color="auto"/>
          </w:divBdr>
        </w:div>
      </w:divsChild>
    </w:div>
    <w:div w:id="1355158857">
      <w:marLeft w:val="0"/>
      <w:marRight w:val="0"/>
      <w:marTop w:val="0"/>
      <w:marBottom w:val="120"/>
      <w:divBdr>
        <w:top w:val="none" w:sz="0" w:space="0" w:color="auto"/>
        <w:left w:val="none" w:sz="0" w:space="0" w:color="auto"/>
        <w:bottom w:val="none" w:sz="0" w:space="0" w:color="auto"/>
        <w:right w:val="none" w:sz="0" w:space="0" w:color="auto"/>
      </w:divBdr>
    </w:div>
    <w:div w:id="1355616600">
      <w:marLeft w:val="0"/>
      <w:marRight w:val="0"/>
      <w:marTop w:val="0"/>
      <w:marBottom w:val="0"/>
      <w:divBdr>
        <w:top w:val="none" w:sz="0" w:space="0" w:color="auto"/>
        <w:left w:val="none" w:sz="0" w:space="0" w:color="auto"/>
        <w:bottom w:val="none" w:sz="0" w:space="0" w:color="auto"/>
        <w:right w:val="none" w:sz="0" w:space="0" w:color="auto"/>
      </w:divBdr>
    </w:div>
    <w:div w:id="1357000258">
      <w:marLeft w:val="0"/>
      <w:marRight w:val="0"/>
      <w:marTop w:val="0"/>
      <w:marBottom w:val="120"/>
      <w:divBdr>
        <w:top w:val="none" w:sz="0" w:space="0" w:color="auto"/>
        <w:left w:val="none" w:sz="0" w:space="0" w:color="auto"/>
        <w:bottom w:val="none" w:sz="0" w:space="0" w:color="auto"/>
        <w:right w:val="none" w:sz="0" w:space="0" w:color="auto"/>
      </w:divBdr>
    </w:div>
    <w:div w:id="1359233836">
      <w:marLeft w:val="0"/>
      <w:marRight w:val="0"/>
      <w:marTop w:val="0"/>
      <w:marBottom w:val="0"/>
      <w:divBdr>
        <w:top w:val="none" w:sz="0" w:space="0" w:color="auto"/>
        <w:left w:val="none" w:sz="0" w:space="0" w:color="auto"/>
        <w:bottom w:val="none" w:sz="0" w:space="0" w:color="auto"/>
        <w:right w:val="none" w:sz="0" w:space="0" w:color="auto"/>
      </w:divBdr>
      <w:divsChild>
        <w:div w:id="43258630">
          <w:marLeft w:val="0"/>
          <w:marRight w:val="0"/>
          <w:marTop w:val="0"/>
          <w:marBottom w:val="0"/>
          <w:divBdr>
            <w:top w:val="none" w:sz="0" w:space="0" w:color="auto"/>
            <w:left w:val="none" w:sz="0" w:space="0" w:color="auto"/>
            <w:bottom w:val="none" w:sz="0" w:space="0" w:color="auto"/>
            <w:right w:val="none" w:sz="0" w:space="0" w:color="auto"/>
          </w:divBdr>
        </w:div>
      </w:divsChild>
    </w:div>
    <w:div w:id="1371609247">
      <w:marLeft w:val="0"/>
      <w:marRight w:val="0"/>
      <w:marTop w:val="0"/>
      <w:marBottom w:val="120"/>
      <w:divBdr>
        <w:top w:val="none" w:sz="0" w:space="0" w:color="auto"/>
        <w:left w:val="none" w:sz="0" w:space="0" w:color="auto"/>
        <w:bottom w:val="none" w:sz="0" w:space="0" w:color="auto"/>
        <w:right w:val="none" w:sz="0" w:space="0" w:color="auto"/>
      </w:divBdr>
    </w:div>
    <w:div w:id="1376655395">
      <w:marLeft w:val="0"/>
      <w:marRight w:val="0"/>
      <w:marTop w:val="0"/>
      <w:marBottom w:val="0"/>
      <w:divBdr>
        <w:top w:val="none" w:sz="0" w:space="0" w:color="auto"/>
        <w:left w:val="none" w:sz="0" w:space="0" w:color="auto"/>
        <w:bottom w:val="none" w:sz="0" w:space="0" w:color="auto"/>
        <w:right w:val="none" w:sz="0" w:space="0" w:color="auto"/>
      </w:divBdr>
    </w:div>
    <w:div w:id="1378775282">
      <w:marLeft w:val="0"/>
      <w:marRight w:val="0"/>
      <w:marTop w:val="0"/>
      <w:marBottom w:val="0"/>
      <w:divBdr>
        <w:top w:val="none" w:sz="0" w:space="0" w:color="auto"/>
        <w:left w:val="none" w:sz="0" w:space="0" w:color="auto"/>
        <w:bottom w:val="none" w:sz="0" w:space="0" w:color="auto"/>
        <w:right w:val="none" w:sz="0" w:space="0" w:color="auto"/>
      </w:divBdr>
    </w:div>
    <w:div w:id="1380207685">
      <w:marLeft w:val="0"/>
      <w:marRight w:val="0"/>
      <w:marTop w:val="0"/>
      <w:marBottom w:val="0"/>
      <w:divBdr>
        <w:top w:val="none" w:sz="0" w:space="0" w:color="auto"/>
        <w:left w:val="none" w:sz="0" w:space="0" w:color="auto"/>
        <w:bottom w:val="none" w:sz="0" w:space="0" w:color="auto"/>
        <w:right w:val="none" w:sz="0" w:space="0" w:color="auto"/>
      </w:divBdr>
    </w:div>
    <w:div w:id="1380401255">
      <w:marLeft w:val="0"/>
      <w:marRight w:val="0"/>
      <w:marTop w:val="0"/>
      <w:marBottom w:val="120"/>
      <w:divBdr>
        <w:top w:val="none" w:sz="0" w:space="0" w:color="auto"/>
        <w:left w:val="none" w:sz="0" w:space="0" w:color="auto"/>
        <w:bottom w:val="none" w:sz="0" w:space="0" w:color="auto"/>
        <w:right w:val="none" w:sz="0" w:space="0" w:color="auto"/>
      </w:divBdr>
    </w:div>
    <w:div w:id="1380978311">
      <w:marLeft w:val="0"/>
      <w:marRight w:val="0"/>
      <w:marTop w:val="0"/>
      <w:marBottom w:val="0"/>
      <w:divBdr>
        <w:top w:val="none" w:sz="0" w:space="0" w:color="auto"/>
        <w:left w:val="none" w:sz="0" w:space="0" w:color="auto"/>
        <w:bottom w:val="none" w:sz="0" w:space="0" w:color="auto"/>
        <w:right w:val="none" w:sz="0" w:space="0" w:color="auto"/>
      </w:divBdr>
      <w:divsChild>
        <w:div w:id="967049431">
          <w:marLeft w:val="0"/>
          <w:marRight w:val="0"/>
          <w:marTop w:val="0"/>
          <w:marBottom w:val="0"/>
          <w:divBdr>
            <w:top w:val="none" w:sz="0" w:space="0" w:color="auto"/>
            <w:left w:val="none" w:sz="0" w:space="0" w:color="auto"/>
            <w:bottom w:val="none" w:sz="0" w:space="0" w:color="auto"/>
            <w:right w:val="none" w:sz="0" w:space="0" w:color="auto"/>
          </w:divBdr>
        </w:div>
      </w:divsChild>
    </w:div>
    <w:div w:id="1384871594">
      <w:marLeft w:val="0"/>
      <w:marRight w:val="0"/>
      <w:marTop w:val="0"/>
      <w:marBottom w:val="0"/>
      <w:divBdr>
        <w:top w:val="none" w:sz="0" w:space="0" w:color="auto"/>
        <w:left w:val="none" w:sz="0" w:space="0" w:color="auto"/>
        <w:bottom w:val="none" w:sz="0" w:space="0" w:color="auto"/>
        <w:right w:val="none" w:sz="0" w:space="0" w:color="auto"/>
      </w:divBdr>
    </w:div>
    <w:div w:id="1387493037">
      <w:marLeft w:val="0"/>
      <w:marRight w:val="0"/>
      <w:marTop w:val="0"/>
      <w:marBottom w:val="0"/>
      <w:divBdr>
        <w:top w:val="none" w:sz="0" w:space="0" w:color="auto"/>
        <w:left w:val="none" w:sz="0" w:space="0" w:color="auto"/>
        <w:bottom w:val="none" w:sz="0" w:space="0" w:color="auto"/>
        <w:right w:val="none" w:sz="0" w:space="0" w:color="auto"/>
      </w:divBdr>
    </w:div>
    <w:div w:id="1394281336">
      <w:marLeft w:val="0"/>
      <w:marRight w:val="0"/>
      <w:marTop w:val="0"/>
      <w:marBottom w:val="0"/>
      <w:divBdr>
        <w:top w:val="none" w:sz="0" w:space="0" w:color="auto"/>
        <w:left w:val="none" w:sz="0" w:space="0" w:color="auto"/>
        <w:bottom w:val="none" w:sz="0" w:space="0" w:color="auto"/>
        <w:right w:val="none" w:sz="0" w:space="0" w:color="auto"/>
      </w:divBdr>
    </w:div>
    <w:div w:id="1395541029">
      <w:marLeft w:val="0"/>
      <w:marRight w:val="0"/>
      <w:marTop w:val="0"/>
      <w:marBottom w:val="0"/>
      <w:divBdr>
        <w:top w:val="none" w:sz="0" w:space="0" w:color="auto"/>
        <w:left w:val="none" w:sz="0" w:space="0" w:color="auto"/>
        <w:bottom w:val="none" w:sz="0" w:space="0" w:color="auto"/>
        <w:right w:val="none" w:sz="0" w:space="0" w:color="auto"/>
      </w:divBdr>
    </w:div>
    <w:div w:id="1396322560">
      <w:marLeft w:val="0"/>
      <w:marRight w:val="0"/>
      <w:marTop w:val="0"/>
      <w:marBottom w:val="0"/>
      <w:divBdr>
        <w:top w:val="none" w:sz="0" w:space="0" w:color="auto"/>
        <w:left w:val="none" w:sz="0" w:space="0" w:color="auto"/>
        <w:bottom w:val="none" w:sz="0" w:space="0" w:color="auto"/>
        <w:right w:val="none" w:sz="0" w:space="0" w:color="auto"/>
      </w:divBdr>
      <w:divsChild>
        <w:div w:id="2117939372">
          <w:marLeft w:val="0"/>
          <w:marRight w:val="0"/>
          <w:marTop w:val="0"/>
          <w:marBottom w:val="0"/>
          <w:divBdr>
            <w:top w:val="none" w:sz="0" w:space="0" w:color="auto"/>
            <w:left w:val="none" w:sz="0" w:space="0" w:color="auto"/>
            <w:bottom w:val="none" w:sz="0" w:space="0" w:color="auto"/>
            <w:right w:val="none" w:sz="0" w:space="0" w:color="auto"/>
          </w:divBdr>
        </w:div>
      </w:divsChild>
    </w:div>
    <w:div w:id="1397388986">
      <w:marLeft w:val="0"/>
      <w:marRight w:val="0"/>
      <w:marTop w:val="0"/>
      <w:marBottom w:val="0"/>
      <w:divBdr>
        <w:top w:val="none" w:sz="0" w:space="0" w:color="auto"/>
        <w:left w:val="none" w:sz="0" w:space="0" w:color="auto"/>
        <w:bottom w:val="none" w:sz="0" w:space="0" w:color="auto"/>
        <w:right w:val="none" w:sz="0" w:space="0" w:color="auto"/>
      </w:divBdr>
    </w:div>
    <w:div w:id="1398749396">
      <w:marLeft w:val="0"/>
      <w:marRight w:val="0"/>
      <w:marTop w:val="0"/>
      <w:marBottom w:val="0"/>
      <w:divBdr>
        <w:top w:val="none" w:sz="0" w:space="0" w:color="auto"/>
        <w:left w:val="none" w:sz="0" w:space="0" w:color="auto"/>
        <w:bottom w:val="none" w:sz="0" w:space="0" w:color="auto"/>
        <w:right w:val="none" w:sz="0" w:space="0" w:color="auto"/>
      </w:divBdr>
      <w:divsChild>
        <w:div w:id="2018923074">
          <w:marLeft w:val="0"/>
          <w:marRight w:val="0"/>
          <w:marTop w:val="0"/>
          <w:marBottom w:val="0"/>
          <w:divBdr>
            <w:top w:val="none" w:sz="0" w:space="0" w:color="auto"/>
            <w:left w:val="none" w:sz="0" w:space="0" w:color="auto"/>
            <w:bottom w:val="none" w:sz="0" w:space="0" w:color="auto"/>
            <w:right w:val="none" w:sz="0" w:space="0" w:color="auto"/>
          </w:divBdr>
        </w:div>
      </w:divsChild>
    </w:div>
    <w:div w:id="1399279524">
      <w:marLeft w:val="0"/>
      <w:marRight w:val="0"/>
      <w:marTop w:val="0"/>
      <w:marBottom w:val="0"/>
      <w:divBdr>
        <w:top w:val="none" w:sz="0" w:space="0" w:color="auto"/>
        <w:left w:val="none" w:sz="0" w:space="0" w:color="auto"/>
        <w:bottom w:val="none" w:sz="0" w:space="0" w:color="auto"/>
        <w:right w:val="none" w:sz="0" w:space="0" w:color="auto"/>
      </w:divBdr>
    </w:div>
    <w:div w:id="1400058581">
      <w:marLeft w:val="0"/>
      <w:marRight w:val="0"/>
      <w:marTop w:val="0"/>
      <w:marBottom w:val="120"/>
      <w:divBdr>
        <w:top w:val="none" w:sz="0" w:space="0" w:color="auto"/>
        <w:left w:val="none" w:sz="0" w:space="0" w:color="auto"/>
        <w:bottom w:val="none" w:sz="0" w:space="0" w:color="auto"/>
        <w:right w:val="none" w:sz="0" w:space="0" w:color="auto"/>
      </w:divBdr>
      <w:divsChild>
        <w:div w:id="699743921">
          <w:marLeft w:val="0"/>
          <w:marRight w:val="0"/>
          <w:marTop w:val="0"/>
          <w:marBottom w:val="0"/>
          <w:divBdr>
            <w:top w:val="none" w:sz="0" w:space="0" w:color="auto"/>
            <w:left w:val="none" w:sz="0" w:space="0" w:color="auto"/>
            <w:bottom w:val="none" w:sz="0" w:space="0" w:color="auto"/>
            <w:right w:val="none" w:sz="0" w:space="0" w:color="auto"/>
          </w:divBdr>
        </w:div>
        <w:div w:id="389615579">
          <w:marLeft w:val="0"/>
          <w:marRight w:val="0"/>
          <w:marTop w:val="0"/>
          <w:marBottom w:val="0"/>
          <w:divBdr>
            <w:top w:val="none" w:sz="0" w:space="0" w:color="auto"/>
            <w:left w:val="none" w:sz="0" w:space="0" w:color="auto"/>
            <w:bottom w:val="none" w:sz="0" w:space="0" w:color="auto"/>
            <w:right w:val="none" w:sz="0" w:space="0" w:color="auto"/>
          </w:divBdr>
        </w:div>
        <w:div w:id="1406611621">
          <w:marLeft w:val="0"/>
          <w:marRight w:val="0"/>
          <w:marTop w:val="0"/>
          <w:marBottom w:val="0"/>
          <w:divBdr>
            <w:top w:val="none" w:sz="0" w:space="0" w:color="auto"/>
            <w:left w:val="none" w:sz="0" w:space="0" w:color="auto"/>
            <w:bottom w:val="none" w:sz="0" w:space="0" w:color="auto"/>
            <w:right w:val="none" w:sz="0" w:space="0" w:color="auto"/>
          </w:divBdr>
        </w:div>
      </w:divsChild>
    </w:div>
    <w:div w:id="1400517352">
      <w:marLeft w:val="0"/>
      <w:marRight w:val="0"/>
      <w:marTop w:val="0"/>
      <w:marBottom w:val="0"/>
      <w:divBdr>
        <w:top w:val="none" w:sz="0" w:space="0" w:color="auto"/>
        <w:left w:val="none" w:sz="0" w:space="0" w:color="auto"/>
        <w:bottom w:val="none" w:sz="0" w:space="0" w:color="auto"/>
        <w:right w:val="none" w:sz="0" w:space="0" w:color="auto"/>
      </w:divBdr>
    </w:div>
    <w:div w:id="1403062768">
      <w:marLeft w:val="0"/>
      <w:marRight w:val="0"/>
      <w:marTop w:val="0"/>
      <w:marBottom w:val="0"/>
      <w:divBdr>
        <w:top w:val="none" w:sz="0" w:space="0" w:color="auto"/>
        <w:left w:val="none" w:sz="0" w:space="0" w:color="auto"/>
        <w:bottom w:val="none" w:sz="0" w:space="0" w:color="auto"/>
        <w:right w:val="none" w:sz="0" w:space="0" w:color="auto"/>
      </w:divBdr>
    </w:div>
    <w:div w:id="1404521224">
      <w:marLeft w:val="0"/>
      <w:marRight w:val="0"/>
      <w:marTop w:val="0"/>
      <w:marBottom w:val="120"/>
      <w:divBdr>
        <w:top w:val="none" w:sz="0" w:space="0" w:color="auto"/>
        <w:left w:val="none" w:sz="0" w:space="0" w:color="auto"/>
        <w:bottom w:val="none" w:sz="0" w:space="0" w:color="auto"/>
        <w:right w:val="none" w:sz="0" w:space="0" w:color="auto"/>
      </w:divBdr>
    </w:div>
    <w:div w:id="1405445557">
      <w:marLeft w:val="0"/>
      <w:marRight w:val="0"/>
      <w:marTop w:val="0"/>
      <w:marBottom w:val="0"/>
      <w:divBdr>
        <w:top w:val="none" w:sz="0" w:space="0" w:color="auto"/>
        <w:left w:val="none" w:sz="0" w:space="0" w:color="auto"/>
        <w:bottom w:val="none" w:sz="0" w:space="0" w:color="auto"/>
        <w:right w:val="none" w:sz="0" w:space="0" w:color="auto"/>
      </w:divBdr>
    </w:div>
    <w:div w:id="1406804439">
      <w:marLeft w:val="0"/>
      <w:marRight w:val="0"/>
      <w:marTop w:val="0"/>
      <w:marBottom w:val="0"/>
      <w:divBdr>
        <w:top w:val="none" w:sz="0" w:space="0" w:color="auto"/>
        <w:left w:val="none" w:sz="0" w:space="0" w:color="auto"/>
        <w:bottom w:val="none" w:sz="0" w:space="0" w:color="auto"/>
        <w:right w:val="none" w:sz="0" w:space="0" w:color="auto"/>
      </w:divBdr>
    </w:div>
    <w:div w:id="1409306971">
      <w:marLeft w:val="0"/>
      <w:marRight w:val="0"/>
      <w:marTop w:val="0"/>
      <w:marBottom w:val="120"/>
      <w:divBdr>
        <w:top w:val="none" w:sz="0" w:space="0" w:color="auto"/>
        <w:left w:val="none" w:sz="0" w:space="0" w:color="auto"/>
        <w:bottom w:val="none" w:sz="0" w:space="0" w:color="auto"/>
        <w:right w:val="none" w:sz="0" w:space="0" w:color="auto"/>
      </w:divBdr>
    </w:div>
    <w:div w:id="1411343442">
      <w:marLeft w:val="0"/>
      <w:marRight w:val="0"/>
      <w:marTop w:val="0"/>
      <w:marBottom w:val="0"/>
      <w:divBdr>
        <w:top w:val="none" w:sz="0" w:space="0" w:color="auto"/>
        <w:left w:val="none" w:sz="0" w:space="0" w:color="auto"/>
        <w:bottom w:val="none" w:sz="0" w:space="0" w:color="auto"/>
        <w:right w:val="none" w:sz="0" w:space="0" w:color="auto"/>
      </w:divBdr>
    </w:div>
    <w:div w:id="1412846828">
      <w:marLeft w:val="0"/>
      <w:marRight w:val="0"/>
      <w:marTop w:val="0"/>
      <w:marBottom w:val="0"/>
      <w:divBdr>
        <w:top w:val="none" w:sz="0" w:space="0" w:color="auto"/>
        <w:left w:val="none" w:sz="0" w:space="0" w:color="auto"/>
        <w:bottom w:val="none" w:sz="0" w:space="0" w:color="auto"/>
        <w:right w:val="none" w:sz="0" w:space="0" w:color="auto"/>
      </w:divBdr>
      <w:divsChild>
        <w:div w:id="1250458895">
          <w:marLeft w:val="0"/>
          <w:marRight w:val="0"/>
          <w:marTop w:val="0"/>
          <w:marBottom w:val="0"/>
          <w:divBdr>
            <w:top w:val="none" w:sz="0" w:space="0" w:color="auto"/>
            <w:left w:val="none" w:sz="0" w:space="0" w:color="auto"/>
            <w:bottom w:val="none" w:sz="0" w:space="0" w:color="auto"/>
            <w:right w:val="none" w:sz="0" w:space="0" w:color="auto"/>
          </w:divBdr>
        </w:div>
      </w:divsChild>
    </w:div>
    <w:div w:id="1417019783">
      <w:marLeft w:val="0"/>
      <w:marRight w:val="0"/>
      <w:marTop w:val="0"/>
      <w:marBottom w:val="0"/>
      <w:divBdr>
        <w:top w:val="none" w:sz="0" w:space="0" w:color="auto"/>
        <w:left w:val="none" w:sz="0" w:space="0" w:color="auto"/>
        <w:bottom w:val="none" w:sz="0" w:space="0" w:color="auto"/>
        <w:right w:val="none" w:sz="0" w:space="0" w:color="auto"/>
      </w:divBdr>
      <w:divsChild>
        <w:div w:id="400249624">
          <w:marLeft w:val="0"/>
          <w:marRight w:val="0"/>
          <w:marTop w:val="0"/>
          <w:marBottom w:val="0"/>
          <w:divBdr>
            <w:top w:val="none" w:sz="0" w:space="0" w:color="auto"/>
            <w:left w:val="none" w:sz="0" w:space="0" w:color="auto"/>
            <w:bottom w:val="none" w:sz="0" w:space="0" w:color="auto"/>
            <w:right w:val="none" w:sz="0" w:space="0" w:color="auto"/>
          </w:divBdr>
        </w:div>
      </w:divsChild>
    </w:div>
    <w:div w:id="1417287421">
      <w:marLeft w:val="0"/>
      <w:marRight w:val="0"/>
      <w:marTop w:val="0"/>
      <w:marBottom w:val="0"/>
      <w:divBdr>
        <w:top w:val="none" w:sz="0" w:space="0" w:color="auto"/>
        <w:left w:val="none" w:sz="0" w:space="0" w:color="auto"/>
        <w:bottom w:val="none" w:sz="0" w:space="0" w:color="auto"/>
        <w:right w:val="none" w:sz="0" w:space="0" w:color="auto"/>
      </w:divBdr>
      <w:divsChild>
        <w:div w:id="1869223399">
          <w:marLeft w:val="0"/>
          <w:marRight w:val="0"/>
          <w:marTop w:val="0"/>
          <w:marBottom w:val="0"/>
          <w:divBdr>
            <w:top w:val="none" w:sz="0" w:space="0" w:color="auto"/>
            <w:left w:val="none" w:sz="0" w:space="0" w:color="auto"/>
            <w:bottom w:val="none" w:sz="0" w:space="0" w:color="auto"/>
            <w:right w:val="none" w:sz="0" w:space="0" w:color="auto"/>
          </w:divBdr>
        </w:div>
      </w:divsChild>
    </w:div>
    <w:div w:id="1420984304">
      <w:marLeft w:val="0"/>
      <w:marRight w:val="0"/>
      <w:marTop w:val="0"/>
      <w:marBottom w:val="0"/>
      <w:divBdr>
        <w:top w:val="none" w:sz="0" w:space="0" w:color="auto"/>
        <w:left w:val="none" w:sz="0" w:space="0" w:color="auto"/>
        <w:bottom w:val="none" w:sz="0" w:space="0" w:color="auto"/>
        <w:right w:val="none" w:sz="0" w:space="0" w:color="auto"/>
      </w:divBdr>
    </w:div>
    <w:div w:id="1421759830">
      <w:marLeft w:val="0"/>
      <w:marRight w:val="0"/>
      <w:marTop w:val="0"/>
      <w:marBottom w:val="120"/>
      <w:divBdr>
        <w:top w:val="none" w:sz="0" w:space="0" w:color="auto"/>
        <w:left w:val="none" w:sz="0" w:space="0" w:color="auto"/>
        <w:bottom w:val="none" w:sz="0" w:space="0" w:color="auto"/>
        <w:right w:val="none" w:sz="0" w:space="0" w:color="auto"/>
      </w:divBdr>
    </w:div>
    <w:div w:id="1424758905">
      <w:marLeft w:val="0"/>
      <w:marRight w:val="0"/>
      <w:marTop w:val="0"/>
      <w:marBottom w:val="0"/>
      <w:divBdr>
        <w:top w:val="none" w:sz="0" w:space="0" w:color="auto"/>
        <w:left w:val="none" w:sz="0" w:space="0" w:color="auto"/>
        <w:bottom w:val="none" w:sz="0" w:space="0" w:color="auto"/>
        <w:right w:val="none" w:sz="0" w:space="0" w:color="auto"/>
      </w:divBdr>
    </w:div>
    <w:div w:id="1428388078">
      <w:marLeft w:val="0"/>
      <w:marRight w:val="0"/>
      <w:marTop w:val="0"/>
      <w:marBottom w:val="0"/>
      <w:divBdr>
        <w:top w:val="none" w:sz="0" w:space="0" w:color="auto"/>
        <w:left w:val="none" w:sz="0" w:space="0" w:color="auto"/>
        <w:bottom w:val="none" w:sz="0" w:space="0" w:color="auto"/>
        <w:right w:val="none" w:sz="0" w:space="0" w:color="auto"/>
      </w:divBdr>
    </w:div>
    <w:div w:id="1430926152">
      <w:marLeft w:val="0"/>
      <w:marRight w:val="0"/>
      <w:marTop w:val="0"/>
      <w:marBottom w:val="0"/>
      <w:divBdr>
        <w:top w:val="none" w:sz="0" w:space="0" w:color="auto"/>
        <w:left w:val="none" w:sz="0" w:space="0" w:color="auto"/>
        <w:bottom w:val="none" w:sz="0" w:space="0" w:color="auto"/>
        <w:right w:val="none" w:sz="0" w:space="0" w:color="auto"/>
      </w:divBdr>
    </w:div>
    <w:div w:id="1431242821">
      <w:marLeft w:val="0"/>
      <w:marRight w:val="0"/>
      <w:marTop w:val="0"/>
      <w:marBottom w:val="0"/>
      <w:divBdr>
        <w:top w:val="none" w:sz="0" w:space="0" w:color="auto"/>
        <w:left w:val="none" w:sz="0" w:space="0" w:color="auto"/>
        <w:bottom w:val="none" w:sz="0" w:space="0" w:color="auto"/>
        <w:right w:val="none" w:sz="0" w:space="0" w:color="auto"/>
      </w:divBdr>
    </w:div>
    <w:div w:id="1448233452">
      <w:marLeft w:val="0"/>
      <w:marRight w:val="0"/>
      <w:marTop w:val="0"/>
      <w:marBottom w:val="0"/>
      <w:divBdr>
        <w:top w:val="none" w:sz="0" w:space="0" w:color="auto"/>
        <w:left w:val="none" w:sz="0" w:space="0" w:color="auto"/>
        <w:bottom w:val="none" w:sz="0" w:space="0" w:color="auto"/>
        <w:right w:val="none" w:sz="0" w:space="0" w:color="auto"/>
      </w:divBdr>
    </w:div>
    <w:div w:id="1450318849">
      <w:marLeft w:val="0"/>
      <w:marRight w:val="0"/>
      <w:marTop w:val="0"/>
      <w:marBottom w:val="0"/>
      <w:divBdr>
        <w:top w:val="none" w:sz="0" w:space="0" w:color="auto"/>
        <w:left w:val="none" w:sz="0" w:space="0" w:color="auto"/>
        <w:bottom w:val="none" w:sz="0" w:space="0" w:color="auto"/>
        <w:right w:val="none" w:sz="0" w:space="0" w:color="auto"/>
      </w:divBdr>
    </w:div>
    <w:div w:id="1454053215">
      <w:marLeft w:val="0"/>
      <w:marRight w:val="0"/>
      <w:marTop w:val="0"/>
      <w:marBottom w:val="120"/>
      <w:divBdr>
        <w:top w:val="none" w:sz="0" w:space="0" w:color="auto"/>
        <w:left w:val="none" w:sz="0" w:space="0" w:color="auto"/>
        <w:bottom w:val="none" w:sz="0" w:space="0" w:color="auto"/>
        <w:right w:val="none" w:sz="0" w:space="0" w:color="auto"/>
      </w:divBdr>
      <w:divsChild>
        <w:div w:id="1808086134">
          <w:marLeft w:val="0"/>
          <w:marRight w:val="0"/>
          <w:marTop w:val="0"/>
          <w:marBottom w:val="0"/>
          <w:divBdr>
            <w:top w:val="none" w:sz="0" w:space="0" w:color="auto"/>
            <w:left w:val="none" w:sz="0" w:space="0" w:color="auto"/>
            <w:bottom w:val="none" w:sz="0" w:space="0" w:color="auto"/>
            <w:right w:val="none" w:sz="0" w:space="0" w:color="auto"/>
          </w:divBdr>
        </w:div>
        <w:div w:id="499853983">
          <w:marLeft w:val="0"/>
          <w:marRight w:val="0"/>
          <w:marTop w:val="0"/>
          <w:marBottom w:val="0"/>
          <w:divBdr>
            <w:top w:val="none" w:sz="0" w:space="0" w:color="auto"/>
            <w:left w:val="none" w:sz="0" w:space="0" w:color="auto"/>
            <w:bottom w:val="none" w:sz="0" w:space="0" w:color="auto"/>
            <w:right w:val="none" w:sz="0" w:space="0" w:color="auto"/>
          </w:divBdr>
        </w:div>
      </w:divsChild>
    </w:div>
    <w:div w:id="1454129210">
      <w:marLeft w:val="0"/>
      <w:marRight w:val="0"/>
      <w:marTop w:val="0"/>
      <w:marBottom w:val="0"/>
      <w:divBdr>
        <w:top w:val="none" w:sz="0" w:space="0" w:color="auto"/>
        <w:left w:val="none" w:sz="0" w:space="0" w:color="auto"/>
        <w:bottom w:val="none" w:sz="0" w:space="0" w:color="auto"/>
        <w:right w:val="none" w:sz="0" w:space="0" w:color="auto"/>
      </w:divBdr>
    </w:div>
    <w:div w:id="1456408001">
      <w:marLeft w:val="0"/>
      <w:marRight w:val="0"/>
      <w:marTop w:val="0"/>
      <w:marBottom w:val="0"/>
      <w:divBdr>
        <w:top w:val="none" w:sz="0" w:space="0" w:color="auto"/>
        <w:left w:val="none" w:sz="0" w:space="0" w:color="auto"/>
        <w:bottom w:val="none" w:sz="0" w:space="0" w:color="auto"/>
        <w:right w:val="none" w:sz="0" w:space="0" w:color="auto"/>
      </w:divBdr>
    </w:div>
    <w:div w:id="1460495438">
      <w:marLeft w:val="0"/>
      <w:marRight w:val="0"/>
      <w:marTop w:val="0"/>
      <w:marBottom w:val="0"/>
      <w:divBdr>
        <w:top w:val="none" w:sz="0" w:space="0" w:color="auto"/>
        <w:left w:val="none" w:sz="0" w:space="0" w:color="auto"/>
        <w:bottom w:val="none" w:sz="0" w:space="0" w:color="auto"/>
        <w:right w:val="none" w:sz="0" w:space="0" w:color="auto"/>
      </w:divBdr>
    </w:div>
    <w:div w:id="1461722939">
      <w:marLeft w:val="0"/>
      <w:marRight w:val="0"/>
      <w:marTop w:val="0"/>
      <w:marBottom w:val="0"/>
      <w:divBdr>
        <w:top w:val="none" w:sz="0" w:space="0" w:color="auto"/>
        <w:left w:val="none" w:sz="0" w:space="0" w:color="auto"/>
        <w:bottom w:val="none" w:sz="0" w:space="0" w:color="auto"/>
        <w:right w:val="none" w:sz="0" w:space="0" w:color="auto"/>
      </w:divBdr>
    </w:div>
    <w:div w:id="1463310982">
      <w:marLeft w:val="0"/>
      <w:marRight w:val="0"/>
      <w:marTop w:val="0"/>
      <w:marBottom w:val="0"/>
      <w:divBdr>
        <w:top w:val="none" w:sz="0" w:space="0" w:color="auto"/>
        <w:left w:val="none" w:sz="0" w:space="0" w:color="auto"/>
        <w:bottom w:val="none" w:sz="0" w:space="0" w:color="auto"/>
        <w:right w:val="none" w:sz="0" w:space="0" w:color="auto"/>
      </w:divBdr>
      <w:divsChild>
        <w:div w:id="2100758200">
          <w:marLeft w:val="0"/>
          <w:marRight w:val="0"/>
          <w:marTop w:val="0"/>
          <w:marBottom w:val="0"/>
          <w:divBdr>
            <w:top w:val="none" w:sz="0" w:space="0" w:color="auto"/>
            <w:left w:val="none" w:sz="0" w:space="0" w:color="auto"/>
            <w:bottom w:val="none" w:sz="0" w:space="0" w:color="auto"/>
            <w:right w:val="none" w:sz="0" w:space="0" w:color="auto"/>
          </w:divBdr>
        </w:div>
      </w:divsChild>
    </w:div>
    <w:div w:id="1466463607">
      <w:marLeft w:val="0"/>
      <w:marRight w:val="0"/>
      <w:marTop w:val="0"/>
      <w:marBottom w:val="120"/>
      <w:divBdr>
        <w:top w:val="none" w:sz="0" w:space="0" w:color="auto"/>
        <w:left w:val="none" w:sz="0" w:space="0" w:color="auto"/>
        <w:bottom w:val="none" w:sz="0" w:space="0" w:color="auto"/>
        <w:right w:val="none" w:sz="0" w:space="0" w:color="auto"/>
      </w:divBdr>
      <w:divsChild>
        <w:div w:id="50426347">
          <w:marLeft w:val="0"/>
          <w:marRight w:val="0"/>
          <w:marTop w:val="0"/>
          <w:marBottom w:val="0"/>
          <w:divBdr>
            <w:top w:val="none" w:sz="0" w:space="0" w:color="auto"/>
            <w:left w:val="none" w:sz="0" w:space="0" w:color="auto"/>
            <w:bottom w:val="none" w:sz="0" w:space="0" w:color="auto"/>
            <w:right w:val="none" w:sz="0" w:space="0" w:color="auto"/>
          </w:divBdr>
        </w:div>
        <w:div w:id="2043549261">
          <w:marLeft w:val="0"/>
          <w:marRight w:val="0"/>
          <w:marTop w:val="0"/>
          <w:marBottom w:val="0"/>
          <w:divBdr>
            <w:top w:val="none" w:sz="0" w:space="0" w:color="auto"/>
            <w:left w:val="none" w:sz="0" w:space="0" w:color="auto"/>
            <w:bottom w:val="none" w:sz="0" w:space="0" w:color="auto"/>
            <w:right w:val="none" w:sz="0" w:space="0" w:color="auto"/>
          </w:divBdr>
        </w:div>
        <w:div w:id="141700164">
          <w:marLeft w:val="0"/>
          <w:marRight w:val="0"/>
          <w:marTop w:val="0"/>
          <w:marBottom w:val="0"/>
          <w:divBdr>
            <w:top w:val="none" w:sz="0" w:space="0" w:color="auto"/>
            <w:left w:val="none" w:sz="0" w:space="0" w:color="auto"/>
            <w:bottom w:val="none" w:sz="0" w:space="0" w:color="auto"/>
            <w:right w:val="none" w:sz="0" w:space="0" w:color="auto"/>
          </w:divBdr>
        </w:div>
        <w:div w:id="1135679737">
          <w:marLeft w:val="0"/>
          <w:marRight w:val="0"/>
          <w:marTop w:val="0"/>
          <w:marBottom w:val="0"/>
          <w:divBdr>
            <w:top w:val="none" w:sz="0" w:space="0" w:color="auto"/>
            <w:left w:val="none" w:sz="0" w:space="0" w:color="auto"/>
            <w:bottom w:val="none" w:sz="0" w:space="0" w:color="auto"/>
            <w:right w:val="none" w:sz="0" w:space="0" w:color="auto"/>
          </w:divBdr>
        </w:div>
        <w:div w:id="229120851">
          <w:marLeft w:val="0"/>
          <w:marRight w:val="0"/>
          <w:marTop w:val="0"/>
          <w:marBottom w:val="0"/>
          <w:divBdr>
            <w:top w:val="none" w:sz="0" w:space="0" w:color="auto"/>
            <w:left w:val="none" w:sz="0" w:space="0" w:color="auto"/>
            <w:bottom w:val="none" w:sz="0" w:space="0" w:color="auto"/>
            <w:right w:val="none" w:sz="0" w:space="0" w:color="auto"/>
          </w:divBdr>
        </w:div>
        <w:div w:id="1288118417">
          <w:marLeft w:val="0"/>
          <w:marRight w:val="0"/>
          <w:marTop w:val="0"/>
          <w:marBottom w:val="0"/>
          <w:divBdr>
            <w:top w:val="none" w:sz="0" w:space="0" w:color="auto"/>
            <w:left w:val="none" w:sz="0" w:space="0" w:color="auto"/>
            <w:bottom w:val="none" w:sz="0" w:space="0" w:color="auto"/>
            <w:right w:val="none" w:sz="0" w:space="0" w:color="auto"/>
          </w:divBdr>
        </w:div>
        <w:div w:id="1694459605">
          <w:marLeft w:val="0"/>
          <w:marRight w:val="0"/>
          <w:marTop w:val="0"/>
          <w:marBottom w:val="0"/>
          <w:divBdr>
            <w:top w:val="none" w:sz="0" w:space="0" w:color="auto"/>
            <w:left w:val="none" w:sz="0" w:space="0" w:color="auto"/>
            <w:bottom w:val="none" w:sz="0" w:space="0" w:color="auto"/>
            <w:right w:val="none" w:sz="0" w:space="0" w:color="auto"/>
          </w:divBdr>
        </w:div>
        <w:div w:id="741609901">
          <w:marLeft w:val="0"/>
          <w:marRight w:val="0"/>
          <w:marTop w:val="0"/>
          <w:marBottom w:val="0"/>
          <w:divBdr>
            <w:top w:val="none" w:sz="0" w:space="0" w:color="auto"/>
            <w:left w:val="none" w:sz="0" w:space="0" w:color="auto"/>
            <w:bottom w:val="none" w:sz="0" w:space="0" w:color="auto"/>
            <w:right w:val="none" w:sz="0" w:space="0" w:color="auto"/>
          </w:divBdr>
        </w:div>
        <w:div w:id="442000419">
          <w:marLeft w:val="0"/>
          <w:marRight w:val="0"/>
          <w:marTop w:val="0"/>
          <w:marBottom w:val="0"/>
          <w:divBdr>
            <w:top w:val="none" w:sz="0" w:space="0" w:color="auto"/>
            <w:left w:val="none" w:sz="0" w:space="0" w:color="auto"/>
            <w:bottom w:val="none" w:sz="0" w:space="0" w:color="auto"/>
            <w:right w:val="none" w:sz="0" w:space="0" w:color="auto"/>
          </w:divBdr>
        </w:div>
        <w:div w:id="876623386">
          <w:marLeft w:val="0"/>
          <w:marRight w:val="0"/>
          <w:marTop w:val="0"/>
          <w:marBottom w:val="0"/>
          <w:divBdr>
            <w:top w:val="none" w:sz="0" w:space="0" w:color="auto"/>
            <w:left w:val="none" w:sz="0" w:space="0" w:color="auto"/>
            <w:bottom w:val="none" w:sz="0" w:space="0" w:color="auto"/>
            <w:right w:val="none" w:sz="0" w:space="0" w:color="auto"/>
          </w:divBdr>
        </w:div>
        <w:div w:id="369963946">
          <w:marLeft w:val="0"/>
          <w:marRight w:val="0"/>
          <w:marTop w:val="0"/>
          <w:marBottom w:val="0"/>
          <w:divBdr>
            <w:top w:val="none" w:sz="0" w:space="0" w:color="auto"/>
            <w:left w:val="none" w:sz="0" w:space="0" w:color="auto"/>
            <w:bottom w:val="none" w:sz="0" w:space="0" w:color="auto"/>
            <w:right w:val="none" w:sz="0" w:space="0" w:color="auto"/>
          </w:divBdr>
        </w:div>
        <w:div w:id="415059078">
          <w:marLeft w:val="0"/>
          <w:marRight w:val="0"/>
          <w:marTop w:val="0"/>
          <w:marBottom w:val="0"/>
          <w:divBdr>
            <w:top w:val="none" w:sz="0" w:space="0" w:color="auto"/>
            <w:left w:val="none" w:sz="0" w:space="0" w:color="auto"/>
            <w:bottom w:val="none" w:sz="0" w:space="0" w:color="auto"/>
            <w:right w:val="none" w:sz="0" w:space="0" w:color="auto"/>
          </w:divBdr>
        </w:div>
        <w:div w:id="1108937486">
          <w:marLeft w:val="0"/>
          <w:marRight w:val="0"/>
          <w:marTop w:val="0"/>
          <w:marBottom w:val="0"/>
          <w:divBdr>
            <w:top w:val="none" w:sz="0" w:space="0" w:color="auto"/>
            <w:left w:val="none" w:sz="0" w:space="0" w:color="auto"/>
            <w:bottom w:val="none" w:sz="0" w:space="0" w:color="auto"/>
            <w:right w:val="none" w:sz="0" w:space="0" w:color="auto"/>
          </w:divBdr>
        </w:div>
        <w:div w:id="501626477">
          <w:marLeft w:val="0"/>
          <w:marRight w:val="0"/>
          <w:marTop w:val="0"/>
          <w:marBottom w:val="0"/>
          <w:divBdr>
            <w:top w:val="none" w:sz="0" w:space="0" w:color="auto"/>
            <w:left w:val="none" w:sz="0" w:space="0" w:color="auto"/>
            <w:bottom w:val="none" w:sz="0" w:space="0" w:color="auto"/>
            <w:right w:val="none" w:sz="0" w:space="0" w:color="auto"/>
          </w:divBdr>
        </w:div>
        <w:div w:id="498467378">
          <w:marLeft w:val="0"/>
          <w:marRight w:val="0"/>
          <w:marTop w:val="0"/>
          <w:marBottom w:val="0"/>
          <w:divBdr>
            <w:top w:val="none" w:sz="0" w:space="0" w:color="auto"/>
            <w:left w:val="none" w:sz="0" w:space="0" w:color="auto"/>
            <w:bottom w:val="none" w:sz="0" w:space="0" w:color="auto"/>
            <w:right w:val="none" w:sz="0" w:space="0" w:color="auto"/>
          </w:divBdr>
        </w:div>
        <w:div w:id="1134788491">
          <w:marLeft w:val="0"/>
          <w:marRight w:val="0"/>
          <w:marTop w:val="0"/>
          <w:marBottom w:val="0"/>
          <w:divBdr>
            <w:top w:val="none" w:sz="0" w:space="0" w:color="auto"/>
            <w:left w:val="none" w:sz="0" w:space="0" w:color="auto"/>
            <w:bottom w:val="none" w:sz="0" w:space="0" w:color="auto"/>
            <w:right w:val="none" w:sz="0" w:space="0" w:color="auto"/>
          </w:divBdr>
        </w:div>
        <w:div w:id="748767977">
          <w:marLeft w:val="0"/>
          <w:marRight w:val="0"/>
          <w:marTop w:val="0"/>
          <w:marBottom w:val="0"/>
          <w:divBdr>
            <w:top w:val="none" w:sz="0" w:space="0" w:color="auto"/>
            <w:left w:val="none" w:sz="0" w:space="0" w:color="auto"/>
            <w:bottom w:val="none" w:sz="0" w:space="0" w:color="auto"/>
            <w:right w:val="none" w:sz="0" w:space="0" w:color="auto"/>
          </w:divBdr>
        </w:div>
        <w:div w:id="1672872358">
          <w:marLeft w:val="0"/>
          <w:marRight w:val="0"/>
          <w:marTop w:val="0"/>
          <w:marBottom w:val="0"/>
          <w:divBdr>
            <w:top w:val="none" w:sz="0" w:space="0" w:color="auto"/>
            <w:left w:val="none" w:sz="0" w:space="0" w:color="auto"/>
            <w:bottom w:val="none" w:sz="0" w:space="0" w:color="auto"/>
            <w:right w:val="none" w:sz="0" w:space="0" w:color="auto"/>
          </w:divBdr>
        </w:div>
        <w:div w:id="1087767275">
          <w:marLeft w:val="0"/>
          <w:marRight w:val="0"/>
          <w:marTop w:val="0"/>
          <w:marBottom w:val="0"/>
          <w:divBdr>
            <w:top w:val="none" w:sz="0" w:space="0" w:color="auto"/>
            <w:left w:val="none" w:sz="0" w:space="0" w:color="auto"/>
            <w:bottom w:val="none" w:sz="0" w:space="0" w:color="auto"/>
            <w:right w:val="none" w:sz="0" w:space="0" w:color="auto"/>
          </w:divBdr>
        </w:div>
        <w:div w:id="21975900">
          <w:marLeft w:val="0"/>
          <w:marRight w:val="0"/>
          <w:marTop w:val="0"/>
          <w:marBottom w:val="0"/>
          <w:divBdr>
            <w:top w:val="none" w:sz="0" w:space="0" w:color="auto"/>
            <w:left w:val="none" w:sz="0" w:space="0" w:color="auto"/>
            <w:bottom w:val="none" w:sz="0" w:space="0" w:color="auto"/>
            <w:right w:val="none" w:sz="0" w:space="0" w:color="auto"/>
          </w:divBdr>
        </w:div>
        <w:div w:id="425538586">
          <w:marLeft w:val="0"/>
          <w:marRight w:val="0"/>
          <w:marTop w:val="0"/>
          <w:marBottom w:val="0"/>
          <w:divBdr>
            <w:top w:val="none" w:sz="0" w:space="0" w:color="auto"/>
            <w:left w:val="none" w:sz="0" w:space="0" w:color="auto"/>
            <w:bottom w:val="none" w:sz="0" w:space="0" w:color="auto"/>
            <w:right w:val="none" w:sz="0" w:space="0" w:color="auto"/>
          </w:divBdr>
        </w:div>
        <w:div w:id="1500777609">
          <w:marLeft w:val="0"/>
          <w:marRight w:val="0"/>
          <w:marTop w:val="0"/>
          <w:marBottom w:val="0"/>
          <w:divBdr>
            <w:top w:val="none" w:sz="0" w:space="0" w:color="auto"/>
            <w:left w:val="none" w:sz="0" w:space="0" w:color="auto"/>
            <w:bottom w:val="none" w:sz="0" w:space="0" w:color="auto"/>
            <w:right w:val="none" w:sz="0" w:space="0" w:color="auto"/>
          </w:divBdr>
        </w:div>
        <w:div w:id="1726559285">
          <w:marLeft w:val="0"/>
          <w:marRight w:val="0"/>
          <w:marTop w:val="0"/>
          <w:marBottom w:val="0"/>
          <w:divBdr>
            <w:top w:val="none" w:sz="0" w:space="0" w:color="auto"/>
            <w:left w:val="none" w:sz="0" w:space="0" w:color="auto"/>
            <w:bottom w:val="none" w:sz="0" w:space="0" w:color="auto"/>
            <w:right w:val="none" w:sz="0" w:space="0" w:color="auto"/>
          </w:divBdr>
        </w:div>
        <w:div w:id="1702316102">
          <w:marLeft w:val="0"/>
          <w:marRight w:val="0"/>
          <w:marTop w:val="0"/>
          <w:marBottom w:val="0"/>
          <w:divBdr>
            <w:top w:val="none" w:sz="0" w:space="0" w:color="auto"/>
            <w:left w:val="none" w:sz="0" w:space="0" w:color="auto"/>
            <w:bottom w:val="none" w:sz="0" w:space="0" w:color="auto"/>
            <w:right w:val="none" w:sz="0" w:space="0" w:color="auto"/>
          </w:divBdr>
        </w:div>
        <w:div w:id="1078940352">
          <w:marLeft w:val="0"/>
          <w:marRight w:val="0"/>
          <w:marTop w:val="0"/>
          <w:marBottom w:val="0"/>
          <w:divBdr>
            <w:top w:val="none" w:sz="0" w:space="0" w:color="auto"/>
            <w:left w:val="none" w:sz="0" w:space="0" w:color="auto"/>
            <w:bottom w:val="none" w:sz="0" w:space="0" w:color="auto"/>
            <w:right w:val="none" w:sz="0" w:space="0" w:color="auto"/>
          </w:divBdr>
        </w:div>
        <w:div w:id="925262751">
          <w:marLeft w:val="0"/>
          <w:marRight w:val="0"/>
          <w:marTop w:val="0"/>
          <w:marBottom w:val="0"/>
          <w:divBdr>
            <w:top w:val="none" w:sz="0" w:space="0" w:color="auto"/>
            <w:left w:val="none" w:sz="0" w:space="0" w:color="auto"/>
            <w:bottom w:val="none" w:sz="0" w:space="0" w:color="auto"/>
            <w:right w:val="none" w:sz="0" w:space="0" w:color="auto"/>
          </w:divBdr>
        </w:div>
        <w:div w:id="2025008372">
          <w:marLeft w:val="0"/>
          <w:marRight w:val="0"/>
          <w:marTop w:val="0"/>
          <w:marBottom w:val="0"/>
          <w:divBdr>
            <w:top w:val="none" w:sz="0" w:space="0" w:color="auto"/>
            <w:left w:val="none" w:sz="0" w:space="0" w:color="auto"/>
            <w:bottom w:val="none" w:sz="0" w:space="0" w:color="auto"/>
            <w:right w:val="none" w:sz="0" w:space="0" w:color="auto"/>
          </w:divBdr>
        </w:div>
        <w:div w:id="296841167">
          <w:marLeft w:val="0"/>
          <w:marRight w:val="0"/>
          <w:marTop w:val="0"/>
          <w:marBottom w:val="0"/>
          <w:divBdr>
            <w:top w:val="none" w:sz="0" w:space="0" w:color="auto"/>
            <w:left w:val="none" w:sz="0" w:space="0" w:color="auto"/>
            <w:bottom w:val="none" w:sz="0" w:space="0" w:color="auto"/>
            <w:right w:val="none" w:sz="0" w:space="0" w:color="auto"/>
          </w:divBdr>
        </w:div>
        <w:div w:id="51974834">
          <w:marLeft w:val="0"/>
          <w:marRight w:val="0"/>
          <w:marTop w:val="0"/>
          <w:marBottom w:val="0"/>
          <w:divBdr>
            <w:top w:val="none" w:sz="0" w:space="0" w:color="auto"/>
            <w:left w:val="none" w:sz="0" w:space="0" w:color="auto"/>
            <w:bottom w:val="none" w:sz="0" w:space="0" w:color="auto"/>
            <w:right w:val="none" w:sz="0" w:space="0" w:color="auto"/>
          </w:divBdr>
        </w:div>
        <w:div w:id="1364525924">
          <w:marLeft w:val="0"/>
          <w:marRight w:val="0"/>
          <w:marTop w:val="0"/>
          <w:marBottom w:val="0"/>
          <w:divBdr>
            <w:top w:val="none" w:sz="0" w:space="0" w:color="auto"/>
            <w:left w:val="none" w:sz="0" w:space="0" w:color="auto"/>
            <w:bottom w:val="none" w:sz="0" w:space="0" w:color="auto"/>
            <w:right w:val="none" w:sz="0" w:space="0" w:color="auto"/>
          </w:divBdr>
        </w:div>
        <w:div w:id="401685789">
          <w:marLeft w:val="0"/>
          <w:marRight w:val="0"/>
          <w:marTop w:val="0"/>
          <w:marBottom w:val="0"/>
          <w:divBdr>
            <w:top w:val="none" w:sz="0" w:space="0" w:color="auto"/>
            <w:left w:val="none" w:sz="0" w:space="0" w:color="auto"/>
            <w:bottom w:val="none" w:sz="0" w:space="0" w:color="auto"/>
            <w:right w:val="none" w:sz="0" w:space="0" w:color="auto"/>
          </w:divBdr>
        </w:div>
        <w:div w:id="551817647">
          <w:marLeft w:val="0"/>
          <w:marRight w:val="0"/>
          <w:marTop w:val="0"/>
          <w:marBottom w:val="0"/>
          <w:divBdr>
            <w:top w:val="none" w:sz="0" w:space="0" w:color="auto"/>
            <w:left w:val="none" w:sz="0" w:space="0" w:color="auto"/>
            <w:bottom w:val="none" w:sz="0" w:space="0" w:color="auto"/>
            <w:right w:val="none" w:sz="0" w:space="0" w:color="auto"/>
          </w:divBdr>
        </w:div>
        <w:div w:id="1914199067">
          <w:marLeft w:val="0"/>
          <w:marRight w:val="0"/>
          <w:marTop w:val="0"/>
          <w:marBottom w:val="0"/>
          <w:divBdr>
            <w:top w:val="none" w:sz="0" w:space="0" w:color="auto"/>
            <w:left w:val="none" w:sz="0" w:space="0" w:color="auto"/>
            <w:bottom w:val="none" w:sz="0" w:space="0" w:color="auto"/>
            <w:right w:val="none" w:sz="0" w:space="0" w:color="auto"/>
          </w:divBdr>
        </w:div>
        <w:div w:id="390883142">
          <w:marLeft w:val="0"/>
          <w:marRight w:val="0"/>
          <w:marTop w:val="0"/>
          <w:marBottom w:val="0"/>
          <w:divBdr>
            <w:top w:val="none" w:sz="0" w:space="0" w:color="auto"/>
            <w:left w:val="none" w:sz="0" w:space="0" w:color="auto"/>
            <w:bottom w:val="none" w:sz="0" w:space="0" w:color="auto"/>
            <w:right w:val="none" w:sz="0" w:space="0" w:color="auto"/>
          </w:divBdr>
        </w:div>
        <w:div w:id="553732744">
          <w:marLeft w:val="0"/>
          <w:marRight w:val="0"/>
          <w:marTop w:val="0"/>
          <w:marBottom w:val="0"/>
          <w:divBdr>
            <w:top w:val="none" w:sz="0" w:space="0" w:color="auto"/>
            <w:left w:val="none" w:sz="0" w:space="0" w:color="auto"/>
            <w:bottom w:val="none" w:sz="0" w:space="0" w:color="auto"/>
            <w:right w:val="none" w:sz="0" w:space="0" w:color="auto"/>
          </w:divBdr>
        </w:div>
        <w:div w:id="1742438150">
          <w:marLeft w:val="0"/>
          <w:marRight w:val="0"/>
          <w:marTop w:val="0"/>
          <w:marBottom w:val="0"/>
          <w:divBdr>
            <w:top w:val="none" w:sz="0" w:space="0" w:color="auto"/>
            <w:left w:val="none" w:sz="0" w:space="0" w:color="auto"/>
            <w:bottom w:val="none" w:sz="0" w:space="0" w:color="auto"/>
            <w:right w:val="none" w:sz="0" w:space="0" w:color="auto"/>
          </w:divBdr>
        </w:div>
        <w:div w:id="668870829">
          <w:marLeft w:val="0"/>
          <w:marRight w:val="0"/>
          <w:marTop w:val="0"/>
          <w:marBottom w:val="0"/>
          <w:divBdr>
            <w:top w:val="none" w:sz="0" w:space="0" w:color="auto"/>
            <w:left w:val="none" w:sz="0" w:space="0" w:color="auto"/>
            <w:bottom w:val="none" w:sz="0" w:space="0" w:color="auto"/>
            <w:right w:val="none" w:sz="0" w:space="0" w:color="auto"/>
          </w:divBdr>
        </w:div>
        <w:div w:id="339353268">
          <w:marLeft w:val="0"/>
          <w:marRight w:val="0"/>
          <w:marTop w:val="0"/>
          <w:marBottom w:val="0"/>
          <w:divBdr>
            <w:top w:val="none" w:sz="0" w:space="0" w:color="auto"/>
            <w:left w:val="none" w:sz="0" w:space="0" w:color="auto"/>
            <w:bottom w:val="none" w:sz="0" w:space="0" w:color="auto"/>
            <w:right w:val="none" w:sz="0" w:space="0" w:color="auto"/>
          </w:divBdr>
        </w:div>
        <w:div w:id="1686711998">
          <w:marLeft w:val="0"/>
          <w:marRight w:val="0"/>
          <w:marTop w:val="0"/>
          <w:marBottom w:val="0"/>
          <w:divBdr>
            <w:top w:val="none" w:sz="0" w:space="0" w:color="auto"/>
            <w:left w:val="none" w:sz="0" w:space="0" w:color="auto"/>
            <w:bottom w:val="none" w:sz="0" w:space="0" w:color="auto"/>
            <w:right w:val="none" w:sz="0" w:space="0" w:color="auto"/>
          </w:divBdr>
        </w:div>
        <w:div w:id="1309433202">
          <w:marLeft w:val="0"/>
          <w:marRight w:val="0"/>
          <w:marTop w:val="0"/>
          <w:marBottom w:val="0"/>
          <w:divBdr>
            <w:top w:val="none" w:sz="0" w:space="0" w:color="auto"/>
            <w:left w:val="none" w:sz="0" w:space="0" w:color="auto"/>
            <w:bottom w:val="none" w:sz="0" w:space="0" w:color="auto"/>
            <w:right w:val="none" w:sz="0" w:space="0" w:color="auto"/>
          </w:divBdr>
        </w:div>
        <w:div w:id="25066232">
          <w:marLeft w:val="0"/>
          <w:marRight w:val="0"/>
          <w:marTop w:val="0"/>
          <w:marBottom w:val="0"/>
          <w:divBdr>
            <w:top w:val="none" w:sz="0" w:space="0" w:color="auto"/>
            <w:left w:val="none" w:sz="0" w:space="0" w:color="auto"/>
            <w:bottom w:val="none" w:sz="0" w:space="0" w:color="auto"/>
            <w:right w:val="none" w:sz="0" w:space="0" w:color="auto"/>
          </w:divBdr>
        </w:div>
      </w:divsChild>
    </w:div>
    <w:div w:id="1466465778">
      <w:marLeft w:val="0"/>
      <w:marRight w:val="0"/>
      <w:marTop w:val="0"/>
      <w:marBottom w:val="0"/>
      <w:divBdr>
        <w:top w:val="none" w:sz="0" w:space="0" w:color="auto"/>
        <w:left w:val="none" w:sz="0" w:space="0" w:color="auto"/>
        <w:bottom w:val="none" w:sz="0" w:space="0" w:color="auto"/>
        <w:right w:val="none" w:sz="0" w:space="0" w:color="auto"/>
      </w:divBdr>
      <w:divsChild>
        <w:div w:id="1193301163">
          <w:marLeft w:val="0"/>
          <w:marRight w:val="0"/>
          <w:marTop w:val="0"/>
          <w:marBottom w:val="0"/>
          <w:divBdr>
            <w:top w:val="none" w:sz="0" w:space="0" w:color="auto"/>
            <w:left w:val="none" w:sz="0" w:space="0" w:color="auto"/>
            <w:bottom w:val="none" w:sz="0" w:space="0" w:color="auto"/>
            <w:right w:val="none" w:sz="0" w:space="0" w:color="auto"/>
          </w:divBdr>
        </w:div>
      </w:divsChild>
    </w:div>
    <w:div w:id="1466579194">
      <w:marLeft w:val="0"/>
      <w:marRight w:val="0"/>
      <w:marTop w:val="0"/>
      <w:marBottom w:val="120"/>
      <w:divBdr>
        <w:top w:val="none" w:sz="0" w:space="0" w:color="auto"/>
        <w:left w:val="none" w:sz="0" w:space="0" w:color="auto"/>
        <w:bottom w:val="none" w:sz="0" w:space="0" w:color="auto"/>
        <w:right w:val="none" w:sz="0" w:space="0" w:color="auto"/>
      </w:divBdr>
    </w:div>
    <w:div w:id="1474756774">
      <w:marLeft w:val="0"/>
      <w:marRight w:val="0"/>
      <w:marTop w:val="0"/>
      <w:marBottom w:val="0"/>
      <w:divBdr>
        <w:top w:val="none" w:sz="0" w:space="0" w:color="auto"/>
        <w:left w:val="none" w:sz="0" w:space="0" w:color="auto"/>
        <w:bottom w:val="none" w:sz="0" w:space="0" w:color="auto"/>
        <w:right w:val="none" w:sz="0" w:space="0" w:color="auto"/>
      </w:divBdr>
    </w:div>
    <w:div w:id="1475177906">
      <w:marLeft w:val="0"/>
      <w:marRight w:val="0"/>
      <w:marTop w:val="0"/>
      <w:marBottom w:val="0"/>
      <w:divBdr>
        <w:top w:val="none" w:sz="0" w:space="0" w:color="auto"/>
        <w:left w:val="none" w:sz="0" w:space="0" w:color="auto"/>
        <w:bottom w:val="none" w:sz="0" w:space="0" w:color="auto"/>
        <w:right w:val="none" w:sz="0" w:space="0" w:color="auto"/>
      </w:divBdr>
    </w:div>
    <w:div w:id="1479296685">
      <w:marLeft w:val="0"/>
      <w:marRight w:val="0"/>
      <w:marTop w:val="0"/>
      <w:marBottom w:val="0"/>
      <w:divBdr>
        <w:top w:val="none" w:sz="0" w:space="0" w:color="auto"/>
        <w:left w:val="none" w:sz="0" w:space="0" w:color="auto"/>
        <w:bottom w:val="none" w:sz="0" w:space="0" w:color="auto"/>
        <w:right w:val="none" w:sz="0" w:space="0" w:color="auto"/>
      </w:divBdr>
    </w:div>
    <w:div w:id="1480538316">
      <w:marLeft w:val="0"/>
      <w:marRight w:val="0"/>
      <w:marTop w:val="0"/>
      <w:marBottom w:val="0"/>
      <w:divBdr>
        <w:top w:val="none" w:sz="0" w:space="0" w:color="auto"/>
        <w:left w:val="none" w:sz="0" w:space="0" w:color="auto"/>
        <w:bottom w:val="none" w:sz="0" w:space="0" w:color="auto"/>
        <w:right w:val="none" w:sz="0" w:space="0" w:color="auto"/>
      </w:divBdr>
    </w:div>
    <w:div w:id="1481776133">
      <w:marLeft w:val="0"/>
      <w:marRight w:val="0"/>
      <w:marTop w:val="0"/>
      <w:marBottom w:val="0"/>
      <w:divBdr>
        <w:top w:val="none" w:sz="0" w:space="0" w:color="auto"/>
        <w:left w:val="none" w:sz="0" w:space="0" w:color="auto"/>
        <w:bottom w:val="none" w:sz="0" w:space="0" w:color="auto"/>
        <w:right w:val="none" w:sz="0" w:space="0" w:color="auto"/>
      </w:divBdr>
      <w:divsChild>
        <w:div w:id="160777223">
          <w:marLeft w:val="0"/>
          <w:marRight w:val="0"/>
          <w:marTop w:val="0"/>
          <w:marBottom w:val="0"/>
          <w:divBdr>
            <w:top w:val="none" w:sz="0" w:space="0" w:color="auto"/>
            <w:left w:val="none" w:sz="0" w:space="0" w:color="auto"/>
            <w:bottom w:val="none" w:sz="0" w:space="0" w:color="auto"/>
            <w:right w:val="none" w:sz="0" w:space="0" w:color="auto"/>
          </w:divBdr>
        </w:div>
      </w:divsChild>
    </w:div>
    <w:div w:id="1482845075">
      <w:marLeft w:val="0"/>
      <w:marRight w:val="0"/>
      <w:marTop w:val="0"/>
      <w:marBottom w:val="120"/>
      <w:divBdr>
        <w:top w:val="none" w:sz="0" w:space="0" w:color="auto"/>
        <w:left w:val="none" w:sz="0" w:space="0" w:color="auto"/>
        <w:bottom w:val="none" w:sz="0" w:space="0" w:color="auto"/>
        <w:right w:val="none" w:sz="0" w:space="0" w:color="auto"/>
      </w:divBdr>
    </w:div>
    <w:div w:id="1484395533">
      <w:marLeft w:val="0"/>
      <w:marRight w:val="0"/>
      <w:marTop w:val="0"/>
      <w:marBottom w:val="0"/>
      <w:divBdr>
        <w:top w:val="none" w:sz="0" w:space="0" w:color="auto"/>
        <w:left w:val="none" w:sz="0" w:space="0" w:color="auto"/>
        <w:bottom w:val="none" w:sz="0" w:space="0" w:color="auto"/>
        <w:right w:val="none" w:sz="0" w:space="0" w:color="auto"/>
      </w:divBdr>
    </w:div>
    <w:div w:id="1485702895">
      <w:marLeft w:val="0"/>
      <w:marRight w:val="0"/>
      <w:marTop w:val="0"/>
      <w:marBottom w:val="0"/>
      <w:divBdr>
        <w:top w:val="none" w:sz="0" w:space="0" w:color="auto"/>
        <w:left w:val="none" w:sz="0" w:space="0" w:color="auto"/>
        <w:bottom w:val="none" w:sz="0" w:space="0" w:color="auto"/>
        <w:right w:val="none" w:sz="0" w:space="0" w:color="auto"/>
      </w:divBdr>
    </w:div>
    <w:div w:id="1499686811">
      <w:marLeft w:val="0"/>
      <w:marRight w:val="0"/>
      <w:marTop w:val="0"/>
      <w:marBottom w:val="0"/>
      <w:divBdr>
        <w:top w:val="none" w:sz="0" w:space="0" w:color="auto"/>
        <w:left w:val="none" w:sz="0" w:space="0" w:color="auto"/>
        <w:bottom w:val="none" w:sz="0" w:space="0" w:color="auto"/>
        <w:right w:val="none" w:sz="0" w:space="0" w:color="auto"/>
      </w:divBdr>
    </w:div>
    <w:div w:id="1501771009">
      <w:marLeft w:val="0"/>
      <w:marRight w:val="0"/>
      <w:marTop w:val="0"/>
      <w:marBottom w:val="0"/>
      <w:divBdr>
        <w:top w:val="none" w:sz="0" w:space="0" w:color="auto"/>
        <w:left w:val="none" w:sz="0" w:space="0" w:color="auto"/>
        <w:bottom w:val="none" w:sz="0" w:space="0" w:color="auto"/>
        <w:right w:val="none" w:sz="0" w:space="0" w:color="auto"/>
      </w:divBdr>
    </w:div>
    <w:div w:id="1505823262">
      <w:marLeft w:val="0"/>
      <w:marRight w:val="0"/>
      <w:marTop w:val="0"/>
      <w:marBottom w:val="0"/>
      <w:divBdr>
        <w:top w:val="none" w:sz="0" w:space="0" w:color="auto"/>
        <w:left w:val="none" w:sz="0" w:space="0" w:color="auto"/>
        <w:bottom w:val="none" w:sz="0" w:space="0" w:color="auto"/>
        <w:right w:val="none" w:sz="0" w:space="0" w:color="auto"/>
      </w:divBdr>
    </w:div>
    <w:div w:id="1518034402">
      <w:marLeft w:val="0"/>
      <w:marRight w:val="0"/>
      <w:marTop w:val="0"/>
      <w:marBottom w:val="0"/>
      <w:divBdr>
        <w:top w:val="none" w:sz="0" w:space="0" w:color="auto"/>
        <w:left w:val="none" w:sz="0" w:space="0" w:color="auto"/>
        <w:bottom w:val="none" w:sz="0" w:space="0" w:color="auto"/>
        <w:right w:val="none" w:sz="0" w:space="0" w:color="auto"/>
      </w:divBdr>
    </w:div>
    <w:div w:id="1521431140">
      <w:marLeft w:val="0"/>
      <w:marRight w:val="0"/>
      <w:marTop w:val="0"/>
      <w:marBottom w:val="120"/>
      <w:divBdr>
        <w:top w:val="none" w:sz="0" w:space="0" w:color="auto"/>
        <w:left w:val="none" w:sz="0" w:space="0" w:color="auto"/>
        <w:bottom w:val="none" w:sz="0" w:space="0" w:color="auto"/>
        <w:right w:val="none" w:sz="0" w:space="0" w:color="auto"/>
      </w:divBdr>
    </w:div>
    <w:div w:id="1522888625">
      <w:marLeft w:val="0"/>
      <w:marRight w:val="0"/>
      <w:marTop w:val="0"/>
      <w:marBottom w:val="0"/>
      <w:divBdr>
        <w:top w:val="none" w:sz="0" w:space="0" w:color="auto"/>
        <w:left w:val="none" w:sz="0" w:space="0" w:color="auto"/>
        <w:bottom w:val="none" w:sz="0" w:space="0" w:color="auto"/>
        <w:right w:val="none" w:sz="0" w:space="0" w:color="auto"/>
      </w:divBdr>
    </w:div>
    <w:div w:id="1526477867">
      <w:marLeft w:val="0"/>
      <w:marRight w:val="0"/>
      <w:marTop w:val="0"/>
      <w:marBottom w:val="0"/>
      <w:divBdr>
        <w:top w:val="none" w:sz="0" w:space="0" w:color="auto"/>
        <w:left w:val="none" w:sz="0" w:space="0" w:color="auto"/>
        <w:bottom w:val="none" w:sz="0" w:space="0" w:color="auto"/>
        <w:right w:val="none" w:sz="0" w:space="0" w:color="auto"/>
      </w:divBdr>
    </w:div>
    <w:div w:id="1537082792">
      <w:marLeft w:val="0"/>
      <w:marRight w:val="0"/>
      <w:marTop w:val="0"/>
      <w:marBottom w:val="0"/>
      <w:divBdr>
        <w:top w:val="none" w:sz="0" w:space="0" w:color="auto"/>
        <w:left w:val="none" w:sz="0" w:space="0" w:color="auto"/>
        <w:bottom w:val="none" w:sz="0" w:space="0" w:color="auto"/>
        <w:right w:val="none" w:sz="0" w:space="0" w:color="auto"/>
      </w:divBdr>
    </w:div>
    <w:div w:id="1542861698">
      <w:marLeft w:val="0"/>
      <w:marRight w:val="0"/>
      <w:marTop w:val="0"/>
      <w:marBottom w:val="0"/>
      <w:divBdr>
        <w:top w:val="none" w:sz="0" w:space="0" w:color="auto"/>
        <w:left w:val="none" w:sz="0" w:space="0" w:color="auto"/>
        <w:bottom w:val="none" w:sz="0" w:space="0" w:color="auto"/>
        <w:right w:val="none" w:sz="0" w:space="0" w:color="auto"/>
      </w:divBdr>
    </w:div>
    <w:div w:id="1543399428">
      <w:marLeft w:val="0"/>
      <w:marRight w:val="0"/>
      <w:marTop w:val="0"/>
      <w:marBottom w:val="0"/>
      <w:divBdr>
        <w:top w:val="none" w:sz="0" w:space="0" w:color="auto"/>
        <w:left w:val="none" w:sz="0" w:space="0" w:color="auto"/>
        <w:bottom w:val="none" w:sz="0" w:space="0" w:color="auto"/>
        <w:right w:val="none" w:sz="0" w:space="0" w:color="auto"/>
      </w:divBdr>
    </w:div>
    <w:div w:id="1543781825">
      <w:marLeft w:val="0"/>
      <w:marRight w:val="0"/>
      <w:marTop w:val="0"/>
      <w:marBottom w:val="120"/>
      <w:divBdr>
        <w:top w:val="none" w:sz="0" w:space="0" w:color="auto"/>
        <w:left w:val="none" w:sz="0" w:space="0" w:color="auto"/>
        <w:bottom w:val="none" w:sz="0" w:space="0" w:color="auto"/>
        <w:right w:val="none" w:sz="0" w:space="0" w:color="auto"/>
      </w:divBdr>
      <w:divsChild>
        <w:div w:id="1671906204">
          <w:marLeft w:val="0"/>
          <w:marRight w:val="0"/>
          <w:marTop w:val="0"/>
          <w:marBottom w:val="0"/>
          <w:divBdr>
            <w:top w:val="none" w:sz="0" w:space="0" w:color="auto"/>
            <w:left w:val="none" w:sz="0" w:space="0" w:color="auto"/>
            <w:bottom w:val="none" w:sz="0" w:space="0" w:color="auto"/>
            <w:right w:val="none" w:sz="0" w:space="0" w:color="auto"/>
          </w:divBdr>
        </w:div>
      </w:divsChild>
    </w:div>
    <w:div w:id="1545945392">
      <w:marLeft w:val="0"/>
      <w:marRight w:val="0"/>
      <w:marTop w:val="0"/>
      <w:marBottom w:val="0"/>
      <w:divBdr>
        <w:top w:val="none" w:sz="0" w:space="0" w:color="auto"/>
        <w:left w:val="none" w:sz="0" w:space="0" w:color="auto"/>
        <w:bottom w:val="none" w:sz="0" w:space="0" w:color="auto"/>
        <w:right w:val="none" w:sz="0" w:space="0" w:color="auto"/>
      </w:divBdr>
    </w:div>
    <w:div w:id="1552305890">
      <w:marLeft w:val="0"/>
      <w:marRight w:val="0"/>
      <w:marTop w:val="0"/>
      <w:marBottom w:val="0"/>
      <w:divBdr>
        <w:top w:val="none" w:sz="0" w:space="0" w:color="auto"/>
        <w:left w:val="none" w:sz="0" w:space="0" w:color="auto"/>
        <w:bottom w:val="none" w:sz="0" w:space="0" w:color="auto"/>
        <w:right w:val="none" w:sz="0" w:space="0" w:color="auto"/>
      </w:divBdr>
      <w:divsChild>
        <w:div w:id="1406486165">
          <w:marLeft w:val="0"/>
          <w:marRight w:val="0"/>
          <w:marTop w:val="0"/>
          <w:marBottom w:val="0"/>
          <w:divBdr>
            <w:top w:val="none" w:sz="0" w:space="0" w:color="auto"/>
            <w:left w:val="none" w:sz="0" w:space="0" w:color="auto"/>
            <w:bottom w:val="none" w:sz="0" w:space="0" w:color="auto"/>
            <w:right w:val="none" w:sz="0" w:space="0" w:color="auto"/>
          </w:divBdr>
        </w:div>
      </w:divsChild>
    </w:div>
    <w:div w:id="1554999457">
      <w:marLeft w:val="0"/>
      <w:marRight w:val="0"/>
      <w:marTop w:val="60"/>
      <w:marBottom w:val="120"/>
      <w:divBdr>
        <w:top w:val="none" w:sz="0" w:space="0" w:color="auto"/>
        <w:left w:val="none" w:sz="0" w:space="0" w:color="auto"/>
        <w:bottom w:val="none" w:sz="0" w:space="0" w:color="auto"/>
        <w:right w:val="none" w:sz="0" w:space="0" w:color="auto"/>
      </w:divBdr>
    </w:div>
    <w:div w:id="1559439930">
      <w:marLeft w:val="0"/>
      <w:marRight w:val="0"/>
      <w:marTop w:val="0"/>
      <w:marBottom w:val="120"/>
      <w:divBdr>
        <w:top w:val="none" w:sz="0" w:space="0" w:color="auto"/>
        <w:left w:val="none" w:sz="0" w:space="0" w:color="auto"/>
        <w:bottom w:val="none" w:sz="0" w:space="0" w:color="auto"/>
        <w:right w:val="none" w:sz="0" w:space="0" w:color="auto"/>
      </w:divBdr>
      <w:divsChild>
        <w:div w:id="1875073731">
          <w:marLeft w:val="0"/>
          <w:marRight w:val="0"/>
          <w:marTop w:val="0"/>
          <w:marBottom w:val="0"/>
          <w:divBdr>
            <w:top w:val="none" w:sz="0" w:space="0" w:color="auto"/>
            <w:left w:val="none" w:sz="0" w:space="0" w:color="auto"/>
            <w:bottom w:val="none" w:sz="0" w:space="0" w:color="auto"/>
            <w:right w:val="none" w:sz="0" w:space="0" w:color="auto"/>
          </w:divBdr>
        </w:div>
        <w:div w:id="240410422">
          <w:marLeft w:val="0"/>
          <w:marRight w:val="0"/>
          <w:marTop w:val="0"/>
          <w:marBottom w:val="0"/>
          <w:divBdr>
            <w:top w:val="none" w:sz="0" w:space="0" w:color="auto"/>
            <w:left w:val="none" w:sz="0" w:space="0" w:color="auto"/>
            <w:bottom w:val="none" w:sz="0" w:space="0" w:color="auto"/>
            <w:right w:val="none" w:sz="0" w:space="0" w:color="auto"/>
          </w:divBdr>
        </w:div>
        <w:div w:id="1157263371">
          <w:marLeft w:val="0"/>
          <w:marRight w:val="0"/>
          <w:marTop w:val="0"/>
          <w:marBottom w:val="0"/>
          <w:divBdr>
            <w:top w:val="none" w:sz="0" w:space="0" w:color="auto"/>
            <w:left w:val="none" w:sz="0" w:space="0" w:color="auto"/>
            <w:bottom w:val="none" w:sz="0" w:space="0" w:color="auto"/>
            <w:right w:val="none" w:sz="0" w:space="0" w:color="auto"/>
          </w:divBdr>
        </w:div>
        <w:div w:id="2083064562">
          <w:marLeft w:val="0"/>
          <w:marRight w:val="0"/>
          <w:marTop w:val="0"/>
          <w:marBottom w:val="0"/>
          <w:divBdr>
            <w:top w:val="none" w:sz="0" w:space="0" w:color="auto"/>
            <w:left w:val="none" w:sz="0" w:space="0" w:color="auto"/>
            <w:bottom w:val="none" w:sz="0" w:space="0" w:color="auto"/>
            <w:right w:val="none" w:sz="0" w:space="0" w:color="auto"/>
          </w:divBdr>
        </w:div>
      </w:divsChild>
    </w:div>
    <w:div w:id="1560558270">
      <w:marLeft w:val="0"/>
      <w:marRight w:val="0"/>
      <w:marTop w:val="0"/>
      <w:marBottom w:val="0"/>
      <w:divBdr>
        <w:top w:val="none" w:sz="0" w:space="0" w:color="auto"/>
        <w:left w:val="none" w:sz="0" w:space="0" w:color="auto"/>
        <w:bottom w:val="none" w:sz="0" w:space="0" w:color="auto"/>
        <w:right w:val="none" w:sz="0" w:space="0" w:color="auto"/>
      </w:divBdr>
      <w:divsChild>
        <w:div w:id="1582181495">
          <w:marLeft w:val="0"/>
          <w:marRight w:val="0"/>
          <w:marTop w:val="0"/>
          <w:marBottom w:val="0"/>
          <w:divBdr>
            <w:top w:val="none" w:sz="0" w:space="0" w:color="auto"/>
            <w:left w:val="none" w:sz="0" w:space="0" w:color="auto"/>
            <w:bottom w:val="none" w:sz="0" w:space="0" w:color="auto"/>
            <w:right w:val="none" w:sz="0" w:space="0" w:color="auto"/>
          </w:divBdr>
        </w:div>
      </w:divsChild>
    </w:div>
    <w:div w:id="1568299358">
      <w:marLeft w:val="0"/>
      <w:marRight w:val="0"/>
      <w:marTop w:val="0"/>
      <w:marBottom w:val="0"/>
      <w:divBdr>
        <w:top w:val="none" w:sz="0" w:space="0" w:color="auto"/>
        <w:left w:val="none" w:sz="0" w:space="0" w:color="auto"/>
        <w:bottom w:val="none" w:sz="0" w:space="0" w:color="auto"/>
        <w:right w:val="none" w:sz="0" w:space="0" w:color="auto"/>
      </w:divBdr>
      <w:divsChild>
        <w:div w:id="972172327">
          <w:marLeft w:val="0"/>
          <w:marRight w:val="0"/>
          <w:marTop w:val="0"/>
          <w:marBottom w:val="0"/>
          <w:divBdr>
            <w:top w:val="none" w:sz="0" w:space="0" w:color="auto"/>
            <w:left w:val="none" w:sz="0" w:space="0" w:color="auto"/>
            <w:bottom w:val="none" w:sz="0" w:space="0" w:color="auto"/>
            <w:right w:val="none" w:sz="0" w:space="0" w:color="auto"/>
          </w:divBdr>
        </w:div>
      </w:divsChild>
    </w:div>
    <w:div w:id="1569075585">
      <w:marLeft w:val="0"/>
      <w:marRight w:val="0"/>
      <w:marTop w:val="0"/>
      <w:marBottom w:val="0"/>
      <w:divBdr>
        <w:top w:val="none" w:sz="0" w:space="0" w:color="auto"/>
        <w:left w:val="none" w:sz="0" w:space="0" w:color="auto"/>
        <w:bottom w:val="none" w:sz="0" w:space="0" w:color="auto"/>
        <w:right w:val="none" w:sz="0" w:space="0" w:color="auto"/>
      </w:divBdr>
      <w:divsChild>
        <w:div w:id="1567841806">
          <w:marLeft w:val="0"/>
          <w:marRight w:val="0"/>
          <w:marTop w:val="0"/>
          <w:marBottom w:val="0"/>
          <w:divBdr>
            <w:top w:val="none" w:sz="0" w:space="0" w:color="auto"/>
            <w:left w:val="none" w:sz="0" w:space="0" w:color="auto"/>
            <w:bottom w:val="none" w:sz="0" w:space="0" w:color="auto"/>
            <w:right w:val="none" w:sz="0" w:space="0" w:color="auto"/>
          </w:divBdr>
        </w:div>
      </w:divsChild>
    </w:div>
    <w:div w:id="1571774303">
      <w:marLeft w:val="0"/>
      <w:marRight w:val="0"/>
      <w:marTop w:val="0"/>
      <w:marBottom w:val="120"/>
      <w:divBdr>
        <w:top w:val="none" w:sz="0" w:space="0" w:color="auto"/>
        <w:left w:val="none" w:sz="0" w:space="0" w:color="auto"/>
        <w:bottom w:val="none" w:sz="0" w:space="0" w:color="auto"/>
        <w:right w:val="none" w:sz="0" w:space="0" w:color="auto"/>
      </w:divBdr>
    </w:div>
    <w:div w:id="1576624671">
      <w:marLeft w:val="0"/>
      <w:marRight w:val="0"/>
      <w:marTop w:val="0"/>
      <w:marBottom w:val="0"/>
      <w:divBdr>
        <w:top w:val="none" w:sz="0" w:space="0" w:color="auto"/>
        <w:left w:val="none" w:sz="0" w:space="0" w:color="auto"/>
        <w:bottom w:val="none" w:sz="0" w:space="0" w:color="auto"/>
        <w:right w:val="none" w:sz="0" w:space="0" w:color="auto"/>
      </w:divBdr>
    </w:div>
    <w:div w:id="1587036438">
      <w:marLeft w:val="0"/>
      <w:marRight w:val="0"/>
      <w:marTop w:val="0"/>
      <w:marBottom w:val="120"/>
      <w:divBdr>
        <w:top w:val="none" w:sz="0" w:space="0" w:color="auto"/>
        <w:left w:val="none" w:sz="0" w:space="0" w:color="auto"/>
        <w:bottom w:val="none" w:sz="0" w:space="0" w:color="auto"/>
        <w:right w:val="none" w:sz="0" w:space="0" w:color="auto"/>
      </w:divBdr>
    </w:div>
    <w:div w:id="1588733342">
      <w:marLeft w:val="0"/>
      <w:marRight w:val="0"/>
      <w:marTop w:val="0"/>
      <w:marBottom w:val="0"/>
      <w:divBdr>
        <w:top w:val="none" w:sz="0" w:space="0" w:color="auto"/>
        <w:left w:val="none" w:sz="0" w:space="0" w:color="auto"/>
        <w:bottom w:val="none" w:sz="0" w:space="0" w:color="auto"/>
        <w:right w:val="none" w:sz="0" w:space="0" w:color="auto"/>
      </w:divBdr>
      <w:divsChild>
        <w:div w:id="347368638">
          <w:marLeft w:val="0"/>
          <w:marRight w:val="0"/>
          <w:marTop w:val="0"/>
          <w:marBottom w:val="0"/>
          <w:divBdr>
            <w:top w:val="none" w:sz="0" w:space="0" w:color="auto"/>
            <w:left w:val="none" w:sz="0" w:space="0" w:color="auto"/>
            <w:bottom w:val="none" w:sz="0" w:space="0" w:color="auto"/>
            <w:right w:val="none" w:sz="0" w:space="0" w:color="auto"/>
          </w:divBdr>
        </w:div>
      </w:divsChild>
    </w:div>
    <w:div w:id="1591280574">
      <w:marLeft w:val="0"/>
      <w:marRight w:val="0"/>
      <w:marTop w:val="0"/>
      <w:marBottom w:val="0"/>
      <w:divBdr>
        <w:top w:val="none" w:sz="0" w:space="0" w:color="auto"/>
        <w:left w:val="none" w:sz="0" w:space="0" w:color="auto"/>
        <w:bottom w:val="none" w:sz="0" w:space="0" w:color="auto"/>
        <w:right w:val="none" w:sz="0" w:space="0" w:color="auto"/>
      </w:divBdr>
      <w:divsChild>
        <w:div w:id="1288926208">
          <w:marLeft w:val="0"/>
          <w:marRight w:val="0"/>
          <w:marTop w:val="0"/>
          <w:marBottom w:val="0"/>
          <w:divBdr>
            <w:top w:val="none" w:sz="0" w:space="0" w:color="auto"/>
            <w:left w:val="none" w:sz="0" w:space="0" w:color="auto"/>
            <w:bottom w:val="none" w:sz="0" w:space="0" w:color="auto"/>
            <w:right w:val="none" w:sz="0" w:space="0" w:color="auto"/>
          </w:divBdr>
        </w:div>
      </w:divsChild>
    </w:div>
    <w:div w:id="1593540474">
      <w:marLeft w:val="0"/>
      <w:marRight w:val="0"/>
      <w:marTop w:val="0"/>
      <w:marBottom w:val="0"/>
      <w:divBdr>
        <w:top w:val="none" w:sz="0" w:space="0" w:color="auto"/>
        <w:left w:val="none" w:sz="0" w:space="0" w:color="auto"/>
        <w:bottom w:val="none" w:sz="0" w:space="0" w:color="auto"/>
        <w:right w:val="none" w:sz="0" w:space="0" w:color="auto"/>
      </w:divBdr>
    </w:div>
    <w:div w:id="1597859614">
      <w:marLeft w:val="0"/>
      <w:marRight w:val="0"/>
      <w:marTop w:val="0"/>
      <w:marBottom w:val="0"/>
      <w:divBdr>
        <w:top w:val="none" w:sz="0" w:space="0" w:color="auto"/>
        <w:left w:val="none" w:sz="0" w:space="0" w:color="auto"/>
        <w:bottom w:val="none" w:sz="0" w:space="0" w:color="auto"/>
        <w:right w:val="none" w:sz="0" w:space="0" w:color="auto"/>
      </w:divBdr>
      <w:divsChild>
        <w:div w:id="2067871016">
          <w:marLeft w:val="0"/>
          <w:marRight w:val="0"/>
          <w:marTop w:val="0"/>
          <w:marBottom w:val="0"/>
          <w:divBdr>
            <w:top w:val="none" w:sz="0" w:space="0" w:color="auto"/>
            <w:left w:val="none" w:sz="0" w:space="0" w:color="auto"/>
            <w:bottom w:val="none" w:sz="0" w:space="0" w:color="auto"/>
            <w:right w:val="none" w:sz="0" w:space="0" w:color="auto"/>
          </w:divBdr>
        </w:div>
      </w:divsChild>
    </w:div>
    <w:div w:id="1601110271">
      <w:marLeft w:val="0"/>
      <w:marRight w:val="0"/>
      <w:marTop w:val="0"/>
      <w:marBottom w:val="0"/>
      <w:divBdr>
        <w:top w:val="none" w:sz="0" w:space="0" w:color="auto"/>
        <w:left w:val="none" w:sz="0" w:space="0" w:color="auto"/>
        <w:bottom w:val="none" w:sz="0" w:space="0" w:color="auto"/>
        <w:right w:val="none" w:sz="0" w:space="0" w:color="auto"/>
      </w:divBdr>
    </w:div>
    <w:div w:id="1604193096">
      <w:marLeft w:val="0"/>
      <w:marRight w:val="0"/>
      <w:marTop w:val="0"/>
      <w:marBottom w:val="0"/>
      <w:divBdr>
        <w:top w:val="none" w:sz="0" w:space="0" w:color="auto"/>
        <w:left w:val="none" w:sz="0" w:space="0" w:color="auto"/>
        <w:bottom w:val="none" w:sz="0" w:space="0" w:color="auto"/>
        <w:right w:val="none" w:sz="0" w:space="0" w:color="auto"/>
      </w:divBdr>
    </w:div>
    <w:div w:id="1604797519">
      <w:marLeft w:val="0"/>
      <w:marRight w:val="0"/>
      <w:marTop w:val="0"/>
      <w:marBottom w:val="0"/>
      <w:divBdr>
        <w:top w:val="none" w:sz="0" w:space="0" w:color="auto"/>
        <w:left w:val="none" w:sz="0" w:space="0" w:color="auto"/>
        <w:bottom w:val="none" w:sz="0" w:space="0" w:color="auto"/>
        <w:right w:val="none" w:sz="0" w:space="0" w:color="auto"/>
      </w:divBdr>
    </w:div>
    <w:div w:id="1604803195">
      <w:marLeft w:val="0"/>
      <w:marRight w:val="0"/>
      <w:marTop w:val="0"/>
      <w:marBottom w:val="0"/>
      <w:divBdr>
        <w:top w:val="none" w:sz="0" w:space="0" w:color="auto"/>
        <w:left w:val="none" w:sz="0" w:space="0" w:color="auto"/>
        <w:bottom w:val="none" w:sz="0" w:space="0" w:color="auto"/>
        <w:right w:val="none" w:sz="0" w:space="0" w:color="auto"/>
      </w:divBdr>
    </w:div>
    <w:div w:id="1613245272">
      <w:marLeft w:val="0"/>
      <w:marRight w:val="0"/>
      <w:marTop w:val="0"/>
      <w:marBottom w:val="0"/>
      <w:divBdr>
        <w:top w:val="none" w:sz="0" w:space="0" w:color="auto"/>
        <w:left w:val="none" w:sz="0" w:space="0" w:color="auto"/>
        <w:bottom w:val="none" w:sz="0" w:space="0" w:color="auto"/>
        <w:right w:val="none" w:sz="0" w:space="0" w:color="auto"/>
      </w:divBdr>
      <w:divsChild>
        <w:div w:id="1868981341">
          <w:marLeft w:val="0"/>
          <w:marRight w:val="0"/>
          <w:marTop w:val="0"/>
          <w:marBottom w:val="0"/>
          <w:divBdr>
            <w:top w:val="none" w:sz="0" w:space="0" w:color="auto"/>
            <w:left w:val="none" w:sz="0" w:space="0" w:color="auto"/>
            <w:bottom w:val="none" w:sz="0" w:space="0" w:color="auto"/>
            <w:right w:val="none" w:sz="0" w:space="0" w:color="auto"/>
          </w:divBdr>
        </w:div>
      </w:divsChild>
    </w:div>
    <w:div w:id="1614246954">
      <w:marLeft w:val="0"/>
      <w:marRight w:val="0"/>
      <w:marTop w:val="0"/>
      <w:marBottom w:val="0"/>
      <w:divBdr>
        <w:top w:val="none" w:sz="0" w:space="0" w:color="auto"/>
        <w:left w:val="none" w:sz="0" w:space="0" w:color="auto"/>
        <w:bottom w:val="none" w:sz="0" w:space="0" w:color="auto"/>
        <w:right w:val="none" w:sz="0" w:space="0" w:color="auto"/>
      </w:divBdr>
      <w:divsChild>
        <w:div w:id="928269900">
          <w:marLeft w:val="0"/>
          <w:marRight w:val="0"/>
          <w:marTop w:val="0"/>
          <w:marBottom w:val="0"/>
          <w:divBdr>
            <w:top w:val="none" w:sz="0" w:space="0" w:color="auto"/>
            <w:left w:val="none" w:sz="0" w:space="0" w:color="auto"/>
            <w:bottom w:val="none" w:sz="0" w:space="0" w:color="auto"/>
            <w:right w:val="none" w:sz="0" w:space="0" w:color="auto"/>
          </w:divBdr>
        </w:div>
      </w:divsChild>
    </w:div>
    <w:div w:id="1616058319">
      <w:marLeft w:val="0"/>
      <w:marRight w:val="0"/>
      <w:marTop w:val="0"/>
      <w:marBottom w:val="0"/>
      <w:divBdr>
        <w:top w:val="none" w:sz="0" w:space="0" w:color="auto"/>
        <w:left w:val="none" w:sz="0" w:space="0" w:color="auto"/>
        <w:bottom w:val="none" w:sz="0" w:space="0" w:color="auto"/>
        <w:right w:val="none" w:sz="0" w:space="0" w:color="auto"/>
      </w:divBdr>
    </w:div>
    <w:div w:id="1619525763">
      <w:marLeft w:val="0"/>
      <w:marRight w:val="0"/>
      <w:marTop w:val="0"/>
      <w:marBottom w:val="0"/>
      <w:divBdr>
        <w:top w:val="none" w:sz="0" w:space="0" w:color="auto"/>
        <w:left w:val="none" w:sz="0" w:space="0" w:color="auto"/>
        <w:bottom w:val="none" w:sz="0" w:space="0" w:color="auto"/>
        <w:right w:val="none" w:sz="0" w:space="0" w:color="auto"/>
      </w:divBdr>
      <w:divsChild>
        <w:div w:id="1743598017">
          <w:marLeft w:val="0"/>
          <w:marRight w:val="0"/>
          <w:marTop w:val="0"/>
          <w:marBottom w:val="0"/>
          <w:divBdr>
            <w:top w:val="none" w:sz="0" w:space="0" w:color="auto"/>
            <w:left w:val="none" w:sz="0" w:space="0" w:color="auto"/>
            <w:bottom w:val="none" w:sz="0" w:space="0" w:color="auto"/>
            <w:right w:val="none" w:sz="0" w:space="0" w:color="auto"/>
          </w:divBdr>
        </w:div>
      </w:divsChild>
    </w:div>
    <w:div w:id="1633318089">
      <w:marLeft w:val="0"/>
      <w:marRight w:val="0"/>
      <w:marTop w:val="0"/>
      <w:marBottom w:val="0"/>
      <w:divBdr>
        <w:top w:val="none" w:sz="0" w:space="0" w:color="auto"/>
        <w:left w:val="none" w:sz="0" w:space="0" w:color="auto"/>
        <w:bottom w:val="none" w:sz="0" w:space="0" w:color="auto"/>
        <w:right w:val="none" w:sz="0" w:space="0" w:color="auto"/>
      </w:divBdr>
    </w:div>
    <w:div w:id="1634215686">
      <w:marLeft w:val="0"/>
      <w:marRight w:val="0"/>
      <w:marTop w:val="0"/>
      <w:marBottom w:val="0"/>
      <w:divBdr>
        <w:top w:val="none" w:sz="0" w:space="0" w:color="auto"/>
        <w:left w:val="none" w:sz="0" w:space="0" w:color="auto"/>
        <w:bottom w:val="none" w:sz="0" w:space="0" w:color="auto"/>
        <w:right w:val="none" w:sz="0" w:space="0" w:color="auto"/>
      </w:divBdr>
    </w:div>
    <w:div w:id="1636714531">
      <w:marLeft w:val="0"/>
      <w:marRight w:val="0"/>
      <w:marTop w:val="0"/>
      <w:marBottom w:val="0"/>
      <w:divBdr>
        <w:top w:val="none" w:sz="0" w:space="0" w:color="auto"/>
        <w:left w:val="none" w:sz="0" w:space="0" w:color="auto"/>
        <w:bottom w:val="none" w:sz="0" w:space="0" w:color="auto"/>
        <w:right w:val="none" w:sz="0" w:space="0" w:color="auto"/>
      </w:divBdr>
    </w:div>
    <w:div w:id="1641616102">
      <w:marLeft w:val="0"/>
      <w:marRight w:val="0"/>
      <w:marTop w:val="0"/>
      <w:marBottom w:val="0"/>
      <w:divBdr>
        <w:top w:val="none" w:sz="0" w:space="0" w:color="auto"/>
        <w:left w:val="none" w:sz="0" w:space="0" w:color="auto"/>
        <w:bottom w:val="none" w:sz="0" w:space="0" w:color="auto"/>
        <w:right w:val="none" w:sz="0" w:space="0" w:color="auto"/>
      </w:divBdr>
      <w:divsChild>
        <w:div w:id="1379664835">
          <w:marLeft w:val="0"/>
          <w:marRight w:val="0"/>
          <w:marTop w:val="0"/>
          <w:marBottom w:val="0"/>
          <w:divBdr>
            <w:top w:val="none" w:sz="0" w:space="0" w:color="auto"/>
            <w:left w:val="none" w:sz="0" w:space="0" w:color="auto"/>
            <w:bottom w:val="none" w:sz="0" w:space="0" w:color="auto"/>
            <w:right w:val="none" w:sz="0" w:space="0" w:color="auto"/>
          </w:divBdr>
        </w:div>
      </w:divsChild>
    </w:div>
    <w:div w:id="1655600879">
      <w:marLeft w:val="0"/>
      <w:marRight w:val="0"/>
      <w:marTop w:val="0"/>
      <w:marBottom w:val="120"/>
      <w:divBdr>
        <w:top w:val="none" w:sz="0" w:space="0" w:color="auto"/>
        <w:left w:val="none" w:sz="0" w:space="0" w:color="auto"/>
        <w:bottom w:val="none" w:sz="0" w:space="0" w:color="auto"/>
        <w:right w:val="none" w:sz="0" w:space="0" w:color="auto"/>
      </w:divBdr>
    </w:div>
    <w:div w:id="1660815299">
      <w:marLeft w:val="0"/>
      <w:marRight w:val="0"/>
      <w:marTop w:val="0"/>
      <w:marBottom w:val="0"/>
      <w:divBdr>
        <w:top w:val="none" w:sz="0" w:space="0" w:color="auto"/>
        <w:left w:val="none" w:sz="0" w:space="0" w:color="auto"/>
        <w:bottom w:val="none" w:sz="0" w:space="0" w:color="auto"/>
        <w:right w:val="none" w:sz="0" w:space="0" w:color="auto"/>
      </w:divBdr>
    </w:div>
    <w:div w:id="1663704577">
      <w:marLeft w:val="0"/>
      <w:marRight w:val="0"/>
      <w:marTop w:val="0"/>
      <w:marBottom w:val="0"/>
      <w:divBdr>
        <w:top w:val="none" w:sz="0" w:space="0" w:color="auto"/>
        <w:left w:val="none" w:sz="0" w:space="0" w:color="auto"/>
        <w:bottom w:val="none" w:sz="0" w:space="0" w:color="auto"/>
        <w:right w:val="none" w:sz="0" w:space="0" w:color="auto"/>
      </w:divBdr>
      <w:divsChild>
        <w:div w:id="30344004">
          <w:marLeft w:val="0"/>
          <w:marRight w:val="0"/>
          <w:marTop w:val="0"/>
          <w:marBottom w:val="0"/>
          <w:divBdr>
            <w:top w:val="none" w:sz="0" w:space="0" w:color="auto"/>
            <w:left w:val="none" w:sz="0" w:space="0" w:color="auto"/>
            <w:bottom w:val="none" w:sz="0" w:space="0" w:color="auto"/>
            <w:right w:val="none" w:sz="0" w:space="0" w:color="auto"/>
          </w:divBdr>
        </w:div>
      </w:divsChild>
    </w:div>
    <w:div w:id="1668828010">
      <w:marLeft w:val="0"/>
      <w:marRight w:val="0"/>
      <w:marTop w:val="0"/>
      <w:marBottom w:val="0"/>
      <w:divBdr>
        <w:top w:val="none" w:sz="0" w:space="0" w:color="auto"/>
        <w:left w:val="none" w:sz="0" w:space="0" w:color="auto"/>
        <w:bottom w:val="none" w:sz="0" w:space="0" w:color="auto"/>
        <w:right w:val="none" w:sz="0" w:space="0" w:color="auto"/>
      </w:divBdr>
    </w:div>
    <w:div w:id="1670474430">
      <w:marLeft w:val="0"/>
      <w:marRight w:val="0"/>
      <w:marTop w:val="0"/>
      <w:marBottom w:val="0"/>
      <w:divBdr>
        <w:top w:val="none" w:sz="0" w:space="0" w:color="auto"/>
        <w:left w:val="none" w:sz="0" w:space="0" w:color="auto"/>
        <w:bottom w:val="none" w:sz="0" w:space="0" w:color="auto"/>
        <w:right w:val="none" w:sz="0" w:space="0" w:color="auto"/>
      </w:divBdr>
      <w:divsChild>
        <w:div w:id="1164934138">
          <w:marLeft w:val="0"/>
          <w:marRight w:val="0"/>
          <w:marTop w:val="0"/>
          <w:marBottom w:val="0"/>
          <w:divBdr>
            <w:top w:val="none" w:sz="0" w:space="0" w:color="auto"/>
            <w:left w:val="none" w:sz="0" w:space="0" w:color="auto"/>
            <w:bottom w:val="none" w:sz="0" w:space="0" w:color="auto"/>
            <w:right w:val="none" w:sz="0" w:space="0" w:color="auto"/>
          </w:divBdr>
        </w:div>
      </w:divsChild>
    </w:div>
    <w:div w:id="1676955803">
      <w:marLeft w:val="0"/>
      <w:marRight w:val="0"/>
      <w:marTop w:val="0"/>
      <w:marBottom w:val="0"/>
      <w:divBdr>
        <w:top w:val="none" w:sz="0" w:space="0" w:color="auto"/>
        <w:left w:val="none" w:sz="0" w:space="0" w:color="auto"/>
        <w:bottom w:val="none" w:sz="0" w:space="0" w:color="auto"/>
        <w:right w:val="none" w:sz="0" w:space="0" w:color="auto"/>
      </w:divBdr>
    </w:div>
    <w:div w:id="1678995297">
      <w:marLeft w:val="0"/>
      <w:marRight w:val="0"/>
      <w:marTop w:val="0"/>
      <w:marBottom w:val="0"/>
      <w:divBdr>
        <w:top w:val="none" w:sz="0" w:space="0" w:color="auto"/>
        <w:left w:val="none" w:sz="0" w:space="0" w:color="auto"/>
        <w:bottom w:val="none" w:sz="0" w:space="0" w:color="auto"/>
        <w:right w:val="none" w:sz="0" w:space="0" w:color="auto"/>
      </w:divBdr>
      <w:divsChild>
        <w:div w:id="1916234141">
          <w:marLeft w:val="0"/>
          <w:marRight w:val="0"/>
          <w:marTop w:val="0"/>
          <w:marBottom w:val="0"/>
          <w:divBdr>
            <w:top w:val="none" w:sz="0" w:space="0" w:color="auto"/>
            <w:left w:val="none" w:sz="0" w:space="0" w:color="auto"/>
            <w:bottom w:val="none" w:sz="0" w:space="0" w:color="auto"/>
            <w:right w:val="none" w:sz="0" w:space="0" w:color="auto"/>
          </w:divBdr>
        </w:div>
      </w:divsChild>
    </w:div>
    <w:div w:id="1682271141">
      <w:marLeft w:val="0"/>
      <w:marRight w:val="0"/>
      <w:marTop w:val="0"/>
      <w:marBottom w:val="0"/>
      <w:divBdr>
        <w:top w:val="none" w:sz="0" w:space="0" w:color="auto"/>
        <w:left w:val="none" w:sz="0" w:space="0" w:color="auto"/>
        <w:bottom w:val="none" w:sz="0" w:space="0" w:color="auto"/>
        <w:right w:val="none" w:sz="0" w:space="0" w:color="auto"/>
      </w:divBdr>
      <w:divsChild>
        <w:div w:id="2056389338">
          <w:marLeft w:val="0"/>
          <w:marRight w:val="0"/>
          <w:marTop w:val="0"/>
          <w:marBottom w:val="0"/>
          <w:divBdr>
            <w:top w:val="none" w:sz="0" w:space="0" w:color="auto"/>
            <w:left w:val="none" w:sz="0" w:space="0" w:color="auto"/>
            <w:bottom w:val="none" w:sz="0" w:space="0" w:color="auto"/>
            <w:right w:val="none" w:sz="0" w:space="0" w:color="auto"/>
          </w:divBdr>
        </w:div>
      </w:divsChild>
    </w:div>
    <w:div w:id="1684936444">
      <w:marLeft w:val="0"/>
      <w:marRight w:val="0"/>
      <w:marTop w:val="0"/>
      <w:marBottom w:val="0"/>
      <w:divBdr>
        <w:top w:val="none" w:sz="0" w:space="0" w:color="auto"/>
        <w:left w:val="none" w:sz="0" w:space="0" w:color="auto"/>
        <w:bottom w:val="none" w:sz="0" w:space="0" w:color="auto"/>
        <w:right w:val="none" w:sz="0" w:space="0" w:color="auto"/>
      </w:divBdr>
    </w:div>
    <w:div w:id="1685861786">
      <w:marLeft w:val="0"/>
      <w:marRight w:val="0"/>
      <w:marTop w:val="0"/>
      <w:marBottom w:val="120"/>
      <w:divBdr>
        <w:top w:val="none" w:sz="0" w:space="0" w:color="auto"/>
        <w:left w:val="none" w:sz="0" w:space="0" w:color="auto"/>
        <w:bottom w:val="none" w:sz="0" w:space="0" w:color="auto"/>
        <w:right w:val="none" w:sz="0" w:space="0" w:color="auto"/>
      </w:divBdr>
    </w:div>
    <w:div w:id="1688016611">
      <w:marLeft w:val="0"/>
      <w:marRight w:val="0"/>
      <w:marTop w:val="0"/>
      <w:marBottom w:val="0"/>
      <w:divBdr>
        <w:top w:val="none" w:sz="0" w:space="0" w:color="auto"/>
        <w:left w:val="none" w:sz="0" w:space="0" w:color="auto"/>
        <w:bottom w:val="none" w:sz="0" w:space="0" w:color="auto"/>
        <w:right w:val="none" w:sz="0" w:space="0" w:color="auto"/>
      </w:divBdr>
      <w:divsChild>
        <w:div w:id="1635788418">
          <w:marLeft w:val="0"/>
          <w:marRight w:val="0"/>
          <w:marTop w:val="0"/>
          <w:marBottom w:val="0"/>
          <w:divBdr>
            <w:top w:val="none" w:sz="0" w:space="0" w:color="auto"/>
            <w:left w:val="none" w:sz="0" w:space="0" w:color="auto"/>
            <w:bottom w:val="none" w:sz="0" w:space="0" w:color="auto"/>
            <w:right w:val="none" w:sz="0" w:space="0" w:color="auto"/>
          </w:divBdr>
        </w:div>
      </w:divsChild>
    </w:div>
    <w:div w:id="1694303502">
      <w:marLeft w:val="0"/>
      <w:marRight w:val="0"/>
      <w:marTop w:val="0"/>
      <w:marBottom w:val="0"/>
      <w:divBdr>
        <w:top w:val="none" w:sz="0" w:space="0" w:color="auto"/>
        <w:left w:val="none" w:sz="0" w:space="0" w:color="auto"/>
        <w:bottom w:val="none" w:sz="0" w:space="0" w:color="auto"/>
        <w:right w:val="none" w:sz="0" w:space="0" w:color="auto"/>
      </w:divBdr>
      <w:divsChild>
        <w:div w:id="1867795314">
          <w:marLeft w:val="0"/>
          <w:marRight w:val="0"/>
          <w:marTop w:val="0"/>
          <w:marBottom w:val="0"/>
          <w:divBdr>
            <w:top w:val="none" w:sz="0" w:space="0" w:color="auto"/>
            <w:left w:val="none" w:sz="0" w:space="0" w:color="auto"/>
            <w:bottom w:val="none" w:sz="0" w:space="0" w:color="auto"/>
            <w:right w:val="none" w:sz="0" w:space="0" w:color="auto"/>
          </w:divBdr>
        </w:div>
      </w:divsChild>
    </w:div>
    <w:div w:id="1695886697">
      <w:marLeft w:val="0"/>
      <w:marRight w:val="0"/>
      <w:marTop w:val="0"/>
      <w:marBottom w:val="0"/>
      <w:divBdr>
        <w:top w:val="none" w:sz="0" w:space="0" w:color="auto"/>
        <w:left w:val="none" w:sz="0" w:space="0" w:color="auto"/>
        <w:bottom w:val="none" w:sz="0" w:space="0" w:color="auto"/>
        <w:right w:val="none" w:sz="0" w:space="0" w:color="auto"/>
      </w:divBdr>
    </w:div>
    <w:div w:id="1697583221">
      <w:marLeft w:val="0"/>
      <w:marRight w:val="0"/>
      <w:marTop w:val="0"/>
      <w:marBottom w:val="0"/>
      <w:divBdr>
        <w:top w:val="none" w:sz="0" w:space="0" w:color="auto"/>
        <w:left w:val="none" w:sz="0" w:space="0" w:color="auto"/>
        <w:bottom w:val="none" w:sz="0" w:space="0" w:color="auto"/>
        <w:right w:val="none" w:sz="0" w:space="0" w:color="auto"/>
      </w:divBdr>
    </w:div>
    <w:div w:id="1703625772">
      <w:marLeft w:val="0"/>
      <w:marRight w:val="0"/>
      <w:marTop w:val="0"/>
      <w:marBottom w:val="120"/>
      <w:divBdr>
        <w:top w:val="none" w:sz="0" w:space="0" w:color="auto"/>
        <w:left w:val="none" w:sz="0" w:space="0" w:color="auto"/>
        <w:bottom w:val="none" w:sz="0" w:space="0" w:color="auto"/>
        <w:right w:val="none" w:sz="0" w:space="0" w:color="auto"/>
      </w:divBdr>
    </w:div>
    <w:div w:id="1709836689">
      <w:marLeft w:val="0"/>
      <w:marRight w:val="0"/>
      <w:marTop w:val="0"/>
      <w:marBottom w:val="0"/>
      <w:divBdr>
        <w:top w:val="none" w:sz="0" w:space="0" w:color="auto"/>
        <w:left w:val="none" w:sz="0" w:space="0" w:color="auto"/>
        <w:bottom w:val="none" w:sz="0" w:space="0" w:color="auto"/>
        <w:right w:val="none" w:sz="0" w:space="0" w:color="auto"/>
      </w:divBdr>
    </w:div>
    <w:div w:id="1714191970">
      <w:marLeft w:val="0"/>
      <w:marRight w:val="0"/>
      <w:marTop w:val="0"/>
      <w:marBottom w:val="0"/>
      <w:divBdr>
        <w:top w:val="none" w:sz="0" w:space="0" w:color="auto"/>
        <w:left w:val="none" w:sz="0" w:space="0" w:color="auto"/>
        <w:bottom w:val="none" w:sz="0" w:space="0" w:color="auto"/>
        <w:right w:val="none" w:sz="0" w:space="0" w:color="auto"/>
      </w:divBdr>
      <w:divsChild>
        <w:div w:id="1005209027">
          <w:marLeft w:val="0"/>
          <w:marRight w:val="0"/>
          <w:marTop w:val="0"/>
          <w:marBottom w:val="0"/>
          <w:divBdr>
            <w:top w:val="none" w:sz="0" w:space="0" w:color="auto"/>
            <w:left w:val="none" w:sz="0" w:space="0" w:color="auto"/>
            <w:bottom w:val="none" w:sz="0" w:space="0" w:color="auto"/>
            <w:right w:val="none" w:sz="0" w:space="0" w:color="auto"/>
          </w:divBdr>
        </w:div>
      </w:divsChild>
    </w:div>
    <w:div w:id="1714504995">
      <w:marLeft w:val="0"/>
      <w:marRight w:val="0"/>
      <w:marTop w:val="0"/>
      <w:marBottom w:val="0"/>
      <w:divBdr>
        <w:top w:val="none" w:sz="0" w:space="0" w:color="auto"/>
        <w:left w:val="none" w:sz="0" w:space="0" w:color="auto"/>
        <w:bottom w:val="none" w:sz="0" w:space="0" w:color="auto"/>
        <w:right w:val="none" w:sz="0" w:space="0" w:color="auto"/>
      </w:divBdr>
      <w:divsChild>
        <w:div w:id="1770664813">
          <w:marLeft w:val="0"/>
          <w:marRight w:val="0"/>
          <w:marTop w:val="0"/>
          <w:marBottom w:val="0"/>
          <w:divBdr>
            <w:top w:val="none" w:sz="0" w:space="0" w:color="auto"/>
            <w:left w:val="none" w:sz="0" w:space="0" w:color="auto"/>
            <w:bottom w:val="none" w:sz="0" w:space="0" w:color="auto"/>
            <w:right w:val="none" w:sz="0" w:space="0" w:color="auto"/>
          </w:divBdr>
        </w:div>
      </w:divsChild>
    </w:div>
    <w:div w:id="1724479166">
      <w:marLeft w:val="0"/>
      <w:marRight w:val="0"/>
      <w:marTop w:val="0"/>
      <w:marBottom w:val="0"/>
      <w:divBdr>
        <w:top w:val="none" w:sz="0" w:space="0" w:color="auto"/>
        <w:left w:val="none" w:sz="0" w:space="0" w:color="auto"/>
        <w:bottom w:val="none" w:sz="0" w:space="0" w:color="auto"/>
        <w:right w:val="none" w:sz="0" w:space="0" w:color="auto"/>
      </w:divBdr>
      <w:divsChild>
        <w:div w:id="652562307">
          <w:marLeft w:val="0"/>
          <w:marRight w:val="0"/>
          <w:marTop w:val="0"/>
          <w:marBottom w:val="0"/>
          <w:divBdr>
            <w:top w:val="none" w:sz="0" w:space="0" w:color="auto"/>
            <w:left w:val="none" w:sz="0" w:space="0" w:color="auto"/>
            <w:bottom w:val="none" w:sz="0" w:space="0" w:color="auto"/>
            <w:right w:val="none" w:sz="0" w:space="0" w:color="auto"/>
          </w:divBdr>
        </w:div>
      </w:divsChild>
    </w:div>
    <w:div w:id="1729037258">
      <w:marLeft w:val="0"/>
      <w:marRight w:val="0"/>
      <w:marTop w:val="0"/>
      <w:marBottom w:val="0"/>
      <w:divBdr>
        <w:top w:val="none" w:sz="0" w:space="0" w:color="auto"/>
        <w:left w:val="none" w:sz="0" w:space="0" w:color="auto"/>
        <w:bottom w:val="none" w:sz="0" w:space="0" w:color="auto"/>
        <w:right w:val="none" w:sz="0" w:space="0" w:color="auto"/>
      </w:divBdr>
    </w:div>
    <w:div w:id="1734624585">
      <w:marLeft w:val="0"/>
      <w:marRight w:val="0"/>
      <w:marTop w:val="0"/>
      <w:marBottom w:val="0"/>
      <w:divBdr>
        <w:top w:val="none" w:sz="0" w:space="0" w:color="auto"/>
        <w:left w:val="none" w:sz="0" w:space="0" w:color="auto"/>
        <w:bottom w:val="none" w:sz="0" w:space="0" w:color="auto"/>
        <w:right w:val="none" w:sz="0" w:space="0" w:color="auto"/>
      </w:divBdr>
      <w:divsChild>
        <w:div w:id="907811004">
          <w:marLeft w:val="0"/>
          <w:marRight w:val="0"/>
          <w:marTop w:val="0"/>
          <w:marBottom w:val="0"/>
          <w:divBdr>
            <w:top w:val="none" w:sz="0" w:space="0" w:color="auto"/>
            <w:left w:val="none" w:sz="0" w:space="0" w:color="auto"/>
            <w:bottom w:val="none" w:sz="0" w:space="0" w:color="auto"/>
            <w:right w:val="none" w:sz="0" w:space="0" w:color="auto"/>
          </w:divBdr>
        </w:div>
      </w:divsChild>
    </w:div>
    <w:div w:id="1734961621">
      <w:marLeft w:val="0"/>
      <w:marRight w:val="0"/>
      <w:marTop w:val="0"/>
      <w:marBottom w:val="0"/>
      <w:divBdr>
        <w:top w:val="none" w:sz="0" w:space="0" w:color="auto"/>
        <w:left w:val="none" w:sz="0" w:space="0" w:color="auto"/>
        <w:bottom w:val="none" w:sz="0" w:space="0" w:color="auto"/>
        <w:right w:val="none" w:sz="0" w:space="0" w:color="auto"/>
      </w:divBdr>
    </w:div>
    <w:div w:id="1738547343">
      <w:marLeft w:val="0"/>
      <w:marRight w:val="0"/>
      <w:marTop w:val="0"/>
      <w:marBottom w:val="0"/>
      <w:divBdr>
        <w:top w:val="none" w:sz="0" w:space="0" w:color="auto"/>
        <w:left w:val="none" w:sz="0" w:space="0" w:color="auto"/>
        <w:bottom w:val="none" w:sz="0" w:space="0" w:color="auto"/>
        <w:right w:val="none" w:sz="0" w:space="0" w:color="auto"/>
      </w:divBdr>
      <w:divsChild>
        <w:div w:id="326176315">
          <w:marLeft w:val="0"/>
          <w:marRight w:val="0"/>
          <w:marTop w:val="0"/>
          <w:marBottom w:val="0"/>
          <w:divBdr>
            <w:top w:val="none" w:sz="0" w:space="0" w:color="auto"/>
            <w:left w:val="none" w:sz="0" w:space="0" w:color="auto"/>
            <w:bottom w:val="none" w:sz="0" w:space="0" w:color="auto"/>
            <w:right w:val="none" w:sz="0" w:space="0" w:color="auto"/>
          </w:divBdr>
        </w:div>
      </w:divsChild>
    </w:div>
    <w:div w:id="1752384605">
      <w:marLeft w:val="0"/>
      <w:marRight w:val="0"/>
      <w:marTop w:val="0"/>
      <w:marBottom w:val="0"/>
      <w:divBdr>
        <w:top w:val="none" w:sz="0" w:space="0" w:color="auto"/>
        <w:left w:val="none" w:sz="0" w:space="0" w:color="auto"/>
        <w:bottom w:val="none" w:sz="0" w:space="0" w:color="auto"/>
        <w:right w:val="none" w:sz="0" w:space="0" w:color="auto"/>
      </w:divBdr>
    </w:div>
    <w:div w:id="1755395390">
      <w:marLeft w:val="0"/>
      <w:marRight w:val="0"/>
      <w:marTop w:val="0"/>
      <w:marBottom w:val="0"/>
      <w:divBdr>
        <w:top w:val="none" w:sz="0" w:space="0" w:color="auto"/>
        <w:left w:val="none" w:sz="0" w:space="0" w:color="auto"/>
        <w:bottom w:val="none" w:sz="0" w:space="0" w:color="auto"/>
        <w:right w:val="none" w:sz="0" w:space="0" w:color="auto"/>
      </w:divBdr>
      <w:divsChild>
        <w:div w:id="94787076">
          <w:marLeft w:val="0"/>
          <w:marRight w:val="0"/>
          <w:marTop w:val="0"/>
          <w:marBottom w:val="0"/>
          <w:divBdr>
            <w:top w:val="none" w:sz="0" w:space="0" w:color="auto"/>
            <w:left w:val="none" w:sz="0" w:space="0" w:color="auto"/>
            <w:bottom w:val="none" w:sz="0" w:space="0" w:color="auto"/>
            <w:right w:val="none" w:sz="0" w:space="0" w:color="auto"/>
          </w:divBdr>
        </w:div>
      </w:divsChild>
    </w:div>
    <w:div w:id="1767531260">
      <w:marLeft w:val="0"/>
      <w:marRight w:val="0"/>
      <w:marTop w:val="0"/>
      <w:marBottom w:val="0"/>
      <w:divBdr>
        <w:top w:val="none" w:sz="0" w:space="0" w:color="auto"/>
        <w:left w:val="none" w:sz="0" w:space="0" w:color="auto"/>
        <w:bottom w:val="none" w:sz="0" w:space="0" w:color="auto"/>
        <w:right w:val="none" w:sz="0" w:space="0" w:color="auto"/>
      </w:divBdr>
      <w:divsChild>
        <w:div w:id="1143158157">
          <w:marLeft w:val="0"/>
          <w:marRight w:val="0"/>
          <w:marTop w:val="0"/>
          <w:marBottom w:val="0"/>
          <w:divBdr>
            <w:top w:val="none" w:sz="0" w:space="0" w:color="auto"/>
            <w:left w:val="none" w:sz="0" w:space="0" w:color="auto"/>
            <w:bottom w:val="none" w:sz="0" w:space="0" w:color="auto"/>
            <w:right w:val="none" w:sz="0" w:space="0" w:color="auto"/>
          </w:divBdr>
        </w:div>
      </w:divsChild>
    </w:div>
    <w:div w:id="1768499177">
      <w:marLeft w:val="0"/>
      <w:marRight w:val="0"/>
      <w:marTop w:val="0"/>
      <w:marBottom w:val="0"/>
      <w:divBdr>
        <w:top w:val="none" w:sz="0" w:space="0" w:color="auto"/>
        <w:left w:val="none" w:sz="0" w:space="0" w:color="auto"/>
        <w:bottom w:val="none" w:sz="0" w:space="0" w:color="auto"/>
        <w:right w:val="none" w:sz="0" w:space="0" w:color="auto"/>
      </w:divBdr>
    </w:div>
    <w:div w:id="1774781924">
      <w:marLeft w:val="0"/>
      <w:marRight w:val="0"/>
      <w:marTop w:val="0"/>
      <w:marBottom w:val="0"/>
      <w:divBdr>
        <w:top w:val="none" w:sz="0" w:space="0" w:color="auto"/>
        <w:left w:val="none" w:sz="0" w:space="0" w:color="auto"/>
        <w:bottom w:val="none" w:sz="0" w:space="0" w:color="auto"/>
        <w:right w:val="none" w:sz="0" w:space="0" w:color="auto"/>
      </w:divBdr>
    </w:div>
    <w:div w:id="1779643920">
      <w:marLeft w:val="0"/>
      <w:marRight w:val="0"/>
      <w:marTop w:val="0"/>
      <w:marBottom w:val="0"/>
      <w:divBdr>
        <w:top w:val="none" w:sz="0" w:space="0" w:color="auto"/>
        <w:left w:val="none" w:sz="0" w:space="0" w:color="auto"/>
        <w:bottom w:val="none" w:sz="0" w:space="0" w:color="auto"/>
        <w:right w:val="none" w:sz="0" w:space="0" w:color="auto"/>
      </w:divBdr>
    </w:div>
    <w:div w:id="1783836314">
      <w:marLeft w:val="0"/>
      <w:marRight w:val="0"/>
      <w:marTop w:val="0"/>
      <w:marBottom w:val="0"/>
      <w:divBdr>
        <w:top w:val="none" w:sz="0" w:space="0" w:color="auto"/>
        <w:left w:val="none" w:sz="0" w:space="0" w:color="auto"/>
        <w:bottom w:val="none" w:sz="0" w:space="0" w:color="auto"/>
        <w:right w:val="none" w:sz="0" w:space="0" w:color="auto"/>
      </w:divBdr>
      <w:divsChild>
        <w:div w:id="2130929631">
          <w:marLeft w:val="0"/>
          <w:marRight w:val="0"/>
          <w:marTop w:val="0"/>
          <w:marBottom w:val="0"/>
          <w:divBdr>
            <w:top w:val="none" w:sz="0" w:space="0" w:color="auto"/>
            <w:left w:val="none" w:sz="0" w:space="0" w:color="auto"/>
            <w:bottom w:val="none" w:sz="0" w:space="0" w:color="auto"/>
            <w:right w:val="none" w:sz="0" w:space="0" w:color="auto"/>
          </w:divBdr>
        </w:div>
      </w:divsChild>
    </w:div>
    <w:div w:id="1789003311">
      <w:marLeft w:val="0"/>
      <w:marRight w:val="0"/>
      <w:marTop w:val="0"/>
      <w:marBottom w:val="0"/>
      <w:divBdr>
        <w:top w:val="none" w:sz="0" w:space="0" w:color="auto"/>
        <w:left w:val="none" w:sz="0" w:space="0" w:color="auto"/>
        <w:bottom w:val="none" w:sz="0" w:space="0" w:color="auto"/>
        <w:right w:val="none" w:sz="0" w:space="0" w:color="auto"/>
      </w:divBdr>
    </w:div>
    <w:div w:id="1790050565">
      <w:marLeft w:val="0"/>
      <w:marRight w:val="0"/>
      <w:marTop w:val="0"/>
      <w:marBottom w:val="0"/>
      <w:divBdr>
        <w:top w:val="none" w:sz="0" w:space="0" w:color="auto"/>
        <w:left w:val="none" w:sz="0" w:space="0" w:color="auto"/>
        <w:bottom w:val="none" w:sz="0" w:space="0" w:color="auto"/>
        <w:right w:val="none" w:sz="0" w:space="0" w:color="auto"/>
      </w:divBdr>
      <w:divsChild>
        <w:div w:id="1784029232">
          <w:marLeft w:val="0"/>
          <w:marRight w:val="0"/>
          <w:marTop w:val="0"/>
          <w:marBottom w:val="0"/>
          <w:divBdr>
            <w:top w:val="none" w:sz="0" w:space="0" w:color="auto"/>
            <w:left w:val="none" w:sz="0" w:space="0" w:color="auto"/>
            <w:bottom w:val="none" w:sz="0" w:space="0" w:color="auto"/>
            <w:right w:val="none" w:sz="0" w:space="0" w:color="auto"/>
          </w:divBdr>
        </w:div>
      </w:divsChild>
    </w:div>
    <w:div w:id="1794597676">
      <w:marLeft w:val="0"/>
      <w:marRight w:val="0"/>
      <w:marTop w:val="0"/>
      <w:marBottom w:val="0"/>
      <w:divBdr>
        <w:top w:val="none" w:sz="0" w:space="0" w:color="auto"/>
        <w:left w:val="none" w:sz="0" w:space="0" w:color="auto"/>
        <w:bottom w:val="none" w:sz="0" w:space="0" w:color="auto"/>
        <w:right w:val="none" w:sz="0" w:space="0" w:color="auto"/>
      </w:divBdr>
    </w:div>
    <w:div w:id="1794712771">
      <w:marLeft w:val="0"/>
      <w:marRight w:val="0"/>
      <w:marTop w:val="0"/>
      <w:marBottom w:val="0"/>
      <w:divBdr>
        <w:top w:val="none" w:sz="0" w:space="0" w:color="auto"/>
        <w:left w:val="none" w:sz="0" w:space="0" w:color="auto"/>
        <w:bottom w:val="none" w:sz="0" w:space="0" w:color="auto"/>
        <w:right w:val="none" w:sz="0" w:space="0" w:color="auto"/>
      </w:divBdr>
    </w:div>
    <w:div w:id="1795713404">
      <w:marLeft w:val="0"/>
      <w:marRight w:val="0"/>
      <w:marTop w:val="0"/>
      <w:marBottom w:val="120"/>
      <w:divBdr>
        <w:top w:val="none" w:sz="0" w:space="0" w:color="auto"/>
        <w:left w:val="none" w:sz="0" w:space="0" w:color="auto"/>
        <w:bottom w:val="none" w:sz="0" w:space="0" w:color="auto"/>
        <w:right w:val="none" w:sz="0" w:space="0" w:color="auto"/>
      </w:divBdr>
    </w:div>
    <w:div w:id="1797600446">
      <w:marLeft w:val="0"/>
      <w:marRight w:val="0"/>
      <w:marTop w:val="0"/>
      <w:marBottom w:val="0"/>
      <w:divBdr>
        <w:top w:val="none" w:sz="0" w:space="0" w:color="auto"/>
        <w:left w:val="none" w:sz="0" w:space="0" w:color="auto"/>
        <w:bottom w:val="none" w:sz="0" w:space="0" w:color="auto"/>
        <w:right w:val="none" w:sz="0" w:space="0" w:color="auto"/>
      </w:divBdr>
    </w:div>
    <w:div w:id="1797602782">
      <w:marLeft w:val="0"/>
      <w:marRight w:val="0"/>
      <w:marTop w:val="0"/>
      <w:marBottom w:val="0"/>
      <w:divBdr>
        <w:top w:val="none" w:sz="0" w:space="0" w:color="auto"/>
        <w:left w:val="none" w:sz="0" w:space="0" w:color="auto"/>
        <w:bottom w:val="none" w:sz="0" w:space="0" w:color="auto"/>
        <w:right w:val="none" w:sz="0" w:space="0" w:color="auto"/>
      </w:divBdr>
    </w:div>
    <w:div w:id="1800802422">
      <w:marLeft w:val="0"/>
      <w:marRight w:val="0"/>
      <w:marTop w:val="0"/>
      <w:marBottom w:val="0"/>
      <w:divBdr>
        <w:top w:val="none" w:sz="0" w:space="0" w:color="auto"/>
        <w:left w:val="none" w:sz="0" w:space="0" w:color="auto"/>
        <w:bottom w:val="none" w:sz="0" w:space="0" w:color="auto"/>
        <w:right w:val="none" w:sz="0" w:space="0" w:color="auto"/>
      </w:divBdr>
      <w:divsChild>
        <w:div w:id="1822887796">
          <w:marLeft w:val="0"/>
          <w:marRight w:val="0"/>
          <w:marTop w:val="0"/>
          <w:marBottom w:val="0"/>
          <w:divBdr>
            <w:top w:val="none" w:sz="0" w:space="0" w:color="auto"/>
            <w:left w:val="none" w:sz="0" w:space="0" w:color="auto"/>
            <w:bottom w:val="none" w:sz="0" w:space="0" w:color="auto"/>
            <w:right w:val="none" w:sz="0" w:space="0" w:color="auto"/>
          </w:divBdr>
        </w:div>
      </w:divsChild>
    </w:div>
    <w:div w:id="1802652545">
      <w:marLeft w:val="0"/>
      <w:marRight w:val="0"/>
      <w:marTop w:val="0"/>
      <w:marBottom w:val="0"/>
      <w:divBdr>
        <w:top w:val="none" w:sz="0" w:space="0" w:color="auto"/>
        <w:left w:val="none" w:sz="0" w:space="0" w:color="auto"/>
        <w:bottom w:val="none" w:sz="0" w:space="0" w:color="auto"/>
        <w:right w:val="none" w:sz="0" w:space="0" w:color="auto"/>
      </w:divBdr>
    </w:div>
    <w:div w:id="1806043033">
      <w:marLeft w:val="0"/>
      <w:marRight w:val="0"/>
      <w:marTop w:val="0"/>
      <w:marBottom w:val="0"/>
      <w:divBdr>
        <w:top w:val="none" w:sz="0" w:space="0" w:color="auto"/>
        <w:left w:val="none" w:sz="0" w:space="0" w:color="auto"/>
        <w:bottom w:val="none" w:sz="0" w:space="0" w:color="auto"/>
        <w:right w:val="none" w:sz="0" w:space="0" w:color="auto"/>
      </w:divBdr>
      <w:divsChild>
        <w:div w:id="1989632847">
          <w:marLeft w:val="0"/>
          <w:marRight w:val="0"/>
          <w:marTop w:val="0"/>
          <w:marBottom w:val="0"/>
          <w:divBdr>
            <w:top w:val="none" w:sz="0" w:space="0" w:color="auto"/>
            <w:left w:val="none" w:sz="0" w:space="0" w:color="auto"/>
            <w:bottom w:val="none" w:sz="0" w:space="0" w:color="auto"/>
            <w:right w:val="none" w:sz="0" w:space="0" w:color="auto"/>
          </w:divBdr>
        </w:div>
      </w:divsChild>
    </w:div>
    <w:div w:id="1808620904">
      <w:marLeft w:val="0"/>
      <w:marRight w:val="0"/>
      <w:marTop w:val="0"/>
      <w:marBottom w:val="0"/>
      <w:divBdr>
        <w:top w:val="none" w:sz="0" w:space="0" w:color="auto"/>
        <w:left w:val="none" w:sz="0" w:space="0" w:color="auto"/>
        <w:bottom w:val="none" w:sz="0" w:space="0" w:color="auto"/>
        <w:right w:val="none" w:sz="0" w:space="0" w:color="auto"/>
      </w:divBdr>
    </w:div>
    <w:div w:id="1808742760">
      <w:marLeft w:val="0"/>
      <w:marRight w:val="0"/>
      <w:marTop w:val="0"/>
      <w:marBottom w:val="0"/>
      <w:divBdr>
        <w:top w:val="none" w:sz="0" w:space="0" w:color="auto"/>
        <w:left w:val="none" w:sz="0" w:space="0" w:color="auto"/>
        <w:bottom w:val="none" w:sz="0" w:space="0" w:color="auto"/>
        <w:right w:val="none" w:sz="0" w:space="0" w:color="auto"/>
      </w:divBdr>
    </w:div>
    <w:div w:id="1815681401">
      <w:marLeft w:val="0"/>
      <w:marRight w:val="0"/>
      <w:marTop w:val="0"/>
      <w:marBottom w:val="0"/>
      <w:divBdr>
        <w:top w:val="none" w:sz="0" w:space="0" w:color="auto"/>
        <w:left w:val="none" w:sz="0" w:space="0" w:color="auto"/>
        <w:bottom w:val="none" w:sz="0" w:space="0" w:color="auto"/>
        <w:right w:val="none" w:sz="0" w:space="0" w:color="auto"/>
      </w:divBdr>
    </w:div>
    <w:div w:id="1826969149">
      <w:marLeft w:val="0"/>
      <w:marRight w:val="0"/>
      <w:marTop w:val="0"/>
      <w:marBottom w:val="0"/>
      <w:divBdr>
        <w:top w:val="none" w:sz="0" w:space="0" w:color="auto"/>
        <w:left w:val="none" w:sz="0" w:space="0" w:color="auto"/>
        <w:bottom w:val="none" w:sz="0" w:space="0" w:color="auto"/>
        <w:right w:val="none" w:sz="0" w:space="0" w:color="auto"/>
      </w:divBdr>
    </w:div>
    <w:div w:id="1835144758">
      <w:marLeft w:val="0"/>
      <w:marRight w:val="0"/>
      <w:marTop w:val="0"/>
      <w:marBottom w:val="120"/>
      <w:divBdr>
        <w:top w:val="none" w:sz="0" w:space="0" w:color="auto"/>
        <w:left w:val="none" w:sz="0" w:space="0" w:color="auto"/>
        <w:bottom w:val="none" w:sz="0" w:space="0" w:color="auto"/>
        <w:right w:val="none" w:sz="0" w:space="0" w:color="auto"/>
      </w:divBdr>
    </w:div>
    <w:div w:id="1835757232">
      <w:marLeft w:val="0"/>
      <w:marRight w:val="0"/>
      <w:marTop w:val="0"/>
      <w:marBottom w:val="0"/>
      <w:divBdr>
        <w:top w:val="none" w:sz="0" w:space="0" w:color="auto"/>
        <w:left w:val="none" w:sz="0" w:space="0" w:color="auto"/>
        <w:bottom w:val="none" w:sz="0" w:space="0" w:color="auto"/>
        <w:right w:val="none" w:sz="0" w:space="0" w:color="auto"/>
      </w:divBdr>
      <w:divsChild>
        <w:div w:id="796991409">
          <w:marLeft w:val="0"/>
          <w:marRight w:val="0"/>
          <w:marTop w:val="0"/>
          <w:marBottom w:val="0"/>
          <w:divBdr>
            <w:top w:val="none" w:sz="0" w:space="0" w:color="auto"/>
            <w:left w:val="none" w:sz="0" w:space="0" w:color="auto"/>
            <w:bottom w:val="none" w:sz="0" w:space="0" w:color="auto"/>
            <w:right w:val="none" w:sz="0" w:space="0" w:color="auto"/>
          </w:divBdr>
        </w:div>
      </w:divsChild>
    </w:div>
    <w:div w:id="1836799622">
      <w:marLeft w:val="0"/>
      <w:marRight w:val="0"/>
      <w:marTop w:val="0"/>
      <w:marBottom w:val="120"/>
      <w:divBdr>
        <w:top w:val="none" w:sz="0" w:space="0" w:color="auto"/>
        <w:left w:val="none" w:sz="0" w:space="0" w:color="auto"/>
        <w:bottom w:val="none" w:sz="0" w:space="0" w:color="auto"/>
        <w:right w:val="none" w:sz="0" w:space="0" w:color="auto"/>
      </w:divBdr>
      <w:divsChild>
        <w:div w:id="546723532">
          <w:marLeft w:val="0"/>
          <w:marRight w:val="0"/>
          <w:marTop w:val="0"/>
          <w:marBottom w:val="0"/>
          <w:divBdr>
            <w:top w:val="none" w:sz="0" w:space="0" w:color="auto"/>
            <w:left w:val="none" w:sz="0" w:space="0" w:color="auto"/>
            <w:bottom w:val="none" w:sz="0" w:space="0" w:color="auto"/>
            <w:right w:val="none" w:sz="0" w:space="0" w:color="auto"/>
          </w:divBdr>
        </w:div>
      </w:divsChild>
    </w:div>
    <w:div w:id="1836803222">
      <w:marLeft w:val="0"/>
      <w:marRight w:val="0"/>
      <w:marTop w:val="0"/>
      <w:marBottom w:val="0"/>
      <w:divBdr>
        <w:top w:val="none" w:sz="0" w:space="0" w:color="auto"/>
        <w:left w:val="none" w:sz="0" w:space="0" w:color="auto"/>
        <w:bottom w:val="none" w:sz="0" w:space="0" w:color="auto"/>
        <w:right w:val="none" w:sz="0" w:space="0" w:color="auto"/>
      </w:divBdr>
    </w:div>
    <w:div w:id="1844733635">
      <w:marLeft w:val="0"/>
      <w:marRight w:val="0"/>
      <w:marTop w:val="0"/>
      <w:marBottom w:val="0"/>
      <w:divBdr>
        <w:top w:val="none" w:sz="0" w:space="0" w:color="auto"/>
        <w:left w:val="none" w:sz="0" w:space="0" w:color="auto"/>
        <w:bottom w:val="none" w:sz="0" w:space="0" w:color="auto"/>
        <w:right w:val="none" w:sz="0" w:space="0" w:color="auto"/>
      </w:divBdr>
    </w:div>
    <w:div w:id="1848858587">
      <w:marLeft w:val="0"/>
      <w:marRight w:val="0"/>
      <w:marTop w:val="0"/>
      <w:marBottom w:val="0"/>
      <w:divBdr>
        <w:top w:val="none" w:sz="0" w:space="0" w:color="auto"/>
        <w:left w:val="none" w:sz="0" w:space="0" w:color="auto"/>
        <w:bottom w:val="none" w:sz="0" w:space="0" w:color="auto"/>
        <w:right w:val="none" w:sz="0" w:space="0" w:color="auto"/>
      </w:divBdr>
    </w:div>
    <w:div w:id="1850291123">
      <w:marLeft w:val="0"/>
      <w:marRight w:val="0"/>
      <w:marTop w:val="0"/>
      <w:marBottom w:val="0"/>
      <w:divBdr>
        <w:top w:val="none" w:sz="0" w:space="0" w:color="auto"/>
        <w:left w:val="none" w:sz="0" w:space="0" w:color="auto"/>
        <w:bottom w:val="none" w:sz="0" w:space="0" w:color="auto"/>
        <w:right w:val="none" w:sz="0" w:space="0" w:color="auto"/>
      </w:divBdr>
    </w:div>
    <w:div w:id="1850295249">
      <w:marLeft w:val="0"/>
      <w:marRight w:val="0"/>
      <w:marTop w:val="0"/>
      <w:marBottom w:val="0"/>
      <w:divBdr>
        <w:top w:val="none" w:sz="0" w:space="0" w:color="auto"/>
        <w:left w:val="none" w:sz="0" w:space="0" w:color="auto"/>
        <w:bottom w:val="none" w:sz="0" w:space="0" w:color="auto"/>
        <w:right w:val="none" w:sz="0" w:space="0" w:color="auto"/>
      </w:divBdr>
    </w:div>
    <w:div w:id="1853955998">
      <w:marLeft w:val="0"/>
      <w:marRight w:val="0"/>
      <w:marTop w:val="0"/>
      <w:marBottom w:val="120"/>
      <w:divBdr>
        <w:top w:val="none" w:sz="0" w:space="0" w:color="auto"/>
        <w:left w:val="none" w:sz="0" w:space="0" w:color="auto"/>
        <w:bottom w:val="none" w:sz="0" w:space="0" w:color="auto"/>
        <w:right w:val="none" w:sz="0" w:space="0" w:color="auto"/>
      </w:divBdr>
    </w:div>
    <w:div w:id="1854611561">
      <w:marLeft w:val="0"/>
      <w:marRight w:val="0"/>
      <w:marTop w:val="0"/>
      <w:marBottom w:val="0"/>
      <w:divBdr>
        <w:top w:val="none" w:sz="0" w:space="0" w:color="auto"/>
        <w:left w:val="none" w:sz="0" w:space="0" w:color="auto"/>
        <w:bottom w:val="none" w:sz="0" w:space="0" w:color="auto"/>
        <w:right w:val="none" w:sz="0" w:space="0" w:color="auto"/>
      </w:divBdr>
      <w:divsChild>
        <w:div w:id="303000760">
          <w:marLeft w:val="0"/>
          <w:marRight w:val="0"/>
          <w:marTop w:val="0"/>
          <w:marBottom w:val="0"/>
          <w:divBdr>
            <w:top w:val="none" w:sz="0" w:space="0" w:color="auto"/>
            <w:left w:val="none" w:sz="0" w:space="0" w:color="auto"/>
            <w:bottom w:val="none" w:sz="0" w:space="0" w:color="auto"/>
            <w:right w:val="none" w:sz="0" w:space="0" w:color="auto"/>
          </w:divBdr>
        </w:div>
      </w:divsChild>
    </w:div>
    <w:div w:id="1858689922">
      <w:marLeft w:val="0"/>
      <w:marRight w:val="0"/>
      <w:marTop w:val="0"/>
      <w:marBottom w:val="120"/>
      <w:divBdr>
        <w:top w:val="none" w:sz="0" w:space="0" w:color="auto"/>
        <w:left w:val="none" w:sz="0" w:space="0" w:color="auto"/>
        <w:bottom w:val="none" w:sz="0" w:space="0" w:color="auto"/>
        <w:right w:val="none" w:sz="0" w:space="0" w:color="auto"/>
      </w:divBdr>
    </w:div>
    <w:div w:id="1862083968">
      <w:marLeft w:val="0"/>
      <w:marRight w:val="0"/>
      <w:marTop w:val="0"/>
      <w:marBottom w:val="0"/>
      <w:divBdr>
        <w:top w:val="none" w:sz="0" w:space="0" w:color="auto"/>
        <w:left w:val="none" w:sz="0" w:space="0" w:color="auto"/>
        <w:bottom w:val="none" w:sz="0" w:space="0" w:color="auto"/>
        <w:right w:val="none" w:sz="0" w:space="0" w:color="auto"/>
      </w:divBdr>
      <w:divsChild>
        <w:div w:id="1430733685">
          <w:marLeft w:val="0"/>
          <w:marRight w:val="0"/>
          <w:marTop w:val="0"/>
          <w:marBottom w:val="0"/>
          <w:divBdr>
            <w:top w:val="none" w:sz="0" w:space="0" w:color="auto"/>
            <w:left w:val="none" w:sz="0" w:space="0" w:color="auto"/>
            <w:bottom w:val="none" w:sz="0" w:space="0" w:color="auto"/>
            <w:right w:val="none" w:sz="0" w:space="0" w:color="auto"/>
          </w:divBdr>
        </w:div>
      </w:divsChild>
    </w:div>
    <w:div w:id="1868324133">
      <w:marLeft w:val="0"/>
      <w:marRight w:val="0"/>
      <w:marTop w:val="0"/>
      <w:marBottom w:val="0"/>
      <w:divBdr>
        <w:top w:val="none" w:sz="0" w:space="0" w:color="auto"/>
        <w:left w:val="none" w:sz="0" w:space="0" w:color="auto"/>
        <w:bottom w:val="none" w:sz="0" w:space="0" w:color="auto"/>
        <w:right w:val="none" w:sz="0" w:space="0" w:color="auto"/>
      </w:divBdr>
      <w:divsChild>
        <w:div w:id="570893567">
          <w:marLeft w:val="0"/>
          <w:marRight w:val="0"/>
          <w:marTop w:val="0"/>
          <w:marBottom w:val="0"/>
          <w:divBdr>
            <w:top w:val="none" w:sz="0" w:space="0" w:color="auto"/>
            <w:left w:val="none" w:sz="0" w:space="0" w:color="auto"/>
            <w:bottom w:val="none" w:sz="0" w:space="0" w:color="auto"/>
            <w:right w:val="none" w:sz="0" w:space="0" w:color="auto"/>
          </w:divBdr>
        </w:div>
      </w:divsChild>
    </w:div>
    <w:div w:id="1880051278">
      <w:marLeft w:val="0"/>
      <w:marRight w:val="0"/>
      <w:marTop w:val="0"/>
      <w:marBottom w:val="0"/>
      <w:divBdr>
        <w:top w:val="none" w:sz="0" w:space="0" w:color="auto"/>
        <w:left w:val="none" w:sz="0" w:space="0" w:color="auto"/>
        <w:bottom w:val="none" w:sz="0" w:space="0" w:color="auto"/>
        <w:right w:val="none" w:sz="0" w:space="0" w:color="auto"/>
      </w:divBdr>
      <w:divsChild>
        <w:div w:id="1376923861">
          <w:marLeft w:val="0"/>
          <w:marRight w:val="0"/>
          <w:marTop w:val="0"/>
          <w:marBottom w:val="0"/>
          <w:divBdr>
            <w:top w:val="none" w:sz="0" w:space="0" w:color="auto"/>
            <w:left w:val="none" w:sz="0" w:space="0" w:color="auto"/>
            <w:bottom w:val="none" w:sz="0" w:space="0" w:color="auto"/>
            <w:right w:val="none" w:sz="0" w:space="0" w:color="auto"/>
          </w:divBdr>
        </w:div>
      </w:divsChild>
    </w:div>
    <w:div w:id="1897276083">
      <w:marLeft w:val="0"/>
      <w:marRight w:val="0"/>
      <w:marTop w:val="0"/>
      <w:marBottom w:val="0"/>
      <w:divBdr>
        <w:top w:val="none" w:sz="0" w:space="0" w:color="auto"/>
        <w:left w:val="none" w:sz="0" w:space="0" w:color="auto"/>
        <w:bottom w:val="none" w:sz="0" w:space="0" w:color="auto"/>
        <w:right w:val="none" w:sz="0" w:space="0" w:color="auto"/>
      </w:divBdr>
    </w:div>
    <w:div w:id="1914468861">
      <w:marLeft w:val="0"/>
      <w:marRight w:val="0"/>
      <w:marTop w:val="0"/>
      <w:marBottom w:val="0"/>
      <w:divBdr>
        <w:top w:val="none" w:sz="0" w:space="0" w:color="auto"/>
        <w:left w:val="none" w:sz="0" w:space="0" w:color="auto"/>
        <w:bottom w:val="none" w:sz="0" w:space="0" w:color="auto"/>
        <w:right w:val="none" w:sz="0" w:space="0" w:color="auto"/>
      </w:divBdr>
    </w:div>
    <w:div w:id="1915577761">
      <w:marLeft w:val="0"/>
      <w:marRight w:val="0"/>
      <w:marTop w:val="0"/>
      <w:marBottom w:val="0"/>
      <w:divBdr>
        <w:top w:val="none" w:sz="0" w:space="0" w:color="auto"/>
        <w:left w:val="none" w:sz="0" w:space="0" w:color="auto"/>
        <w:bottom w:val="none" w:sz="0" w:space="0" w:color="auto"/>
        <w:right w:val="none" w:sz="0" w:space="0" w:color="auto"/>
      </w:divBdr>
      <w:divsChild>
        <w:div w:id="1500119250">
          <w:marLeft w:val="0"/>
          <w:marRight w:val="0"/>
          <w:marTop w:val="0"/>
          <w:marBottom w:val="0"/>
          <w:divBdr>
            <w:top w:val="none" w:sz="0" w:space="0" w:color="auto"/>
            <w:left w:val="none" w:sz="0" w:space="0" w:color="auto"/>
            <w:bottom w:val="none" w:sz="0" w:space="0" w:color="auto"/>
            <w:right w:val="none" w:sz="0" w:space="0" w:color="auto"/>
          </w:divBdr>
        </w:div>
      </w:divsChild>
    </w:div>
    <w:div w:id="1916547445">
      <w:marLeft w:val="0"/>
      <w:marRight w:val="0"/>
      <w:marTop w:val="0"/>
      <w:marBottom w:val="0"/>
      <w:divBdr>
        <w:top w:val="none" w:sz="0" w:space="0" w:color="auto"/>
        <w:left w:val="none" w:sz="0" w:space="0" w:color="auto"/>
        <w:bottom w:val="none" w:sz="0" w:space="0" w:color="auto"/>
        <w:right w:val="none" w:sz="0" w:space="0" w:color="auto"/>
      </w:divBdr>
    </w:div>
    <w:div w:id="1917669747">
      <w:marLeft w:val="0"/>
      <w:marRight w:val="0"/>
      <w:marTop w:val="60"/>
      <w:marBottom w:val="120"/>
      <w:divBdr>
        <w:top w:val="none" w:sz="0" w:space="0" w:color="auto"/>
        <w:left w:val="none" w:sz="0" w:space="0" w:color="auto"/>
        <w:bottom w:val="none" w:sz="0" w:space="0" w:color="auto"/>
        <w:right w:val="none" w:sz="0" w:space="0" w:color="auto"/>
      </w:divBdr>
    </w:div>
    <w:div w:id="1920404139">
      <w:marLeft w:val="0"/>
      <w:marRight w:val="0"/>
      <w:marTop w:val="0"/>
      <w:marBottom w:val="0"/>
      <w:divBdr>
        <w:top w:val="none" w:sz="0" w:space="0" w:color="auto"/>
        <w:left w:val="none" w:sz="0" w:space="0" w:color="auto"/>
        <w:bottom w:val="none" w:sz="0" w:space="0" w:color="auto"/>
        <w:right w:val="none" w:sz="0" w:space="0" w:color="auto"/>
      </w:divBdr>
      <w:divsChild>
        <w:div w:id="1666276545">
          <w:marLeft w:val="0"/>
          <w:marRight w:val="0"/>
          <w:marTop w:val="0"/>
          <w:marBottom w:val="0"/>
          <w:divBdr>
            <w:top w:val="none" w:sz="0" w:space="0" w:color="auto"/>
            <w:left w:val="none" w:sz="0" w:space="0" w:color="auto"/>
            <w:bottom w:val="none" w:sz="0" w:space="0" w:color="auto"/>
            <w:right w:val="none" w:sz="0" w:space="0" w:color="auto"/>
          </w:divBdr>
        </w:div>
      </w:divsChild>
    </w:div>
    <w:div w:id="1922830160">
      <w:marLeft w:val="0"/>
      <w:marRight w:val="0"/>
      <w:marTop w:val="0"/>
      <w:marBottom w:val="0"/>
      <w:divBdr>
        <w:top w:val="none" w:sz="0" w:space="0" w:color="auto"/>
        <w:left w:val="none" w:sz="0" w:space="0" w:color="auto"/>
        <w:bottom w:val="none" w:sz="0" w:space="0" w:color="auto"/>
        <w:right w:val="none" w:sz="0" w:space="0" w:color="auto"/>
      </w:divBdr>
    </w:div>
    <w:div w:id="1929773910">
      <w:marLeft w:val="0"/>
      <w:marRight w:val="0"/>
      <w:marTop w:val="0"/>
      <w:marBottom w:val="120"/>
      <w:divBdr>
        <w:top w:val="none" w:sz="0" w:space="0" w:color="auto"/>
        <w:left w:val="none" w:sz="0" w:space="0" w:color="auto"/>
        <w:bottom w:val="none" w:sz="0" w:space="0" w:color="auto"/>
        <w:right w:val="none" w:sz="0" w:space="0" w:color="auto"/>
      </w:divBdr>
    </w:div>
    <w:div w:id="1931816052">
      <w:marLeft w:val="0"/>
      <w:marRight w:val="0"/>
      <w:marTop w:val="0"/>
      <w:marBottom w:val="0"/>
      <w:divBdr>
        <w:top w:val="none" w:sz="0" w:space="0" w:color="auto"/>
        <w:left w:val="none" w:sz="0" w:space="0" w:color="auto"/>
        <w:bottom w:val="none" w:sz="0" w:space="0" w:color="auto"/>
        <w:right w:val="none" w:sz="0" w:space="0" w:color="auto"/>
      </w:divBdr>
    </w:div>
    <w:div w:id="1934392006">
      <w:marLeft w:val="0"/>
      <w:marRight w:val="0"/>
      <w:marTop w:val="0"/>
      <w:marBottom w:val="0"/>
      <w:divBdr>
        <w:top w:val="none" w:sz="0" w:space="0" w:color="auto"/>
        <w:left w:val="none" w:sz="0" w:space="0" w:color="auto"/>
        <w:bottom w:val="none" w:sz="0" w:space="0" w:color="auto"/>
        <w:right w:val="none" w:sz="0" w:space="0" w:color="auto"/>
      </w:divBdr>
    </w:div>
    <w:div w:id="1940916854">
      <w:marLeft w:val="0"/>
      <w:marRight w:val="0"/>
      <w:marTop w:val="0"/>
      <w:marBottom w:val="0"/>
      <w:divBdr>
        <w:top w:val="none" w:sz="0" w:space="0" w:color="auto"/>
        <w:left w:val="none" w:sz="0" w:space="0" w:color="auto"/>
        <w:bottom w:val="none" w:sz="0" w:space="0" w:color="auto"/>
        <w:right w:val="none" w:sz="0" w:space="0" w:color="auto"/>
      </w:divBdr>
    </w:div>
    <w:div w:id="1941139033">
      <w:marLeft w:val="0"/>
      <w:marRight w:val="0"/>
      <w:marTop w:val="0"/>
      <w:marBottom w:val="0"/>
      <w:divBdr>
        <w:top w:val="none" w:sz="0" w:space="0" w:color="auto"/>
        <w:left w:val="none" w:sz="0" w:space="0" w:color="auto"/>
        <w:bottom w:val="none" w:sz="0" w:space="0" w:color="auto"/>
        <w:right w:val="none" w:sz="0" w:space="0" w:color="auto"/>
      </w:divBdr>
    </w:div>
    <w:div w:id="1947426963">
      <w:marLeft w:val="0"/>
      <w:marRight w:val="0"/>
      <w:marTop w:val="0"/>
      <w:marBottom w:val="0"/>
      <w:divBdr>
        <w:top w:val="none" w:sz="0" w:space="0" w:color="auto"/>
        <w:left w:val="none" w:sz="0" w:space="0" w:color="auto"/>
        <w:bottom w:val="none" w:sz="0" w:space="0" w:color="auto"/>
        <w:right w:val="none" w:sz="0" w:space="0" w:color="auto"/>
      </w:divBdr>
    </w:div>
    <w:div w:id="1948077034">
      <w:marLeft w:val="0"/>
      <w:marRight w:val="0"/>
      <w:marTop w:val="0"/>
      <w:marBottom w:val="0"/>
      <w:divBdr>
        <w:top w:val="none" w:sz="0" w:space="0" w:color="auto"/>
        <w:left w:val="none" w:sz="0" w:space="0" w:color="auto"/>
        <w:bottom w:val="none" w:sz="0" w:space="0" w:color="auto"/>
        <w:right w:val="none" w:sz="0" w:space="0" w:color="auto"/>
      </w:divBdr>
    </w:div>
    <w:div w:id="1948275031">
      <w:marLeft w:val="0"/>
      <w:marRight w:val="0"/>
      <w:marTop w:val="0"/>
      <w:marBottom w:val="0"/>
      <w:divBdr>
        <w:top w:val="none" w:sz="0" w:space="0" w:color="auto"/>
        <w:left w:val="none" w:sz="0" w:space="0" w:color="auto"/>
        <w:bottom w:val="none" w:sz="0" w:space="0" w:color="auto"/>
        <w:right w:val="none" w:sz="0" w:space="0" w:color="auto"/>
      </w:divBdr>
      <w:divsChild>
        <w:div w:id="1695418768">
          <w:marLeft w:val="0"/>
          <w:marRight w:val="0"/>
          <w:marTop w:val="0"/>
          <w:marBottom w:val="0"/>
          <w:divBdr>
            <w:top w:val="none" w:sz="0" w:space="0" w:color="auto"/>
            <w:left w:val="none" w:sz="0" w:space="0" w:color="auto"/>
            <w:bottom w:val="none" w:sz="0" w:space="0" w:color="auto"/>
            <w:right w:val="none" w:sz="0" w:space="0" w:color="auto"/>
          </w:divBdr>
        </w:div>
      </w:divsChild>
    </w:div>
    <w:div w:id="1953634796">
      <w:marLeft w:val="0"/>
      <w:marRight w:val="0"/>
      <w:marTop w:val="0"/>
      <w:marBottom w:val="120"/>
      <w:divBdr>
        <w:top w:val="none" w:sz="0" w:space="0" w:color="auto"/>
        <w:left w:val="none" w:sz="0" w:space="0" w:color="auto"/>
        <w:bottom w:val="none" w:sz="0" w:space="0" w:color="auto"/>
        <w:right w:val="none" w:sz="0" w:space="0" w:color="auto"/>
      </w:divBdr>
    </w:div>
    <w:div w:id="1954553707">
      <w:marLeft w:val="0"/>
      <w:marRight w:val="0"/>
      <w:marTop w:val="0"/>
      <w:marBottom w:val="0"/>
      <w:divBdr>
        <w:top w:val="none" w:sz="0" w:space="0" w:color="auto"/>
        <w:left w:val="none" w:sz="0" w:space="0" w:color="auto"/>
        <w:bottom w:val="none" w:sz="0" w:space="0" w:color="auto"/>
        <w:right w:val="none" w:sz="0" w:space="0" w:color="auto"/>
      </w:divBdr>
      <w:divsChild>
        <w:div w:id="1043746965">
          <w:marLeft w:val="0"/>
          <w:marRight w:val="0"/>
          <w:marTop w:val="0"/>
          <w:marBottom w:val="0"/>
          <w:divBdr>
            <w:top w:val="none" w:sz="0" w:space="0" w:color="auto"/>
            <w:left w:val="none" w:sz="0" w:space="0" w:color="auto"/>
            <w:bottom w:val="none" w:sz="0" w:space="0" w:color="auto"/>
            <w:right w:val="none" w:sz="0" w:space="0" w:color="auto"/>
          </w:divBdr>
        </w:div>
      </w:divsChild>
    </w:div>
    <w:div w:id="1956867135">
      <w:marLeft w:val="0"/>
      <w:marRight w:val="0"/>
      <w:marTop w:val="0"/>
      <w:marBottom w:val="0"/>
      <w:divBdr>
        <w:top w:val="none" w:sz="0" w:space="0" w:color="auto"/>
        <w:left w:val="none" w:sz="0" w:space="0" w:color="auto"/>
        <w:bottom w:val="none" w:sz="0" w:space="0" w:color="auto"/>
        <w:right w:val="none" w:sz="0" w:space="0" w:color="auto"/>
      </w:divBdr>
    </w:div>
    <w:div w:id="1960993667">
      <w:marLeft w:val="0"/>
      <w:marRight w:val="0"/>
      <w:marTop w:val="0"/>
      <w:marBottom w:val="0"/>
      <w:divBdr>
        <w:top w:val="none" w:sz="0" w:space="0" w:color="auto"/>
        <w:left w:val="none" w:sz="0" w:space="0" w:color="auto"/>
        <w:bottom w:val="none" w:sz="0" w:space="0" w:color="auto"/>
        <w:right w:val="none" w:sz="0" w:space="0" w:color="auto"/>
      </w:divBdr>
      <w:divsChild>
        <w:div w:id="374700954">
          <w:marLeft w:val="0"/>
          <w:marRight w:val="0"/>
          <w:marTop w:val="0"/>
          <w:marBottom w:val="0"/>
          <w:divBdr>
            <w:top w:val="none" w:sz="0" w:space="0" w:color="auto"/>
            <w:left w:val="none" w:sz="0" w:space="0" w:color="auto"/>
            <w:bottom w:val="none" w:sz="0" w:space="0" w:color="auto"/>
            <w:right w:val="none" w:sz="0" w:space="0" w:color="auto"/>
          </w:divBdr>
        </w:div>
      </w:divsChild>
    </w:div>
    <w:div w:id="1962417182">
      <w:marLeft w:val="0"/>
      <w:marRight w:val="0"/>
      <w:marTop w:val="0"/>
      <w:marBottom w:val="0"/>
      <w:divBdr>
        <w:top w:val="none" w:sz="0" w:space="0" w:color="auto"/>
        <w:left w:val="none" w:sz="0" w:space="0" w:color="auto"/>
        <w:bottom w:val="none" w:sz="0" w:space="0" w:color="auto"/>
        <w:right w:val="none" w:sz="0" w:space="0" w:color="auto"/>
      </w:divBdr>
      <w:divsChild>
        <w:div w:id="157889686">
          <w:marLeft w:val="0"/>
          <w:marRight w:val="0"/>
          <w:marTop w:val="0"/>
          <w:marBottom w:val="0"/>
          <w:divBdr>
            <w:top w:val="none" w:sz="0" w:space="0" w:color="auto"/>
            <w:left w:val="none" w:sz="0" w:space="0" w:color="auto"/>
            <w:bottom w:val="none" w:sz="0" w:space="0" w:color="auto"/>
            <w:right w:val="none" w:sz="0" w:space="0" w:color="auto"/>
          </w:divBdr>
        </w:div>
      </w:divsChild>
    </w:div>
    <w:div w:id="1963147938">
      <w:marLeft w:val="0"/>
      <w:marRight w:val="0"/>
      <w:marTop w:val="0"/>
      <w:marBottom w:val="0"/>
      <w:divBdr>
        <w:top w:val="none" w:sz="0" w:space="0" w:color="auto"/>
        <w:left w:val="none" w:sz="0" w:space="0" w:color="auto"/>
        <w:bottom w:val="none" w:sz="0" w:space="0" w:color="auto"/>
        <w:right w:val="none" w:sz="0" w:space="0" w:color="auto"/>
      </w:divBdr>
    </w:div>
    <w:div w:id="1965765397">
      <w:marLeft w:val="0"/>
      <w:marRight w:val="0"/>
      <w:marTop w:val="0"/>
      <w:marBottom w:val="0"/>
      <w:divBdr>
        <w:top w:val="none" w:sz="0" w:space="0" w:color="auto"/>
        <w:left w:val="none" w:sz="0" w:space="0" w:color="auto"/>
        <w:bottom w:val="none" w:sz="0" w:space="0" w:color="auto"/>
        <w:right w:val="none" w:sz="0" w:space="0" w:color="auto"/>
      </w:divBdr>
      <w:divsChild>
        <w:div w:id="843587149">
          <w:marLeft w:val="0"/>
          <w:marRight w:val="0"/>
          <w:marTop w:val="0"/>
          <w:marBottom w:val="0"/>
          <w:divBdr>
            <w:top w:val="none" w:sz="0" w:space="0" w:color="auto"/>
            <w:left w:val="none" w:sz="0" w:space="0" w:color="auto"/>
            <w:bottom w:val="none" w:sz="0" w:space="0" w:color="auto"/>
            <w:right w:val="none" w:sz="0" w:space="0" w:color="auto"/>
          </w:divBdr>
        </w:div>
      </w:divsChild>
    </w:div>
    <w:div w:id="1968050427">
      <w:marLeft w:val="0"/>
      <w:marRight w:val="0"/>
      <w:marTop w:val="0"/>
      <w:marBottom w:val="0"/>
      <w:divBdr>
        <w:top w:val="none" w:sz="0" w:space="0" w:color="auto"/>
        <w:left w:val="none" w:sz="0" w:space="0" w:color="auto"/>
        <w:bottom w:val="none" w:sz="0" w:space="0" w:color="auto"/>
        <w:right w:val="none" w:sz="0" w:space="0" w:color="auto"/>
      </w:divBdr>
      <w:divsChild>
        <w:div w:id="1764179111">
          <w:marLeft w:val="0"/>
          <w:marRight w:val="0"/>
          <w:marTop w:val="0"/>
          <w:marBottom w:val="0"/>
          <w:divBdr>
            <w:top w:val="none" w:sz="0" w:space="0" w:color="auto"/>
            <w:left w:val="none" w:sz="0" w:space="0" w:color="auto"/>
            <w:bottom w:val="none" w:sz="0" w:space="0" w:color="auto"/>
            <w:right w:val="none" w:sz="0" w:space="0" w:color="auto"/>
          </w:divBdr>
        </w:div>
      </w:divsChild>
    </w:div>
    <w:div w:id="1968655056">
      <w:marLeft w:val="0"/>
      <w:marRight w:val="0"/>
      <w:marTop w:val="0"/>
      <w:marBottom w:val="0"/>
      <w:divBdr>
        <w:top w:val="none" w:sz="0" w:space="0" w:color="auto"/>
        <w:left w:val="none" w:sz="0" w:space="0" w:color="auto"/>
        <w:bottom w:val="none" w:sz="0" w:space="0" w:color="auto"/>
        <w:right w:val="none" w:sz="0" w:space="0" w:color="auto"/>
      </w:divBdr>
      <w:divsChild>
        <w:div w:id="1862473719">
          <w:marLeft w:val="0"/>
          <w:marRight w:val="0"/>
          <w:marTop w:val="0"/>
          <w:marBottom w:val="0"/>
          <w:divBdr>
            <w:top w:val="none" w:sz="0" w:space="0" w:color="auto"/>
            <w:left w:val="none" w:sz="0" w:space="0" w:color="auto"/>
            <w:bottom w:val="none" w:sz="0" w:space="0" w:color="auto"/>
            <w:right w:val="none" w:sz="0" w:space="0" w:color="auto"/>
          </w:divBdr>
        </w:div>
      </w:divsChild>
    </w:div>
    <w:div w:id="1970088894">
      <w:marLeft w:val="0"/>
      <w:marRight w:val="0"/>
      <w:marTop w:val="0"/>
      <w:marBottom w:val="0"/>
      <w:divBdr>
        <w:top w:val="none" w:sz="0" w:space="0" w:color="auto"/>
        <w:left w:val="none" w:sz="0" w:space="0" w:color="auto"/>
        <w:bottom w:val="none" w:sz="0" w:space="0" w:color="auto"/>
        <w:right w:val="none" w:sz="0" w:space="0" w:color="auto"/>
      </w:divBdr>
    </w:div>
    <w:div w:id="1970889395">
      <w:marLeft w:val="0"/>
      <w:marRight w:val="0"/>
      <w:marTop w:val="0"/>
      <w:marBottom w:val="0"/>
      <w:divBdr>
        <w:top w:val="none" w:sz="0" w:space="0" w:color="auto"/>
        <w:left w:val="none" w:sz="0" w:space="0" w:color="auto"/>
        <w:bottom w:val="none" w:sz="0" w:space="0" w:color="auto"/>
        <w:right w:val="none" w:sz="0" w:space="0" w:color="auto"/>
      </w:divBdr>
      <w:divsChild>
        <w:div w:id="31003018">
          <w:marLeft w:val="0"/>
          <w:marRight w:val="0"/>
          <w:marTop w:val="0"/>
          <w:marBottom w:val="0"/>
          <w:divBdr>
            <w:top w:val="none" w:sz="0" w:space="0" w:color="auto"/>
            <w:left w:val="none" w:sz="0" w:space="0" w:color="auto"/>
            <w:bottom w:val="none" w:sz="0" w:space="0" w:color="auto"/>
            <w:right w:val="none" w:sz="0" w:space="0" w:color="auto"/>
          </w:divBdr>
        </w:div>
      </w:divsChild>
    </w:div>
    <w:div w:id="1971783642">
      <w:marLeft w:val="0"/>
      <w:marRight w:val="0"/>
      <w:marTop w:val="0"/>
      <w:marBottom w:val="0"/>
      <w:divBdr>
        <w:top w:val="none" w:sz="0" w:space="0" w:color="auto"/>
        <w:left w:val="none" w:sz="0" w:space="0" w:color="auto"/>
        <w:bottom w:val="none" w:sz="0" w:space="0" w:color="auto"/>
        <w:right w:val="none" w:sz="0" w:space="0" w:color="auto"/>
      </w:divBdr>
    </w:div>
    <w:div w:id="1972438323">
      <w:marLeft w:val="0"/>
      <w:marRight w:val="0"/>
      <w:marTop w:val="0"/>
      <w:marBottom w:val="0"/>
      <w:divBdr>
        <w:top w:val="none" w:sz="0" w:space="0" w:color="auto"/>
        <w:left w:val="none" w:sz="0" w:space="0" w:color="auto"/>
        <w:bottom w:val="none" w:sz="0" w:space="0" w:color="auto"/>
        <w:right w:val="none" w:sz="0" w:space="0" w:color="auto"/>
      </w:divBdr>
      <w:divsChild>
        <w:div w:id="452670734">
          <w:marLeft w:val="0"/>
          <w:marRight w:val="0"/>
          <w:marTop w:val="0"/>
          <w:marBottom w:val="0"/>
          <w:divBdr>
            <w:top w:val="none" w:sz="0" w:space="0" w:color="auto"/>
            <w:left w:val="none" w:sz="0" w:space="0" w:color="auto"/>
            <w:bottom w:val="none" w:sz="0" w:space="0" w:color="auto"/>
            <w:right w:val="none" w:sz="0" w:space="0" w:color="auto"/>
          </w:divBdr>
        </w:div>
      </w:divsChild>
    </w:div>
    <w:div w:id="1989626526">
      <w:marLeft w:val="0"/>
      <w:marRight w:val="0"/>
      <w:marTop w:val="0"/>
      <w:marBottom w:val="0"/>
      <w:divBdr>
        <w:top w:val="none" w:sz="0" w:space="0" w:color="auto"/>
        <w:left w:val="none" w:sz="0" w:space="0" w:color="auto"/>
        <w:bottom w:val="none" w:sz="0" w:space="0" w:color="auto"/>
        <w:right w:val="none" w:sz="0" w:space="0" w:color="auto"/>
      </w:divBdr>
      <w:divsChild>
        <w:div w:id="528840161">
          <w:marLeft w:val="0"/>
          <w:marRight w:val="0"/>
          <w:marTop w:val="0"/>
          <w:marBottom w:val="0"/>
          <w:divBdr>
            <w:top w:val="none" w:sz="0" w:space="0" w:color="auto"/>
            <w:left w:val="none" w:sz="0" w:space="0" w:color="auto"/>
            <w:bottom w:val="none" w:sz="0" w:space="0" w:color="auto"/>
            <w:right w:val="none" w:sz="0" w:space="0" w:color="auto"/>
          </w:divBdr>
          <w:divsChild>
            <w:div w:id="19346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8072">
      <w:marLeft w:val="0"/>
      <w:marRight w:val="0"/>
      <w:marTop w:val="0"/>
      <w:marBottom w:val="120"/>
      <w:divBdr>
        <w:top w:val="none" w:sz="0" w:space="0" w:color="auto"/>
        <w:left w:val="none" w:sz="0" w:space="0" w:color="auto"/>
        <w:bottom w:val="none" w:sz="0" w:space="0" w:color="auto"/>
        <w:right w:val="none" w:sz="0" w:space="0" w:color="auto"/>
      </w:divBdr>
      <w:divsChild>
        <w:div w:id="115102069">
          <w:marLeft w:val="0"/>
          <w:marRight w:val="0"/>
          <w:marTop w:val="0"/>
          <w:marBottom w:val="0"/>
          <w:divBdr>
            <w:top w:val="none" w:sz="0" w:space="0" w:color="auto"/>
            <w:left w:val="none" w:sz="0" w:space="0" w:color="auto"/>
            <w:bottom w:val="none" w:sz="0" w:space="0" w:color="auto"/>
            <w:right w:val="none" w:sz="0" w:space="0" w:color="auto"/>
          </w:divBdr>
        </w:div>
        <w:div w:id="363096539">
          <w:marLeft w:val="0"/>
          <w:marRight w:val="0"/>
          <w:marTop w:val="0"/>
          <w:marBottom w:val="0"/>
          <w:divBdr>
            <w:top w:val="none" w:sz="0" w:space="0" w:color="auto"/>
            <w:left w:val="none" w:sz="0" w:space="0" w:color="auto"/>
            <w:bottom w:val="none" w:sz="0" w:space="0" w:color="auto"/>
            <w:right w:val="none" w:sz="0" w:space="0" w:color="auto"/>
          </w:divBdr>
        </w:div>
        <w:div w:id="817958732">
          <w:marLeft w:val="0"/>
          <w:marRight w:val="0"/>
          <w:marTop w:val="0"/>
          <w:marBottom w:val="0"/>
          <w:divBdr>
            <w:top w:val="none" w:sz="0" w:space="0" w:color="auto"/>
            <w:left w:val="none" w:sz="0" w:space="0" w:color="auto"/>
            <w:bottom w:val="none" w:sz="0" w:space="0" w:color="auto"/>
            <w:right w:val="none" w:sz="0" w:space="0" w:color="auto"/>
          </w:divBdr>
        </w:div>
        <w:div w:id="1611745444">
          <w:marLeft w:val="0"/>
          <w:marRight w:val="0"/>
          <w:marTop w:val="0"/>
          <w:marBottom w:val="0"/>
          <w:divBdr>
            <w:top w:val="none" w:sz="0" w:space="0" w:color="auto"/>
            <w:left w:val="none" w:sz="0" w:space="0" w:color="auto"/>
            <w:bottom w:val="none" w:sz="0" w:space="0" w:color="auto"/>
            <w:right w:val="none" w:sz="0" w:space="0" w:color="auto"/>
          </w:divBdr>
        </w:div>
        <w:div w:id="1245990998">
          <w:marLeft w:val="0"/>
          <w:marRight w:val="0"/>
          <w:marTop w:val="0"/>
          <w:marBottom w:val="0"/>
          <w:divBdr>
            <w:top w:val="none" w:sz="0" w:space="0" w:color="auto"/>
            <w:left w:val="none" w:sz="0" w:space="0" w:color="auto"/>
            <w:bottom w:val="none" w:sz="0" w:space="0" w:color="auto"/>
            <w:right w:val="none" w:sz="0" w:space="0" w:color="auto"/>
          </w:divBdr>
        </w:div>
        <w:div w:id="51319635">
          <w:marLeft w:val="0"/>
          <w:marRight w:val="0"/>
          <w:marTop w:val="0"/>
          <w:marBottom w:val="0"/>
          <w:divBdr>
            <w:top w:val="none" w:sz="0" w:space="0" w:color="auto"/>
            <w:left w:val="none" w:sz="0" w:space="0" w:color="auto"/>
            <w:bottom w:val="none" w:sz="0" w:space="0" w:color="auto"/>
            <w:right w:val="none" w:sz="0" w:space="0" w:color="auto"/>
          </w:divBdr>
        </w:div>
        <w:div w:id="1709142407">
          <w:marLeft w:val="0"/>
          <w:marRight w:val="0"/>
          <w:marTop w:val="0"/>
          <w:marBottom w:val="0"/>
          <w:divBdr>
            <w:top w:val="none" w:sz="0" w:space="0" w:color="auto"/>
            <w:left w:val="none" w:sz="0" w:space="0" w:color="auto"/>
            <w:bottom w:val="none" w:sz="0" w:space="0" w:color="auto"/>
            <w:right w:val="none" w:sz="0" w:space="0" w:color="auto"/>
          </w:divBdr>
        </w:div>
        <w:div w:id="1929264544">
          <w:marLeft w:val="0"/>
          <w:marRight w:val="0"/>
          <w:marTop w:val="0"/>
          <w:marBottom w:val="0"/>
          <w:divBdr>
            <w:top w:val="none" w:sz="0" w:space="0" w:color="auto"/>
            <w:left w:val="none" w:sz="0" w:space="0" w:color="auto"/>
            <w:bottom w:val="none" w:sz="0" w:space="0" w:color="auto"/>
            <w:right w:val="none" w:sz="0" w:space="0" w:color="auto"/>
          </w:divBdr>
        </w:div>
      </w:divsChild>
    </w:div>
    <w:div w:id="1997027094">
      <w:marLeft w:val="0"/>
      <w:marRight w:val="0"/>
      <w:marTop w:val="0"/>
      <w:marBottom w:val="0"/>
      <w:divBdr>
        <w:top w:val="none" w:sz="0" w:space="0" w:color="auto"/>
        <w:left w:val="none" w:sz="0" w:space="0" w:color="auto"/>
        <w:bottom w:val="none" w:sz="0" w:space="0" w:color="auto"/>
        <w:right w:val="none" w:sz="0" w:space="0" w:color="auto"/>
      </w:divBdr>
      <w:divsChild>
        <w:div w:id="1654751027">
          <w:marLeft w:val="0"/>
          <w:marRight w:val="0"/>
          <w:marTop w:val="0"/>
          <w:marBottom w:val="0"/>
          <w:divBdr>
            <w:top w:val="none" w:sz="0" w:space="0" w:color="auto"/>
            <w:left w:val="none" w:sz="0" w:space="0" w:color="auto"/>
            <w:bottom w:val="none" w:sz="0" w:space="0" w:color="auto"/>
            <w:right w:val="none" w:sz="0" w:space="0" w:color="auto"/>
          </w:divBdr>
        </w:div>
      </w:divsChild>
    </w:div>
    <w:div w:id="2001151748">
      <w:marLeft w:val="0"/>
      <w:marRight w:val="0"/>
      <w:marTop w:val="0"/>
      <w:marBottom w:val="0"/>
      <w:divBdr>
        <w:top w:val="none" w:sz="0" w:space="0" w:color="auto"/>
        <w:left w:val="none" w:sz="0" w:space="0" w:color="auto"/>
        <w:bottom w:val="none" w:sz="0" w:space="0" w:color="auto"/>
        <w:right w:val="none" w:sz="0" w:space="0" w:color="auto"/>
      </w:divBdr>
    </w:div>
    <w:div w:id="2008435843">
      <w:marLeft w:val="0"/>
      <w:marRight w:val="0"/>
      <w:marTop w:val="0"/>
      <w:marBottom w:val="0"/>
      <w:divBdr>
        <w:top w:val="none" w:sz="0" w:space="0" w:color="auto"/>
        <w:left w:val="none" w:sz="0" w:space="0" w:color="auto"/>
        <w:bottom w:val="none" w:sz="0" w:space="0" w:color="auto"/>
        <w:right w:val="none" w:sz="0" w:space="0" w:color="auto"/>
      </w:divBdr>
      <w:divsChild>
        <w:div w:id="1254826830">
          <w:marLeft w:val="0"/>
          <w:marRight w:val="0"/>
          <w:marTop w:val="0"/>
          <w:marBottom w:val="0"/>
          <w:divBdr>
            <w:top w:val="none" w:sz="0" w:space="0" w:color="auto"/>
            <w:left w:val="none" w:sz="0" w:space="0" w:color="auto"/>
            <w:bottom w:val="none" w:sz="0" w:space="0" w:color="auto"/>
            <w:right w:val="none" w:sz="0" w:space="0" w:color="auto"/>
          </w:divBdr>
        </w:div>
      </w:divsChild>
    </w:div>
    <w:div w:id="2010059115">
      <w:marLeft w:val="0"/>
      <w:marRight w:val="0"/>
      <w:marTop w:val="0"/>
      <w:marBottom w:val="0"/>
      <w:divBdr>
        <w:top w:val="none" w:sz="0" w:space="0" w:color="auto"/>
        <w:left w:val="none" w:sz="0" w:space="0" w:color="auto"/>
        <w:bottom w:val="none" w:sz="0" w:space="0" w:color="auto"/>
        <w:right w:val="none" w:sz="0" w:space="0" w:color="auto"/>
      </w:divBdr>
      <w:divsChild>
        <w:div w:id="2104766137">
          <w:marLeft w:val="0"/>
          <w:marRight w:val="0"/>
          <w:marTop w:val="0"/>
          <w:marBottom w:val="0"/>
          <w:divBdr>
            <w:top w:val="none" w:sz="0" w:space="0" w:color="auto"/>
            <w:left w:val="none" w:sz="0" w:space="0" w:color="auto"/>
            <w:bottom w:val="none" w:sz="0" w:space="0" w:color="auto"/>
            <w:right w:val="none" w:sz="0" w:space="0" w:color="auto"/>
          </w:divBdr>
        </w:div>
      </w:divsChild>
    </w:div>
    <w:div w:id="2016373010">
      <w:marLeft w:val="0"/>
      <w:marRight w:val="0"/>
      <w:marTop w:val="0"/>
      <w:marBottom w:val="120"/>
      <w:divBdr>
        <w:top w:val="none" w:sz="0" w:space="0" w:color="auto"/>
        <w:left w:val="none" w:sz="0" w:space="0" w:color="auto"/>
        <w:bottom w:val="none" w:sz="0" w:space="0" w:color="auto"/>
        <w:right w:val="none" w:sz="0" w:space="0" w:color="auto"/>
      </w:divBdr>
    </w:div>
    <w:div w:id="2020038305">
      <w:marLeft w:val="0"/>
      <w:marRight w:val="0"/>
      <w:marTop w:val="0"/>
      <w:marBottom w:val="0"/>
      <w:divBdr>
        <w:top w:val="none" w:sz="0" w:space="0" w:color="auto"/>
        <w:left w:val="none" w:sz="0" w:space="0" w:color="auto"/>
        <w:bottom w:val="none" w:sz="0" w:space="0" w:color="auto"/>
        <w:right w:val="none" w:sz="0" w:space="0" w:color="auto"/>
      </w:divBdr>
      <w:divsChild>
        <w:div w:id="938682968">
          <w:marLeft w:val="0"/>
          <w:marRight w:val="0"/>
          <w:marTop w:val="0"/>
          <w:marBottom w:val="0"/>
          <w:divBdr>
            <w:top w:val="none" w:sz="0" w:space="0" w:color="auto"/>
            <w:left w:val="none" w:sz="0" w:space="0" w:color="auto"/>
            <w:bottom w:val="none" w:sz="0" w:space="0" w:color="auto"/>
            <w:right w:val="none" w:sz="0" w:space="0" w:color="auto"/>
          </w:divBdr>
        </w:div>
      </w:divsChild>
    </w:div>
    <w:div w:id="2028098846">
      <w:marLeft w:val="0"/>
      <w:marRight w:val="0"/>
      <w:marTop w:val="0"/>
      <w:marBottom w:val="0"/>
      <w:divBdr>
        <w:top w:val="none" w:sz="0" w:space="0" w:color="auto"/>
        <w:left w:val="none" w:sz="0" w:space="0" w:color="auto"/>
        <w:bottom w:val="none" w:sz="0" w:space="0" w:color="auto"/>
        <w:right w:val="none" w:sz="0" w:space="0" w:color="auto"/>
      </w:divBdr>
      <w:divsChild>
        <w:div w:id="32965762">
          <w:marLeft w:val="0"/>
          <w:marRight w:val="0"/>
          <w:marTop w:val="0"/>
          <w:marBottom w:val="0"/>
          <w:divBdr>
            <w:top w:val="none" w:sz="0" w:space="0" w:color="auto"/>
            <w:left w:val="none" w:sz="0" w:space="0" w:color="auto"/>
            <w:bottom w:val="none" w:sz="0" w:space="0" w:color="auto"/>
            <w:right w:val="none" w:sz="0" w:space="0" w:color="auto"/>
          </w:divBdr>
        </w:div>
      </w:divsChild>
    </w:div>
    <w:div w:id="2032145778">
      <w:marLeft w:val="0"/>
      <w:marRight w:val="0"/>
      <w:marTop w:val="0"/>
      <w:marBottom w:val="0"/>
      <w:divBdr>
        <w:top w:val="none" w:sz="0" w:space="0" w:color="auto"/>
        <w:left w:val="none" w:sz="0" w:space="0" w:color="auto"/>
        <w:bottom w:val="none" w:sz="0" w:space="0" w:color="auto"/>
        <w:right w:val="none" w:sz="0" w:space="0" w:color="auto"/>
      </w:divBdr>
    </w:div>
    <w:div w:id="2035643933">
      <w:marLeft w:val="0"/>
      <w:marRight w:val="0"/>
      <w:marTop w:val="0"/>
      <w:marBottom w:val="0"/>
      <w:divBdr>
        <w:top w:val="none" w:sz="0" w:space="0" w:color="auto"/>
        <w:left w:val="none" w:sz="0" w:space="0" w:color="auto"/>
        <w:bottom w:val="none" w:sz="0" w:space="0" w:color="auto"/>
        <w:right w:val="none" w:sz="0" w:space="0" w:color="auto"/>
      </w:divBdr>
      <w:divsChild>
        <w:div w:id="1425761921">
          <w:marLeft w:val="0"/>
          <w:marRight w:val="0"/>
          <w:marTop w:val="0"/>
          <w:marBottom w:val="0"/>
          <w:divBdr>
            <w:top w:val="none" w:sz="0" w:space="0" w:color="auto"/>
            <w:left w:val="none" w:sz="0" w:space="0" w:color="auto"/>
            <w:bottom w:val="none" w:sz="0" w:space="0" w:color="auto"/>
            <w:right w:val="none" w:sz="0" w:space="0" w:color="auto"/>
          </w:divBdr>
        </w:div>
      </w:divsChild>
    </w:div>
    <w:div w:id="2036148967">
      <w:marLeft w:val="0"/>
      <w:marRight w:val="0"/>
      <w:marTop w:val="0"/>
      <w:marBottom w:val="0"/>
      <w:divBdr>
        <w:top w:val="none" w:sz="0" w:space="0" w:color="auto"/>
        <w:left w:val="none" w:sz="0" w:space="0" w:color="auto"/>
        <w:bottom w:val="none" w:sz="0" w:space="0" w:color="auto"/>
        <w:right w:val="none" w:sz="0" w:space="0" w:color="auto"/>
      </w:divBdr>
      <w:divsChild>
        <w:div w:id="1249458083">
          <w:marLeft w:val="0"/>
          <w:marRight w:val="0"/>
          <w:marTop w:val="0"/>
          <w:marBottom w:val="0"/>
          <w:divBdr>
            <w:top w:val="none" w:sz="0" w:space="0" w:color="auto"/>
            <w:left w:val="none" w:sz="0" w:space="0" w:color="auto"/>
            <w:bottom w:val="none" w:sz="0" w:space="0" w:color="auto"/>
            <w:right w:val="none" w:sz="0" w:space="0" w:color="auto"/>
          </w:divBdr>
        </w:div>
      </w:divsChild>
    </w:div>
    <w:div w:id="2055999529">
      <w:marLeft w:val="0"/>
      <w:marRight w:val="0"/>
      <w:marTop w:val="0"/>
      <w:marBottom w:val="0"/>
      <w:divBdr>
        <w:top w:val="none" w:sz="0" w:space="0" w:color="auto"/>
        <w:left w:val="none" w:sz="0" w:space="0" w:color="auto"/>
        <w:bottom w:val="none" w:sz="0" w:space="0" w:color="auto"/>
        <w:right w:val="none" w:sz="0" w:space="0" w:color="auto"/>
      </w:divBdr>
      <w:divsChild>
        <w:div w:id="756438949">
          <w:marLeft w:val="0"/>
          <w:marRight w:val="0"/>
          <w:marTop w:val="0"/>
          <w:marBottom w:val="0"/>
          <w:divBdr>
            <w:top w:val="none" w:sz="0" w:space="0" w:color="auto"/>
            <w:left w:val="none" w:sz="0" w:space="0" w:color="auto"/>
            <w:bottom w:val="none" w:sz="0" w:space="0" w:color="auto"/>
            <w:right w:val="none" w:sz="0" w:space="0" w:color="auto"/>
          </w:divBdr>
        </w:div>
      </w:divsChild>
    </w:div>
    <w:div w:id="2058698692">
      <w:marLeft w:val="0"/>
      <w:marRight w:val="0"/>
      <w:marTop w:val="0"/>
      <w:marBottom w:val="0"/>
      <w:divBdr>
        <w:top w:val="none" w:sz="0" w:space="0" w:color="auto"/>
        <w:left w:val="none" w:sz="0" w:space="0" w:color="auto"/>
        <w:bottom w:val="none" w:sz="0" w:space="0" w:color="auto"/>
        <w:right w:val="none" w:sz="0" w:space="0" w:color="auto"/>
      </w:divBdr>
      <w:divsChild>
        <w:div w:id="1847862564">
          <w:marLeft w:val="0"/>
          <w:marRight w:val="0"/>
          <w:marTop w:val="0"/>
          <w:marBottom w:val="0"/>
          <w:divBdr>
            <w:top w:val="none" w:sz="0" w:space="0" w:color="auto"/>
            <w:left w:val="none" w:sz="0" w:space="0" w:color="auto"/>
            <w:bottom w:val="none" w:sz="0" w:space="0" w:color="auto"/>
            <w:right w:val="none" w:sz="0" w:space="0" w:color="auto"/>
          </w:divBdr>
        </w:div>
      </w:divsChild>
    </w:div>
    <w:div w:id="2060130738">
      <w:marLeft w:val="0"/>
      <w:marRight w:val="0"/>
      <w:marTop w:val="0"/>
      <w:marBottom w:val="120"/>
      <w:divBdr>
        <w:top w:val="none" w:sz="0" w:space="0" w:color="auto"/>
        <w:left w:val="none" w:sz="0" w:space="0" w:color="auto"/>
        <w:bottom w:val="none" w:sz="0" w:space="0" w:color="auto"/>
        <w:right w:val="none" w:sz="0" w:space="0" w:color="auto"/>
      </w:divBdr>
    </w:div>
    <w:div w:id="2062048282">
      <w:marLeft w:val="0"/>
      <w:marRight w:val="0"/>
      <w:marTop w:val="0"/>
      <w:marBottom w:val="0"/>
      <w:divBdr>
        <w:top w:val="none" w:sz="0" w:space="0" w:color="auto"/>
        <w:left w:val="none" w:sz="0" w:space="0" w:color="auto"/>
        <w:bottom w:val="none" w:sz="0" w:space="0" w:color="auto"/>
        <w:right w:val="none" w:sz="0" w:space="0" w:color="auto"/>
      </w:divBdr>
      <w:divsChild>
        <w:div w:id="1473211">
          <w:marLeft w:val="0"/>
          <w:marRight w:val="0"/>
          <w:marTop w:val="0"/>
          <w:marBottom w:val="0"/>
          <w:divBdr>
            <w:top w:val="none" w:sz="0" w:space="0" w:color="auto"/>
            <w:left w:val="none" w:sz="0" w:space="0" w:color="auto"/>
            <w:bottom w:val="none" w:sz="0" w:space="0" w:color="auto"/>
            <w:right w:val="none" w:sz="0" w:space="0" w:color="auto"/>
          </w:divBdr>
        </w:div>
      </w:divsChild>
    </w:div>
    <w:div w:id="2065446172">
      <w:marLeft w:val="0"/>
      <w:marRight w:val="0"/>
      <w:marTop w:val="0"/>
      <w:marBottom w:val="0"/>
      <w:divBdr>
        <w:top w:val="none" w:sz="0" w:space="0" w:color="auto"/>
        <w:left w:val="none" w:sz="0" w:space="0" w:color="auto"/>
        <w:bottom w:val="none" w:sz="0" w:space="0" w:color="auto"/>
        <w:right w:val="none" w:sz="0" w:space="0" w:color="auto"/>
      </w:divBdr>
    </w:div>
    <w:div w:id="2070954092">
      <w:marLeft w:val="0"/>
      <w:marRight w:val="0"/>
      <w:marTop w:val="0"/>
      <w:marBottom w:val="120"/>
      <w:divBdr>
        <w:top w:val="none" w:sz="0" w:space="0" w:color="auto"/>
        <w:left w:val="none" w:sz="0" w:space="0" w:color="auto"/>
        <w:bottom w:val="none" w:sz="0" w:space="0" w:color="auto"/>
        <w:right w:val="none" w:sz="0" w:space="0" w:color="auto"/>
      </w:divBdr>
    </w:div>
    <w:div w:id="2072842354">
      <w:marLeft w:val="0"/>
      <w:marRight w:val="0"/>
      <w:marTop w:val="0"/>
      <w:marBottom w:val="0"/>
      <w:divBdr>
        <w:top w:val="none" w:sz="0" w:space="0" w:color="auto"/>
        <w:left w:val="none" w:sz="0" w:space="0" w:color="auto"/>
        <w:bottom w:val="none" w:sz="0" w:space="0" w:color="auto"/>
        <w:right w:val="none" w:sz="0" w:space="0" w:color="auto"/>
      </w:divBdr>
    </w:div>
    <w:div w:id="2074042874">
      <w:marLeft w:val="0"/>
      <w:marRight w:val="0"/>
      <w:marTop w:val="0"/>
      <w:marBottom w:val="0"/>
      <w:divBdr>
        <w:top w:val="none" w:sz="0" w:space="0" w:color="auto"/>
        <w:left w:val="none" w:sz="0" w:space="0" w:color="auto"/>
        <w:bottom w:val="none" w:sz="0" w:space="0" w:color="auto"/>
        <w:right w:val="none" w:sz="0" w:space="0" w:color="auto"/>
      </w:divBdr>
    </w:div>
    <w:div w:id="2075008048">
      <w:marLeft w:val="0"/>
      <w:marRight w:val="0"/>
      <w:marTop w:val="0"/>
      <w:marBottom w:val="0"/>
      <w:divBdr>
        <w:top w:val="none" w:sz="0" w:space="0" w:color="auto"/>
        <w:left w:val="none" w:sz="0" w:space="0" w:color="auto"/>
        <w:bottom w:val="none" w:sz="0" w:space="0" w:color="auto"/>
        <w:right w:val="none" w:sz="0" w:space="0" w:color="auto"/>
      </w:divBdr>
      <w:divsChild>
        <w:div w:id="43456337">
          <w:marLeft w:val="0"/>
          <w:marRight w:val="0"/>
          <w:marTop w:val="0"/>
          <w:marBottom w:val="0"/>
          <w:divBdr>
            <w:top w:val="none" w:sz="0" w:space="0" w:color="auto"/>
            <w:left w:val="none" w:sz="0" w:space="0" w:color="auto"/>
            <w:bottom w:val="none" w:sz="0" w:space="0" w:color="auto"/>
            <w:right w:val="none" w:sz="0" w:space="0" w:color="auto"/>
          </w:divBdr>
        </w:div>
      </w:divsChild>
    </w:div>
    <w:div w:id="2076467368">
      <w:marLeft w:val="0"/>
      <w:marRight w:val="0"/>
      <w:marTop w:val="0"/>
      <w:marBottom w:val="0"/>
      <w:divBdr>
        <w:top w:val="none" w:sz="0" w:space="0" w:color="auto"/>
        <w:left w:val="none" w:sz="0" w:space="0" w:color="auto"/>
        <w:bottom w:val="none" w:sz="0" w:space="0" w:color="auto"/>
        <w:right w:val="none" w:sz="0" w:space="0" w:color="auto"/>
      </w:divBdr>
    </w:div>
    <w:div w:id="2080403439">
      <w:marLeft w:val="0"/>
      <w:marRight w:val="0"/>
      <w:marTop w:val="0"/>
      <w:marBottom w:val="120"/>
      <w:divBdr>
        <w:top w:val="none" w:sz="0" w:space="0" w:color="auto"/>
        <w:left w:val="none" w:sz="0" w:space="0" w:color="auto"/>
        <w:bottom w:val="none" w:sz="0" w:space="0" w:color="auto"/>
        <w:right w:val="none" w:sz="0" w:space="0" w:color="auto"/>
      </w:divBdr>
    </w:div>
    <w:div w:id="2083407212">
      <w:marLeft w:val="0"/>
      <w:marRight w:val="0"/>
      <w:marTop w:val="0"/>
      <w:marBottom w:val="120"/>
      <w:divBdr>
        <w:top w:val="none" w:sz="0" w:space="0" w:color="auto"/>
        <w:left w:val="none" w:sz="0" w:space="0" w:color="auto"/>
        <w:bottom w:val="none" w:sz="0" w:space="0" w:color="auto"/>
        <w:right w:val="none" w:sz="0" w:space="0" w:color="auto"/>
      </w:divBdr>
      <w:divsChild>
        <w:div w:id="2006468000">
          <w:marLeft w:val="0"/>
          <w:marRight w:val="0"/>
          <w:marTop w:val="0"/>
          <w:marBottom w:val="15"/>
          <w:divBdr>
            <w:top w:val="none" w:sz="0" w:space="0" w:color="auto"/>
            <w:left w:val="none" w:sz="0" w:space="0" w:color="auto"/>
            <w:bottom w:val="none" w:sz="0" w:space="0" w:color="auto"/>
            <w:right w:val="none" w:sz="0" w:space="0" w:color="auto"/>
          </w:divBdr>
        </w:div>
      </w:divsChild>
    </w:div>
    <w:div w:id="2091536448">
      <w:marLeft w:val="0"/>
      <w:marRight w:val="0"/>
      <w:marTop w:val="0"/>
      <w:marBottom w:val="0"/>
      <w:divBdr>
        <w:top w:val="none" w:sz="0" w:space="0" w:color="auto"/>
        <w:left w:val="none" w:sz="0" w:space="0" w:color="auto"/>
        <w:bottom w:val="none" w:sz="0" w:space="0" w:color="auto"/>
        <w:right w:val="none" w:sz="0" w:space="0" w:color="auto"/>
      </w:divBdr>
      <w:divsChild>
        <w:div w:id="1884364048">
          <w:marLeft w:val="0"/>
          <w:marRight w:val="0"/>
          <w:marTop w:val="0"/>
          <w:marBottom w:val="0"/>
          <w:divBdr>
            <w:top w:val="none" w:sz="0" w:space="0" w:color="auto"/>
            <w:left w:val="none" w:sz="0" w:space="0" w:color="auto"/>
            <w:bottom w:val="none" w:sz="0" w:space="0" w:color="auto"/>
            <w:right w:val="none" w:sz="0" w:space="0" w:color="auto"/>
          </w:divBdr>
        </w:div>
      </w:divsChild>
    </w:div>
    <w:div w:id="2092851621">
      <w:marLeft w:val="0"/>
      <w:marRight w:val="0"/>
      <w:marTop w:val="0"/>
      <w:marBottom w:val="0"/>
      <w:divBdr>
        <w:top w:val="none" w:sz="0" w:space="0" w:color="auto"/>
        <w:left w:val="none" w:sz="0" w:space="0" w:color="auto"/>
        <w:bottom w:val="none" w:sz="0" w:space="0" w:color="auto"/>
        <w:right w:val="none" w:sz="0" w:space="0" w:color="auto"/>
      </w:divBdr>
    </w:div>
    <w:div w:id="2093624445">
      <w:marLeft w:val="0"/>
      <w:marRight w:val="0"/>
      <w:marTop w:val="0"/>
      <w:marBottom w:val="0"/>
      <w:divBdr>
        <w:top w:val="none" w:sz="0" w:space="0" w:color="auto"/>
        <w:left w:val="none" w:sz="0" w:space="0" w:color="auto"/>
        <w:bottom w:val="none" w:sz="0" w:space="0" w:color="auto"/>
        <w:right w:val="none" w:sz="0" w:space="0" w:color="auto"/>
      </w:divBdr>
    </w:div>
    <w:div w:id="2094231931">
      <w:marLeft w:val="0"/>
      <w:marRight w:val="0"/>
      <w:marTop w:val="0"/>
      <w:marBottom w:val="120"/>
      <w:divBdr>
        <w:top w:val="none" w:sz="0" w:space="0" w:color="auto"/>
        <w:left w:val="none" w:sz="0" w:space="0" w:color="auto"/>
        <w:bottom w:val="none" w:sz="0" w:space="0" w:color="auto"/>
        <w:right w:val="none" w:sz="0" w:space="0" w:color="auto"/>
      </w:divBdr>
    </w:div>
    <w:div w:id="2097164894">
      <w:marLeft w:val="0"/>
      <w:marRight w:val="0"/>
      <w:marTop w:val="0"/>
      <w:marBottom w:val="0"/>
      <w:divBdr>
        <w:top w:val="none" w:sz="0" w:space="0" w:color="auto"/>
        <w:left w:val="none" w:sz="0" w:space="0" w:color="auto"/>
        <w:bottom w:val="none" w:sz="0" w:space="0" w:color="auto"/>
        <w:right w:val="none" w:sz="0" w:space="0" w:color="auto"/>
      </w:divBdr>
      <w:divsChild>
        <w:div w:id="1613321999">
          <w:marLeft w:val="0"/>
          <w:marRight w:val="0"/>
          <w:marTop w:val="0"/>
          <w:marBottom w:val="0"/>
          <w:divBdr>
            <w:top w:val="none" w:sz="0" w:space="0" w:color="auto"/>
            <w:left w:val="none" w:sz="0" w:space="0" w:color="auto"/>
            <w:bottom w:val="none" w:sz="0" w:space="0" w:color="auto"/>
            <w:right w:val="none" w:sz="0" w:space="0" w:color="auto"/>
          </w:divBdr>
        </w:div>
      </w:divsChild>
    </w:div>
    <w:div w:id="2098136205">
      <w:marLeft w:val="0"/>
      <w:marRight w:val="0"/>
      <w:marTop w:val="0"/>
      <w:marBottom w:val="0"/>
      <w:divBdr>
        <w:top w:val="none" w:sz="0" w:space="0" w:color="auto"/>
        <w:left w:val="none" w:sz="0" w:space="0" w:color="auto"/>
        <w:bottom w:val="none" w:sz="0" w:space="0" w:color="auto"/>
        <w:right w:val="none" w:sz="0" w:space="0" w:color="auto"/>
      </w:divBdr>
    </w:div>
    <w:div w:id="2101102229">
      <w:marLeft w:val="0"/>
      <w:marRight w:val="0"/>
      <w:marTop w:val="0"/>
      <w:marBottom w:val="0"/>
      <w:divBdr>
        <w:top w:val="none" w:sz="0" w:space="0" w:color="auto"/>
        <w:left w:val="none" w:sz="0" w:space="0" w:color="auto"/>
        <w:bottom w:val="none" w:sz="0" w:space="0" w:color="auto"/>
        <w:right w:val="none" w:sz="0" w:space="0" w:color="auto"/>
      </w:divBdr>
    </w:div>
    <w:div w:id="2103867421">
      <w:marLeft w:val="0"/>
      <w:marRight w:val="0"/>
      <w:marTop w:val="0"/>
      <w:marBottom w:val="0"/>
      <w:divBdr>
        <w:top w:val="none" w:sz="0" w:space="0" w:color="auto"/>
        <w:left w:val="none" w:sz="0" w:space="0" w:color="auto"/>
        <w:bottom w:val="none" w:sz="0" w:space="0" w:color="auto"/>
        <w:right w:val="none" w:sz="0" w:space="0" w:color="auto"/>
      </w:divBdr>
    </w:div>
    <w:div w:id="2111319071">
      <w:marLeft w:val="0"/>
      <w:marRight w:val="0"/>
      <w:marTop w:val="0"/>
      <w:marBottom w:val="0"/>
      <w:divBdr>
        <w:top w:val="none" w:sz="0" w:space="0" w:color="auto"/>
        <w:left w:val="none" w:sz="0" w:space="0" w:color="auto"/>
        <w:bottom w:val="none" w:sz="0" w:space="0" w:color="auto"/>
        <w:right w:val="none" w:sz="0" w:space="0" w:color="auto"/>
      </w:divBdr>
      <w:divsChild>
        <w:div w:id="1859272715">
          <w:marLeft w:val="0"/>
          <w:marRight w:val="0"/>
          <w:marTop w:val="0"/>
          <w:marBottom w:val="0"/>
          <w:divBdr>
            <w:top w:val="none" w:sz="0" w:space="0" w:color="auto"/>
            <w:left w:val="none" w:sz="0" w:space="0" w:color="auto"/>
            <w:bottom w:val="none" w:sz="0" w:space="0" w:color="auto"/>
            <w:right w:val="none" w:sz="0" w:space="0" w:color="auto"/>
          </w:divBdr>
        </w:div>
      </w:divsChild>
    </w:div>
    <w:div w:id="2114084164">
      <w:marLeft w:val="0"/>
      <w:marRight w:val="0"/>
      <w:marTop w:val="0"/>
      <w:marBottom w:val="0"/>
      <w:divBdr>
        <w:top w:val="none" w:sz="0" w:space="0" w:color="auto"/>
        <w:left w:val="none" w:sz="0" w:space="0" w:color="auto"/>
        <w:bottom w:val="none" w:sz="0" w:space="0" w:color="auto"/>
        <w:right w:val="none" w:sz="0" w:space="0" w:color="auto"/>
      </w:divBdr>
    </w:div>
    <w:div w:id="2121758858">
      <w:marLeft w:val="0"/>
      <w:marRight w:val="0"/>
      <w:marTop w:val="0"/>
      <w:marBottom w:val="0"/>
      <w:divBdr>
        <w:top w:val="none" w:sz="0" w:space="0" w:color="auto"/>
        <w:left w:val="none" w:sz="0" w:space="0" w:color="auto"/>
        <w:bottom w:val="none" w:sz="0" w:space="0" w:color="auto"/>
        <w:right w:val="none" w:sz="0" w:space="0" w:color="auto"/>
      </w:divBdr>
    </w:div>
    <w:div w:id="2126078620">
      <w:marLeft w:val="0"/>
      <w:marRight w:val="0"/>
      <w:marTop w:val="0"/>
      <w:marBottom w:val="120"/>
      <w:divBdr>
        <w:top w:val="none" w:sz="0" w:space="0" w:color="auto"/>
        <w:left w:val="none" w:sz="0" w:space="0" w:color="auto"/>
        <w:bottom w:val="none" w:sz="0" w:space="0" w:color="auto"/>
        <w:right w:val="none" w:sz="0" w:space="0" w:color="auto"/>
      </w:divBdr>
      <w:divsChild>
        <w:div w:id="1220165683">
          <w:marLeft w:val="0"/>
          <w:marRight w:val="0"/>
          <w:marTop w:val="0"/>
          <w:marBottom w:val="0"/>
          <w:divBdr>
            <w:top w:val="none" w:sz="0" w:space="0" w:color="auto"/>
            <w:left w:val="none" w:sz="0" w:space="0" w:color="auto"/>
            <w:bottom w:val="none" w:sz="0" w:space="0" w:color="auto"/>
            <w:right w:val="none" w:sz="0" w:space="0" w:color="auto"/>
          </w:divBdr>
        </w:div>
        <w:div w:id="1842818146">
          <w:marLeft w:val="0"/>
          <w:marRight w:val="0"/>
          <w:marTop w:val="0"/>
          <w:marBottom w:val="0"/>
          <w:divBdr>
            <w:top w:val="none" w:sz="0" w:space="0" w:color="auto"/>
            <w:left w:val="none" w:sz="0" w:space="0" w:color="auto"/>
            <w:bottom w:val="none" w:sz="0" w:space="0" w:color="auto"/>
            <w:right w:val="none" w:sz="0" w:space="0" w:color="auto"/>
          </w:divBdr>
        </w:div>
        <w:div w:id="923415162">
          <w:marLeft w:val="0"/>
          <w:marRight w:val="0"/>
          <w:marTop w:val="0"/>
          <w:marBottom w:val="0"/>
          <w:divBdr>
            <w:top w:val="none" w:sz="0" w:space="0" w:color="auto"/>
            <w:left w:val="none" w:sz="0" w:space="0" w:color="auto"/>
            <w:bottom w:val="none" w:sz="0" w:space="0" w:color="auto"/>
            <w:right w:val="none" w:sz="0" w:space="0" w:color="auto"/>
          </w:divBdr>
        </w:div>
      </w:divsChild>
    </w:div>
    <w:div w:id="2132554514">
      <w:marLeft w:val="0"/>
      <w:marRight w:val="0"/>
      <w:marTop w:val="0"/>
      <w:marBottom w:val="120"/>
      <w:divBdr>
        <w:top w:val="none" w:sz="0" w:space="0" w:color="auto"/>
        <w:left w:val="none" w:sz="0" w:space="0" w:color="auto"/>
        <w:bottom w:val="none" w:sz="0" w:space="0" w:color="auto"/>
        <w:right w:val="none" w:sz="0" w:space="0" w:color="auto"/>
      </w:divBdr>
    </w:div>
    <w:div w:id="2133941776">
      <w:marLeft w:val="0"/>
      <w:marRight w:val="0"/>
      <w:marTop w:val="0"/>
      <w:marBottom w:val="0"/>
      <w:divBdr>
        <w:top w:val="none" w:sz="0" w:space="0" w:color="auto"/>
        <w:left w:val="none" w:sz="0" w:space="0" w:color="auto"/>
        <w:bottom w:val="none" w:sz="0" w:space="0" w:color="auto"/>
        <w:right w:val="none" w:sz="0" w:space="0" w:color="auto"/>
      </w:divBdr>
    </w:div>
    <w:div w:id="2134907231">
      <w:marLeft w:val="0"/>
      <w:marRight w:val="0"/>
      <w:marTop w:val="0"/>
      <w:marBottom w:val="120"/>
      <w:divBdr>
        <w:top w:val="none" w:sz="0" w:space="0" w:color="auto"/>
        <w:left w:val="none" w:sz="0" w:space="0" w:color="auto"/>
        <w:bottom w:val="none" w:sz="0" w:space="0" w:color="auto"/>
        <w:right w:val="none" w:sz="0" w:space="0" w:color="auto"/>
      </w:divBdr>
    </w:div>
    <w:div w:id="2137021378">
      <w:marLeft w:val="0"/>
      <w:marRight w:val="0"/>
      <w:marTop w:val="0"/>
      <w:marBottom w:val="0"/>
      <w:divBdr>
        <w:top w:val="none" w:sz="0" w:space="0" w:color="auto"/>
        <w:left w:val="none" w:sz="0" w:space="0" w:color="auto"/>
        <w:bottom w:val="none" w:sz="0" w:space="0" w:color="auto"/>
        <w:right w:val="none" w:sz="0" w:space="0" w:color="auto"/>
      </w:divBdr>
    </w:div>
    <w:div w:id="213898740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6365/0000950123-97-007736.txt" TargetMode="External"/><Relationship Id="rId18" Type="http://schemas.openxmlformats.org/officeDocument/2006/relationships/hyperlink" Target="http://www.sec.gov/Archives/edgar/data/916365/000118811207000534/ex10-38.txt" TargetMode="External"/><Relationship Id="rId26" Type="http://schemas.openxmlformats.org/officeDocument/2006/relationships/hyperlink" Target="http://www.sec.gov/Archives/edgar/data/916365/000095012309056222/c91703exv10w50.htm" TargetMode="External"/><Relationship Id="rId39" Type="http://schemas.openxmlformats.org/officeDocument/2006/relationships/hyperlink" Target="http://www.sec.gov/Archives/edgar/data/916365/000091636518000093/q2201810qex104formofperfor.htm" TargetMode="External"/><Relationship Id="rId21" Type="http://schemas.openxmlformats.org/officeDocument/2006/relationships/hyperlink" Target="http://www.sec.gov/Archives/edgar/data/916365/000095012309029586/c88667exv10w44.htm" TargetMode="External"/><Relationship Id="rId34" Type="http://schemas.openxmlformats.org/officeDocument/2006/relationships/hyperlink" Target="http://www.sec.gov/Archives/edgar/data/916365/000091636518000031/a201710-kex1033performance.htm" TargetMode="External"/><Relationship Id="rId42" Type="http://schemas.openxmlformats.org/officeDocument/2006/relationships/hyperlink" Target="http://www.sec.gov/Archives/edgar/data/916365/000091636519000035/a201810-kex1040formofperfo.htm" TargetMode="External"/><Relationship Id="rId47" Type="http://schemas.openxmlformats.org/officeDocument/2006/relationships/hyperlink" Target="http://www.sec.gov/Archives/edgar/data/916365/000091636519000143/exhibit101-employmenta.htm" TargetMode="External"/><Relationship Id="rId50" Type="http://schemas.openxmlformats.org/officeDocument/2006/relationships/hyperlink" Target="http://www.sec.gov/Archives/edgar/data/916365/000091636519000164/a101-employmentagreeme.htm" TargetMode="External"/><Relationship Id="rId55" Type="http://schemas.openxmlformats.org/officeDocument/2006/relationships/hyperlink" Target="a201910-kex1049.htm" TargetMode="External"/><Relationship Id="rId7" Type="http://schemas.openxmlformats.org/officeDocument/2006/relationships/hyperlink" Target="http://www.sec.gov/Archives/edgar/data/916365/000091636517000026/a31ififthamendedandrestate.htm" TargetMode="External"/><Relationship Id="rId2" Type="http://schemas.openxmlformats.org/officeDocument/2006/relationships/settings" Target="settings.xml"/><Relationship Id="rId16" Type="http://schemas.openxmlformats.org/officeDocument/2006/relationships/hyperlink" Target="http://www.sec.gov/Archives/edgar/data/916365/000136231008001146/c72557exv10w45.htm" TargetMode="External"/><Relationship Id="rId29" Type="http://schemas.openxmlformats.org/officeDocument/2006/relationships/hyperlink" Target="http://www.sec.gov/Archives/edgar/data/916365/000091636514000110/a052114-creditagreementex1.htm" TargetMode="External"/><Relationship Id="rId11" Type="http://schemas.openxmlformats.org/officeDocument/2006/relationships/hyperlink" Target="http://www.sec.gov/Archives/edgar/data/916365/000118811204000294/tex10_53-1784b.txt" TargetMode="External"/><Relationship Id="rId24" Type="http://schemas.openxmlformats.org/officeDocument/2006/relationships/hyperlink" Target="http://www.sec.gov/Archives/edgar/data/916365/000095012309056222/c91703exv10w48.htm" TargetMode="External"/><Relationship Id="rId32" Type="http://schemas.openxmlformats.org/officeDocument/2006/relationships/hyperlink" Target="http://www.sec.gov/Archives/edgar/data/916365/000091636517000081/ex101-incrementaltermloana.htm" TargetMode="External"/><Relationship Id="rId37" Type="http://schemas.openxmlformats.org/officeDocument/2006/relationships/hyperlink" Target="http://www.sec.gov/Archives/edgar/data/916365/000091636518000093/q2201810qex102formofnonqua.htm" TargetMode="External"/><Relationship Id="rId40" Type="http://schemas.openxmlformats.org/officeDocument/2006/relationships/hyperlink" Target="http://www.sec.gov/Archives/edgar/data/916365/000091636518000119/a11142018tsco-ex101.htm" TargetMode="External"/><Relationship Id="rId45" Type="http://schemas.openxmlformats.org/officeDocument/2006/relationships/hyperlink" Target="http://www.sec.gov/Archives/edgar/data/916365/000091636519000038/exhibit101formofchangeinco.htm" TargetMode="External"/><Relationship Id="rId53" Type="http://schemas.openxmlformats.org/officeDocument/2006/relationships/hyperlink" Target="http://www.sec.gov/Archives/edgar/data/916365/000091636519000038/exhibit101formofchangeinco.htm" TargetMode="External"/><Relationship Id="rId58" Type="http://schemas.openxmlformats.org/officeDocument/2006/relationships/hyperlink" Target="a201910-kex311.htm" TargetMode="External"/><Relationship Id="rId5" Type="http://schemas.openxmlformats.org/officeDocument/2006/relationships/image" Target="file:///E:\projects\LLMs\new_data_collection\data_new\htm\TRACTOR%20SUPPLY%20CO\tsco-20191228_g2.jpg" TargetMode="External"/><Relationship Id="rId61" Type="http://schemas.openxmlformats.org/officeDocument/2006/relationships/fontTable" Target="fontTable.xml"/><Relationship Id="rId19" Type="http://schemas.openxmlformats.org/officeDocument/2006/relationships/hyperlink" Target="http://www.sec.gov/Archives/edgar/data/916365/000136231009002757/c81596exv10w41.htm" TargetMode="External"/><Relationship Id="rId14" Type="http://schemas.openxmlformats.org/officeDocument/2006/relationships/hyperlink" Target="http://www.sec.gov/Archives/edgar/data/916365/000095014402005220/g76225ex10-58.txt" TargetMode="External"/><Relationship Id="rId22" Type="http://schemas.openxmlformats.org/officeDocument/2006/relationships/hyperlink" Target="http://www.sec.gov/Archives/edgar/data/916365/000095012309029586/c88667exv10w45.htm" TargetMode="External"/><Relationship Id="rId27" Type="http://schemas.openxmlformats.org/officeDocument/2006/relationships/hyperlink" Target="http://www.sec.gov/Archives/edgar/data/916365/000091636511000030/ex10_42.htm" TargetMode="External"/><Relationship Id="rId30" Type="http://schemas.openxmlformats.org/officeDocument/2006/relationships/hyperlink" Target="http://www.sec.gov/Archives/edgar/data/916365/000091636515000042/a201410-kex1034.htm" TargetMode="External"/><Relationship Id="rId35" Type="http://schemas.openxmlformats.org/officeDocument/2006/relationships/hyperlink" Target="http://www.sec.gov/Archives/edgar/data/916365/000091636518000031/a201710-kex1034performance.htm" TargetMode="External"/><Relationship Id="rId43" Type="http://schemas.openxmlformats.org/officeDocument/2006/relationships/hyperlink" Target="http://www.sec.gov/Archives/edgar/data/916365/000091636519000035/a201810-kex1041formofrestr.htm" TargetMode="External"/><Relationship Id="rId48" Type="http://schemas.openxmlformats.org/officeDocument/2006/relationships/hyperlink" Target="http://www.sec.gov/Archives/edgar/data/916365/000091636519000145/exhibit101-transitiona.htm" TargetMode="External"/><Relationship Id="rId56" Type="http://schemas.openxmlformats.org/officeDocument/2006/relationships/hyperlink" Target="a201910-kex21.htm" TargetMode="External"/><Relationship Id="rId8" Type="http://schemas.openxmlformats.org/officeDocument/2006/relationships/hyperlink" Target="a201910-kex42.htm" TargetMode="External"/><Relationship Id="rId51" Type="http://schemas.openxmlformats.org/officeDocument/2006/relationships/hyperlink" Target="http://www.sec.gov/Archives/edgar/data/916365/000091636519000164/a102-changeincontrolag.htm" TargetMode="External"/><Relationship Id="rId3" Type="http://schemas.openxmlformats.org/officeDocument/2006/relationships/webSettings" Target="webSettings.xml"/><Relationship Id="rId12" Type="http://schemas.openxmlformats.org/officeDocument/2006/relationships/hyperlink" Target="http://www.sec.gov/Archives/edgar/data/916365/000095014401003865/g67748ex10-57.txt" TargetMode="External"/><Relationship Id="rId17" Type="http://schemas.openxmlformats.org/officeDocument/2006/relationships/hyperlink" Target="http://www.sec.gov/Archives/edgar/data/916365/000129993306002914/exhibit1.htm" TargetMode="External"/><Relationship Id="rId25" Type="http://schemas.openxmlformats.org/officeDocument/2006/relationships/hyperlink" Target="http://www.sec.gov/Archives/edgar/data/916365/000095012309056222/c91703exv10w49.htm" TargetMode="External"/><Relationship Id="rId33" Type="http://schemas.openxmlformats.org/officeDocument/2006/relationships/hyperlink" Target="http://www.sec.gov/Archives/edgar/data/916365/000091636517000094/exhibit101notepurchaseandp.htm" TargetMode="External"/><Relationship Id="rId38" Type="http://schemas.openxmlformats.org/officeDocument/2006/relationships/hyperlink" Target="http://www.sec.gov/Archives/edgar/data/916365/000091636518000093/q2201810qex103formofrestri.htm" TargetMode="External"/><Relationship Id="rId46" Type="http://schemas.openxmlformats.org/officeDocument/2006/relationships/hyperlink" Target="http://www.sec.gov/Archives/edgar/data/916365/000091636519000038/exhibit101formofchangeinco.htm" TargetMode="External"/><Relationship Id="rId59" Type="http://schemas.openxmlformats.org/officeDocument/2006/relationships/hyperlink" Target="a201910-kex312.htm" TargetMode="External"/><Relationship Id="rId20" Type="http://schemas.openxmlformats.org/officeDocument/2006/relationships/hyperlink" Target="http://www.sec.gov/Archives/edgar/data/916365/000095014409003170/g18571exv99w1.htm" TargetMode="External"/><Relationship Id="rId41" Type="http://schemas.openxmlformats.org/officeDocument/2006/relationships/hyperlink" Target="http://www.sec.gov/Archives/edgar/data/916365/000091636519000035/a201810-kex1039formofperfo.htm" TargetMode="External"/><Relationship Id="rId54" Type="http://schemas.openxmlformats.org/officeDocument/2006/relationships/hyperlink" Target="a201910-kex1048.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6365/000091636512000017/exhibit3_5.htm" TargetMode="External"/><Relationship Id="rId15" Type="http://schemas.openxmlformats.org/officeDocument/2006/relationships/hyperlink" Target="http://www.sec.gov/Archives/edgar/data/916365/000118811207000534/ex10-39.txt" TargetMode="External"/><Relationship Id="rId23" Type="http://schemas.openxmlformats.org/officeDocument/2006/relationships/hyperlink" Target="http://www.sec.gov/Archives/edgar/data/916365/000095012309029586/c88667exv10w46.htm" TargetMode="External"/><Relationship Id="rId28" Type="http://schemas.openxmlformats.org/officeDocument/2006/relationships/hyperlink" Target="http://www.sec.gov/Archives/edgar/data/916365/000091636511000051/creditagreement.htm" TargetMode="External"/><Relationship Id="rId36" Type="http://schemas.openxmlformats.org/officeDocument/2006/relationships/hyperlink" Target="http://www.sec.gov/Archives/edgar/data/916365/000091636518000036/a2018proxy-def14a.htm" TargetMode="External"/><Relationship Id="rId49" Type="http://schemas.openxmlformats.org/officeDocument/2006/relationships/hyperlink" Target="http://www.sec.gov/Archives/edgar/data/916365/000091636519000158/exhibit101-tractorsupp.htm" TargetMode="External"/><Relationship Id="rId57" Type="http://schemas.openxmlformats.org/officeDocument/2006/relationships/hyperlink" Target="a201910-kex23.htm" TargetMode="External"/><Relationship Id="rId10" Type="http://schemas.openxmlformats.org/officeDocument/2006/relationships/hyperlink" Target="http://www.sec.gov/Archives/edgar/data/916365/0000950123-97-007736.txt" TargetMode="External"/><Relationship Id="rId31" Type="http://schemas.openxmlformats.org/officeDocument/2006/relationships/hyperlink" Target="http://www.sec.gov/Archives/edgar/data/916365/000091636516000138/creditagreement-tractorsup.htm" TargetMode="External"/><Relationship Id="rId44" Type="http://schemas.openxmlformats.org/officeDocument/2006/relationships/hyperlink" Target="http://www.sec.gov/Archives/edgar/data/916365/000091636519000035/a201810-kex1042formofnonqu.htm" TargetMode="External"/><Relationship Id="rId52" Type="http://schemas.openxmlformats.org/officeDocument/2006/relationships/hyperlink" Target="http://www.sec.gov/Archives/edgar/data/916365/000091636519000170/a101-transitionagreeme.htm" TargetMode="External"/><Relationship Id="rId60" Type="http://schemas.openxmlformats.org/officeDocument/2006/relationships/hyperlink" Target="a201910-kex32.htm" TargetMode="External"/><Relationship Id="rId4" Type="http://schemas.openxmlformats.org/officeDocument/2006/relationships/image" Target="file:///E:\projects\LLMs\new_data_collection\data_new\htm\TRACTOR%20SUPPLY%20CO\tsco-20191228_g1.jpg" TargetMode="External"/><Relationship Id="rId9" Type="http://schemas.openxmlformats.org/officeDocument/2006/relationships/hyperlink" Target="http://www.sec.gov/Archives/edgar/data/916365/0000950144-96-005860.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49095</Words>
  <Characters>279842</Characters>
  <Application>Microsoft Office Word</Application>
  <DocSecurity>0</DocSecurity>
  <Lines>2332</Lines>
  <Paragraphs>656</Paragraphs>
  <ScaleCrop>false</ScaleCrop>
  <Company/>
  <LinksUpToDate>false</LinksUpToDate>
  <CharactersWithSpaces>328281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tsco-20191228</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