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6787D">
      <w:pPr>
        <w:divId w:val="1301956997"/>
        <w:rPr>
          <w:rFonts w:eastAsia="Times New Roman"/>
          <w:vanish/>
        </w:rPr>
      </w:pPr>
      <w:r>
        <w:rPr>
          <w:rFonts w:eastAsia="Times New Roman"/>
          <w:vanish/>
        </w:rPr>
        <w:t>TRACTOR SUPPLY CO /DE/000091636512-262020Q210-QFALSEJune 27, 202000009163652019-12-292020-06-27xbrli:shares00009163652020-07-25iso4217:USD00009163652020-06-2700009163652019-12-2800009163652019-06-29iso4217:USDxbrli:shares00009163652020-03-29</w:t>
      </w:r>
      <w:r>
        <w:rPr>
          <w:rFonts w:eastAsia="Times New Roman"/>
          <w:vanish/>
        </w:rPr>
        <w:t>2020-06-2700009163652019-03-312019-06-2900009163652018-12-302019-06-290000916365us-gaap:CommonStockMember2019-12-280000916365us-gaap:AdditionalPaidInCapitalMember2019-12-280000916365us-gaap:TreasuryStockMember2019-12-280000916365us-gaap:AccumulatedOtherCom</w:t>
      </w:r>
      <w:r>
        <w:rPr>
          <w:rFonts w:eastAsia="Times New Roman"/>
          <w:vanish/>
        </w:rPr>
        <w:t>prehensiveIncomeMember2019-12-280000916365us-gaap:RetainedEarningsMember2019-12-280000916365us-gaap:CommonStockMember2019-12-292020-03-280000916365us-gaap:AdditionalPaidInCapitalMember2019-12-292020-03-2800009163652019-12-292020-03-280000916365us-gaap:Trea</w:t>
      </w:r>
      <w:r>
        <w:rPr>
          <w:rFonts w:eastAsia="Times New Roman"/>
          <w:vanish/>
        </w:rPr>
        <w:t>suryStockMember2019-12-292020-03-280000916365us-gaap:RetainedEarningsMember2019-12-292020-03-280000916365us-gaap:AccumulatedOtherComprehensiveIncomeMember2019-12-292020-03-280000916365us-gaap:CommonStockMember2020-03-280000916365us-gaap:AdditionalPaidInCap</w:t>
      </w:r>
      <w:r>
        <w:rPr>
          <w:rFonts w:eastAsia="Times New Roman"/>
          <w:vanish/>
        </w:rPr>
        <w:t>italMember2020-03-280000916365us-gaap:TreasuryStockMember2020-03-280000916365us-gaap:AccumulatedOtherComprehensiveIncomeMember2020-03-280000916365us-gaap:RetainedEarningsMember2020-03-2800009163652020-03-280000916365us-gaap:CommonStockMember2020-03-292020-</w:t>
      </w:r>
      <w:r>
        <w:rPr>
          <w:rFonts w:eastAsia="Times New Roman"/>
          <w:vanish/>
        </w:rPr>
        <w:t>06-270000916365us-gaap:AdditionalPaidInCapitalMember2020-03-292020-06-270000916365us-gaap:TreasuryStockMember2020-03-292020-06-270000916365us-gaap:RetainedEarningsMember2020-03-292020-06-270000916365us-gaap:AccumulatedOtherComprehensiveIncomeMember2020-03-</w:t>
      </w:r>
      <w:r>
        <w:rPr>
          <w:rFonts w:eastAsia="Times New Roman"/>
          <w:vanish/>
        </w:rPr>
        <w:t>292020-06-270000916365us-gaap:CommonStockMember2020-06-270000916365us-gaap:AdditionalPaidInCapitalMember2020-06-270000916365us-gaap:TreasuryStockMember2020-06-270000916365us-gaap:AccumulatedOtherComprehensiveIncomeMember2020-06-270000916365us-gaap:Retained</w:t>
      </w:r>
      <w:r>
        <w:rPr>
          <w:rFonts w:eastAsia="Times New Roman"/>
          <w:vanish/>
        </w:rPr>
        <w:t>EarningsMember2020-06-270000916365us-gaap:CommonStockMember2018-12-290000916365us-gaap:AdditionalPaidInCapitalMember2018-12-290000916365us-gaap:TreasuryStockMember2018-12-290000916365us-gaap:AccumulatedOtherComprehensiveIncomeMember2018-12-290000916365us-g</w:t>
      </w:r>
      <w:r>
        <w:rPr>
          <w:rFonts w:eastAsia="Times New Roman"/>
          <w:vanish/>
        </w:rPr>
        <w:t>aap:RetainedEarningsMember2018-12-2900009163652018-12-290000916365us-gaap:CommonStockMember2018-12-302019-03-300000916365us-gaap:AdditionalPaidInCapitalMember2018-12-302019-03-3000009163652018-12-302019-03-300000916365us-gaap:TreasuryStockMember2018-12-302</w:t>
      </w:r>
      <w:r>
        <w:rPr>
          <w:rFonts w:eastAsia="Times New Roman"/>
          <w:vanish/>
        </w:rPr>
        <w:t>019-03-300000916365us-gaap:RetainedEarningsMember2018-12-302019-03-300000916365us-gaap:AccumulatedOtherComprehensiveIncomeMember2018-12-302019-03-300000916365us-gaap:CommonStockMember2019-03-300000916365us-gaap:AdditionalPaidInCapitalMember2019-03-30000091</w:t>
      </w:r>
      <w:r>
        <w:rPr>
          <w:rFonts w:eastAsia="Times New Roman"/>
          <w:vanish/>
        </w:rPr>
        <w:t>6365us-gaap:TreasuryStockMember2019-03-300000916365us-gaap:AccumulatedOtherComprehensiveIncomeMember2019-03-300000916365us-gaap:RetainedEarningsMember2019-03-3000009163652019-03-300000916365us-gaap:CommonStockMember2019-03-312019-06-290000916365us-gaap:Add</w:t>
      </w:r>
      <w:r>
        <w:rPr>
          <w:rFonts w:eastAsia="Times New Roman"/>
          <w:vanish/>
        </w:rPr>
        <w:t>itionalPaidInCapitalMember2019-03-312019-06-290000916365us-gaap:TreasuryStockMember2019-03-312019-06-290000916365us-gaap:RetainedEarningsMember2019-03-312019-06-290000916365us-gaap:AccumulatedOtherComprehensiveIncomeMember2019-03-312019-06-290000916365us-g</w:t>
      </w:r>
      <w:r>
        <w:rPr>
          <w:rFonts w:eastAsia="Times New Roman"/>
          <w:vanish/>
        </w:rPr>
        <w:t>aap:CommonStockMember2019-06-290000916365us-gaap:AdditionalPaidInCapitalMember2019-06-290000916365us-gaap:TreasuryStockMember2019-06-290000916365us-gaap:AccumulatedOtherComprehensiveIncomeMember2019-06-290000916365us-gaap:RetainedEarningsMember2019-06-29ts</w:t>
      </w:r>
      <w:r>
        <w:rPr>
          <w:rFonts w:eastAsia="Times New Roman"/>
          <w:vanish/>
        </w:rPr>
        <w:t>co:store0000916365srt:ParentCompanyMember2020-06-27tsco:state0000916365tsco:TSCOstoresDomain2020-06-270000916365tsco:PetsensestoresDomain2020-06-27xbrli:pure0000916365us-gaap:EmployeeStockOptionMember2019-12-292020-06-270000916365us-gaap:EmployeeStockOptio</w:t>
      </w:r>
      <w:r>
        <w:rPr>
          <w:rFonts w:eastAsia="Times New Roman"/>
          <w:vanish/>
        </w:rPr>
        <w:t>nMember2020-06-270000916365us-gaap:RestrictedStockUnitsRSUMember2019-12-292020-06-270000916365us-gaap:PerformanceSharesMember2019-12-292020-06-270000916365tsco:RestrictedStockUnitsandPerformanceBasedRestrictedShareUnitsMember2019-12-292020-06-270000916365t</w:t>
      </w:r>
      <w:r>
        <w:rPr>
          <w:rFonts w:eastAsia="Times New Roman"/>
          <w:vanish/>
        </w:rPr>
        <w:t>sco:RestrictedStockUnitsandPerformanceBasedRestrictedShareUnitsMember2020-06-270000916365tsco:February2016TermLoanMember2020-06-270000916365tsco:February2016TermLoanMember2019-12-280000916365tsco:February2016TermLoanMember2019-06-290000916365tsco:June2017T</w:t>
      </w:r>
      <w:r>
        <w:rPr>
          <w:rFonts w:eastAsia="Times New Roman"/>
          <w:vanish/>
        </w:rPr>
        <w:t>ermLoanMember2020-06-270000916365tsco:June2017TermLoanMember2019-12-280000916365tsco:June2017TermLoanMember2019-06-290000916365tsco:March2020TermLoanMember2020-06-270000916365tsco:March2020TermLoanMember2019-12-280000916365tsco:March2020TermLoanMember2019-</w:t>
      </w:r>
      <w:r>
        <w:rPr>
          <w:rFonts w:eastAsia="Times New Roman"/>
          <w:vanish/>
        </w:rPr>
        <w:t>06-290000916365tsco:April2020TermLoanMember2020-06-270000916365tsco:April2020TermLoanMember2019-12-280000916365tsco:April2020TermLoanMember2019-06-290000916365tsco:A2016SeniorCreditFacilityMember2020-03-292020-06-270000916365tsco:A2016SeniorCreditFacilityM</w:t>
      </w:r>
      <w:r>
        <w:rPr>
          <w:rFonts w:eastAsia="Times New Roman"/>
          <w:vanish/>
        </w:rPr>
        <w:t>ember2019-12-292020-03-280000916365tsco:A2016SeniorCreditFacilityMember2019-03-312019-06-2900009163652017-08-1400009163652016-02-1900009163652016-02-192016-02-190000916365us-gaap:BaseRateMember2020-06-270000916365us-gaap:LondonInterbankOfferedRateLIBORMemb</w:t>
      </w:r>
      <w:r>
        <w:rPr>
          <w:rFonts w:eastAsia="Times New Roman"/>
          <w:vanish/>
        </w:rPr>
        <w:t>er2020-06-270000916365srt:MinimumMember2020-03-292020-06-270000916365srt:MaximumMember2020-03-292020-06-2700009163652019-09-282019-09-280000916365tsco:February2016TermLoanMember2016-02-192016-02-190000916365tsco:DueinyearsoneandtwoFebruary2016TermLoanMembe</w:t>
      </w:r>
      <w:r>
        <w:rPr>
          <w:rFonts w:eastAsia="Times New Roman"/>
          <w:vanish/>
        </w:rPr>
        <w:t>r2019-12-292020-06-270000916365tsco:DueinyearsthreethroughfiveFebruary2016TermLoanMember2019-12-292020-06-270000916365tsco:June2017TermLoanMember2017-06-152017-06-150000916365tsco:DueinyearsoneandtwoJune2017TermLoanMember2020-03-292020-06-270000916365tsco:</w:t>
      </w:r>
      <w:r>
        <w:rPr>
          <w:rFonts w:eastAsia="Times New Roman"/>
          <w:vanish/>
        </w:rPr>
        <w:t>DueinyearsthreethroughfiveJune2017TermLoanMemberMember2020-03-292020-06-270000916365tsco:March2020TermLoanMember2020-03-122020-03-120000916365tsco:March2020TermLoanMember2020-03-292020-06-270000916365tsco:April2020TermLoanMember2019-12-292020-06-2700009163</w:t>
      </w:r>
      <w:r>
        <w:rPr>
          <w:rFonts w:eastAsia="Times New Roman"/>
          <w:vanish/>
        </w:rPr>
        <w:t>65tsco:April2020TermLoanMember2020-03-122020-03-120000916365tsco:April2020TermLoanMinimumMember2020-03-292020-06-270000916365tsco:April2020TermLoanMaximumMember2020-03-292020-06-270000916365tsco:April2020TermLoanMember2020-03-292020-06-270000916365tsco:Apr</w:t>
      </w:r>
      <w:r>
        <w:rPr>
          <w:rFonts w:eastAsia="Times New Roman"/>
          <w:vanish/>
        </w:rPr>
        <w:t>il2020TermLoanAdditionalMinimumMember2020-03-292020-06-270000916365tsco:April2020TermLoanAdditionalMaximumMember2020-03-292020-06-270000916365tsco:April2020TermLoanMember2020-06-270000916365tsco:NumberofFinancialCovenantsMember2020-03-292020-06-27000091636</w:t>
      </w:r>
      <w:r>
        <w:rPr>
          <w:rFonts w:eastAsia="Times New Roman"/>
          <w:vanish/>
        </w:rPr>
        <w:t>5tsco:FixedChargeCoverageRatioMinimumRequirementMember2020-03-292020-06-270000916365tsco:LeverageRatioMaximumRequirementMember2020-03-292020-06-270000916365tsco:February2016TermLoanMember2016-03-312016-03-310000916365tsco:February2016TermLoanMember2020-03-</w:t>
      </w:r>
      <w:r>
        <w:rPr>
          <w:rFonts w:eastAsia="Times New Roman"/>
          <w:vanish/>
        </w:rPr>
        <w:t>292020-06-270000916365tsco:February2016TermLoanMember2016-03-310000916365tsco:June2017TermLoanMember2017-06-302017-06-300000916365tsco:June2017TermLoanMember2020-03-292020-06-270000916365tsco:June2017TermLoanMember2017-06-300000916365tsco:March2020TermLoan</w:t>
      </w:r>
      <w:r>
        <w:rPr>
          <w:rFonts w:eastAsia="Times New Roman"/>
          <w:vanish/>
        </w:rPr>
        <w:t>Member2020-03-182020-03-180000916365tsco:March2020TermLoanMember2020-03-292020-06-270000916365tsco:March2020TermLoanMember2020-06-270000916365tsco:InterestRateSwapAssetPortionMember2020-06-270000916365tsco:InterestRateSwapAssetPortionMember2019-12-28000091</w:t>
      </w:r>
      <w:r>
        <w:rPr>
          <w:rFonts w:eastAsia="Times New Roman"/>
          <w:vanish/>
        </w:rPr>
        <w:t>6365tsco:InterestRateSwapAssetPortionMember2019-06-290000916365tsco:InterestRateSwapLiabilityPortionMember2020-06-270000916365tsco:InterestRateSwapLiabilityPortionMember2019-12-280000916365tsco:InterestRateSwapLiabilityPortionMember2019-06-290000916365tsco</w:t>
      </w:r>
      <w:r>
        <w:rPr>
          <w:rFonts w:eastAsia="Times New Roman"/>
          <w:vanish/>
        </w:rPr>
        <w:t>:BeginningBalanceMember2019-12-280000916365tsco:BeginningBalanceMember2018-12-290000916365us-gaap:OtherComprehensiveIncomeMember2019-12-292020-06-270000916365us-gaap:OtherComprehensiveIncomeMember2018-12-302019-12-280000916365us-gaap:OtherComprehensiveInco</w:t>
      </w:r>
      <w:r>
        <w:rPr>
          <w:rFonts w:eastAsia="Times New Roman"/>
          <w:vanish/>
        </w:rPr>
        <w:t>meMember2018-12-302019-06-290000916365us-gaap:AccountingStandardsUpdate201712Member2019-12-292020-06-270000916365us-gaap:AccountingStandardsUpdate201712Member2018-12-302019-12-280000916365us-gaap:AccountingStandardsUpdate201712Member2018-12-302019-06-29000</w:t>
      </w:r>
      <w:r>
        <w:rPr>
          <w:rFonts w:eastAsia="Times New Roman"/>
          <w:vanish/>
        </w:rPr>
        <w:t>0916365tsco:OtherComprehensiveIncomeLossNetofTaxMember2019-12-292020-06-270000916365tsco:OtherComprehensiveIncomeLossNetofTaxMember2018-12-302019-12-280000916365tsco:OtherComprehensiveIncomeLossNetofTaxMember2018-12-302019-06-290000916365tsco:AOCIEndingBal</w:t>
      </w:r>
      <w:r>
        <w:rPr>
          <w:rFonts w:eastAsia="Times New Roman"/>
          <w:vanish/>
        </w:rPr>
        <w:t>anceMember2020-06-270000916365tsco:AOCIEndingBalanceMember2019-12-280000916365tsco:AOCIEndingBalanceMember2019-06-2900009163652020-05-062020-05-0600009163652020-02-052020-02-0500009163652019-05-082019-05-0800009163652019-02-062019-02-060000916365us-gaap:Su</w:t>
      </w:r>
      <w:r>
        <w:rPr>
          <w:rFonts w:eastAsia="Times New Roman"/>
          <w:vanish/>
        </w:rPr>
        <w:t>bsequentEventMember2020-08-052020-08-05tsco:segment0000916365tsco:LivestockAndPetMember2020-03-292020-06-270000916365tsco:LivestockAndPetMember2019-03-312019-06-290000916365tsco:LivestockAndPetMember2019-12-292020-06-270000916365tsco:LivestockAndPetMember2</w:t>
      </w:r>
      <w:r>
        <w:rPr>
          <w:rFonts w:eastAsia="Times New Roman"/>
          <w:vanish/>
        </w:rPr>
        <w:t>018-12-302019-06-290000916365tsco:SeasonalGiftAndToyProductsMember2020-03-292020-06-270000916365tsco:SeasonalGiftAndToyProductsMember2019-03-312019-06-290000916365tsco:SeasonalGiftAndToyProductsMember2019-12-292020-06-270000916365tsco:SeasonalGiftAndToyPro</w:t>
      </w:r>
      <w:r>
        <w:rPr>
          <w:rFonts w:eastAsia="Times New Roman"/>
          <w:vanish/>
        </w:rPr>
        <w:t>ductsMember2018-12-302019-06-290000916365tsco:HardwareToolsAndTruckMember2020-03-292020-06-270000916365tsco:HardwareToolsAndTruckMember2019-03-312019-06-290000916365tsco:HardwareToolsAndTruckMember2019-12-292020-06-270000916365tsco:HardwareToolsAndTruckMem</w:t>
      </w:r>
      <w:r>
        <w:rPr>
          <w:rFonts w:eastAsia="Times New Roman"/>
          <w:vanish/>
        </w:rPr>
        <w:t>ber2018-12-302019-06-290000916365tsco:ClothingAndFootwareMember2020-03-292020-06-270000916365tsco:ClothingAndFootwareMember2019-03-312019-06-290000916365tsco:ClothingAndFootwareMember2019-12-292020-06-270000916365tsco:ClothingAndFootwareMember2018-12-30201</w:t>
      </w:r>
      <w:r>
        <w:rPr>
          <w:rFonts w:eastAsia="Times New Roman"/>
          <w:vanish/>
        </w:rPr>
        <w:t>9-06-290000916365tsco:AgricultureMember2020-03-292020-06-270000916365tsco:AgricultureMember2019-03-312019-06-290000916365tsco:AgricultureMember2019-12-292020-06-270000916365tsco:AgricultureMember2018-12-302019-06-290000916365tsco:TotalMember2020-03-292020-</w:t>
      </w:r>
      <w:r>
        <w:rPr>
          <w:rFonts w:eastAsia="Times New Roman"/>
          <w:vanish/>
        </w:rPr>
        <w:t>06-270000916365tsco:TotalMember2019-03-312019-06-290000916365tsco:TotalMember2019-12-292020-06-270000916365tsco:TotalMember2018-12-302019-06-29</w:t>
      </w:r>
    </w:p>
    <w:p w:rsidR="00000000" w:rsidRDefault="0016787D">
      <w:pPr>
        <w:divId w:val="473982913"/>
        <w:rPr>
          <w:rFonts w:eastAsia="Times New Roman"/>
        </w:rPr>
      </w:pPr>
    </w:p>
    <w:p w:rsidR="00000000" w:rsidRDefault="0016787D">
      <w:pPr>
        <w:jc w:val="center"/>
        <w:rPr>
          <w:rFonts w:eastAsia="Times New Roman"/>
        </w:rPr>
      </w:pPr>
      <w:r>
        <w:rPr>
          <w:rFonts w:eastAsia="Times New Roman"/>
          <w:b/>
          <w:bCs/>
          <w:color w:val="000000"/>
          <w:sz w:val="20"/>
          <w:szCs w:val="20"/>
        </w:rPr>
        <w:t>UNITED STATE</w:t>
      </w:r>
      <w:r>
        <w:rPr>
          <w:rFonts w:eastAsia="Times New Roman"/>
          <w:b/>
          <w:bCs/>
          <w:color w:val="000000"/>
          <w:sz w:val="20"/>
          <w:szCs w:val="20"/>
        </w:rPr>
        <w:t>S</w:t>
      </w:r>
    </w:p>
    <w:p w:rsidR="00000000" w:rsidRDefault="0016787D">
      <w:pPr>
        <w:jc w:val="center"/>
        <w:rPr>
          <w:rFonts w:eastAsia="Times New Roman"/>
        </w:rPr>
      </w:pPr>
      <w:r>
        <w:rPr>
          <w:rFonts w:eastAsia="Times New Roman"/>
          <w:b/>
          <w:bCs/>
          <w:color w:val="000000"/>
          <w:sz w:val="20"/>
          <w:szCs w:val="20"/>
        </w:rPr>
        <w:t>SECURITIES AND EXCHANGE COMMISSIO</w:t>
      </w:r>
      <w:r>
        <w:rPr>
          <w:rFonts w:eastAsia="Times New Roman"/>
          <w:b/>
          <w:bCs/>
          <w:color w:val="000000"/>
          <w:sz w:val="20"/>
          <w:szCs w:val="20"/>
        </w:rPr>
        <w:t>N</w:t>
      </w:r>
    </w:p>
    <w:p w:rsidR="00000000" w:rsidRDefault="0016787D">
      <w:pPr>
        <w:jc w:val="center"/>
        <w:rPr>
          <w:rFonts w:eastAsia="Times New Roman"/>
        </w:rPr>
      </w:pPr>
      <w:r>
        <w:rPr>
          <w:rFonts w:eastAsia="Times New Roman"/>
          <w:b/>
          <w:bCs/>
          <w:color w:val="000000"/>
          <w:sz w:val="20"/>
          <w:szCs w:val="20"/>
        </w:rPr>
        <w:t>Washington, D.C.  2054</w:t>
      </w:r>
      <w:r>
        <w:rPr>
          <w:rFonts w:eastAsia="Times New Roman"/>
          <w:b/>
          <w:bCs/>
          <w:color w:val="000000"/>
          <w:sz w:val="20"/>
          <w:szCs w:val="20"/>
        </w:rPr>
        <w:t>9</w:t>
      </w:r>
    </w:p>
    <w:p w:rsidR="00000000" w:rsidRDefault="0016787D">
      <w:pPr>
        <w:jc w:val="center"/>
        <w:rPr>
          <w:rFonts w:eastAsia="Times New Roman"/>
        </w:rPr>
      </w:pPr>
      <w:r>
        <w:rPr>
          <w:rFonts w:eastAsia="Times New Roman"/>
          <w:b/>
          <w:bCs/>
          <w:color w:val="000000"/>
          <w:sz w:val="20"/>
          <w:szCs w:val="20"/>
        </w:rPr>
        <w:t>FORM 10-Q</w:t>
      </w:r>
      <w:r>
        <w:rPr>
          <w:rFonts w:eastAsia="Times New Roman"/>
          <w:b/>
          <w:bCs/>
          <w:color w:val="000000"/>
          <w:sz w:val="20"/>
          <w:szCs w:val="20"/>
        </w:rPr>
        <w:t xml:space="preserve"> </w:t>
      </w:r>
    </w:p>
    <w:p w:rsidR="00000000" w:rsidRDefault="0016787D">
      <w:pPr>
        <w:divId w:val="1851989998"/>
        <w:rPr>
          <w:rFonts w:eastAsia="Times New Roman"/>
        </w:rPr>
      </w:pPr>
      <w:r>
        <w:rPr>
          <w:rFonts w:eastAsia="Times New Roman"/>
          <w:color w:val="000000"/>
          <w:sz w:val="20"/>
          <w:szCs w:val="20"/>
        </w:rPr>
        <w:t>(Mark One</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83"/>
        <w:gridCol w:w="274"/>
        <w:gridCol w:w="83"/>
        <w:gridCol w:w="83"/>
        <w:gridCol w:w="7700"/>
        <w:gridCol w:w="83"/>
      </w:tblGrid>
      <w:tr w:rsidR="00000000">
        <w:trPr>
          <w:divId w:val="828637715"/>
        </w:trPr>
        <w:tc>
          <w:tcPr>
            <w:tcW w:w="50" w:type="pct"/>
            <w:vAlign w:val="center"/>
            <w:hideMark/>
          </w:tcPr>
          <w:p w:rsidR="00000000" w:rsidRDefault="0016787D">
            <w:pPr>
              <w:rPr>
                <w:rFonts w:eastAsia="Times New Roman"/>
              </w:rPr>
            </w:pPr>
          </w:p>
        </w:tc>
        <w:tc>
          <w:tcPr>
            <w:tcW w:w="16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63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828637715"/>
        </w:trPr>
        <w:tc>
          <w:tcPr>
            <w:tcW w:w="0" w:type="auto"/>
            <w:gridSpan w:val="3"/>
            <w:tcMar>
              <w:top w:w="30" w:type="dxa"/>
              <w:left w:w="20" w:type="dxa"/>
              <w:bottom w:w="30" w:type="dxa"/>
              <w:right w:w="20" w:type="dxa"/>
            </w:tcMar>
            <w:hideMark/>
          </w:tcPr>
          <w:p w:rsidR="00000000" w:rsidRDefault="0016787D">
            <w:pPr>
              <w:jc w:val="cente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QUAR</w:t>
            </w:r>
            <w:r>
              <w:rPr>
                <w:rFonts w:eastAsia="Times New Roman"/>
                <w:color w:val="000000"/>
                <w:sz w:val="20"/>
                <w:szCs w:val="20"/>
              </w:rPr>
              <w:t>TERLY REPORT PURSUANT TO SECTION 13 OR 15(d) OF THE SECURITIES EXCHANGE ACT OF 193</w:t>
            </w:r>
            <w:r>
              <w:rPr>
                <w:rFonts w:eastAsia="Times New Roman"/>
                <w:color w:val="000000"/>
                <w:sz w:val="20"/>
                <w:szCs w:val="20"/>
              </w:rPr>
              <w:t>4</w:t>
            </w:r>
          </w:p>
        </w:tc>
      </w:tr>
    </w:tbl>
    <w:p w:rsidR="00000000" w:rsidRDefault="0016787D">
      <w:pPr>
        <w:divId w:val="64239432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3"/>
        <w:gridCol w:w="2113"/>
        <w:gridCol w:w="83"/>
        <w:gridCol w:w="83"/>
        <w:gridCol w:w="5861"/>
        <w:gridCol w:w="83"/>
      </w:tblGrid>
      <w:tr w:rsidR="00000000">
        <w:trPr>
          <w:divId w:val="750857320"/>
        </w:trPr>
        <w:tc>
          <w:tcPr>
            <w:tcW w:w="50" w:type="pct"/>
            <w:vAlign w:val="center"/>
            <w:hideMark/>
          </w:tcPr>
          <w:p w:rsidR="00000000" w:rsidRDefault="0016787D">
            <w:pPr>
              <w:rPr>
                <w:rFonts w:eastAsia="Times New Roman"/>
              </w:rPr>
            </w:pPr>
          </w:p>
        </w:tc>
        <w:tc>
          <w:tcPr>
            <w:tcW w:w="127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52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750857320"/>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For the quarterly period ende</w:t>
            </w:r>
            <w:r>
              <w:rPr>
                <w:rFonts w:eastAsia="Times New Roman"/>
                <w:color w:val="000000"/>
                <w:sz w:val="20"/>
                <w:szCs w:val="20"/>
              </w:rPr>
              <w:t>d</w:t>
            </w:r>
          </w:p>
        </w:tc>
        <w:tc>
          <w:tcPr>
            <w:tcW w:w="0" w:type="auto"/>
            <w:gridSpan w:val="3"/>
            <w:tcBorders>
              <w:bottom w:val="single" w:sz="18" w:space="0" w:color="000000"/>
            </w:tcBorders>
            <w:tcMar>
              <w:top w:w="30" w:type="dxa"/>
              <w:left w:w="20" w:type="dxa"/>
              <w:bottom w:w="30" w:type="dxa"/>
              <w:right w:w="20" w:type="dxa"/>
            </w:tcMar>
            <w:hideMark/>
          </w:tcPr>
          <w:p w:rsidR="00000000" w:rsidRDefault="0016787D">
            <w:pPr>
              <w:jc w:val="center"/>
              <w:rPr>
                <w:rFonts w:eastAsia="Times New Roman"/>
              </w:rPr>
            </w:pPr>
            <w:r>
              <w:rPr>
                <w:rFonts w:eastAsia="Times New Roman"/>
                <w:color w:val="000000"/>
                <w:sz w:val="20"/>
                <w:szCs w:val="20"/>
              </w:rPr>
              <w:t>June 27, 202</w:t>
            </w:r>
            <w:r>
              <w:rPr>
                <w:rFonts w:eastAsia="Times New Roman"/>
                <w:color w:val="000000"/>
                <w:sz w:val="20"/>
                <w:szCs w:val="20"/>
              </w:rPr>
              <w:t>0</w:t>
            </w:r>
          </w:p>
        </w:tc>
      </w:tr>
    </w:tbl>
    <w:p w:rsidR="00000000" w:rsidRDefault="0016787D">
      <w:pPr>
        <w:jc w:val="center"/>
        <w:rPr>
          <w:rFonts w:eastAsia="Times New Roman"/>
        </w:rPr>
      </w:pPr>
      <w:r>
        <w:rPr>
          <w:rFonts w:eastAsia="Times New Roman"/>
          <w:color w:val="000000"/>
          <w:sz w:val="20"/>
          <w:szCs w:val="20"/>
        </w:rPr>
        <w:t>o</w:t>
      </w:r>
      <w:r>
        <w:rPr>
          <w:rFonts w:eastAsia="Times New Roman"/>
          <w:color w:val="000000"/>
          <w:sz w:val="20"/>
          <w:szCs w:val="20"/>
        </w:rPr>
        <w:t>r</w:t>
      </w:r>
    </w:p>
    <w:tbl>
      <w:tblPr>
        <w:tblW w:w="5000" w:type="pct"/>
        <w:jc w:val="center"/>
        <w:tblCellMar>
          <w:top w:w="15" w:type="dxa"/>
          <w:left w:w="15" w:type="dxa"/>
          <w:bottom w:w="15" w:type="dxa"/>
          <w:right w:w="15" w:type="dxa"/>
        </w:tblCellMar>
        <w:tblLook w:val="04A0" w:firstRow="1" w:lastRow="0" w:firstColumn="1" w:lastColumn="0" w:noHBand="0" w:noVBand="1"/>
      </w:tblPr>
      <w:tblGrid>
        <w:gridCol w:w="83"/>
        <w:gridCol w:w="274"/>
        <w:gridCol w:w="83"/>
        <w:gridCol w:w="83"/>
        <w:gridCol w:w="7700"/>
        <w:gridCol w:w="83"/>
      </w:tblGrid>
      <w:tr w:rsidR="00000000">
        <w:trPr>
          <w:divId w:val="323360116"/>
          <w:jc w:val="center"/>
        </w:trPr>
        <w:tc>
          <w:tcPr>
            <w:tcW w:w="50" w:type="pct"/>
            <w:vAlign w:val="center"/>
            <w:hideMark/>
          </w:tcPr>
          <w:p w:rsidR="00000000" w:rsidRDefault="0016787D">
            <w:pPr>
              <w:jc w:val="center"/>
              <w:rPr>
                <w:rFonts w:eastAsia="Times New Roman"/>
              </w:rPr>
            </w:pPr>
          </w:p>
        </w:tc>
        <w:tc>
          <w:tcPr>
            <w:tcW w:w="16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63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323360116"/>
          <w:jc w:val="center"/>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TRANSITION REPORT PURSUANT TO SECTION 13 OR 15(d) OF THE SECURITIES EXCHANGE ACT OF 193</w:t>
            </w:r>
            <w:r>
              <w:rPr>
                <w:rFonts w:eastAsia="Times New Roman"/>
                <w:color w:val="000000"/>
                <w:sz w:val="20"/>
                <w:szCs w:val="20"/>
              </w:rPr>
              <w:t>4</w:t>
            </w:r>
          </w:p>
        </w:tc>
      </w:tr>
    </w:tbl>
    <w:p w:rsidR="00000000" w:rsidRDefault="0016787D">
      <w:pPr>
        <w:divId w:val="22086831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84"/>
        <w:gridCol w:w="2114"/>
        <w:gridCol w:w="83"/>
        <w:gridCol w:w="83"/>
        <w:gridCol w:w="1851"/>
        <w:gridCol w:w="83"/>
        <w:gridCol w:w="83"/>
        <w:gridCol w:w="550"/>
        <w:gridCol w:w="83"/>
        <w:gridCol w:w="83"/>
        <w:gridCol w:w="3126"/>
        <w:gridCol w:w="83"/>
      </w:tblGrid>
      <w:tr w:rsidR="00000000">
        <w:trPr>
          <w:divId w:val="1975059818"/>
        </w:trPr>
        <w:tc>
          <w:tcPr>
            <w:tcW w:w="50" w:type="pct"/>
            <w:vAlign w:val="center"/>
            <w:hideMark/>
          </w:tcPr>
          <w:p w:rsidR="00000000" w:rsidRDefault="0016787D">
            <w:pPr>
              <w:rPr>
                <w:rFonts w:eastAsia="Times New Roman"/>
              </w:rPr>
            </w:pPr>
          </w:p>
        </w:tc>
        <w:tc>
          <w:tcPr>
            <w:tcW w:w="127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11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3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88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975059818"/>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For the transition period fro</w:t>
            </w:r>
            <w:r>
              <w:rPr>
                <w:rFonts w:eastAsia="Times New Roman"/>
                <w:color w:val="000000"/>
                <w:sz w:val="20"/>
                <w:szCs w:val="20"/>
              </w:rPr>
              <w:t>m</w:t>
            </w:r>
          </w:p>
        </w:tc>
        <w:tc>
          <w:tcPr>
            <w:tcW w:w="0" w:type="auto"/>
            <w:gridSpan w:val="3"/>
            <w:tcBorders>
              <w:bottom w:val="single" w:sz="18" w:space="0" w:color="000000"/>
            </w:tcBorders>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jc w:val="center"/>
              <w:rPr>
                <w:rFonts w:eastAsia="Times New Roman"/>
              </w:rPr>
            </w:pPr>
            <w:r>
              <w:rPr>
                <w:rFonts w:eastAsia="Times New Roman"/>
                <w:color w:val="000000"/>
                <w:sz w:val="20"/>
                <w:szCs w:val="20"/>
              </w:rPr>
              <w:t>t</w:t>
            </w:r>
            <w:r>
              <w:rPr>
                <w:rFonts w:eastAsia="Times New Roman"/>
                <w:color w:val="000000"/>
                <w:sz w:val="20"/>
                <w:szCs w:val="20"/>
              </w:rPr>
              <w:t>o</w:t>
            </w:r>
          </w:p>
        </w:tc>
        <w:tc>
          <w:tcPr>
            <w:tcW w:w="0" w:type="auto"/>
            <w:gridSpan w:val="3"/>
            <w:tcBorders>
              <w:bottom w:val="single" w:sz="18" w:space="0" w:color="000000"/>
            </w:tcBorders>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r>
    </w:tbl>
    <w:p w:rsidR="00000000" w:rsidRDefault="0016787D">
      <w:pPr>
        <w:jc w:val="center"/>
        <w:rPr>
          <w:rFonts w:eastAsia="Times New Roman"/>
        </w:rPr>
      </w:pPr>
      <w:r>
        <w:rPr>
          <w:rFonts w:eastAsia="Times New Roman"/>
          <w:color w:val="000000"/>
          <w:sz w:val="20"/>
          <w:szCs w:val="20"/>
        </w:rPr>
        <w:t>Commission file number  </w:t>
      </w:r>
      <w:r>
        <w:rPr>
          <w:rFonts w:eastAsia="Times New Roman"/>
          <w:color w:val="000000"/>
          <w:sz w:val="20"/>
          <w:szCs w:val="20"/>
        </w:rPr>
        <w:t> </w:t>
      </w:r>
      <w:r>
        <w:rPr>
          <w:rFonts w:eastAsia="Times New Roman"/>
          <w:color w:val="000000"/>
          <w:sz w:val="20"/>
          <w:szCs w:val="20"/>
          <w:u w:val="single"/>
        </w:rPr>
        <w:t>000-2331</w:t>
      </w:r>
      <w:r>
        <w:rPr>
          <w:rFonts w:eastAsia="Times New Roman"/>
          <w:color w:val="000000"/>
          <w:sz w:val="20"/>
          <w:szCs w:val="20"/>
          <w:u w:val="single"/>
        </w:rPr>
        <w:t>4</w:t>
      </w:r>
      <w:r>
        <w:rPr>
          <w:rFonts w:eastAsia="Times New Roman"/>
          <w:color w:val="000000"/>
          <w:sz w:val="20"/>
          <w:szCs w:val="20"/>
        </w:rPr>
        <w:t xml:space="preserve"> </w:t>
      </w:r>
    </w:p>
    <w:p w:rsidR="00000000" w:rsidRDefault="0016787D">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16787D">
      <w:pPr>
        <w:jc w:val="center"/>
        <w:rPr>
          <w:rFonts w:eastAsia="Times New Roman"/>
        </w:rPr>
      </w:pPr>
      <w:r>
        <w:rPr>
          <w:rFonts w:eastAsia="Times New Roman"/>
          <w:b/>
          <w:bCs/>
          <w:color w:val="000000"/>
        </w:rPr>
        <w:t>TRACTOR SUPPLY COMPAN</w:t>
      </w:r>
      <w:r>
        <w:rPr>
          <w:rFonts w:eastAsia="Times New Roman"/>
          <w:b/>
          <w:bCs/>
          <w:color w:val="000000"/>
        </w:rPr>
        <w:t>Y</w:t>
      </w:r>
    </w:p>
    <w:p w:rsidR="00000000" w:rsidRDefault="0016787D">
      <w:pPr>
        <w:jc w:val="center"/>
        <w:rPr>
          <w:rFonts w:eastAsia="Times New Roman"/>
        </w:rPr>
      </w:pPr>
      <w:r>
        <w:rPr>
          <w:rFonts w:eastAsia="Times New Roman"/>
          <w:color w:val="000000"/>
          <w:sz w:val="20"/>
          <w:szCs w:val="20"/>
        </w:rPr>
        <w:t>(Exact Name of Registrant as Specified in Its Charter</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6"/>
        <w:gridCol w:w="1562"/>
        <w:gridCol w:w="67"/>
        <w:gridCol w:w="67"/>
        <w:gridCol w:w="546"/>
        <w:gridCol w:w="67"/>
        <w:gridCol w:w="67"/>
        <w:gridCol w:w="1239"/>
        <w:gridCol w:w="67"/>
        <w:gridCol w:w="36"/>
        <w:gridCol w:w="36"/>
        <w:gridCol w:w="36"/>
        <w:gridCol w:w="67"/>
        <w:gridCol w:w="983"/>
        <w:gridCol w:w="67"/>
        <w:gridCol w:w="67"/>
        <w:gridCol w:w="1971"/>
        <w:gridCol w:w="67"/>
        <w:gridCol w:w="188"/>
        <w:gridCol w:w="188"/>
        <w:gridCol w:w="186"/>
        <w:gridCol w:w="186"/>
        <w:gridCol w:w="186"/>
        <w:gridCol w:w="186"/>
        <w:gridCol w:w="36"/>
        <w:gridCol w:w="36"/>
        <w:gridCol w:w="36"/>
      </w:tblGrid>
      <w:tr w:rsidR="00000000">
        <w:trPr>
          <w:gridAfter w:val="9"/>
          <w:divId w:val="69356482"/>
          <w:jc w:val="center"/>
        </w:trPr>
        <w:tc>
          <w:tcPr>
            <w:tcW w:w="50" w:type="pct"/>
            <w:vAlign w:val="center"/>
            <w:hideMark/>
          </w:tcPr>
          <w:p w:rsidR="00000000" w:rsidRDefault="0016787D">
            <w:pPr>
              <w:jc w:val="center"/>
              <w:rPr>
                <w:rFonts w:eastAsia="Times New Roman"/>
              </w:rPr>
            </w:pPr>
          </w:p>
        </w:tc>
        <w:tc>
          <w:tcPr>
            <w:tcW w:w="1106"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8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87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5"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9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69356482"/>
          <w:jc w:val="center"/>
        </w:trPr>
        <w:tc>
          <w:tcPr>
            <w:tcW w:w="0" w:type="auto"/>
            <w:gridSpan w:val="9"/>
            <w:tcMar>
              <w:top w:w="30" w:type="dxa"/>
              <w:left w:w="20" w:type="dxa"/>
              <w:bottom w:w="30" w:type="dxa"/>
              <w:right w:w="20" w:type="dxa"/>
            </w:tcMar>
            <w:hideMark/>
          </w:tcPr>
          <w:p w:rsidR="00000000" w:rsidRDefault="0016787D">
            <w:pPr>
              <w:jc w:val="center"/>
              <w:rPr>
                <w:rFonts w:eastAsia="Times New Roman"/>
              </w:rPr>
            </w:pPr>
            <w:r>
              <w:rPr>
                <w:rFonts w:eastAsia="Times New Roman"/>
                <w:color w:val="000000"/>
                <w:sz w:val="20"/>
                <w:szCs w:val="20"/>
                <w:u w:val="single"/>
              </w:rPr>
              <w:t>Delawar</w:t>
            </w:r>
            <w:r>
              <w:rPr>
                <w:rFonts w:eastAsia="Times New Roman"/>
                <w:color w:val="000000"/>
                <w:sz w:val="20"/>
                <w:szCs w:val="20"/>
                <w:u w:val="single"/>
              </w:rPr>
              <w:t>e</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6"/>
            <w:tcMar>
              <w:top w:w="30" w:type="dxa"/>
              <w:left w:w="20" w:type="dxa"/>
              <w:bottom w:w="30" w:type="dxa"/>
              <w:right w:w="20" w:type="dxa"/>
            </w:tcMar>
            <w:hideMark/>
          </w:tcPr>
          <w:p w:rsidR="00000000" w:rsidRDefault="0016787D">
            <w:pPr>
              <w:jc w:val="center"/>
              <w:rPr>
                <w:rFonts w:eastAsia="Times New Roman"/>
              </w:rPr>
            </w:pPr>
            <w:r>
              <w:rPr>
                <w:rFonts w:eastAsia="Times New Roman"/>
                <w:color w:val="000000"/>
                <w:sz w:val="20"/>
                <w:szCs w:val="20"/>
                <w:u w:val="single"/>
              </w:rPr>
              <w:t>13-313973</w:t>
            </w:r>
            <w:r>
              <w:rPr>
                <w:rFonts w:eastAsia="Times New Roman"/>
                <w:color w:val="000000"/>
                <w:sz w:val="20"/>
                <w:szCs w:val="20"/>
                <w:u w:val="single"/>
              </w:rPr>
              <w:t>2</w:t>
            </w:r>
          </w:p>
        </w:tc>
        <w:tc>
          <w:tcPr>
            <w:tcW w:w="0" w:type="auto"/>
            <w:gridSpan w:val="3"/>
            <w:vAlign w:val="center"/>
            <w:hideMark/>
          </w:tcPr>
          <w:p w:rsidR="00000000" w:rsidRDefault="0016787D">
            <w:pPr>
              <w:jc w:val="center"/>
              <w:rPr>
                <w:rFonts w:eastAsia="Times New Roman"/>
              </w:rPr>
            </w:pPr>
          </w:p>
        </w:tc>
      </w:tr>
      <w:tr w:rsidR="00000000">
        <w:trPr>
          <w:divId w:val="69356482"/>
          <w:jc w:val="center"/>
        </w:trPr>
        <w:tc>
          <w:tcPr>
            <w:tcW w:w="0" w:type="auto"/>
            <w:gridSpan w:val="9"/>
            <w:tcMar>
              <w:top w:w="30" w:type="dxa"/>
              <w:left w:w="20" w:type="dxa"/>
              <w:bottom w:w="30" w:type="dxa"/>
              <w:right w:w="20" w:type="dxa"/>
            </w:tcMar>
            <w:hideMark/>
          </w:tcPr>
          <w:p w:rsidR="00000000" w:rsidRDefault="0016787D">
            <w:pPr>
              <w:jc w:val="center"/>
              <w:rPr>
                <w:rFonts w:eastAsia="Times New Roman"/>
              </w:rPr>
            </w:pPr>
            <w:r>
              <w:rPr>
                <w:rFonts w:eastAsia="Times New Roman"/>
                <w:color w:val="000000"/>
                <w:sz w:val="20"/>
                <w:szCs w:val="20"/>
              </w:rPr>
              <w:t>(State or Other Jurisdiction of Incorporation or Organization</w:t>
            </w:r>
            <w:r>
              <w:rPr>
                <w:rFonts w:eastAsia="Times New Roman"/>
                <w:color w:val="000000"/>
                <w:sz w:val="20"/>
                <w:szCs w:val="20"/>
              </w:rPr>
              <w:t>)</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6"/>
            <w:tcMar>
              <w:top w:w="30" w:type="dxa"/>
              <w:left w:w="20" w:type="dxa"/>
              <w:bottom w:w="30" w:type="dxa"/>
              <w:right w:w="20" w:type="dxa"/>
            </w:tcMar>
            <w:hideMark/>
          </w:tcPr>
          <w:p w:rsidR="00000000" w:rsidRDefault="0016787D">
            <w:pPr>
              <w:jc w:val="center"/>
              <w:rPr>
                <w:rFonts w:eastAsia="Times New Roman"/>
              </w:rPr>
            </w:pPr>
            <w:r>
              <w:rPr>
                <w:rFonts w:eastAsia="Times New Roman"/>
                <w:color w:val="000000"/>
                <w:sz w:val="20"/>
                <w:szCs w:val="20"/>
              </w:rPr>
              <w:t>(I.R.S. Employer Identification No.</w:t>
            </w:r>
            <w:r>
              <w:rPr>
                <w:rFonts w:eastAsia="Times New Roman"/>
                <w:color w:val="000000"/>
                <w:sz w:val="20"/>
                <w:szCs w:val="20"/>
              </w:rPr>
              <w:t>)</w:t>
            </w:r>
          </w:p>
        </w:tc>
        <w:tc>
          <w:tcPr>
            <w:tcW w:w="0" w:type="auto"/>
            <w:gridSpan w:val="3"/>
            <w:vAlign w:val="center"/>
            <w:hideMark/>
          </w:tcPr>
          <w:p w:rsidR="00000000" w:rsidRDefault="0016787D">
            <w:pPr>
              <w:jc w:val="center"/>
              <w:rPr>
                <w:rFonts w:eastAsia="Times New Roman"/>
              </w:rPr>
            </w:pPr>
          </w:p>
        </w:tc>
      </w:tr>
      <w:tr w:rsidR="00000000">
        <w:trPr>
          <w:divId w:val="69356482"/>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69356482"/>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69356482"/>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69356482"/>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69356482"/>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center"/>
        <w:rPr>
          <w:rFonts w:eastAsia="Times New Roman"/>
        </w:rPr>
      </w:pPr>
      <w:r>
        <w:rPr>
          <w:rFonts w:eastAsia="Times New Roman"/>
          <w:color w:val="000000"/>
          <w:sz w:val="20"/>
          <w:szCs w:val="20"/>
          <w:u w:val="single"/>
        </w:rPr>
        <w:t>5401 Virginia Way, Brentwood, Tennessee 3702</w:t>
      </w:r>
      <w:r>
        <w:rPr>
          <w:rFonts w:eastAsia="Times New Roman"/>
          <w:color w:val="000000"/>
          <w:sz w:val="20"/>
          <w:szCs w:val="20"/>
          <w:u w:val="single"/>
        </w:rPr>
        <w:t>7</w:t>
      </w:r>
      <w:r>
        <w:rPr>
          <w:rFonts w:eastAsia="Times New Roman"/>
          <w:color w:val="000000"/>
          <w:sz w:val="20"/>
          <w:szCs w:val="20"/>
        </w:rPr>
        <w:t xml:space="preserve"> </w:t>
      </w:r>
    </w:p>
    <w:p w:rsidR="00000000" w:rsidRDefault="0016787D">
      <w:pPr>
        <w:jc w:val="center"/>
        <w:rPr>
          <w:rFonts w:eastAsia="Times New Roman"/>
        </w:rPr>
      </w:pPr>
      <w:r>
        <w:rPr>
          <w:rFonts w:eastAsia="Times New Roman"/>
          <w:color w:val="000000"/>
          <w:sz w:val="20"/>
          <w:szCs w:val="20"/>
        </w:rPr>
        <w:t>(Address of Principal Executive Offices and Zip Code</w:t>
      </w:r>
      <w:r>
        <w:rPr>
          <w:rFonts w:eastAsia="Times New Roman"/>
          <w:color w:val="000000"/>
          <w:sz w:val="20"/>
          <w:szCs w:val="20"/>
        </w:rPr>
        <w:t>)</w:t>
      </w:r>
    </w:p>
    <w:p w:rsidR="00000000" w:rsidRDefault="0016787D">
      <w:pPr>
        <w:jc w:val="center"/>
        <w:rPr>
          <w:rFonts w:eastAsia="Times New Roman"/>
        </w:rPr>
      </w:pPr>
      <w:r>
        <w:rPr>
          <w:rFonts w:eastAsia="Times New Roman"/>
          <w:color w:val="000000"/>
          <w:sz w:val="20"/>
          <w:szCs w:val="20"/>
          <w:u w:val="single"/>
        </w:rPr>
        <w:t>(615) 440-400</w:t>
      </w:r>
      <w:r>
        <w:rPr>
          <w:rFonts w:eastAsia="Times New Roman"/>
          <w:color w:val="000000"/>
          <w:sz w:val="20"/>
          <w:szCs w:val="20"/>
          <w:u w:val="single"/>
        </w:rPr>
        <w:t>0</w:t>
      </w:r>
      <w:r>
        <w:rPr>
          <w:rFonts w:eastAsia="Times New Roman"/>
          <w:color w:val="000000"/>
          <w:sz w:val="20"/>
          <w:szCs w:val="20"/>
        </w:rPr>
        <w:t xml:space="preserve"> </w:t>
      </w:r>
    </w:p>
    <w:p w:rsidR="00000000" w:rsidRDefault="0016787D">
      <w:pPr>
        <w:jc w:val="center"/>
        <w:rPr>
          <w:rFonts w:eastAsia="Times New Roman"/>
        </w:rPr>
      </w:pPr>
      <w:r>
        <w:rPr>
          <w:rFonts w:eastAsia="Times New Roman"/>
          <w:color w:val="000000"/>
          <w:sz w:val="20"/>
          <w:szCs w:val="20"/>
        </w:rPr>
        <w:t>(Registrant’</w:t>
      </w:r>
      <w:r>
        <w:rPr>
          <w:rFonts w:eastAsia="Times New Roman"/>
          <w:color w:val="000000"/>
          <w:sz w:val="20"/>
          <w:szCs w:val="20"/>
        </w:rPr>
        <w:t>s Telephone Number, Including Area Code</w:t>
      </w:r>
      <w:r>
        <w:rPr>
          <w:rFonts w:eastAsia="Times New Roman"/>
          <w:color w:val="000000"/>
          <w:sz w:val="20"/>
          <w:szCs w:val="20"/>
        </w:rPr>
        <w:t>)</w:t>
      </w:r>
    </w:p>
    <w:p w:rsidR="00000000" w:rsidRDefault="0016787D">
      <w:pPr>
        <w:jc w:val="center"/>
        <w:rPr>
          <w:rFonts w:eastAsia="Times New Roman"/>
        </w:rPr>
      </w:pPr>
      <w:r>
        <w:rPr>
          <w:rFonts w:eastAsia="Times New Roman"/>
          <w:color w:val="000000"/>
          <w:sz w:val="20"/>
          <w:szCs w:val="20"/>
          <w:u w:val="single"/>
        </w:rPr>
        <w:t>Not Applicabl</w:t>
      </w:r>
      <w:r>
        <w:rPr>
          <w:rFonts w:eastAsia="Times New Roman"/>
          <w:color w:val="000000"/>
          <w:sz w:val="20"/>
          <w:szCs w:val="20"/>
          <w:u w:val="single"/>
        </w:rPr>
        <w:t>e</w:t>
      </w:r>
    </w:p>
    <w:p w:rsidR="00000000" w:rsidRDefault="0016787D">
      <w:pPr>
        <w:jc w:val="center"/>
        <w:rPr>
          <w:rFonts w:eastAsia="Times New Roman"/>
        </w:rPr>
      </w:pPr>
      <w:r>
        <w:rPr>
          <w:rFonts w:eastAsia="Times New Roman"/>
          <w:color w:val="000000"/>
          <w:sz w:val="20"/>
          <w:szCs w:val="20"/>
        </w:rPr>
        <w:t>(Former name, former address and former fiscal year, if changed since last report)</w:t>
      </w:r>
      <w:r>
        <w:rPr>
          <w:rFonts w:eastAsia="Times New Roman"/>
          <w:color w:val="000000"/>
          <w:sz w:val="20"/>
          <w:szCs w:val="20"/>
        </w:rPr>
        <w:t xml:space="preserve"> </w:t>
      </w:r>
    </w:p>
    <w:p w:rsidR="00000000" w:rsidRDefault="0016787D">
      <w:pPr>
        <w:jc w:val="center"/>
        <w:rPr>
          <w:rFonts w:eastAsia="Times New Roman"/>
        </w:rPr>
      </w:pPr>
    </w:p>
    <w:p w:rsidR="00000000" w:rsidRDefault="0016787D">
      <w:pPr>
        <w:jc w:val="both"/>
        <w:rPr>
          <w:rFonts w:eastAsia="Times New Roman"/>
        </w:rPr>
      </w:pPr>
      <w:r>
        <w:rPr>
          <w:rFonts w:eastAsia="Times New Roman"/>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eastAsia="Times New Roman"/>
          <w:color w:val="000000"/>
          <w:sz w:val="20"/>
          <w:szCs w:val="20"/>
        </w:rPr>
        <w:t>uch reports), and (2) has been subject to such filing requirements for the past 90 days</w:t>
      </w:r>
      <w:r>
        <w:rPr>
          <w:rFonts w:eastAsia="Times New Roman"/>
          <w:color w:val="000000"/>
          <w:sz w:val="20"/>
          <w:szCs w:val="20"/>
        </w:rPr>
        <w:t>.</w:t>
      </w:r>
    </w:p>
    <w:p w:rsidR="00000000" w:rsidRDefault="0016787D">
      <w:pPr>
        <w:jc w:val="center"/>
        <w:divId w:val="2141920761"/>
        <w:rPr>
          <w:rFonts w:eastAsia="Times New Roman"/>
        </w:rPr>
      </w:pPr>
      <w:r>
        <w:rPr>
          <w:rFonts w:eastAsia="Times New Roman"/>
          <w:color w:val="000000"/>
          <w:sz w:val="20"/>
          <w:szCs w:val="20"/>
        </w:rPr>
        <w:t>Yes </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16787D">
      <w:pPr>
        <w:jc w:val="both"/>
        <w:rPr>
          <w:rFonts w:eastAsia="Times New Roman"/>
        </w:rPr>
      </w:pPr>
      <w:r>
        <w:rPr>
          <w:rFonts w:eastAsia="Times New Roman"/>
          <w:color w:val="000000"/>
          <w:sz w:val="20"/>
          <w:szCs w:val="20"/>
        </w:rPr>
        <w:t xml:space="preserve">Indicate by check mark whether the registrant has submitted electronically every Interactive Data File required to be submitted pursuant to Rule 405 of </w:t>
      </w:r>
      <w:r>
        <w:rPr>
          <w:rFonts w:eastAsia="Times New Roman"/>
          <w:color w:val="000000"/>
          <w:sz w:val="20"/>
          <w:szCs w:val="20"/>
        </w:rPr>
        <w:t>Regulation S-T (§232.405 of this chapter) during the preceding 12 months (or for such shorter period that the registrant was required to submit such files)</w:t>
      </w:r>
      <w:r>
        <w:rPr>
          <w:rFonts w:eastAsia="Times New Roman"/>
          <w:color w:val="000000"/>
          <w:sz w:val="20"/>
          <w:szCs w:val="20"/>
        </w:rPr>
        <w:t>.</w:t>
      </w:r>
    </w:p>
    <w:p w:rsidR="00000000" w:rsidRDefault="0016787D">
      <w:pPr>
        <w:jc w:val="center"/>
        <w:divId w:val="1787574696"/>
        <w:rPr>
          <w:rFonts w:eastAsia="Times New Roman"/>
        </w:rPr>
      </w:pPr>
      <w:r>
        <w:rPr>
          <w:rFonts w:eastAsia="Times New Roman"/>
          <w:color w:val="000000"/>
          <w:sz w:val="20"/>
          <w:szCs w:val="20"/>
        </w:rPr>
        <w:t>Yes</w:t>
      </w:r>
      <w:r>
        <w:rPr>
          <w:rFonts w:eastAsia="Times New Roman"/>
          <w:color w:val="000000"/>
          <w:sz w:val="20"/>
          <w:szCs w:val="20"/>
        </w:rPr>
        <w:t> </w:t>
      </w:r>
      <w:r>
        <w:rPr>
          <w:rFonts w:ascii="Segoe UI Emoji" w:eastAsia="Times New Roman" w:hAnsi="Segoe UI Emoji" w:cs="Segoe UI Emoji"/>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16787D">
      <w:pPr>
        <w:jc w:val="both"/>
        <w:rPr>
          <w:rFonts w:eastAsia="Times New Roman"/>
        </w:rPr>
      </w:pPr>
      <w:r>
        <w:rPr>
          <w:rFonts w:eastAsia="Times New Roman"/>
          <w:color w:val="000000"/>
          <w:sz w:val="20"/>
          <w:szCs w:val="20"/>
        </w:rPr>
        <w:t>Indicate by check mark whether the registrant is a large accelerated filer, an accele</w:t>
      </w:r>
      <w:r>
        <w:rPr>
          <w:rFonts w:eastAsia="Times New Roman"/>
          <w:color w:val="000000"/>
          <w:sz w:val="20"/>
          <w:szCs w:val="20"/>
        </w:rPr>
        <w:t>rated filer, a non-accelerated filer, a smaller reporting company, or an emerging growth company.  See the definitions of “large accelerated filer,” “accelerated filer,” “smaller reporting company” and “emerging growth company” in Rule 12b-2 of the Exchang</w:t>
      </w:r>
      <w:r>
        <w:rPr>
          <w:rFonts w:eastAsia="Times New Roman"/>
          <w:color w:val="000000"/>
          <w:sz w:val="20"/>
          <w:szCs w:val="20"/>
        </w:rPr>
        <w:t>e Act</w:t>
      </w:r>
      <w:r>
        <w:rPr>
          <w:rFonts w:eastAsia="Times New Roman"/>
          <w:color w:val="00000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81"/>
        <w:gridCol w:w="157"/>
        <w:gridCol w:w="82"/>
        <w:gridCol w:w="82"/>
        <w:gridCol w:w="1662"/>
        <w:gridCol w:w="82"/>
        <w:gridCol w:w="82"/>
        <w:gridCol w:w="3238"/>
        <w:gridCol w:w="82"/>
        <w:gridCol w:w="82"/>
        <w:gridCol w:w="1972"/>
        <w:gridCol w:w="82"/>
        <w:gridCol w:w="82"/>
        <w:gridCol w:w="313"/>
        <w:gridCol w:w="82"/>
      </w:tblGrid>
      <w:tr w:rsidR="00000000">
        <w:trPr>
          <w:divId w:val="1497260563"/>
        </w:trPr>
        <w:tc>
          <w:tcPr>
            <w:tcW w:w="50" w:type="pct"/>
            <w:vAlign w:val="center"/>
            <w:hideMark/>
          </w:tcPr>
          <w:p w:rsidR="00000000" w:rsidRDefault="0016787D">
            <w:pPr>
              <w:jc w:val="both"/>
              <w:rPr>
                <w:rFonts w:eastAsia="Times New Roman"/>
              </w:rPr>
            </w:pPr>
          </w:p>
        </w:tc>
        <w:tc>
          <w:tcPr>
            <w:tcW w:w="9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01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98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20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9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49726056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Large accelerated file</w:t>
            </w:r>
            <w:r>
              <w:rPr>
                <w:rFonts w:eastAsia="Times New Roman"/>
                <w:color w:val="000000"/>
                <w:sz w:val="20"/>
                <w:szCs w:val="20"/>
              </w:rPr>
              <w:t>r</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16787D">
            <w:pPr>
              <w:jc w:val="both"/>
              <w:divId w:val="197281673"/>
              <w:rPr>
                <w:rFonts w:eastAsia="Times New Roman"/>
              </w:rPr>
            </w:pPr>
            <w:r>
              <w:rPr>
                <w:rFonts w:eastAsia="Times New Roman"/>
                <w:color w:val="000000"/>
                <w:sz w:val="20"/>
                <w:szCs w:val="20"/>
              </w:rPr>
              <w:t>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16787D">
            <w:pPr>
              <w:jc w:val="both"/>
              <w:divId w:val="1574314721"/>
              <w:rPr>
                <w:rFonts w:eastAsia="Times New Roman"/>
              </w:rPr>
            </w:pPr>
            <w:r>
              <w:rPr>
                <w:rFonts w:ascii="Segoe UI Symbol" w:eastAsia="Times New Roman" w:hAnsi="Segoe UI Symbol" w:cs="Segoe UI Symbol"/>
                <w:color w:val="000000"/>
                <w:sz w:val="20"/>
                <w:szCs w:val="20"/>
              </w:rPr>
              <w:t>☐</w:t>
            </w:r>
          </w:p>
        </w:tc>
      </w:tr>
      <w:tr w:rsidR="00000000">
        <w:trPr>
          <w:divId w:val="149726056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lastRenderedPageBreak/>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Non-accelerated file</w:t>
            </w:r>
            <w:r>
              <w:rPr>
                <w:rFonts w:eastAsia="Times New Roman"/>
                <w:color w:val="000000"/>
                <w:sz w:val="20"/>
                <w:szCs w:val="20"/>
              </w:rPr>
              <w:t>r</w:t>
            </w:r>
          </w:p>
        </w:tc>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6787D">
            <w:pPr>
              <w:jc w:val="both"/>
              <w:divId w:val="659576850"/>
              <w:rPr>
                <w:rFonts w:eastAsia="Times New Roman"/>
              </w:rPr>
            </w:pPr>
            <w:r>
              <w:rPr>
                <w:rFonts w:eastAsia="Times New Roman"/>
                <w:color w:val="000000"/>
                <w:sz w:val="20"/>
                <w:szCs w:val="20"/>
              </w:rPr>
              <w:t>Smaller reporting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16787D">
            <w:pPr>
              <w:jc w:val="both"/>
              <w:divId w:val="1016540032"/>
              <w:rPr>
                <w:rFonts w:eastAsia="Times New Roman"/>
              </w:rPr>
            </w:pPr>
            <w:r>
              <w:rPr>
                <w:rFonts w:ascii="Segoe UI Symbol" w:eastAsia="Times New Roman" w:hAnsi="Segoe UI Symbol" w:cs="Segoe UI Symbol"/>
                <w:color w:val="000000"/>
                <w:sz w:val="20"/>
                <w:szCs w:val="20"/>
              </w:rPr>
              <w:t>☐</w:t>
            </w:r>
          </w:p>
        </w:tc>
      </w:tr>
      <w:tr w:rsidR="00000000">
        <w:trPr>
          <w:divId w:val="1497260563"/>
        </w:trPr>
        <w:tc>
          <w:tcPr>
            <w:tcW w:w="0" w:type="auto"/>
            <w:gridSpan w:val="3"/>
            <w:tcMar>
              <w:top w:w="15" w:type="dxa"/>
              <w:left w:w="20" w:type="dxa"/>
              <w:bottom w:w="15" w:type="dxa"/>
              <w:right w:w="20" w:type="dxa"/>
            </w:tcMar>
            <w:vAlign w:val="bottom"/>
            <w:hideMark/>
          </w:tcPr>
          <w:p w:rsidR="00000000" w:rsidRDefault="0016787D">
            <w:pPr>
              <w:jc w:val="both"/>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6787D">
            <w:pPr>
              <w:jc w:val="both"/>
              <w:divId w:val="1563951386"/>
              <w:rPr>
                <w:rFonts w:eastAsia="Times New Roman"/>
              </w:rPr>
            </w:pPr>
            <w:r>
              <w:rPr>
                <w:rFonts w:eastAsia="Times New Roman"/>
                <w:color w:val="000000"/>
                <w:sz w:val="20"/>
                <w:szCs w:val="20"/>
              </w:rPr>
              <w:t>Emerging growth compan</w:t>
            </w:r>
            <w:r>
              <w:rPr>
                <w:rFonts w:eastAsia="Times New Roman"/>
                <w:color w:val="000000"/>
                <w:sz w:val="20"/>
                <w:szCs w:val="20"/>
              </w:rPr>
              <w:t>y</w:t>
            </w:r>
          </w:p>
        </w:tc>
        <w:tc>
          <w:tcPr>
            <w:tcW w:w="0" w:type="auto"/>
            <w:gridSpan w:val="3"/>
            <w:tcMar>
              <w:top w:w="30" w:type="dxa"/>
              <w:left w:w="20" w:type="dxa"/>
              <w:bottom w:w="30" w:type="dxa"/>
              <w:right w:w="20" w:type="dxa"/>
            </w:tcMar>
            <w:vAlign w:val="bottom"/>
            <w:hideMark/>
          </w:tcPr>
          <w:p w:rsidR="00000000" w:rsidRDefault="0016787D">
            <w:pPr>
              <w:jc w:val="both"/>
              <w:divId w:val="1519655740"/>
              <w:rPr>
                <w:rFonts w:eastAsia="Times New Roman"/>
              </w:rPr>
            </w:pPr>
            <w:r>
              <w:rPr>
                <w:rFonts w:ascii="Segoe UI Symbol" w:eastAsia="Times New Roman" w:hAnsi="Segoe UI Symbol" w:cs="Segoe UI Symbol"/>
                <w:color w:val="000000"/>
                <w:sz w:val="20"/>
                <w:szCs w:val="20"/>
              </w:rPr>
              <w:t>☐</w:t>
            </w:r>
          </w:p>
        </w:tc>
      </w:tr>
    </w:tbl>
    <w:p w:rsidR="00000000" w:rsidRDefault="0016787D">
      <w:pPr>
        <w:jc w:val="both"/>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w:t>
      </w:r>
      <w:r>
        <w:rPr>
          <w:rFonts w:eastAsia="Times New Roman"/>
          <w:color w:val="000000"/>
          <w:sz w:val="20"/>
          <w:szCs w:val="20"/>
        </w:rPr>
        <w:t xml:space="preserve"> </w:t>
      </w:r>
      <w:r>
        <w:rPr>
          <w:rFonts w:ascii="Segoe UI Symbol" w:eastAsia="Times New Roman" w:hAnsi="Segoe UI Symbol" w:cs="Segoe UI Symbol"/>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w:t>
      </w:r>
      <w:r>
        <w:rPr>
          <w:rFonts w:eastAsia="Times New Roman"/>
          <w:color w:val="000000"/>
          <w:sz w:val="20"/>
          <w:szCs w:val="20"/>
        </w:rPr>
        <w:t>ndicate by check mark whether the registrant is a shell company (as defined in Rule 12b-2 of the Exchange Act.</w:t>
      </w:r>
      <w:r>
        <w:rPr>
          <w:rFonts w:eastAsia="Times New Roman"/>
          <w:color w:val="000000"/>
          <w:sz w:val="20"/>
          <w:szCs w:val="20"/>
        </w:rPr>
        <w:t>)</w:t>
      </w:r>
    </w:p>
    <w:p w:rsidR="00000000" w:rsidRDefault="0016787D">
      <w:pPr>
        <w:jc w:val="center"/>
        <w:divId w:val="170219425"/>
        <w:rPr>
          <w:rFonts w:eastAsia="Times New Roman"/>
        </w:rPr>
      </w:pPr>
      <w:r>
        <w:rPr>
          <w:rFonts w:eastAsia="Times New Roman"/>
          <w:color w:val="000000"/>
          <w:sz w:val="20"/>
          <w:szCs w:val="20"/>
        </w:rPr>
        <w:t xml:space="preserve">Yes </w:t>
      </w:r>
      <w:r>
        <w:rPr>
          <w:rFonts w:ascii="Segoe UI Symbol" w:eastAsia="Times New Roman" w:hAnsi="Segoe UI Symbol" w:cs="Segoe UI Symbol"/>
          <w:color w:val="000000"/>
          <w:sz w:val="20"/>
          <w:szCs w:val="20"/>
        </w:rPr>
        <w:t>☐</w:t>
      </w:r>
      <w:r>
        <w:rPr>
          <w:rFonts w:eastAsia="Times New Roman"/>
          <w:color w:val="000000"/>
          <w:sz w:val="20"/>
          <w:szCs w:val="20"/>
        </w:rPr>
        <w:t>   No</w:t>
      </w:r>
      <w:r>
        <w:rPr>
          <w:rFonts w:eastAsia="Times New Roman"/>
          <w:color w:val="000000"/>
          <w:sz w:val="20"/>
          <w:szCs w:val="20"/>
        </w:rPr>
        <w:t xml:space="preserve"> </w:t>
      </w:r>
      <w:r>
        <w:rPr>
          <w:rFonts w:ascii="Segoe UI Emoji" w:eastAsia="Times New Roman" w:hAnsi="Segoe UI Emoji" w:cs="Segoe UI Emoji"/>
          <w:color w:val="000000"/>
          <w:sz w:val="20"/>
          <w:szCs w:val="20"/>
        </w:rPr>
        <w:t>☑</w:t>
      </w:r>
    </w:p>
    <w:p w:rsidR="00000000" w:rsidRDefault="0016787D">
      <w:pPr>
        <w:divId w:val="1308514729"/>
        <w:rPr>
          <w:rFonts w:eastAsia="Times New Roman"/>
        </w:rPr>
      </w:pPr>
      <w:r>
        <w:rPr>
          <w:rFonts w:eastAsia="Times New Roman"/>
          <w:color w:val="000000"/>
          <w:sz w:val="20"/>
          <w:szCs w:val="20"/>
        </w:rPr>
        <w:t>Securities registered pursuant to Section 12(b) of the Act</w:t>
      </w:r>
      <w:r>
        <w:rPr>
          <w:rFonts w:eastAsia="Times New Roman"/>
          <w:color w:val="000000"/>
          <w:sz w:val="20"/>
          <w:szCs w:val="20"/>
        </w:rPr>
        <w:t>:</w:t>
      </w:r>
    </w:p>
    <w:tbl>
      <w:tblPr>
        <w:tblW w:w="4920" w:type="pct"/>
        <w:tblCellMar>
          <w:top w:w="15" w:type="dxa"/>
          <w:left w:w="15" w:type="dxa"/>
          <w:bottom w:w="15" w:type="dxa"/>
          <w:right w:w="15" w:type="dxa"/>
        </w:tblCellMar>
        <w:tblLook w:val="04A0" w:firstRow="1" w:lastRow="0" w:firstColumn="1" w:lastColumn="0" w:noHBand="0" w:noVBand="1"/>
      </w:tblPr>
      <w:tblGrid>
        <w:gridCol w:w="71"/>
        <w:gridCol w:w="2308"/>
        <w:gridCol w:w="71"/>
        <w:gridCol w:w="36"/>
        <w:gridCol w:w="36"/>
        <w:gridCol w:w="36"/>
        <w:gridCol w:w="68"/>
        <w:gridCol w:w="2309"/>
        <w:gridCol w:w="72"/>
        <w:gridCol w:w="36"/>
        <w:gridCol w:w="36"/>
        <w:gridCol w:w="36"/>
        <w:gridCol w:w="68"/>
        <w:gridCol w:w="2918"/>
        <w:gridCol w:w="72"/>
      </w:tblGrid>
      <w:tr w:rsidR="00000000">
        <w:trPr>
          <w:divId w:val="647245172"/>
        </w:trPr>
        <w:tc>
          <w:tcPr>
            <w:tcW w:w="50" w:type="pct"/>
            <w:vAlign w:val="center"/>
            <w:hideMark/>
          </w:tcPr>
          <w:p w:rsidR="00000000" w:rsidRDefault="0016787D">
            <w:pPr>
              <w:rPr>
                <w:rFonts w:eastAsia="Times New Roman"/>
              </w:rPr>
            </w:pPr>
          </w:p>
        </w:tc>
        <w:tc>
          <w:tcPr>
            <w:tcW w:w="141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41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79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647245172"/>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u w:val="single"/>
              </w:rPr>
              <w:t>Title of each clas</w:t>
            </w:r>
            <w:r>
              <w:rPr>
                <w:rFonts w:eastAsia="Times New Roman"/>
                <w:color w:val="000000"/>
                <w:sz w:val="20"/>
                <w:szCs w:val="20"/>
                <w:u w:val="single"/>
              </w:rPr>
              <w:t>s</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u w:val="single"/>
              </w:rPr>
              <w:t>Trading Symbol(s</w:t>
            </w:r>
            <w:r>
              <w:rPr>
                <w:rFonts w:eastAsia="Times New Roman"/>
                <w:color w:val="000000"/>
                <w:sz w:val="20"/>
                <w:szCs w:val="20"/>
                <w:u w:val="single"/>
              </w:rPr>
              <w:t>)</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u w:val="single"/>
              </w:rPr>
              <w:t>Name of each exchange on which registere</w:t>
            </w:r>
            <w:r>
              <w:rPr>
                <w:rFonts w:eastAsia="Times New Roman"/>
                <w:color w:val="000000"/>
                <w:sz w:val="20"/>
                <w:szCs w:val="20"/>
                <w:u w:val="single"/>
              </w:rPr>
              <w:t>d</w:t>
            </w:r>
          </w:p>
        </w:tc>
      </w:tr>
      <w:tr w:rsidR="00000000">
        <w:trPr>
          <w:divId w:val="647245172"/>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Common Stock, $0.008 par valu</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TSC</w:t>
            </w:r>
            <w:r>
              <w:rPr>
                <w:rFonts w:eastAsia="Times New Roman"/>
                <w:color w:val="000000"/>
                <w:sz w:val="20"/>
                <w:szCs w:val="20"/>
              </w:rPr>
              <w:t>O</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NASDAQ Global Select Marke</w:t>
            </w:r>
            <w:r>
              <w:rPr>
                <w:rFonts w:eastAsia="Times New Roman"/>
                <w:color w:val="000000"/>
                <w:sz w:val="20"/>
                <w:szCs w:val="20"/>
              </w:rPr>
              <w:t>t</w:t>
            </w:r>
          </w:p>
        </w:tc>
      </w:tr>
    </w:tbl>
    <w:p w:rsidR="00000000" w:rsidRDefault="0016787D">
      <w:pPr>
        <w:jc w:val="both"/>
        <w:rPr>
          <w:rFonts w:eastAsia="Times New Roman"/>
        </w:rPr>
      </w:pPr>
      <w:r>
        <w:rPr>
          <w:rFonts w:eastAsia="Times New Roman"/>
          <w:color w:val="000000"/>
          <w:sz w:val="20"/>
          <w:szCs w:val="20"/>
        </w:rPr>
        <w:t>Indicate the number of shares outstanding of each of the issuer’s classes of common stock as of the latest practicable date</w:t>
      </w:r>
      <w:r>
        <w:rPr>
          <w:rFonts w:eastAsia="Times New Roman"/>
          <w:color w:val="000000"/>
          <w:sz w:val="20"/>
          <w:szCs w:val="20"/>
        </w:rPr>
        <w:t>.</w:t>
      </w:r>
    </w:p>
    <w:tbl>
      <w:tblPr>
        <w:tblW w:w="4913" w:type="pct"/>
        <w:tblCellMar>
          <w:top w:w="15" w:type="dxa"/>
          <w:left w:w="15" w:type="dxa"/>
          <w:bottom w:w="15" w:type="dxa"/>
          <w:right w:w="15" w:type="dxa"/>
        </w:tblCellMar>
        <w:tblLook w:val="04A0" w:firstRow="1" w:lastRow="0" w:firstColumn="1" w:lastColumn="0" w:noHBand="0" w:noVBand="1"/>
      </w:tblPr>
      <w:tblGrid>
        <w:gridCol w:w="73"/>
        <w:gridCol w:w="4686"/>
        <w:gridCol w:w="74"/>
        <w:gridCol w:w="36"/>
        <w:gridCol w:w="36"/>
        <w:gridCol w:w="36"/>
        <w:gridCol w:w="72"/>
        <w:gridCol w:w="3074"/>
        <w:gridCol w:w="74"/>
      </w:tblGrid>
      <w:tr w:rsidR="00000000">
        <w:trPr>
          <w:divId w:val="48967199"/>
        </w:trPr>
        <w:tc>
          <w:tcPr>
            <w:tcW w:w="50" w:type="pct"/>
            <w:vAlign w:val="center"/>
            <w:hideMark/>
          </w:tcPr>
          <w:p w:rsidR="00000000" w:rsidRDefault="0016787D">
            <w:pPr>
              <w:jc w:val="both"/>
              <w:rPr>
                <w:rFonts w:eastAsia="Times New Roman"/>
              </w:rPr>
            </w:pPr>
          </w:p>
        </w:tc>
        <w:tc>
          <w:tcPr>
            <w:tcW w:w="287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88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48967199"/>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Clas</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Outstanding at July 25, 202</w:t>
            </w:r>
            <w:r>
              <w:rPr>
                <w:rFonts w:eastAsia="Times New Roman"/>
                <w:color w:val="000000"/>
                <w:sz w:val="20"/>
                <w:szCs w:val="20"/>
              </w:rPr>
              <w:t>0</w:t>
            </w:r>
          </w:p>
        </w:tc>
      </w:tr>
      <w:tr w:rsidR="00000000">
        <w:trPr>
          <w:divId w:val="48967199"/>
        </w:trPr>
        <w:tc>
          <w:tcPr>
            <w:tcW w:w="0" w:type="auto"/>
            <w:gridSpan w:val="3"/>
            <w:tcBorders>
              <w:top w:val="single" w:sz="1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Common Stock, $.008 par valu</w:t>
            </w:r>
            <w:r>
              <w:rPr>
                <w:rFonts w:eastAsia="Times New Roman"/>
                <w:color w:val="000000"/>
                <w:sz w:val="20"/>
                <w:szCs w:val="20"/>
              </w:rPr>
              <w:t>e</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1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116,223,70</w:t>
            </w:r>
            <w:r>
              <w:rPr>
                <w:rFonts w:eastAsia="Times New Roman"/>
                <w:color w:val="000000"/>
                <w:sz w:val="20"/>
                <w:szCs w:val="20"/>
              </w:rPr>
              <w:t>4</w:t>
            </w:r>
          </w:p>
        </w:tc>
      </w:tr>
    </w:tbl>
    <w:p w:rsidR="00000000" w:rsidRDefault="0016787D">
      <w:pPr>
        <w:jc w:val="both"/>
        <w:rPr>
          <w:rFonts w:eastAsia="Times New Roman"/>
        </w:rPr>
      </w:pPr>
    </w:p>
    <w:p w:rsidR="00000000" w:rsidRDefault="0016787D">
      <w:pPr>
        <w:divId w:val="1820657956"/>
        <w:rPr>
          <w:rFonts w:eastAsia="Times New Roman"/>
        </w:rPr>
      </w:pPr>
    </w:p>
    <w:p w:rsidR="00000000" w:rsidRDefault="0016787D">
      <w:pPr>
        <w:rPr>
          <w:rFonts w:eastAsia="Times New Roman"/>
        </w:rPr>
      </w:pPr>
      <w:r>
        <w:rPr>
          <w:rFonts w:eastAsia="Times New Roman"/>
        </w:rPr>
        <w:pict>
          <v:rect id="_x0000_i1026" style="width:0;height:1.5pt" o:hralign="center" o:hrstd="t" o:hr="t" fillcolor="#a0a0a0" stroked="f"/>
        </w:pict>
      </w:r>
    </w:p>
    <w:p w:rsidR="00000000" w:rsidRDefault="0016787D">
      <w:pPr>
        <w:divId w:val="1874147251"/>
        <w:rPr>
          <w:rFonts w:eastAsia="Times New Roman"/>
        </w:rPr>
      </w:pPr>
    </w:p>
    <w:p w:rsidR="00000000" w:rsidRDefault="0016787D">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16787D">
      <w:pPr>
        <w:jc w:val="center"/>
        <w:rPr>
          <w:rFonts w:eastAsia="Times New Roman"/>
        </w:rPr>
      </w:pPr>
    </w:p>
    <w:p w:rsidR="00000000" w:rsidRDefault="0016787D">
      <w:pPr>
        <w:jc w:val="center"/>
        <w:rPr>
          <w:rFonts w:eastAsia="Times New Roman"/>
        </w:rPr>
      </w:pPr>
      <w:r>
        <w:rPr>
          <w:rFonts w:eastAsia="Times New Roman"/>
          <w:b/>
          <w:bCs/>
          <w:color w:val="000000"/>
          <w:sz w:val="20"/>
          <w:szCs w:val="20"/>
        </w:rPr>
        <w:t>INDE</w:t>
      </w:r>
      <w:r>
        <w:rPr>
          <w:rFonts w:eastAsia="Times New Roman"/>
          <w:b/>
          <w:bCs/>
          <w:color w:val="000000"/>
          <w:sz w:val="20"/>
          <w:szCs w:val="20"/>
        </w:rPr>
        <w:t>X</w:t>
      </w:r>
    </w:p>
    <w:p w:rsidR="00000000" w:rsidRDefault="0016787D">
      <w:pPr>
        <w:divId w:val="717585415"/>
        <w:rPr>
          <w:rFonts w:eastAsia="Times New Roman"/>
        </w:rPr>
      </w:pPr>
    </w:p>
    <w:p w:rsidR="00000000" w:rsidRDefault="0016787D">
      <w:pPr>
        <w:divId w:val="1289697812"/>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84"/>
        <w:gridCol w:w="1144"/>
        <w:gridCol w:w="83"/>
        <w:gridCol w:w="83"/>
        <w:gridCol w:w="6113"/>
        <w:gridCol w:w="83"/>
        <w:gridCol w:w="83"/>
        <w:gridCol w:w="525"/>
        <w:gridCol w:w="83"/>
      </w:tblGrid>
      <w:tr w:rsidR="00000000">
        <w:trPr>
          <w:divId w:val="402218427"/>
        </w:trPr>
        <w:tc>
          <w:tcPr>
            <w:tcW w:w="50" w:type="pct"/>
            <w:vAlign w:val="center"/>
            <w:hideMark/>
          </w:tcPr>
          <w:p w:rsidR="00000000" w:rsidRDefault="0016787D">
            <w:pPr>
              <w:rPr>
                <w:rFonts w:eastAsia="Times New Roman"/>
              </w:rPr>
            </w:pPr>
          </w:p>
        </w:tc>
        <w:tc>
          <w:tcPr>
            <w:tcW w:w="6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69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1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402218427"/>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16787D">
            <w:pPr>
              <w:jc w:val="center"/>
              <w:rPr>
                <w:rFonts w:eastAsia="Times New Roman"/>
              </w:rPr>
            </w:pPr>
            <w:r>
              <w:rPr>
                <w:rFonts w:eastAsia="Times New Roman"/>
                <w:b/>
                <w:bCs/>
                <w:color w:val="000000"/>
                <w:sz w:val="20"/>
                <w:szCs w:val="20"/>
              </w:rPr>
              <w:t>Page No</w:t>
            </w:r>
            <w:r>
              <w:rPr>
                <w:rFonts w:eastAsia="Times New Roman"/>
                <w:b/>
                <w:bCs/>
                <w:color w:val="000000"/>
                <w:sz w:val="20"/>
                <w:szCs w:val="20"/>
              </w:rPr>
              <w:t>.</w:t>
            </w:r>
          </w:p>
        </w:tc>
      </w:tr>
      <w:tr w:rsidR="00000000">
        <w:trPr>
          <w:divId w:val="402218427"/>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18" w:space="0" w:color="000000"/>
            </w:tcBorders>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738135001"/>
              <w:rPr>
                <w:rFonts w:eastAsia="Times New Roman"/>
              </w:rPr>
            </w:pPr>
            <w:hyperlink w:anchor="i4478e68e5dea442985a910e3b276f92d_10" w:history="1">
              <w:r>
                <w:rPr>
                  <w:rStyle w:val="a3"/>
                  <w:rFonts w:eastAsia="Times New Roman"/>
                  <w:b/>
                  <w:bCs/>
                  <w:sz w:val="20"/>
                  <w:szCs w:val="20"/>
                </w:rPr>
                <w:t>PART I.</w:t>
              </w:r>
            </w:hyperlink>
          </w:p>
        </w:tc>
        <w:tc>
          <w:tcPr>
            <w:tcW w:w="0" w:type="auto"/>
            <w:gridSpan w:val="3"/>
            <w:shd w:val="clear" w:color="auto" w:fill="CCEEFF"/>
            <w:tcMar>
              <w:top w:w="30" w:type="dxa"/>
              <w:left w:w="20" w:type="dxa"/>
              <w:bottom w:w="30" w:type="dxa"/>
              <w:right w:w="20" w:type="dxa"/>
            </w:tcMar>
            <w:hideMark/>
          </w:tcPr>
          <w:p w:rsidR="00000000" w:rsidRDefault="0016787D">
            <w:pPr>
              <w:divId w:val="548690003"/>
              <w:rPr>
                <w:rFonts w:eastAsia="Times New Roman"/>
              </w:rPr>
            </w:pPr>
            <w:hyperlink w:anchor="i4478e68e5dea442985a910e3b276f92d_10" w:history="1">
              <w:r>
                <w:rPr>
                  <w:rStyle w:val="a3"/>
                  <w:rFonts w:eastAsia="Times New Roman"/>
                  <w:b/>
                  <w:bCs/>
                  <w:sz w:val="20"/>
                  <w:szCs w:val="20"/>
                </w:rPr>
                <w:t>Financial Information</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0" w:history="1">
              <w:r>
                <w:rPr>
                  <w:rStyle w:val="a3"/>
                  <w:rFonts w:eastAsia="Times New Roman"/>
                  <w:sz w:val="20"/>
                  <w:szCs w:val="20"/>
                </w:rPr>
                <w:t>3</w:t>
              </w:r>
            </w:hyperlink>
          </w:p>
        </w:tc>
      </w:tr>
      <w:tr w:rsidR="00000000">
        <w:trPr>
          <w:divId w:val="402218427"/>
        </w:trPr>
        <w:tc>
          <w:tcPr>
            <w:tcW w:w="0" w:type="auto"/>
            <w:gridSpan w:val="3"/>
            <w:shd w:val="clear" w:color="auto" w:fill="FFFFFF"/>
            <w:tcMar>
              <w:top w:w="30" w:type="dxa"/>
              <w:left w:w="20" w:type="dxa"/>
              <w:bottom w:w="30" w:type="dxa"/>
              <w:right w:w="20" w:type="dxa"/>
            </w:tcMar>
            <w:hideMark/>
          </w:tcPr>
          <w:p w:rsidR="00000000" w:rsidRDefault="0016787D">
            <w:pPr>
              <w:divId w:val="413862980"/>
              <w:rPr>
                <w:rFonts w:eastAsia="Times New Roman"/>
              </w:rPr>
            </w:pPr>
            <w:hyperlink w:anchor="i4478e68e5dea442985a910e3b276f92d_13"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16787D">
            <w:pPr>
              <w:divId w:val="515465131"/>
              <w:rPr>
                <w:rFonts w:eastAsia="Times New Roman"/>
              </w:rPr>
            </w:pPr>
            <w:hyperlink w:anchor="i4478e68e5dea442985a910e3b276f92d_13" w:history="1">
              <w:r>
                <w:rPr>
                  <w:rStyle w:val="a3"/>
                  <w:rFonts w:eastAsia="Times New Roman"/>
                  <w:sz w:val="20"/>
                  <w:szCs w:val="20"/>
                </w:rPr>
                <w:t>Financial Statements</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13" w:history="1">
              <w:r>
                <w:rPr>
                  <w:rStyle w:val="a3"/>
                  <w:rFonts w:eastAsia="Times New Roman"/>
                  <w:sz w:val="20"/>
                  <w:szCs w:val="20"/>
                </w:rPr>
                <w:t>3</w:t>
              </w:r>
            </w:hyperlink>
          </w:p>
        </w:tc>
      </w:tr>
      <w:tr w:rsidR="00000000">
        <w:trPr>
          <w:divId w:val="402218427"/>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16787D">
            <w:pPr>
              <w:divId w:val="918171464"/>
              <w:rPr>
                <w:rFonts w:eastAsia="Times New Roman"/>
              </w:rPr>
            </w:pPr>
            <w:hyperlink w:anchor="i4478e68e5dea442985a910e3b276f92d_16" w:history="1">
              <w:r>
                <w:rPr>
                  <w:rStyle w:val="a3"/>
                  <w:rFonts w:eastAsia="Times New Roman"/>
                  <w:sz w:val="20"/>
                  <w:szCs w:val="20"/>
                </w:rPr>
                <w:t>Condensed Consolidated Balance Sheets (unaudited) – June 27, 2020, December 28, 2019, and June 29, 2019</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6" w:history="1">
              <w:r>
                <w:rPr>
                  <w:rStyle w:val="a3"/>
                  <w:rFonts w:eastAsia="Times New Roman"/>
                  <w:sz w:val="20"/>
                  <w:szCs w:val="20"/>
                </w:rPr>
                <w:t>3</w:t>
              </w:r>
            </w:hyperlink>
          </w:p>
        </w:tc>
      </w:tr>
      <w:tr w:rsidR="00000000">
        <w:trPr>
          <w:divId w:val="402218427"/>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6787D">
            <w:pPr>
              <w:divId w:val="1672681071"/>
              <w:rPr>
                <w:rFonts w:eastAsia="Times New Roman"/>
              </w:rPr>
            </w:pPr>
            <w:hyperlink w:anchor="i4478e68e5dea442985a910e3b276f92d_19" w:history="1">
              <w:r>
                <w:rPr>
                  <w:rStyle w:val="a3"/>
                  <w:rFonts w:eastAsia="Times New Roman"/>
                  <w:sz w:val="20"/>
                  <w:szCs w:val="20"/>
                </w:rPr>
                <w:t>Condensed Consolidated Statements of Income (unaudited) – For the Fiscal Three and Six Months Ended June 27, 2020 and June 29, 2019</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19" w:history="1">
              <w:r>
                <w:rPr>
                  <w:rStyle w:val="a3"/>
                  <w:rFonts w:eastAsia="Times New Roman"/>
                  <w:sz w:val="20"/>
                  <w:szCs w:val="20"/>
                </w:rPr>
                <w:t>4</w:t>
              </w:r>
            </w:hyperlink>
          </w:p>
        </w:tc>
      </w:tr>
      <w:tr w:rsidR="00000000">
        <w:trPr>
          <w:divId w:val="402218427"/>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16787D">
            <w:pPr>
              <w:divId w:val="830564184"/>
              <w:rPr>
                <w:rFonts w:eastAsia="Times New Roman"/>
              </w:rPr>
            </w:pPr>
            <w:hyperlink w:anchor="i4478e68e5dea442985a910e3b276f92d_22" w:history="1">
              <w:r>
                <w:rPr>
                  <w:rStyle w:val="a3"/>
                  <w:rFonts w:eastAsia="Times New Roman"/>
                  <w:sz w:val="20"/>
                  <w:szCs w:val="20"/>
                </w:rPr>
                <w:t>Condensed Consolidated Statements of Comprehensive Income (unaudited) – For the Fiscal Three and Six Months Ended June 27, 2020 and June 29, 2019</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22" w:history="1">
              <w:r>
                <w:rPr>
                  <w:rStyle w:val="a3"/>
                  <w:rFonts w:eastAsia="Times New Roman"/>
                  <w:sz w:val="20"/>
                  <w:szCs w:val="20"/>
                </w:rPr>
                <w:t>5</w:t>
              </w:r>
            </w:hyperlink>
          </w:p>
        </w:tc>
      </w:tr>
      <w:tr w:rsidR="00000000">
        <w:trPr>
          <w:divId w:val="402218427"/>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6787D">
            <w:pPr>
              <w:divId w:val="854225535"/>
              <w:rPr>
                <w:rFonts w:eastAsia="Times New Roman"/>
              </w:rPr>
            </w:pPr>
            <w:hyperlink w:anchor="i4478e68e5dea442985a910e3b276f92d_25" w:history="1">
              <w:r>
                <w:rPr>
                  <w:rStyle w:val="a3"/>
                  <w:rFonts w:eastAsia="Times New Roman"/>
                  <w:sz w:val="20"/>
                  <w:szCs w:val="20"/>
                </w:rPr>
                <w:t>Condensed Consolidated Statements of Stockholders’ Equity (unaudited) – For the Fiscal Three and Six Months Ended June 27, 2020 and June 29, 2019</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25" w:history="1">
              <w:r>
                <w:rPr>
                  <w:rStyle w:val="a3"/>
                  <w:rFonts w:eastAsia="Times New Roman"/>
                  <w:sz w:val="20"/>
                  <w:szCs w:val="20"/>
                </w:rPr>
                <w:t>6</w:t>
              </w:r>
            </w:hyperlink>
          </w:p>
        </w:tc>
      </w:tr>
      <w:tr w:rsidR="00000000">
        <w:trPr>
          <w:divId w:val="402218427"/>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16787D">
            <w:pPr>
              <w:divId w:val="784085357"/>
              <w:rPr>
                <w:rFonts w:eastAsia="Times New Roman"/>
              </w:rPr>
            </w:pPr>
            <w:hyperlink w:anchor="i4478e68e5dea442985a910e3b276f92d_28" w:history="1">
              <w:r>
                <w:rPr>
                  <w:rStyle w:val="a3"/>
                  <w:rFonts w:eastAsia="Times New Roman"/>
                  <w:sz w:val="20"/>
                  <w:szCs w:val="20"/>
                </w:rPr>
                <w:t xml:space="preserve">Condensed Consolidated Statements of Cash Flows (unaudited) – </w:t>
              </w:r>
              <w:r>
                <w:rPr>
                  <w:rStyle w:val="a3"/>
                  <w:rFonts w:eastAsia="Times New Roman"/>
                  <w:sz w:val="20"/>
                  <w:szCs w:val="20"/>
                </w:rPr>
                <w:t>For the Fiscal Six Months Ended June 27, 2020 and June 29, 2019</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28" w:history="1">
              <w:r>
                <w:rPr>
                  <w:rStyle w:val="a3"/>
                  <w:rFonts w:eastAsia="Times New Roman"/>
                  <w:sz w:val="20"/>
                  <w:szCs w:val="20"/>
                </w:rPr>
                <w:t>8</w:t>
              </w:r>
            </w:hyperlink>
          </w:p>
        </w:tc>
      </w:tr>
      <w:tr w:rsidR="00000000">
        <w:trPr>
          <w:divId w:val="402218427"/>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16787D">
            <w:pPr>
              <w:divId w:val="743181037"/>
              <w:rPr>
                <w:rFonts w:eastAsia="Times New Roman"/>
              </w:rPr>
            </w:pPr>
            <w:hyperlink w:anchor="i4478e68e5dea442985a910e3b276f92d_31" w:history="1">
              <w:r>
                <w:rPr>
                  <w:rStyle w:val="a3"/>
                  <w:rFonts w:eastAsia="Times New Roman"/>
                  <w:sz w:val="20"/>
                  <w:szCs w:val="20"/>
                </w:rPr>
                <w:t>Notes to Unaudited Condensed Consolidated Financial Statements</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31" w:history="1">
              <w:r>
                <w:rPr>
                  <w:rStyle w:val="a3"/>
                  <w:rFonts w:eastAsia="Times New Roman"/>
                  <w:sz w:val="20"/>
                  <w:szCs w:val="20"/>
                </w:rPr>
                <w:t>9</w:t>
              </w:r>
            </w:hyperlink>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692263288"/>
              <w:rPr>
                <w:rFonts w:eastAsia="Times New Roman"/>
              </w:rPr>
            </w:pPr>
            <w:hyperlink w:anchor="i4478e68e5dea442985a910e3b276f92d_70" w:history="1">
              <w:r>
                <w:rPr>
                  <w:rStyle w:val="a3"/>
                  <w:rFonts w:eastAsia="Times New Roman"/>
                  <w:sz w:val="20"/>
                  <w:szCs w:val="20"/>
                </w:rPr>
                <w:t>Item 2.</w:t>
              </w:r>
            </w:hyperlink>
          </w:p>
        </w:tc>
        <w:tc>
          <w:tcPr>
            <w:tcW w:w="0" w:type="auto"/>
            <w:gridSpan w:val="3"/>
            <w:shd w:val="clear" w:color="auto" w:fill="CCEEFF"/>
            <w:tcMar>
              <w:top w:w="30" w:type="dxa"/>
              <w:left w:w="20" w:type="dxa"/>
              <w:bottom w:w="30" w:type="dxa"/>
              <w:right w:w="20" w:type="dxa"/>
            </w:tcMar>
            <w:hideMark/>
          </w:tcPr>
          <w:p w:rsidR="00000000" w:rsidRDefault="0016787D">
            <w:pPr>
              <w:divId w:val="584731902"/>
              <w:rPr>
                <w:rFonts w:eastAsia="Times New Roman"/>
              </w:rPr>
            </w:pPr>
            <w:hyperlink w:anchor="i4478e68e5dea442985a910e3b276f92d_70" w:history="1">
              <w:r>
                <w:rPr>
                  <w:rStyle w:val="a3"/>
                  <w:rFonts w:eastAsia="Times New Roman"/>
                  <w:sz w:val="20"/>
                  <w:szCs w:val="20"/>
                </w:rPr>
                <w:t>Management's Discussion and Analysis of Financial Condition and Results of Operations</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70" w:history="1">
              <w:r>
                <w:rPr>
                  <w:rStyle w:val="a3"/>
                  <w:rFonts w:eastAsia="Times New Roman"/>
                  <w:sz w:val="20"/>
                  <w:szCs w:val="20"/>
                </w:rPr>
                <w:t>19</w:t>
              </w:r>
            </w:hyperlink>
          </w:p>
        </w:tc>
      </w:tr>
      <w:tr w:rsidR="00000000">
        <w:trPr>
          <w:divId w:val="402218427"/>
        </w:trPr>
        <w:tc>
          <w:tcPr>
            <w:tcW w:w="0" w:type="auto"/>
            <w:gridSpan w:val="3"/>
            <w:shd w:val="clear" w:color="auto" w:fill="FFFFFF"/>
            <w:tcMar>
              <w:top w:w="30" w:type="dxa"/>
              <w:left w:w="20" w:type="dxa"/>
              <w:bottom w:w="30" w:type="dxa"/>
              <w:right w:w="20" w:type="dxa"/>
            </w:tcMar>
            <w:hideMark/>
          </w:tcPr>
          <w:p w:rsidR="00000000" w:rsidRDefault="0016787D">
            <w:pPr>
              <w:divId w:val="1158107918"/>
              <w:rPr>
                <w:rFonts w:eastAsia="Times New Roman"/>
              </w:rPr>
            </w:pPr>
            <w:hyperlink w:anchor="i4478e68e5dea442985a910e3b276f92d_100" w:history="1">
              <w:r>
                <w:rPr>
                  <w:rStyle w:val="a3"/>
                  <w:rFonts w:eastAsia="Times New Roman"/>
                  <w:sz w:val="20"/>
                  <w:szCs w:val="20"/>
                </w:rPr>
                <w:t>Item 3.</w:t>
              </w:r>
            </w:hyperlink>
          </w:p>
        </w:tc>
        <w:tc>
          <w:tcPr>
            <w:tcW w:w="0" w:type="auto"/>
            <w:gridSpan w:val="3"/>
            <w:shd w:val="clear" w:color="auto" w:fill="FFFFFF"/>
            <w:tcMar>
              <w:top w:w="30" w:type="dxa"/>
              <w:left w:w="20" w:type="dxa"/>
              <w:bottom w:w="30" w:type="dxa"/>
              <w:right w:w="20" w:type="dxa"/>
            </w:tcMar>
            <w:hideMark/>
          </w:tcPr>
          <w:p w:rsidR="00000000" w:rsidRDefault="0016787D">
            <w:pPr>
              <w:divId w:val="1646471599"/>
              <w:rPr>
                <w:rFonts w:eastAsia="Times New Roman"/>
              </w:rPr>
            </w:pPr>
            <w:hyperlink w:anchor="i4478e68e5dea442985a910e3b276f92d_100" w:history="1">
              <w:r>
                <w:rPr>
                  <w:rStyle w:val="a3"/>
                  <w:rFonts w:eastAsia="Times New Roman"/>
                  <w:sz w:val="20"/>
                  <w:szCs w:val="20"/>
                </w:rPr>
                <w:t>Quantitative and Qualitative Disclosures About Market Risk</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100" w:history="1">
              <w:r>
                <w:rPr>
                  <w:rStyle w:val="a3"/>
                  <w:rFonts w:eastAsia="Times New Roman"/>
                  <w:sz w:val="20"/>
                  <w:szCs w:val="20"/>
                </w:rPr>
                <w:t>29</w:t>
              </w:r>
            </w:hyperlink>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856384678"/>
              <w:rPr>
                <w:rFonts w:eastAsia="Times New Roman"/>
              </w:rPr>
            </w:pPr>
            <w:hyperlink w:anchor="i4478e68e5dea442985a910e3b276f92d_103" w:history="1">
              <w:r>
                <w:rPr>
                  <w:rStyle w:val="a3"/>
                  <w:rFonts w:eastAsia="Times New Roman"/>
                  <w:sz w:val="20"/>
                  <w:szCs w:val="20"/>
                </w:rPr>
                <w:t>Item 4.</w:t>
              </w:r>
            </w:hyperlink>
          </w:p>
        </w:tc>
        <w:tc>
          <w:tcPr>
            <w:tcW w:w="0" w:type="auto"/>
            <w:gridSpan w:val="3"/>
            <w:shd w:val="clear" w:color="auto" w:fill="CCEEFF"/>
            <w:tcMar>
              <w:top w:w="30" w:type="dxa"/>
              <w:left w:w="20" w:type="dxa"/>
              <w:bottom w:w="30" w:type="dxa"/>
              <w:right w:w="20" w:type="dxa"/>
            </w:tcMar>
            <w:hideMark/>
          </w:tcPr>
          <w:p w:rsidR="00000000" w:rsidRDefault="0016787D">
            <w:pPr>
              <w:divId w:val="1333339278"/>
              <w:rPr>
                <w:rFonts w:eastAsia="Times New Roman"/>
              </w:rPr>
            </w:pPr>
            <w:hyperlink w:anchor="i4478e68e5dea442985a910e3b276f92d_103" w:history="1">
              <w:r>
                <w:rPr>
                  <w:rStyle w:val="a3"/>
                  <w:rFonts w:eastAsia="Times New Roman"/>
                  <w:sz w:val="20"/>
                  <w:szCs w:val="20"/>
                </w:rPr>
                <w:t>Controls and Procedures</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03" w:history="1">
              <w:r>
                <w:rPr>
                  <w:rStyle w:val="a3"/>
                  <w:rFonts w:eastAsia="Times New Roman"/>
                  <w:sz w:val="20"/>
                  <w:szCs w:val="20"/>
                </w:rPr>
                <w:t>29</w:t>
              </w:r>
            </w:hyperlink>
          </w:p>
        </w:tc>
      </w:tr>
      <w:tr w:rsidR="00000000">
        <w:trPr>
          <w:divId w:val="402218427"/>
          <w:trHeight w:val="280"/>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1728993206"/>
              <w:rPr>
                <w:rFonts w:eastAsia="Times New Roman"/>
              </w:rPr>
            </w:pPr>
            <w:hyperlink w:anchor="i4478e68e5dea442985a910e3b276f92d_106" w:history="1">
              <w:r>
                <w:rPr>
                  <w:rStyle w:val="a3"/>
                  <w:rFonts w:eastAsia="Times New Roman"/>
                  <w:b/>
                  <w:bCs/>
                  <w:sz w:val="20"/>
                  <w:szCs w:val="20"/>
                </w:rPr>
                <w:t>PART II.</w:t>
              </w:r>
            </w:hyperlink>
          </w:p>
        </w:tc>
        <w:tc>
          <w:tcPr>
            <w:tcW w:w="0" w:type="auto"/>
            <w:gridSpan w:val="3"/>
            <w:shd w:val="clear" w:color="auto" w:fill="CCEEFF"/>
            <w:tcMar>
              <w:top w:w="30" w:type="dxa"/>
              <w:left w:w="20" w:type="dxa"/>
              <w:bottom w:w="30" w:type="dxa"/>
              <w:right w:w="20" w:type="dxa"/>
            </w:tcMar>
            <w:hideMark/>
          </w:tcPr>
          <w:p w:rsidR="00000000" w:rsidRDefault="0016787D">
            <w:pPr>
              <w:divId w:val="2043163662"/>
              <w:rPr>
                <w:rFonts w:eastAsia="Times New Roman"/>
              </w:rPr>
            </w:pPr>
            <w:hyperlink w:anchor="i4478e68e5dea442985a910e3b276f92d_106" w:history="1">
              <w:r>
                <w:rPr>
                  <w:rStyle w:val="a3"/>
                  <w:rFonts w:eastAsia="Times New Roman"/>
                  <w:b/>
                  <w:bCs/>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06" w:history="1">
              <w:r>
                <w:rPr>
                  <w:rStyle w:val="a3"/>
                  <w:rFonts w:eastAsia="Times New Roman"/>
                  <w:sz w:val="20"/>
                  <w:szCs w:val="20"/>
                </w:rPr>
                <w:t>29</w:t>
              </w:r>
            </w:hyperlink>
          </w:p>
        </w:tc>
      </w:tr>
      <w:tr w:rsidR="00000000">
        <w:trPr>
          <w:divId w:val="402218427"/>
        </w:trPr>
        <w:tc>
          <w:tcPr>
            <w:tcW w:w="0" w:type="auto"/>
            <w:gridSpan w:val="3"/>
            <w:shd w:val="clear" w:color="auto" w:fill="FFFFFF"/>
            <w:tcMar>
              <w:top w:w="30" w:type="dxa"/>
              <w:left w:w="20" w:type="dxa"/>
              <w:bottom w:w="30" w:type="dxa"/>
              <w:right w:w="20" w:type="dxa"/>
            </w:tcMar>
            <w:hideMark/>
          </w:tcPr>
          <w:p w:rsidR="00000000" w:rsidRDefault="0016787D">
            <w:pPr>
              <w:divId w:val="321810189"/>
              <w:rPr>
                <w:rFonts w:eastAsia="Times New Roman"/>
              </w:rPr>
            </w:pPr>
            <w:hyperlink w:anchor="i4478e68e5dea442985a910e3b276f92d_109" w:history="1">
              <w:r>
                <w:rPr>
                  <w:rStyle w:val="a3"/>
                  <w:rFonts w:eastAsia="Times New Roman"/>
                  <w:sz w:val="20"/>
                  <w:szCs w:val="20"/>
                </w:rPr>
                <w:t>Item 1.</w:t>
              </w:r>
            </w:hyperlink>
          </w:p>
        </w:tc>
        <w:tc>
          <w:tcPr>
            <w:tcW w:w="0" w:type="auto"/>
            <w:gridSpan w:val="3"/>
            <w:shd w:val="clear" w:color="auto" w:fill="FFFFFF"/>
            <w:tcMar>
              <w:top w:w="30" w:type="dxa"/>
              <w:left w:w="20" w:type="dxa"/>
              <w:bottom w:w="30" w:type="dxa"/>
              <w:right w:w="20" w:type="dxa"/>
            </w:tcMar>
            <w:hideMark/>
          </w:tcPr>
          <w:p w:rsidR="00000000" w:rsidRDefault="0016787D">
            <w:pPr>
              <w:divId w:val="2124185205"/>
              <w:rPr>
                <w:rFonts w:eastAsia="Times New Roman"/>
              </w:rPr>
            </w:pPr>
            <w:hyperlink w:anchor="i4478e68e5dea442985a910e3b276f92d_109" w:history="1">
              <w:r>
                <w:rPr>
                  <w:rStyle w:val="a3"/>
                  <w:rFonts w:eastAsia="Times New Roman"/>
                  <w:sz w:val="20"/>
                  <w:szCs w:val="20"/>
                </w:rPr>
                <w:t>Legal Proceedings</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109" w:history="1">
              <w:r>
                <w:rPr>
                  <w:rStyle w:val="a3"/>
                  <w:rFonts w:eastAsia="Times New Roman"/>
                  <w:sz w:val="20"/>
                  <w:szCs w:val="20"/>
                </w:rPr>
                <w:t>29</w:t>
              </w:r>
            </w:hyperlink>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92239690"/>
              <w:rPr>
                <w:rFonts w:eastAsia="Times New Roman"/>
              </w:rPr>
            </w:pPr>
            <w:hyperlink w:anchor="i4478e68e5dea442985a910e3b276f92d_112" w:history="1">
              <w:r>
                <w:rPr>
                  <w:rStyle w:val="a3"/>
                  <w:rFonts w:eastAsia="Times New Roman"/>
                  <w:sz w:val="20"/>
                  <w:szCs w:val="20"/>
                </w:rPr>
                <w:t>Item 1A.</w:t>
              </w:r>
            </w:hyperlink>
          </w:p>
        </w:tc>
        <w:tc>
          <w:tcPr>
            <w:tcW w:w="0" w:type="auto"/>
            <w:gridSpan w:val="3"/>
            <w:shd w:val="clear" w:color="auto" w:fill="CCEEFF"/>
            <w:tcMar>
              <w:top w:w="30" w:type="dxa"/>
              <w:left w:w="20" w:type="dxa"/>
              <w:bottom w:w="30" w:type="dxa"/>
              <w:right w:w="20" w:type="dxa"/>
            </w:tcMar>
            <w:hideMark/>
          </w:tcPr>
          <w:p w:rsidR="00000000" w:rsidRDefault="0016787D">
            <w:pPr>
              <w:divId w:val="2103649315"/>
              <w:rPr>
                <w:rFonts w:eastAsia="Times New Roman"/>
              </w:rPr>
            </w:pPr>
            <w:hyperlink w:anchor="i4478e68e5dea442985a910e3b276f92d_112" w:history="1">
              <w:r>
                <w:rPr>
                  <w:rStyle w:val="a3"/>
                  <w:rFonts w:eastAsia="Times New Roman"/>
                  <w:sz w:val="20"/>
                  <w:szCs w:val="20"/>
                </w:rPr>
                <w:t>Risk Factors</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12" w:history="1">
              <w:r>
                <w:rPr>
                  <w:rStyle w:val="a3"/>
                  <w:rFonts w:eastAsia="Times New Roman"/>
                  <w:sz w:val="20"/>
                  <w:szCs w:val="20"/>
                </w:rPr>
                <w:t>30</w:t>
              </w:r>
            </w:hyperlink>
          </w:p>
        </w:tc>
      </w:tr>
      <w:tr w:rsidR="00000000">
        <w:trPr>
          <w:divId w:val="402218427"/>
        </w:trPr>
        <w:tc>
          <w:tcPr>
            <w:tcW w:w="0" w:type="auto"/>
            <w:gridSpan w:val="3"/>
            <w:shd w:val="clear" w:color="auto" w:fill="FFFFFF"/>
            <w:tcMar>
              <w:top w:w="30" w:type="dxa"/>
              <w:left w:w="20" w:type="dxa"/>
              <w:bottom w:w="30" w:type="dxa"/>
              <w:right w:w="20" w:type="dxa"/>
            </w:tcMar>
            <w:hideMark/>
          </w:tcPr>
          <w:p w:rsidR="00000000" w:rsidRDefault="0016787D">
            <w:pPr>
              <w:divId w:val="1527065318"/>
              <w:rPr>
                <w:rFonts w:eastAsia="Times New Roman"/>
              </w:rPr>
            </w:pPr>
            <w:hyperlink w:anchor="i4478e68e5dea442985a910e3b276f92d_115" w:history="1">
              <w:r>
                <w:rPr>
                  <w:rStyle w:val="a3"/>
                  <w:rFonts w:eastAsia="Times New Roman"/>
                  <w:sz w:val="20"/>
                  <w:szCs w:val="20"/>
                </w:rPr>
                <w:t>Item 2.</w:t>
              </w:r>
            </w:hyperlink>
          </w:p>
        </w:tc>
        <w:tc>
          <w:tcPr>
            <w:tcW w:w="0" w:type="auto"/>
            <w:gridSpan w:val="3"/>
            <w:shd w:val="clear" w:color="auto" w:fill="FFFFFF"/>
            <w:tcMar>
              <w:top w:w="30" w:type="dxa"/>
              <w:left w:w="20" w:type="dxa"/>
              <w:bottom w:w="30" w:type="dxa"/>
              <w:right w:w="20" w:type="dxa"/>
            </w:tcMar>
            <w:hideMark/>
          </w:tcPr>
          <w:p w:rsidR="00000000" w:rsidRDefault="0016787D">
            <w:pPr>
              <w:divId w:val="1572959448"/>
              <w:rPr>
                <w:rFonts w:eastAsia="Times New Roman"/>
              </w:rPr>
            </w:pPr>
            <w:hyperlink w:anchor="i4478e68e5dea442985a910e3b276f92d_115" w:history="1">
              <w:r>
                <w:rPr>
                  <w:rStyle w:val="a3"/>
                  <w:rFonts w:eastAsia="Times New Roman"/>
                  <w:sz w:val="20"/>
                  <w:szCs w:val="20"/>
                </w:rPr>
                <w:t>Unregistered Sales of Equity Securities and Use of Proceeds</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115" w:history="1">
              <w:r>
                <w:rPr>
                  <w:rStyle w:val="a3"/>
                  <w:rFonts w:eastAsia="Times New Roman"/>
                  <w:sz w:val="20"/>
                  <w:szCs w:val="20"/>
                </w:rPr>
                <w:t>32</w:t>
              </w:r>
            </w:hyperlink>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451244493"/>
              <w:rPr>
                <w:rFonts w:eastAsia="Times New Roman"/>
              </w:rPr>
            </w:pPr>
            <w:hyperlink w:anchor="i4478e68e5dea442985a910e3b276f92d_118" w:history="1">
              <w:r>
                <w:rPr>
                  <w:rStyle w:val="a3"/>
                  <w:rFonts w:eastAsia="Times New Roman"/>
                  <w:sz w:val="20"/>
                  <w:szCs w:val="20"/>
                </w:rPr>
                <w:t>Item 3.</w:t>
              </w:r>
            </w:hyperlink>
          </w:p>
        </w:tc>
        <w:tc>
          <w:tcPr>
            <w:tcW w:w="0" w:type="auto"/>
            <w:gridSpan w:val="3"/>
            <w:shd w:val="clear" w:color="auto" w:fill="CCEEFF"/>
            <w:tcMar>
              <w:top w:w="30" w:type="dxa"/>
              <w:left w:w="20" w:type="dxa"/>
              <w:bottom w:w="30" w:type="dxa"/>
              <w:right w:w="20" w:type="dxa"/>
            </w:tcMar>
            <w:hideMark/>
          </w:tcPr>
          <w:p w:rsidR="00000000" w:rsidRDefault="0016787D">
            <w:pPr>
              <w:divId w:val="2006778890"/>
              <w:rPr>
                <w:rFonts w:eastAsia="Times New Roman"/>
              </w:rPr>
            </w:pPr>
            <w:hyperlink w:anchor="i4478e68e5dea442985a910e3b276f92d_118" w:history="1">
              <w:r>
                <w:rPr>
                  <w:rStyle w:val="a3"/>
                  <w:rFonts w:eastAsia="Times New Roman"/>
                  <w:sz w:val="20"/>
                  <w:szCs w:val="20"/>
                </w:rPr>
                <w:t>Defaults Upon Senior Securities</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18" w:history="1">
              <w:r>
                <w:rPr>
                  <w:rStyle w:val="a3"/>
                  <w:rFonts w:eastAsia="Times New Roman"/>
                  <w:sz w:val="20"/>
                  <w:szCs w:val="20"/>
                </w:rPr>
                <w:t>32</w:t>
              </w:r>
            </w:hyperlink>
          </w:p>
        </w:tc>
      </w:tr>
      <w:tr w:rsidR="00000000">
        <w:trPr>
          <w:divId w:val="402218427"/>
        </w:trPr>
        <w:tc>
          <w:tcPr>
            <w:tcW w:w="0" w:type="auto"/>
            <w:gridSpan w:val="3"/>
            <w:shd w:val="clear" w:color="auto" w:fill="FFFFFF"/>
            <w:tcMar>
              <w:top w:w="30" w:type="dxa"/>
              <w:left w:w="20" w:type="dxa"/>
              <w:bottom w:w="30" w:type="dxa"/>
              <w:right w:w="20" w:type="dxa"/>
            </w:tcMar>
            <w:hideMark/>
          </w:tcPr>
          <w:p w:rsidR="00000000" w:rsidRDefault="0016787D">
            <w:pPr>
              <w:divId w:val="6716491"/>
              <w:rPr>
                <w:rFonts w:eastAsia="Times New Roman"/>
              </w:rPr>
            </w:pPr>
            <w:hyperlink w:anchor="i4478e68e5dea442985a910e3b276f92d_121" w:history="1">
              <w:r>
                <w:rPr>
                  <w:rStyle w:val="a3"/>
                  <w:rFonts w:eastAsia="Times New Roman"/>
                  <w:sz w:val="20"/>
                  <w:szCs w:val="20"/>
                </w:rPr>
                <w:t>Item 4.</w:t>
              </w:r>
            </w:hyperlink>
          </w:p>
        </w:tc>
        <w:tc>
          <w:tcPr>
            <w:tcW w:w="0" w:type="auto"/>
            <w:gridSpan w:val="3"/>
            <w:shd w:val="clear" w:color="auto" w:fill="FFFFFF"/>
            <w:tcMar>
              <w:top w:w="30" w:type="dxa"/>
              <w:left w:w="20" w:type="dxa"/>
              <w:bottom w:w="30" w:type="dxa"/>
              <w:right w:w="20" w:type="dxa"/>
            </w:tcMar>
            <w:hideMark/>
          </w:tcPr>
          <w:p w:rsidR="00000000" w:rsidRDefault="0016787D">
            <w:pPr>
              <w:divId w:val="1675915857"/>
              <w:rPr>
                <w:rFonts w:eastAsia="Times New Roman"/>
              </w:rPr>
            </w:pPr>
            <w:hyperlink w:anchor="i4478e68e5dea442985a910e3b276f92d_121" w:history="1">
              <w:r>
                <w:rPr>
                  <w:rStyle w:val="a3"/>
                  <w:rFonts w:eastAsia="Times New Roman"/>
                  <w:sz w:val="20"/>
                  <w:szCs w:val="20"/>
                </w:rPr>
                <w:t>Mine Safety Disclosures</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121" w:history="1">
              <w:r>
                <w:rPr>
                  <w:rStyle w:val="a3"/>
                  <w:rFonts w:eastAsia="Times New Roman"/>
                  <w:sz w:val="20"/>
                  <w:szCs w:val="20"/>
                </w:rPr>
                <w:t>32</w:t>
              </w:r>
            </w:hyperlink>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691106628"/>
              <w:rPr>
                <w:rFonts w:eastAsia="Times New Roman"/>
              </w:rPr>
            </w:pPr>
            <w:hyperlink w:anchor="i4478e68e5dea442985a910e3b276f92d_124" w:history="1">
              <w:r>
                <w:rPr>
                  <w:rStyle w:val="a3"/>
                  <w:rFonts w:eastAsia="Times New Roman"/>
                  <w:sz w:val="20"/>
                  <w:szCs w:val="20"/>
                </w:rPr>
                <w:t>Item 5.</w:t>
              </w:r>
            </w:hyperlink>
          </w:p>
        </w:tc>
        <w:tc>
          <w:tcPr>
            <w:tcW w:w="0" w:type="auto"/>
            <w:gridSpan w:val="3"/>
            <w:shd w:val="clear" w:color="auto" w:fill="CCEEFF"/>
            <w:tcMar>
              <w:top w:w="30" w:type="dxa"/>
              <w:left w:w="20" w:type="dxa"/>
              <w:bottom w:w="30" w:type="dxa"/>
              <w:right w:w="20" w:type="dxa"/>
            </w:tcMar>
            <w:hideMark/>
          </w:tcPr>
          <w:p w:rsidR="00000000" w:rsidRDefault="0016787D">
            <w:pPr>
              <w:divId w:val="892078167"/>
              <w:rPr>
                <w:rFonts w:eastAsia="Times New Roman"/>
              </w:rPr>
            </w:pPr>
            <w:hyperlink w:anchor="i4478e68e5dea442985a910e3b276f92d_124" w:history="1">
              <w:r>
                <w:rPr>
                  <w:rStyle w:val="a3"/>
                  <w:rFonts w:eastAsia="Times New Roman"/>
                  <w:sz w:val="20"/>
                  <w:szCs w:val="20"/>
                </w:rPr>
                <w:t>Other Information</w:t>
              </w:r>
            </w:hyperlink>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24" w:history="1">
              <w:r>
                <w:rPr>
                  <w:rStyle w:val="a3"/>
                  <w:rFonts w:eastAsia="Times New Roman"/>
                  <w:sz w:val="20"/>
                  <w:szCs w:val="20"/>
                </w:rPr>
                <w:t>32</w:t>
              </w:r>
            </w:hyperlink>
          </w:p>
        </w:tc>
      </w:tr>
      <w:tr w:rsidR="00000000">
        <w:trPr>
          <w:divId w:val="402218427"/>
        </w:trPr>
        <w:tc>
          <w:tcPr>
            <w:tcW w:w="0" w:type="auto"/>
            <w:gridSpan w:val="3"/>
            <w:shd w:val="clear" w:color="auto" w:fill="FFFFFF"/>
            <w:tcMar>
              <w:top w:w="30" w:type="dxa"/>
              <w:left w:w="20" w:type="dxa"/>
              <w:bottom w:w="30" w:type="dxa"/>
              <w:right w:w="20" w:type="dxa"/>
            </w:tcMar>
            <w:hideMark/>
          </w:tcPr>
          <w:p w:rsidR="00000000" w:rsidRDefault="0016787D">
            <w:pPr>
              <w:divId w:val="1767847221"/>
              <w:rPr>
                <w:rFonts w:eastAsia="Times New Roman"/>
              </w:rPr>
            </w:pPr>
            <w:hyperlink w:anchor="i4478e68e5dea442985a910e3b276f92d_127" w:history="1">
              <w:r>
                <w:rPr>
                  <w:rStyle w:val="a3"/>
                  <w:rFonts w:eastAsia="Times New Roman"/>
                  <w:sz w:val="20"/>
                  <w:szCs w:val="20"/>
                </w:rPr>
                <w:t>Item 6.</w:t>
              </w:r>
            </w:hyperlink>
          </w:p>
        </w:tc>
        <w:tc>
          <w:tcPr>
            <w:tcW w:w="0" w:type="auto"/>
            <w:gridSpan w:val="3"/>
            <w:shd w:val="clear" w:color="auto" w:fill="FFFFFF"/>
            <w:tcMar>
              <w:top w:w="30" w:type="dxa"/>
              <w:left w:w="20" w:type="dxa"/>
              <w:bottom w:w="30" w:type="dxa"/>
              <w:right w:w="20" w:type="dxa"/>
            </w:tcMar>
            <w:hideMark/>
          </w:tcPr>
          <w:p w:rsidR="00000000" w:rsidRDefault="0016787D">
            <w:pPr>
              <w:divId w:val="1042755175"/>
              <w:rPr>
                <w:rFonts w:eastAsia="Times New Roman"/>
              </w:rPr>
            </w:pPr>
            <w:hyperlink w:anchor="i4478e68e5dea442985a910e3b276f92d_127" w:history="1">
              <w:r>
                <w:rPr>
                  <w:rStyle w:val="a3"/>
                  <w:rFonts w:eastAsia="Times New Roman"/>
                  <w:sz w:val="20"/>
                  <w:szCs w:val="20"/>
                </w:rPr>
                <w:t>Exhibits</w:t>
              </w:r>
            </w:hyperlink>
          </w:p>
        </w:tc>
        <w:tc>
          <w:tcPr>
            <w:tcW w:w="0" w:type="auto"/>
            <w:gridSpan w:val="3"/>
            <w:shd w:val="clear" w:color="auto" w:fill="FFFFFF"/>
            <w:tcMar>
              <w:top w:w="30" w:type="dxa"/>
              <w:left w:w="20" w:type="dxa"/>
              <w:bottom w:w="30" w:type="dxa"/>
              <w:right w:w="20" w:type="dxa"/>
            </w:tcMar>
            <w:hideMark/>
          </w:tcPr>
          <w:p w:rsidR="00000000" w:rsidRDefault="0016787D">
            <w:pPr>
              <w:jc w:val="right"/>
              <w:rPr>
                <w:rFonts w:eastAsia="Times New Roman"/>
              </w:rPr>
            </w:pPr>
            <w:hyperlink w:anchor="i4478e68e5dea442985a910e3b276f92d_127" w:history="1">
              <w:r>
                <w:rPr>
                  <w:rStyle w:val="a3"/>
                  <w:rFonts w:eastAsia="Times New Roman"/>
                  <w:sz w:val="20"/>
                  <w:szCs w:val="20"/>
                </w:rPr>
                <w:t>33</w:t>
              </w:r>
            </w:hyperlink>
          </w:p>
        </w:tc>
      </w:tr>
      <w:tr w:rsidR="00000000">
        <w:trPr>
          <w:divId w:val="402218427"/>
        </w:trPr>
        <w:tc>
          <w:tcPr>
            <w:tcW w:w="0" w:type="auto"/>
            <w:gridSpan w:val="3"/>
            <w:shd w:val="clear" w:color="auto" w:fill="CCEEFF"/>
            <w:tcMar>
              <w:top w:w="30" w:type="dxa"/>
              <w:left w:w="20" w:type="dxa"/>
              <w:bottom w:w="30" w:type="dxa"/>
              <w:right w:w="20" w:type="dxa"/>
            </w:tcMar>
            <w:hideMark/>
          </w:tcPr>
          <w:p w:rsidR="00000000" w:rsidRDefault="0016787D">
            <w:pPr>
              <w:divId w:val="908423333"/>
              <w:rPr>
                <w:rFonts w:eastAsia="Times New Roman"/>
              </w:rPr>
            </w:pPr>
            <w:hyperlink w:anchor="i4478e68e5dea442985a910e3b276f92d_130" w:history="1">
              <w:r>
                <w:rPr>
                  <w:rStyle w:val="a3"/>
                  <w:rFonts w:eastAsia="Times New Roman"/>
                  <w:sz w:val="20"/>
                  <w:szCs w:val="20"/>
                </w:rPr>
                <w:t>Signature</w:t>
              </w:r>
            </w:hyperlink>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16787D">
            <w:pPr>
              <w:jc w:val="right"/>
              <w:rPr>
                <w:rFonts w:eastAsia="Times New Roman"/>
              </w:rPr>
            </w:pPr>
            <w:hyperlink w:anchor="i4478e68e5dea442985a910e3b276f92d_130" w:history="1">
              <w:r>
                <w:rPr>
                  <w:rStyle w:val="a3"/>
                  <w:rFonts w:eastAsia="Times New Roman"/>
                  <w:sz w:val="20"/>
                  <w:szCs w:val="20"/>
                </w:rPr>
                <w:t>34</w:t>
              </w:r>
            </w:hyperlink>
          </w:p>
        </w:tc>
      </w:tr>
    </w:tbl>
    <w:p w:rsidR="00000000" w:rsidRDefault="0016787D">
      <w:pPr>
        <w:divId w:val="95515954"/>
        <w:rPr>
          <w:rFonts w:eastAsia="Times New Roman"/>
        </w:rPr>
      </w:pPr>
    </w:p>
    <w:p w:rsidR="00000000" w:rsidRDefault="0016787D">
      <w:pPr>
        <w:divId w:val="681204503"/>
        <w:rPr>
          <w:rFonts w:eastAsia="Times New Roman"/>
        </w:rPr>
      </w:pPr>
    </w:p>
    <w:p w:rsidR="00000000" w:rsidRDefault="0016787D">
      <w:pPr>
        <w:jc w:val="center"/>
        <w:rPr>
          <w:rFonts w:eastAsia="Times New Roman"/>
        </w:rPr>
      </w:pPr>
    </w:p>
    <w:p w:rsidR="00000000" w:rsidRDefault="0016787D">
      <w:pPr>
        <w:jc w:val="center"/>
        <w:divId w:val="652759432"/>
        <w:rPr>
          <w:rFonts w:eastAsia="Times New Roman"/>
        </w:rPr>
      </w:pPr>
      <w:r>
        <w:rPr>
          <w:rFonts w:eastAsia="Times New Roman"/>
          <w:color w:val="000000"/>
          <w:sz w:val="20"/>
          <w:szCs w:val="20"/>
        </w:rPr>
        <w:t xml:space="preserve">Page </w:t>
      </w:r>
      <w:r>
        <w:rPr>
          <w:rFonts w:eastAsia="Times New Roman"/>
          <w:color w:val="000000"/>
          <w:sz w:val="20"/>
          <w:szCs w:val="20"/>
        </w:rPr>
        <w:t>2</w:t>
      </w:r>
    </w:p>
    <w:p w:rsidR="00000000" w:rsidRDefault="0016787D">
      <w:pPr>
        <w:rPr>
          <w:rFonts w:eastAsia="Times New Roman"/>
        </w:rPr>
      </w:pPr>
      <w:r>
        <w:rPr>
          <w:rFonts w:eastAsia="Times New Roman"/>
        </w:rPr>
        <w:pict>
          <v:rect id="_x0000_i1027" style="width:0;height:1.5pt" o:hralign="center" o:hrstd="t" o:hr="t" fillcolor="#a0a0a0" stroked="f"/>
        </w:pict>
      </w:r>
    </w:p>
    <w:p w:rsidR="00000000" w:rsidRDefault="0016787D">
      <w:pPr>
        <w:divId w:val="952830655"/>
        <w:rPr>
          <w:rFonts w:eastAsia="Times New Roman"/>
        </w:rPr>
      </w:pPr>
      <w:hyperlink w:anchor="i4478e68e5dea442985a910e3b276f92d_7" w:history="1">
        <w:r>
          <w:rPr>
            <w:rStyle w:val="a3"/>
            <w:rFonts w:eastAsia="Times New Roman"/>
            <w:sz w:val="16"/>
            <w:szCs w:val="16"/>
          </w:rPr>
          <w:t>Index</w:t>
        </w:r>
      </w:hyperlink>
    </w:p>
    <w:p w:rsidR="00000000" w:rsidRDefault="0016787D">
      <w:pPr>
        <w:jc w:val="center"/>
        <w:rPr>
          <w:rFonts w:eastAsia="Times New Roman"/>
        </w:rPr>
      </w:pPr>
      <w:r>
        <w:rPr>
          <w:rFonts w:eastAsia="Times New Roman"/>
          <w:b/>
          <w:bCs/>
          <w:color w:val="000000"/>
          <w:sz w:val="20"/>
          <w:szCs w:val="20"/>
        </w:rPr>
        <w:t>PART I.  FINANCIAL INFORMATIO</w:t>
      </w:r>
      <w:r>
        <w:rPr>
          <w:rFonts w:eastAsia="Times New Roman"/>
          <w:b/>
          <w:bCs/>
          <w:color w:val="000000"/>
          <w:sz w:val="20"/>
          <w:szCs w:val="20"/>
        </w:rPr>
        <w:t>N</w:t>
      </w:r>
    </w:p>
    <w:p w:rsidR="00000000" w:rsidRDefault="0016787D">
      <w:pPr>
        <w:divId w:val="1739550682"/>
        <w:rPr>
          <w:rFonts w:eastAsia="Times New Roman"/>
        </w:rPr>
      </w:pPr>
      <w:r>
        <w:rPr>
          <w:rFonts w:eastAsia="Times New Roman"/>
          <w:b/>
          <w:bCs/>
          <w:color w:val="000000"/>
          <w:sz w:val="20"/>
          <w:szCs w:val="20"/>
          <w:u w:val="single"/>
        </w:rPr>
        <w:t>Item 1. Financial Statement</w:t>
      </w:r>
      <w:r>
        <w:rPr>
          <w:rFonts w:eastAsia="Times New Roman"/>
          <w:b/>
          <w:bCs/>
          <w:color w:val="000000"/>
          <w:sz w:val="20"/>
          <w:szCs w:val="20"/>
          <w:u w:val="single"/>
        </w:rPr>
        <w:t>s</w:t>
      </w:r>
    </w:p>
    <w:p w:rsidR="00000000" w:rsidRDefault="0016787D">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16787D">
      <w:pPr>
        <w:jc w:val="center"/>
        <w:rPr>
          <w:rFonts w:eastAsia="Times New Roman"/>
        </w:rPr>
      </w:pPr>
      <w:r>
        <w:rPr>
          <w:rFonts w:eastAsia="Times New Roman"/>
          <w:b/>
          <w:bCs/>
          <w:color w:val="000000"/>
          <w:sz w:val="20"/>
          <w:szCs w:val="20"/>
        </w:rPr>
        <w:t>CONDENSED CONSOLIDATED BALANCE SHEET</w:t>
      </w:r>
      <w:r>
        <w:rPr>
          <w:rFonts w:eastAsia="Times New Roman"/>
          <w:b/>
          <w:bCs/>
          <w:color w:val="000000"/>
          <w:sz w:val="20"/>
          <w:szCs w:val="20"/>
        </w:rPr>
        <w:t>S</w:t>
      </w:r>
    </w:p>
    <w:p w:rsidR="00000000" w:rsidRDefault="0016787D">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p w:rsidR="00000000" w:rsidRDefault="0016787D">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41"/>
        <w:gridCol w:w="4728"/>
        <w:gridCol w:w="40"/>
        <w:gridCol w:w="135"/>
        <w:gridCol w:w="866"/>
        <w:gridCol w:w="85"/>
        <w:gridCol w:w="36"/>
        <w:gridCol w:w="36"/>
        <w:gridCol w:w="36"/>
        <w:gridCol w:w="135"/>
        <w:gridCol w:w="865"/>
        <w:gridCol w:w="85"/>
        <w:gridCol w:w="36"/>
        <w:gridCol w:w="36"/>
        <w:gridCol w:w="36"/>
        <w:gridCol w:w="135"/>
        <w:gridCol w:w="865"/>
        <w:gridCol w:w="85"/>
      </w:tblGrid>
      <w:tr w:rsidR="00000000">
        <w:trPr>
          <w:divId w:val="26561970"/>
        </w:trPr>
        <w:tc>
          <w:tcPr>
            <w:tcW w:w="50" w:type="pct"/>
            <w:vAlign w:val="center"/>
            <w:hideMark/>
          </w:tcPr>
          <w:p w:rsidR="00000000" w:rsidRDefault="0016787D">
            <w:pPr>
              <w:jc w:val="center"/>
              <w:rPr>
                <w:rFonts w:eastAsia="Times New Roman"/>
              </w:rPr>
            </w:pPr>
          </w:p>
        </w:tc>
        <w:tc>
          <w:tcPr>
            <w:tcW w:w="288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3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26561970"/>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16787D">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b/>
                <w:bCs/>
                <w:color w:val="000000"/>
                <w:sz w:val="20"/>
                <w:szCs w:val="20"/>
              </w:rPr>
              <w:t>ASSET</w:t>
            </w:r>
            <w:r>
              <w:rPr>
                <w:rFonts w:eastAsia="Times New Roman"/>
                <w:b/>
                <w:bCs/>
                <w:color w:val="000000"/>
                <w:sz w:val="20"/>
                <w:szCs w:val="20"/>
              </w:rPr>
              <w:t>S</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26561970"/>
        </w:trPr>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Current assets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1,206,366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104,018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26561970"/>
        </w:trPr>
        <w:tc>
          <w:tcPr>
            <w:tcW w:w="0" w:type="auto"/>
            <w:gridSpan w:val="3"/>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1,688,508</w:t>
            </w:r>
            <w:r>
              <w:rPr>
                <w:rFonts w:eastAsia="Times New Roman"/>
                <w:color w:val="000000"/>
                <w:sz w:val="20"/>
                <w:szCs w:val="20"/>
              </w:rPr>
              <w:t> </w:t>
            </w:r>
          </w:p>
        </w:tc>
        <w:tc>
          <w:tcPr>
            <w:tcW w:w="0" w:type="auto"/>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1,602,781</w:t>
            </w:r>
            <w:r>
              <w:rPr>
                <w:rFonts w:eastAsia="Times New Roman"/>
                <w:color w:val="000000"/>
                <w:sz w:val="20"/>
                <w:szCs w:val="20"/>
              </w:rPr>
              <w:t> </w:t>
            </w:r>
          </w:p>
        </w:tc>
        <w:tc>
          <w:tcPr>
            <w:tcW w:w="0" w:type="auto"/>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1,733,150</w:t>
            </w:r>
            <w:r>
              <w:rPr>
                <w:rFonts w:eastAsia="Times New Roman"/>
                <w:color w:val="000000"/>
                <w:sz w:val="20"/>
                <w:szCs w:val="20"/>
              </w:rPr>
              <w:t> </w:t>
            </w:r>
          </w:p>
        </w:tc>
        <w:tc>
          <w:tcPr>
            <w:tcW w:w="0" w:type="auto"/>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135,238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100,865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95,051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5,589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7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3,030,112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1,787,887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1,937,808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Height w:val="60"/>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Property and equipment,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1,148,225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1,163,956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1,135,310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Operating lease right-of-use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2,268,623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2,188,802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2,091,439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Goodwill and other intangible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124,492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12,866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26,757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24,131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23,670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7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Total asset</w:t>
            </w:r>
            <w:r>
              <w:rPr>
                <w:rFonts w:eastAsia="Times New Roman"/>
                <w:color w:val="000000"/>
                <w:sz w:val="20"/>
                <w:szCs w:val="20"/>
              </w:rPr>
              <w:t>s</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6,611,075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5,312,719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Height w:val="60"/>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26561970"/>
        </w:trPr>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b/>
                <w:bCs/>
                <w:color w:val="000000"/>
                <w:sz w:val="20"/>
                <w:szCs w:val="20"/>
              </w:rPr>
              <w:t>LIABILITIES AND STOCKHOLDERS’ EQUIT</w:t>
            </w:r>
            <w:r>
              <w:rPr>
                <w:rFonts w:eastAsia="Times New Roman"/>
                <w:b/>
                <w:bCs/>
                <w:color w:val="000000"/>
                <w:sz w:val="20"/>
                <w:szCs w:val="20"/>
              </w:rPr>
              <w:t>Y</w:t>
            </w:r>
          </w:p>
        </w:tc>
        <w:tc>
          <w:tcPr>
            <w:tcW w:w="0" w:type="auto"/>
            <w:gridSpan w:val="3"/>
            <w:shd w:val="clear" w:color="auto" w:fill="FFFF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Current liabilities</w:t>
            </w: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1,003,697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643,036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681,529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77,419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39,755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26,932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270,463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247,690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222,919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380,000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30,000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22,500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Current portion of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4,319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4,036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3,717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Current portion of 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287,326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277,099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264,707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133,830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5,984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49,082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26561970"/>
        </w:trPr>
        <w:tc>
          <w:tcPr>
            <w:tcW w:w="0" w:type="auto"/>
            <w:gridSpan w:val="3"/>
            <w:shd w:val="clear" w:color="auto" w:fill="CCEEFF"/>
            <w:tcMar>
              <w:top w:w="30" w:type="dxa"/>
              <w:left w:w="7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2,157,054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1,247,600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1,271,386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Height w:val="60"/>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lastRenderedPageBreak/>
              <w:t>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536,051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366,480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466,290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Finance lease liabilities, less current portio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32,093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30,389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27,394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Operating lease liabilities, less current portio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2,087,934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2,001,162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1,928,367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3,592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26561970"/>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102,213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76,361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70,748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7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Total liabilitie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4,915,345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3,722,145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3,767,777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Height w:val="60"/>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26561970"/>
        </w:trPr>
        <w:tc>
          <w:tcPr>
            <w:tcW w:w="0" w:type="auto"/>
            <w:gridSpan w:val="3"/>
            <w:shd w:val="clear" w:color="auto" w:fill="FFFF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Stockholders’ equity</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Preferred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1,389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1,386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Additional paid-in capita</w:t>
            </w:r>
            <w:r>
              <w:rPr>
                <w:rFonts w:eastAsia="Times New Roman"/>
                <w:color w:val="000000"/>
                <w:sz w:val="20"/>
                <w:szCs w:val="20"/>
              </w:rPr>
              <w:t>l</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1,024,089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966,698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928,094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Treasury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(3,277,215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(3,013,996</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(2,814,912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Accumulated other comprehensive (loss)/incom</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(6,335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882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225" w:type="dxa"/>
              <w:bottom w:w="30" w:type="dxa"/>
              <w:right w:w="20" w:type="dxa"/>
            </w:tcMar>
            <w:vAlign w:val="center"/>
            <w:hideMark/>
          </w:tcPr>
          <w:p w:rsidR="00000000" w:rsidRDefault="0016787D">
            <w:pPr>
              <w:rPr>
                <w:rFonts w:eastAsia="Times New Roman"/>
              </w:rPr>
            </w:pPr>
            <w:r>
              <w:rPr>
                <w:rFonts w:eastAsia="Times New Roman"/>
                <w:color w:val="000000"/>
                <w:sz w:val="20"/>
                <w:szCs w:val="20"/>
              </w:rPr>
              <w:t>Retained earning</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3,953,795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3,612,833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3,429,492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CCEEFF"/>
            <w:tcMar>
              <w:top w:w="30" w:type="dxa"/>
              <w:left w:w="7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Total stockholders’ equit</w:t>
            </w:r>
            <w:r>
              <w:rPr>
                <w:rFonts w:eastAsia="Times New Roman"/>
                <w:color w:val="000000"/>
                <w:sz w:val="20"/>
                <w:szCs w:val="20"/>
              </w:rPr>
              <w: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1,695,730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1,567,123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1,544,942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Pr>
        <w:tc>
          <w:tcPr>
            <w:tcW w:w="0" w:type="auto"/>
            <w:gridSpan w:val="3"/>
            <w:shd w:val="clear" w:color="auto" w:fill="FFFFFF"/>
            <w:tcMar>
              <w:top w:w="30" w:type="dxa"/>
              <w:left w:w="7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Total liabilities and stockholders’ equit</w:t>
            </w:r>
            <w:r>
              <w:rPr>
                <w:rFonts w:eastAsia="Times New Roman"/>
                <w:color w:val="000000"/>
                <w:sz w:val="20"/>
                <w:szCs w:val="20"/>
              </w:rPr>
              <w:t>y</w:t>
            </w: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6,611,075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5,289,268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center"/>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center"/>
            <w:hideMark/>
          </w:tcPr>
          <w:p w:rsidR="00000000" w:rsidRDefault="0016787D">
            <w:pPr>
              <w:jc w:val="right"/>
              <w:rPr>
                <w:rFonts w:eastAsia="Times New Roman"/>
              </w:rPr>
            </w:pPr>
            <w:r>
              <w:rPr>
                <w:rFonts w:eastAsia="Times New Roman"/>
                <w:color w:val="000000"/>
                <w:sz w:val="20"/>
                <w:szCs w:val="20"/>
              </w:rPr>
              <w:t>5,312,719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center"/>
            <w:hideMark/>
          </w:tcPr>
          <w:p w:rsidR="00000000" w:rsidRDefault="0016787D">
            <w:pPr>
              <w:jc w:val="right"/>
              <w:rPr>
                <w:rFonts w:eastAsia="Times New Roman"/>
              </w:rPr>
            </w:pPr>
            <w:r>
              <w:rPr>
                <w:rFonts w:eastAsia="Times New Roman"/>
                <w:color w:val="000000"/>
                <w:sz w:val="20"/>
                <w:szCs w:val="20"/>
              </w:rPr>
              <w:t> </w:t>
            </w:r>
          </w:p>
        </w:tc>
      </w:tr>
      <w:tr w:rsidR="00000000">
        <w:trPr>
          <w:divId w:val="26561970"/>
          <w:trHeight w:val="60"/>
        </w:trPr>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r>
    </w:tbl>
    <w:p w:rsidR="00000000" w:rsidRDefault="0016787D">
      <w:pPr>
        <w:ind w:hanging="180"/>
        <w:divId w:val="1036082589"/>
        <w:rPr>
          <w:rFonts w:eastAsia="Times New Roman"/>
        </w:rPr>
      </w:pPr>
      <w:r>
        <w:rPr>
          <w:rFonts w:eastAsia="Times New Roman"/>
          <w:b/>
          <w:bCs/>
          <w:color w:val="000000"/>
          <w:sz w:val="16"/>
          <w:szCs w:val="16"/>
        </w:rPr>
        <w:t>Preferred Stock (shares in thousands</w:t>
      </w:r>
      <w:r>
        <w:rPr>
          <w:rFonts w:eastAsia="Times New Roman"/>
          <w:b/>
          <w:bCs/>
          <w:color w:val="000000"/>
          <w:sz w:val="16"/>
          <w:szCs w:val="16"/>
        </w:rPr>
        <w:t>)</w:t>
      </w:r>
      <w:r>
        <w:rPr>
          <w:rFonts w:eastAsia="Times New Roman"/>
          <w:color w:val="000000"/>
          <w:sz w:val="16"/>
          <w:szCs w:val="16"/>
        </w:rPr>
        <w:t>: $1.00 par value; 40 shares authorized; no shares were issued or outstanding during any period presented</w:t>
      </w:r>
      <w:r>
        <w:rPr>
          <w:rFonts w:eastAsia="Times New Roman"/>
          <w:color w:val="000000"/>
          <w:sz w:val="16"/>
          <w:szCs w:val="16"/>
        </w:rPr>
        <w:t>.</w:t>
      </w:r>
    </w:p>
    <w:p w:rsidR="00000000" w:rsidRDefault="0016787D">
      <w:pPr>
        <w:ind w:hanging="1080"/>
        <w:divId w:val="1904214391"/>
        <w:rPr>
          <w:rFonts w:eastAsia="Times New Roman"/>
        </w:rPr>
      </w:pPr>
      <w:r>
        <w:rPr>
          <w:rFonts w:eastAsia="Times New Roman"/>
          <w:b/>
          <w:bCs/>
          <w:color w:val="000000"/>
          <w:sz w:val="16"/>
          <w:szCs w:val="16"/>
        </w:rPr>
        <w:t>Common Stock (shares in thousands</w:t>
      </w:r>
      <w:r>
        <w:rPr>
          <w:rFonts w:eastAsia="Times New Roman"/>
          <w:b/>
          <w:bCs/>
          <w:color w:val="000000"/>
          <w:sz w:val="16"/>
          <w:szCs w:val="16"/>
        </w:rPr>
        <w:t>)</w:t>
      </w:r>
      <w:r>
        <w:rPr>
          <w:rFonts w:eastAsia="Times New Roman"/>
          <w:color w:val="000000"/>
          <w:sz w:val="16"/>
          <w:szCs w:val="16"/>
        </w:rPr>
        <w:t xml:space="preserve">: $0.008 </w:t>
      </w:r>
      <w:r>
        <w:rPr>
          <w:rFonts w:eastAsia="Times New Roman"/>
          <w:color w:val="000000"/>
          <w:sz w:val="16"/>
          <w:szCs w:val="16"/>
        </w:rPr>
        <w:t>par value; 400,000 shares authorized at all periods presented. 174,476, 173,608, and 173,238 shares issued; 116,180, 118,165, and 119,723 shares outstanding at June 27, 2020, December 28, 2019, and June 29, 2019, respectively.</w:t>
      </w:r>
      <w:r>
        <w:rPr>
          <w:rFonts w:eastAsia="Times New Roman"/>
          <w:color w:val="000000"/>
          <w:sz w:val="16"/>
          <w:szCs w:val="16"/>
        </w:rPr>
        <w:t xml:space="preserve"> </w:t>
      </w:r>
    </w:p>
    <w:p w:rsidR="00000000" w:rsidRDefault="0016787D">
      <w:pPr>
        <w:ind w:hanging="1080"/>
        <w:divId w:val="1279027613"/>
        <w:rPr>
          <w:rFonts w:eastAsia="Times New Roman"/>
        </w:rPr>
      </w:pPr>
      <w:r>
        <w:rPr>
          <w:rFonts w:eastAsia="Times New Roman"/>
          <w:b/>
          <w:bCs/>
          <w:color w:val="000000"/>
          <w:sz w:val="16"/>
          <w:szCs w:val="16"/>
        </w:rPr>
        <w:t>Treasury Stock (at cost, sha</w:t>
      </w:r>
      <w:r>
        <w:rPr>
          <w:rFonts w:eastAsia="Times New Roman"/>
          <w:b/>
          <w:bCs/>
          <w:color w:val="000000"/>
          <w:sz w:val="16"/>
          <w:szCs w:val="16"/>
        </w:rPr>
        <w:t>res in thousands</w:t>
      </w:r>
      <w:r>
        <w:rPr>
          <w:rFonts w:eastAsia="Times New Roman"/>
          <w:b/>
          <w:bCs/>
          <w:color w:val="000000"/>
          <w:sz w:val="16"/>
          <w:szCs w:val="16"/>
        </w:rPr>
        <w:t>)</w:t>
      </w:r>
      <w:r>
        <w:rPr>
          <w:rFonts w:eastAsia="Times New Roman"/>
          <w:color w:val="000000"/>
          <w:sz w:val="16"/>
          <w:szCs w:val="16"/>
        </w:rPr>
        <w:t>: 58,296, 55,443, and 53,515 shares at June 27, 2020, December 28, 2019, and June 29, 2019, respectively</w:t>
      </w:r>
      <w:r>
        <w:rPr>
          <w:rFonts w:eastAsia="Times New Roman"/>
          <w:color w:val="000000"/>
          <w:sz w:val="16"/>
          <w:szCs w:val="16"/>
        </w:rPr>
        <w:t>.</w:t>
      </w:r>
    </w:p>
    <w:p w:rsidR="00000000" w:rsidRDefault="0016787D">
      <w:pPr>
        <w:jc w:val="center"/>
        <w:rPr>
          <w:rFonts w:eastAsia="Times New Roman"/>
        </w:rPr>
      </w:pPr>
    </w:p>
    <w:p w:rsidR="00000000" w:rsidRDefault="0016787D">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rsidR="00000000" w:rsidRDefault="0016787D">
      <w:pPr>
        <w:jc w:val="center"/>
        <w:divId w:val="1711029152"/>
        <w:rPr>
          <w:rFonts w:eastAsia="Times New Roman"/>
        </w:rPr>
      </w:pPr>
      <w:r>
        <w:rPr>
          <w:rFonts w:eastAsia="Times New Roman"/>
          <w:color w:val="000000"/>
          <w:sz w:val="20"/>
          <w:szCs w:val="20"/>
        </w:rPr>
        <w:t xml:space="preserve">Page </w:t>
      </w:r>
      <w:r>
        <w:rPr>
          <w:rFonts w:eastAsia="Times New Roman"/>
          <w:color w:val="000000"/>
          <w:sz w:val="20"/>
          <w:szCs w:val="20"/>
        </w:rPr>
        <w:t>3</w:t>
      </w:r>
    </w:p>
    <w:p w:rsidR="00000000" w:rsidRDefault="0016787D">
      <w:pPr>
        <w:rPr>
          <w:rFonts w:eastAsia="Times New Roman"/>
        </w:rPr>
      </w:pPr>
      <w:r>
        <w:rPr>
          <w:rFonts w:eastAsia="Times New Roman"/>
        </w:rPr>
        <w:pict>
          <v:rect id="_x0000_i1028" style="width:0;height:1.5pt" o:hralign="center" o:hrstd="t" o:hr="t" fillcolor="#a0a0a0" stroked="f"/>
        </w:pict>
      </w:r>
    </w:p>
    <w:p w:rsidR="00000000" w:rsidRDefault="0016787D">
      <w:pPr>
        <w:divId w:val="1377124430"/>
        <w:rPr>
          <w:rFonts w:eastAsia="Times New Roman"/>
        </w:rPr>
      </w:pPr>
      <w:hyperlink w:anchor="i4478e68e5dea442985a910e3b276f92d_7" w:history="1">
        <w:r>
          <w:rPr>
            <w:rStyle w:val="a3"/>
            <w:rFonts w:eastAsia="Times New Roman"/>
            <w:sz w:val="16"/>
            <w:szCs w:val="16"/>
          </w:rPr>
          <w:t>Index</w:t>
        </w:r>
      </w:hyperlink>
    </w:p>
    <w:p w:rsidR="00000000" w:rsidRDefault="0016787D">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16787D">
      <w:pPr>
        <w:jc w:val="center"/>
        <w:rPr>
          <w:rFonts w:eastAsia="Times New Roman"/>
        </w:rPr>
      </w:pPr>
      <w:r>
        <w:rPr>
          <w:rFonts w:eastAsia="Times New Roman"/>
          <w:b/>
          <w:bCs/>
          <w:color w:val="000000"/>
          <w:sz w:val="20"/>
          <w:szCs w:val="20"/>
        </w:rPr>
        <w:t>CONDENSED CONSOLIDATED STATEMENTS OF INCOM</w:t>
      </w:r>
      <w:r>
        <w:rPr>
          <w:rFonts w:eastAsia="Times New Roman"/>
          <w:b/>
          <w:bCs/>
          <w:color w:val="000000"/>
          <w:sz w:val="20"/>
          <w:szCs w:val="20"/>
        </w:rPr>
        <w:t>E</w:t>
      </w:r>
    </w:p>
    <w:p w:rsidR="00000000" w:rsidRDefault="0016787D">
      <w:pPr>
        <w:jc w:val="center"/>
        <w:rPr>
          <w:rFonts w:eastAsia="Times New Roman"/>
        </w:rPr>
      </w:pPr>
      <w:r>
        <w:rPr>
          <w:rFonts w:eastAsia="Times New Roman"/>
          <w:b/>
          <w:bCs/>
          <w:color w:val="000000"/>
          <w:sz w:val="20"/>
          <w:szCs w:val="20"/>
        </w:rPr>
        <w:t>(in thousands, except per share amounts</w:t>
      </w:r>
      <w:r>
        <w:rPr>
          <w:rFonts w:eastAsia="Times New Roman"/>
          <w:b/>
          <w:bCs/>
          <w:color w:val="000000"/>
          <w:sz w:val="20"/>
          <w:szCs w:val="20"/>
        </w:rPr>
        <w:t>)</w:t>
      </w:r>
    </w:p>
    <w:p w:rsidR="00000000" w:rsidRDefault="0016787D">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p w:rsidR="00000000" w:rsidRDefault="0016787D">
      <w:pPr>
        <w:divId w:val="880437789"/>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34"/>
        <w:gridCol w:w="37"/>
        <w:gridCol w:w="135"/>
        <w:gridCol w:w="865"/>
        <w:gridCol w:w="85"/>
        <w:gridCol w:w="36"/>
        <w:gridCol w:w="36"/>
        <w:gridCol w:w="36"/>
        <w:gridCol w:w="135"/>
        <w:gridCol w:w="865"/>
        <w:gridCol w:w="85"/>
        <w:gridCol w:w="36"/>
        <w:gridCol w:w="36"/>
        <w:gridCol w:w="36"/>
        <w:gridCol w:w="135"/>
        <w:gridCol w:w="865"/>
        <w:gridCol w:w="85"/>
        <w:gridCol w:w="36"/>
        <w:gridCol w:w="36"/>
        <w:gridCol w:w="36"/>
        <w:gridCol w:w="135"/>
        <w:gridCol w:w="865"/>
        <w:gridCol w:w="85"/>
        <w:gridCol w:w="36"/>
        <w:gridCol w:w="36"/>
        <w:gridCol w:w="36"/>
        <w:gridCol w:w="36"/>
        <w:gridCol w:w="36"/>
        <w:gridCol w:w="36"/>
        <w:gridCol w:w="36"/>
        <w:gridCol w:w="36"/>
        <w:gridCol w:w="36"/>
        <w:gridCol w:w="36"/>
        <w:gridCol w:w="36"/>
        <w:gridCol w:w="36"/>
      </w:tblGrid>
      <w:tr w:rsidR="00000000">
        <w:trPr>
          <w:gridAfter w:val="12"/>
          <w:divId w:val="756289933"/>
        </w:trPr>
        <w:tc>
          <w:tcPr>
            <w:tcW w:w="50" w:type="pct"/>
            <w:vAlign w:val="center"/>
            <w:hideMark/>
          </w:tcPr>
          <w:p w:rsidR="00000000" w:rsidRDefault="0016787D">
            <w:pPr>
              <w:rPr>
                <w:rFonts w:eastAsia="Times New Roman"/>
              </w:rPr>
            </w:pPr>
          </w:p>
        </w:tc>
        <w:tc>
          <w:tcPr>
            <w:tcW w:w="230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9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9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756289933"/>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9"/>
            <w:tcMar>
              <w:top w:w="30" w:type="dxa"/>
              <w:left w:w="225"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For the 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25"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For the 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756289933"/>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Net sale</w:t>
            </w:r>
            <w:r>
              <w:rPr>
                <w:rFonts w:eastAsia="Times New Roman"/>
                <w:b/>
                <w:bCs/>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3,176,327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2,353,782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5,135,515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4,176,002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Cost of merchandise sol</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2,019,514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1,533,037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3,317,453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2,740,273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Gross profi</w:t>
            </w:r>
            <w:r>
              <w:rPr>
                <w:rFonts w:eastAsia="Times New Roman"/>
                <w:b/>
                <w:bCs/>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1,156,813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820,745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1,818,062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1,435,729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Selling, general and administrative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656,520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484,190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1,153,795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949,999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52,547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48,998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103,983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94,765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Operating incom</w:t>
            </w:r>
            <w:r>
              <w:rPr>
                <w:rFonts w:eastAsia="Times New Roman"/>
                <w:b/>
                <w:bCs/>
                <w:color w:val="000000"/>
                <w:sz w:val="20"/>
                <w:szCs w:val="20"/>
              </w:rPr>
              <w:t>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447,746</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287,557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560,284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390,965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Interest expense,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8,438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13,487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10,106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Income before income taxe</w:t>
            </w:r>
            <w:r>
              <w:rPr>
                <w:rFonts w:eastAsia="Times New Roman"/>
                <w:b/>
                <w:bCs/>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439,308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282,381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546,797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380,859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Income tax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100,630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63,171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124,342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84,817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Net incom</w:t>
            </w:r>
            <w:r>
              <w:rPr>
                <w:rFonts w:eastAsia="Times New Roman"/>
                <w:b/>
                <w:bCs/>
                <w:color w:val="000000"/>
                <w:sz w:val="20"/>
                <w:szCs w:val="20"/>
              </w:rPr>
              <w:t>e</w:t>
            </w: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338,678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219,210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422,455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296,042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Height w:val="180"/>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Net income per share – basi</w:t>
            </w:r>
            <w:r>
              <w:rPr>
                <w:rFonts w:eastAsia="Times New Roman"/>
                <w:b/>
                <w:bCs/>
                <w:color w:val="000000"/>
                <w:sz w:val="20"/>
                <w:szCs w:val="20"/>
              </w:rPr>
              <w:t>c</w:t>
            </w: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lastRenderedPageBreak/>
              <w:t>Net income per share – dilute</w:t>
            </w:r>
            <w:r>
              <w:rPr>
                <w:rFonts w:eastAsia="Times New Roman"/>
                <w:b/>
                <w:bCs/>
                <w:color w:val="000000"/>
                <w:sz w:val="20"/>
                <w:szCs w:val="20"/>
              </w:rPr>
              <w:t>d</w:t>
            </w: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2.90</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2.43</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Height w:val="180"/>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Weighted average shares outstanding</w:t>
            </w: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Basi</w:t>
            </w:r>
            <w:r>
              <w:rPr>
                <w:rFonts w:eastAsia="Times New Roman"/>
                <w:color w:val="000000"/>
                <w:sz w:val="20"/>
                <w:szCs w:val="20"/>
              </w:rPr>
              <w:t>c</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115,912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120,371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116,325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120,791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Dilute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116,812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121,508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117,122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121,830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Height w:val="180"/>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5628993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Dividends declared per common share outstandin</w:t>
            </w:r>
            <w:r>
              <w:rPr>
                <w:rFonts w:eastAsia="Times New Roman"/>
                <w:b/>
                <w:bCs/>
                <w:color w:val="000000"/>
                <w:sz w:val="20"/>
                <w:szCs w:val="20"/>
              </w:rPr>
              <w:t>g</w:t>
            </w: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0.70</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0.66</w:t>
            </w:r>
            <w:r>
              <w:rPr>
                <w:rFonts w:eastAsia="Times New Roman"/>
                <w:color w:val="000000"/>
                <w:sz w:val="20"/>
                <w:szCs w:val="20"/>
              </w:rPr>
              <w:t> </w:t>
            </w:r>
          </w:p>
        </w:tc>
        <w:tc>
          <w:tcPr>
            <w:tcW w:w="0" w:type="auto"/>
            <w:tcBorders>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center"/>
        <w:rPr>
          <w:rFonts w:eastAsia="Times New Roman"/>
        </w:rPr>
      </w:pPr>
    </w:p>
    <w:p w:rsidR="00000000" w:rsidRDefault="0016787D">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rsidR="00000000" w:rsidRDefault="0016787D">
      <w:pPr>
        <w:jc w:val="center"/>
        <w:divId w:val="1646857699"/>
        <w:rPr>
          <w:rFonts w:eastAsia="Times New Roman"/>
        </w:rPr>
      </w:pPr>
      <w:r>
        <w:rPr>
          <w:rFonts w:eastAsia="Times New Roman"/>
          <w:color w:val="000000"/>
          <w:sz w:val="20"/>
          <w:szCs w:val="20"/>
        </w:rPr>
        <w:t xml:space="preserve">Page </w:t>
      </w:r>
      <w:r>
        <w:rPr>
          <w:rFonts w:eastAsia="Times New Roman"/>
          <w:color w:val="000000"/>
          <w:sz w:val="20"/>
          <w:szCs w:val="20"/>
        </w:rPr>
        <w:t>4</w:t>
      </w:r>
    </w:p>
    <w:p w:rsidR="00000000" w:rsidRDefault="0016787D">
      <w:pPr>
        <w:rPr>
          <w:rFonts w:eastAsia="Times New Roman"/>
        </w:rPr>
      </w:pPr>
      <w:r>
        <w:rPr>
          <w:rFonts w:eastAsia="Times New Roman"/>
        </w:rPr>
        <w:pict>
          <v:rect id="_x0000_i1029" style="width:0;height:1.5pt" o:hralign="center" o:hrstd="t" o:hr="t" fillcolor="#a0a0a0" stroked="f"/>
        </w:pict>
      </w:r>
    </w:p>
    <w:p w:rsidR="00000000" w:rsidRDefault="0016787D">
      <w:pPr>
        <w:divId w:val="495728465"/>
        <w:rPr>
          <w:rFonts w:eastAsia="Times New Roman"/>
        </w:rPr>
      </w:pPr>
      <w:hyperlink w:anchor="i4478e68e5dea442985a910e3b276f92d_7" w:history="1">
        <w:r>
          <w:rPr>
            <w:rStyle w:val="a3"/>
            <w:rFonts w:eastAsia="Times New Roman"/>
            <w:sz w:val="16"/>
            <w:szCs w:val="16"/>
          </w:rPr>
          <w:t>Index</w:t>
        </w:r>
      </w:hyperlink>
    </w:p>
    <w:p w:rsidR="00000000" w:rsidRDefault="0016787D">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16787D">
      <w:pPr>
        <w:jc w:val="center"/>
        <w:rPr>
          <w:rFonts w:eastAsia="Times New Roman"/>
        </w:rPr>
      </w:pPr>
      <w:r>
        <w:rPr>
          <w:rFonts w:eastAsia="Times New Roman"/>
          <w:b/>
          <w:bCs/>
          <w:color w:val="000000"/>
          <w:sz w:val="20"/>
          <w:szCs w:val="20"/>
        </w:rPr>
        <w:t>CONDENSED CONSOLIDATED STATEMENTS OF COMPREHENSIVE INCOM</w:t>
      </w:r>
      <w:r>
        <w:rPr>
          <w:rFonts w:eastAsia="Times New Roman"/>
          <w:b/>
          <w:bCs/>
          <w:color w:val="000000"/>
          <w:sz w:val="20"/>
          <w:szCs w:val="20"/>
        </w:rPr>
        <w:t>E</w:t>
      </w:r>
    </w:p>
    <w:p w:rsidR="00000000" w:rsidRDefault="0016787D">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rsidR="00000000" w:rsidRDefault="0016787D">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p w:rsidR="00000000" w:rsidRDefault="0016787D">
      <w:pPr>
        <w:divId w:val="4906099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734"/>
        <w:gridCol w:w="37"/>
        <w:gridCol w:w="135"/>
        <w:gridCol w:w="715"/>
        <w:gridCol w:w="85"/>
        <w:gridCol w:w="36"/>
        <w:gridCol w:w="36"/>
        <w:gridCol w:w="36"/>
        <w:gridCol w:w="135"/>
        <w:gridCol w:w="715"/>
        <w:gridCol w:w="85"/>
        <w:gridCol w:w="36"/>
        <w:gridCol w:w="36"/>
        <w:gridCol w:w="36"/>
        <w:gridCol w:w="135"/>
        <w:gridCol w:w="715"/>
        <w:gridCol w:w="85"/>
        <w:gridCol w:w="36"/>
        <w:gridCol w:w="36"/>
        <w:gridCol w:w="36"/>
        <w:gridCol w:w="135"/>
        <w:gridCol w:w="715"/>
        <w:gridCol w:w="85"/>
        <w:gridCol w:w="36"/>
        <w:gridCol w:w="36"/>
        <w:gridCol w:w="36"/>
        <w:gridCol w:w="36"/>
        <w:gridCol w:w="36"/>
        <w:gridCol w:w="36"/>
        <w:gridCol w:w="36"/>
        <w:gridCol w:w="36"/>
        <w:gridCol w:w="36"/>
        <w:gridCol w:w="36"/>
        <w:gridCol w:w="36"/>
        <w:gridCol w:w="36"/>
      </w:tblGrid>
      <w:tr w:rsidR="00000000">
        <w:trPr>
          <w:gridAfter w:val="12"/>
          <w:divId w:val="1975912083"/>
        </w:trPr>
        <w:tc>
          <w:tcPr>
            <w:tcW w:w="50" w:type="pct"/>
            <w:vAlign w:val="center"/>
            <w:hideMark/>
          </w:tcPr>
          <w:p w:rsidR="00000000" w:rsidRDefault="0016787D">
            <w:pPr>
              <w:rPr>
                <w:rFonts w:eastAsia="Times New Roman"/>
              </w:rPr>
            </w:pPr>
          </w:p>
        </w:tc>
        <w:tc>
          <w:tcPr>
            <w:tcW w:w="253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9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9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4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975912083"/>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For the 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For the 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975912083"/>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7591208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338,678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219,210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422,455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296,042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75912083"/>
          <w:trHeight w:val="180"/>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7591208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Other comprehensive loss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75912083"/>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Change in fair value of interest rate swaps, net of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(1,284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(2,185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(6,534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(3,649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75912083"/>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other comprehensive los</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(1,284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(2,185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(6,534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(3,649</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75912083"/>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Total comprehensive incom</w:t>
            </w:r>
            <w:r>
              <w:rPr>
                <w:rFonts w:eastAsia="Times New Roman"/>
                <w:b/>
                <w:bCs/>
                <w:color w:val="000000"/>
                <w:sz w:val="20"/>
                <w:szCs w:val="20"/>
              </w:rPr>
              <w:t>e</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337,394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217,025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415,921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292,393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divId w:val="1129981818"/>
        <w:rPr>
          <w:rFonts w:eastAsia="Times New Roman"/>
        </w:rPr>
      </w:pPr>
    </w:p>
    <w:p w:rsidR="00000000" w:rsidRDefault="0016787D">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p>
    <w:p w:rsidR="00000000" w:rsidRDefault="0016787D">
      <w:pPr>
        <w:jc w:val="center"/>
        <w:divId w:val="2098138080"/>
        <w:rPr>
          <w:rFonts w:eastAsia="Times New Roman"/>
        </w:rPr>
      </w:pPr>
      <w:r>
        <w:rPr>
          <w:rFonts w:eastAsia="Times New Roman"/>
          <w:color w:val="000000"/>
          <w:sz w:val="20"/>
          <w:szCs w:val="20"/>
        </w:rPr>
        <w:t xml:space="preserve">Page </w:t>
      </w:r>
      <w:r>
        <w:rPr>
          <w:rFonts w:eastAsia="Times New Roman"/>
          <w:color w:val="000000"/>
          <w:sz w:val="20"/>
          <w:szCs w:val="20"/>
        </w:rPr>
        <w:t>5</w:t>
      </w:r>
    </w:p>
    <w:p w:rsidR="00000000" w:rsidRDefault="0016787D">
      <w:pPr>
        <w:rPr>
          <w:rFonts w:eastAsia="Times New Roman"/>
        </w:rPr>
      </w:pPr>
      <w:r>
        <w:rPr>
          <w:rFonts w:eastAsia="Times New Roman"/>
        </w:rPr>
        <w:pict>
          <v:rect id="_x0000_i1030" style="width:0;height:1.5pt" o:hralign="center" o:hrstd="t" o:hr="t" fillcolor="#a0a0a0" stroked="f"/>
        </w:pict>
      </w:r>
    </w:p>
    <w:p w:rsidR="00000000" w:rsidRDefault="0016787D">
      <w:pPr>
        <w:divId w:val="2021005377"/>
        <w:rPr>
          <w:rFonts w:eastAsia="Times New Roman"/>
        </w:rPr>
      </w:pPr>
      <w:hyperlink w:anchor="i4478e68e5dea442985a910e3b276f92d_7" w:history="1">
        <w:r>
          <w:rPr>
            <w:rStyle w:val="a3"/>
            <w:rFonts w:eastAsia="Times New Roman"/>
            <w:sz w:val="16"/>
            <w:szCs w:val="16"/>
          </w:rPr>
          <w:t>Index</w:t>
        </w:r>
      </w:hyperlink>
    </w:p>
    <w:p w:rsidR="00000000" w:rsidRDefault="0016787D">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16787D">
      <w:pPr>
        <w:jc w:val="center"/>
        <w:rPr>
          <w:rFonts w:eastAsia="Times New Roman"/>
        </w:rPr>
      </w:pPr>
      <w:r>
        <w:rPr>
          <w:rFonts w:eastAsia="Times New Roman"/>
          <w:b/>
          <w:bCs/>
          <w:color w:val="000000"/>
          <w:sz w:val="20"/>
          <w:szCs w:val="20"/>
        </w:rPr>
        <w:t>C</w:t>
      </w:r>
      <w:r>
        <w:rPr>
          <w:rFonts w:eastAsia="Times New Roman"/>
          <w:b/>
          <w:bCs/>
          <w:color w:val="000000"/>
          <w:sz w:val="20"/>
          <w:szCs w:val="20"/>
        </w:rPr>
        <w:t>ONDENSED CONSOLIDATED STATEMENTS OF STOCKHOLDERS’ EQUIT</w:t>
      </w:r>
      <w:r>
        <w:rPr>
          <w:rFonts w:eastAsia="Times New Roman"/>
          <w:b/>
          <w:bCs/>
          <w:color w:val="000000"/>
          <w:sz w:val="20"/>
          <w:szCs w:val="20"/>
        </w:rPr>
        <w:t>Y</w:t>
      </w:r>
    </w:p>
    <w:p w:rsidR="00000000" w:rsidRDefault="0016787D">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rsidR="00000000" w:rsidRDefault="0016787D">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24"/>
        <w:gridCol w:w="38"/>
        <w:gridCol w:w="96"/>
        <w:gridCol w:w="554"/>
        <w:gridCol w:w="80"/>
        <w:gridCol w:w="78"/>
        <w:gridCol w:w="406"/>
        <w:gridCol w:w="77"/>
        <w:gridCol w:w="125"/>
        <w:gridCol w:w="465"/>
        <w:gridCol w:w="80"/>
        <w:gridCol w:w="84"/>
        <w:gridCol w:w="433"/>
        <w:gridCol w:w="83"/>
        <w:gridCol w:w="125"/>
        <w:gridCol w:w="780"/>
        <w:gridCol w:w="80"/>
        <w:gridCol w:w="36"/>
        <w:gridCol w:w="36"/>
        <w:gridCol w:w="36"/>
        <w:gridCol w:w="125"/>
        <w:gridCol w:w="855"/>
        <w:gridCol w:w="80"/>
        <w:gridCol w:w="36"/>
        <w:gridCol w:w="36"/>
        <w:gridCol w:w="36"/>
        <w:gridCol w:w="126"/>
        <w:gridCol w:w="597"/>
        <w:gridCol w:w="80"/>
        <w:gridCol w:w="36"/>
        <w:gridCol w:w="36"/>
        <w:gridCol w:w="36"/>
        <w:gridCol w:w="126"/>
        <w:gridCol w:w="899"/>
        <w:gridCol w:w="115"/>
        <w:gridCol w:w="36"/>
        <w:gridCol w:w="36"/>
        <w:gridCol w:w="36"/>
        <w:gridCol w:w="125"/>
        <w:gridCol w:w="780"/>
        <w:gridCol w:w="80"/>
        <w:gridCol w:w="36"/>
        <w:gridCol w:w="36"/>
        <w:gridCol w:w="36"/>
        <w:gridCol w:w="367"/>
        <w:gridCol w:w="367"/>
        <w:gridCol w:w="367"/>
        <w:gridCol w:w="36"/>
        <w:gridCol w:w="36"/>
        <w:gridCol w:w="36"/>
        <w:gridCol w:w="36"/>
        <w:gridCol w:w="36"/>
        <w:gridCol w:w="36"/>
        <w:gridCol w:w="36"/>
        <w:gridCol w:w="36"/>
        <w:gridCol w:w="36"/>
        <w:gridCol w:w="36"/>
        <w:gridCol w:w="36"/>
        <w:gridCol w:w="36"/>
        <w:gridCol w:w="36"/>
        <w:gridCol w:w="36"/>
        <w:gridCol w:w="36"/>
      </w:tblGrid>
      <w:tr w:rsidR="00000000">
        <w:trPr>
          <w:gridAfter w:val="21"/>
          <w:divId w:val="388116245"/>
          <w:jc w:val="center"/>
        </w:trPr>
        <w:tc>
          <w:tcPr>
            <w:tcW w:w="50" w:type="pct"/>
            <w:vAlign w:val="center"/>
            <w:hideMark/>
          </w:tcPr>
          <w:p w:rsidR="00000000" w:rsidRDefault="0016787D">
            <w:pPr>
              <w:jc w:val="center"/>
              <w:rPr>
                <w:rFonts w:eastAsia="Times New Roman"/>
              </w:rPr>
            </w:pPr>
          </w:p>
        </w:tc>
        <w:tc>
          <w:tcPr>
            <w:tcW w:w="131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28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28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1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gridAfter w:val="15"/>
          <w:divId w:val="388116245"/>
          <w:jc w:val="center"/>
        </w:trPr>
        <w:tc>
          <w:tcPr>
            <w:tcW w:w="0" w:type="auto"/>
            <w:gridSpan w:val="3"/>
            <w:vMerge w:val="restart"/>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Common Stoc</w:t>
            </w:r>
            <w:r>
              <w:rPr>
                <w:rFonts w:eastAsia="Times New Roman"/>
                <w:b/>
                <w:bCs/>
                <w:color w:val="000000"/>
                <w:sz w:val="18"/>
                <w:szCs w:val="18"/>
              </w:rPr>
              <w:t>k</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Merge w:val="restart"/>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Additiona</w:t>
            </w:r>
            <w:r>
              <w:rPr>
                <w:rFonts w:eastAsia="Times New Roman"/>
                <w:b/>
                <w:bCs/>
                <w:color w:val="000000"/>
                <w:sz w:val="18"/>
                <w:szCs w:val="18"/>
              </w:rPr>
              <w:t>l</w:t>
            </w:r>
          </w:p>
          <w:p w:rsidR="00000000" w:rsidRDefault="0016787D">
            <w:pPr>
              <w:jc w:val="center"/>
              <w:rPr>
                <w:rFonts w:eastAsia="Times New Roman"/>
              </w:rPr>
            </w:pPr>
            <w:r>
              <w:rPr>
                <w:rFonts w:eastAsia="Times New Roman"/>
                <w:b/>
                <w:bCs/>
                <w:color w:val="000000"/>
                <w:sz w:val="18"/>
                <w:szCs w:val="18"/>
              </w:rPr>
              <w:t>Paid-i</w:t>
            </w:r>
            <w:r>
              <w:rPr>
                <w:rFonts w:eastAsia="Times New Roman"/>
                <w:b/>
                <w:bCs/>
                <w:color w:val="000000"/>
                <w:sz w:val="18"/>
                <w:szCs w:val="18"/>
              </w:rPr>
              <w:t>n</w:t>
            </w:r>
          </w:p>
          <w:p w:rsidR="00000000" w:rsidRDefault="0016787D">
            <w:pPr>
              <w:jc w:val="center"/>
              <w:rPr>
                <w:rFonts w:eastAsia="Times New Roman"/>
              </w:rPr>
            </w:pPr>
            <w:r>
              <w:rPr>
                <w:rFonts w:eastAsia="Times New Roman"/>
                <w:b/>
                <w:bCs/>
                <w:color w:val="000000"/>
                <w:sz w:val="18"/>
                <w:szCs w:val="18"/>
              </w:rPr>
              <w:t>Capita</w:t>
            </w:r>
            <w:r>
              <w:rPr>
                <w:rFonts w:eastAsia="Times New Roman"/>
                <w:b/>
                <w:bCs/>
                <w:color w:val="000000"/>
                <w:sz w:val="18"/>
                <w:szCs w:val="18"/>
              </w:rPr>
              <w:t>l</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Treasur</w:t>
            </w:r>
            <w:r>
              <w:rPr>
                <w:rFonts w:eastAsia="Times New Roman"/>
                <w:b/>
                <w:bCs/>
                <w:color w:val="000000"/>
                <w:sz w:val="18"/>
                <w:szCs w:val="18"/>
              </w:rPr>
              <w:t>y</w:t>
            </w:r>
          </w:p>
          <w:p w:rsidR="00000000" w:rsidRDefault="0016787D">
            <w:pPr>
              <w:jc w:val="center"/>
              <w:rPr>
                <w:rFonts w:eastAsia="Times New Roman"/>
              </w:rPr>
            </w:pPr>
            <w:r>
              <w:rPr>
                <w:rFonts w:eastAsia="Times New Roman"/>
                <w:b/>
                <w:bCs/>
                <w:color w:val="000000"/>
                <w:sz w:val="18"/>
                <w:szCs w:val="18"/>
              </w:rPr>
              <w:t>Stoc</w:t>
            </w:r>
            <w:r>
              <w:rPr>
                <w:rFonts w:eastAsia="Times New Roman"/>
                <w:b/>
                <w:bCs/>
                <w:color w:val="000000"/>
                <w:sz w:val="18"/>
                <w:szCs w:val="18"/>
              </w:rPr>
              <w:t>k</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Accum. Other Comp. Income/(Loss</w:t>
            </w:r>
            <w:r>
              <w:rPr>
                <w:rFonts w:eastAsia="Times New Roman"/>
                <w:b/>
                <w:bCs/>
                <w:color w:val="000000"/>
                <w:sz w:val="18"/>
                <w:szCs w:val="18"/>
              </w:rPr>
              <w:t>)</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Retaine</w:t>
            </w:r>
            <w:r>
              <w:rPr>
                <w:rFonts w:eastAsia="Times New Roman"/>
                <w:b/>
                <w:bCs/>
                <w:color w:val="000000"/>
                <w:sz w:val="18"/>
                <w:szCs w:val="18"/>
              </w:rPr>
              <w:t>d</w:t>
            </w:r>
          </w:p>
          <w:p w:rsidR="00000000" w:rsidRDefault="0016787D">
            <w:pPr>
              <w:jc w:val="center"/>
              <w:rPr>
                <w:rFonts w:eastAsia="Times New Roman"/>
              </w:rPr>
            </w:pPr>
            <w:r>
              <w:rPr>
                <w:rFonts w:eastAsia="Times New Roman"/>
                <w:b/>
                <w:bCs/>
                <w:color w:val="000000"/>
                <w:sz w:val="18"/>
                <w:szCs w:val="18"/>
              </w:rPr>
              <w:t>Earning</w:t>
            </w:r>
            <w:r>
              <w:rPr>
                <w:rFonts w:eastAsia="Times New Roman"/>
                <w:b/>
                <w:bCs/>
                <w:color w:val="000000"/>
                <w:sz w:val="18"/>
                <w:szCs w:val="18"/>
              </w:rPr>
              <w:t>s</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p w:rsidR="00000000" w:rsidRDefault="0016787D">
            <w:pPr>
              <w:jc w:val="center"/>
              <w:rPr>
                <w:rFonts w:eastAsia="Times New Roman"/>
              </w:rPr>
            </w:pPr>
            <w:r>
              <w:rPr>
                <w:rFonts w:eastAsia="Times New Roman"/>
                <w:b/>
                <w:bCs/>
                <w:color w:val="000000"/>
                <w:sz w:val="18"/>
                <w:szCs w:val="18"/>
              </w:rPr>
              <w:t>Stockholders</w:t>
            </w:r>
            <w:r>
              <w:rPr>
                <w:rFonts w:eastAsia="Times New Roman"/>
                <w:b/>
                <w:bCs/>
                <w:color w:val="000000"/>
                <w:sz w:val="18"/>
                <w:szCs w:val="18"/>
              </w:rPr>
              <w:t>’</w:t>
            </w:r>
          </w:p>
          <w:p w:rsidR="00000000" w:rsidRDefault="0016787D">
            <w:pPr>
              <w:jc w:val="center"/>
              <w:rPr>
                <w:rFonts w:eastAsia="Times New Roman"/>
              </w:rPr>
            </w:pPr>
            <w:r>
              <w:rPr>
                <w:rFonts w:eastAsia="Times New Roman"/>
                <w:b/>
                <w:bCs/>
                <w:color w:val="000000"/>
                <w:sz w:val="18"/>
                <w:szCs w:val="18"/>
              </w:rPr>
              <w:t>Equit</w:t>
            </w:r>
            <w:r>
              <w:rPr>
                <w:rFonts w:eastAsia="Times New Roman"/>
                <w:b/>
                <w:bCs/>
                <w:color w:val="000000"/>
                <w:sz w:val="18"/>
                <w:szCs w:val="18"/>
              </w:rPr>
              <w:t>y</w:t>
            </w:r>
          </w:p>
        </w:tc>
      </w:tr>
      <w:tr w:rsidR="00000000">
        <w:trPr>
          <w:divId w:val="388116245"/>
          <w:jc w:val="center"/>
        </w:trPr>
        <w:tc>
          <w:tcPr>
            <w:tcW w:w="0" w:type="auto"/>
            <w:gridSpan w:val="3"/>
            <w:vMerge/>
            <w:vAlign w:val="center"/>
            <w:hideMark/>
          </w:tcPr>
          <w:p w:rsidR="00000000" w:rsidRDefault="0016787D">
            <w:pPr>
              <w:rPr>
                <w:rFonts w:eastAsia="Times New Roman"/>
              </w:rPr>
            </w:pPr>
          </w:p>
        </w:tc>
        <w:tc>
          <w:tcPr>
            <w:tcW w:w="0" w:type="auto"/>
            <w:gridSpan w:val="3"/>
            <w:vAlign w:val="center"/>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Share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Dollar</w:t>
            </w:r>
            <w:r>
              <w:rPr>
                <w:rFonts w:eastAsia="Times New Roman"/>
                <w:b/>
                <w:bCs/>
                <w:color w:val="000000"/>
                <w:sz w:val="18"/>
                <w:szCs w:val="18"/>
              </w:rPr>
              <w:t>s</w:t>
            </w:r>
          </w:p>
        </w:tc>
        <w:tc>
          <w:tcPr>
            <w:tcW w:w="0" w:type="auto"/>
            <w:gridSpan w:val="3"/>
            <w:vAlign w:val="center"/>
            <w:hideMark/>
          </w:tcPr>
          <w:p w:rsidR="00000000" w:rsidRDefault="0016787D">
            <w:pPr>
              <w:jc w:val="center"/>
              <w:rPr>
                <w:rFonts w:eastAsia="Times New Roman"/>
              </w:rPr>
            </w:pPr>
          </w:p>
        </w:tc>
        <w:tc>
          <w:tcPr>
            <w:tcW w:w="0" w:type="auto"/>
            <w:gridSpan w:val="3"/>
            <w:vMerge/>
            <w:vAlign w:val="center"/>
            <w:hideMark/>
          </w:tcPr>
          <w:p w:rsidR="00000000" w:rsidRDefault="0016787D">
            <w:pPr>
              <w:rPr>
                <w:rFonts w:eastAsia="Times New Roman"/>
                <w:sz w:val="20"/>
                <w:szCs w:val="20"/>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2"/>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16787D">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28, 201</w:t>
            </w:r>
            <w:r>
              <w:rPr>
                <w:rFonts w:eastAsia="Times New Roman"/>
                <w:b/>
                <w:bCs/>
                <w:color w:val="000000"/>
                <w:sz w:val="18"/>
                <w:szCs w:val="18"/>
              </w:rPr>
              <w:t>9</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118,165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1,389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966,698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(3,013,996</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199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3,612,833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1,567,123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ind w:hanging="180"/>
              <w:divId w:val="1241716212"/>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280</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10,601</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10,603</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lastRenderedPageBreak/>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6,945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6,945</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ind w:hanging="180"/>
              <w:divId w:val="850217672"/>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(5,407</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(5,407</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1812020986"/>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(2,853</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(263,219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(263,219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(40,849</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(40,849</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342901028"/>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(5,250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(5,250</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83,777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83,777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16787D">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18"/>
                <w:szCs w:val="18"/>
              </w:rPr>
              <w:t xml:space="preserve">Stockholders’ </w:t>
            </w:r>
            <w:r>
              <w:rPr>
                <w:rFonts w:eastAsia="Times New Roman"/>
                <w:b/>
                <w:bCs/>
                <w:color w:val="000000"/>
                <w:sz w:val="18"/>
                <w:szCs w:val="18"/>
              </w:rPr>
              <w:t xml:space="preserve">equity at </w:t>
            </w:r>
            <w:r>
              <w:rPr>
                <w:rFonts w:eastAsia="Times New Roman"/>
                <w:b/>
                <w:bCs/>
                <w:color w:val="000000"/>
                <w:sz w:val="18"/>
                <w:szCs w:val="18"/>
              </w:rPr>
              <w:br/>
              <w:t>March 28, 202</w:t>
            </w:r>
            <w:r>
              <w:rPr>
                <w:rFonts w:eastAsia="Times New Roman"/>
                <w:b/>
                <w:bCs/>
                <w:color w:val="000000"/>
                <w:sz w:val="18"/>
                <w:szCs w:val="18"/>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115,592</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1,391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978,837</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(3,277,215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(5,051</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3,655,761</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1,353,723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trHeight w:val="100"/>
          <w:jc w:val="center"/>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ind w:hanging="180"/>
              <w:divId w:val="565839445"/>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588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39,732</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39,737</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7,504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7,504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ind w:hanging="180"/>
              <w:divId w:val="2056738502"/>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(1,984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(1,984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18511924"/>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(40,644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(40,644</w:t>
            </w:r>
            <w:r>
              <w:rPr>
                <w:rFonts w:eastAsia="Times New Roman"/>
                <w:color w:val="000000"/>
                <w:sz w:val="18"/>
                <w:szCs w:val="18"/>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496115549"/>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(1,284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(1,284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338,678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338,678</w:t>
            </w:r>
            <w:r>
              <w:rPr>
                <w:rFonts w:eastAsia="Times New Roman"/>
                <w:color w:val="000000"/>
                <w:sz w:val="18"/>
                <w:szCs w:val="18"/>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16787D">
        <w:trPr>
          <w:divId w:val="38811624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June 27, 202</w:t>
            </w:r>
            <w:r>
              <w:rPr>
                <w:rFonts w:eastAsia="Times New Roman"/>
                <w:b/>
                <w:bCs/>
                <w:color w:val="000000"/>
                <w:sz w:val="18"/>
                <w:szCs w:val="18"/>
              </w:rPr>
              <w:t>0</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116,180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1,396</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1,024,089</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(3,277,215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(6,335</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3,953,795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1,695,730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trHeight w:val="100"/>
          <w:jc w:val="center"/>
        </w:trPr>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88116245"/>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center"/>
        <w:rPr>
          <w:rFonts w:eastAsia="Times New Roman"/>
        </w:rPr>
      </w:pPr>
    </w:p>
    <w:p w:rsidR="00000000" w:rsidRDefault="0016787D">
      <w:pPr>
        <w:divId w:val="1547060999"/>
        <w:rPr>
          <w:rFonts w:eastAsia="Times New Roman"/>
        </w:rPr>
      </w:pPr>
    </w:p>
    <w:p w:rsidR="00000000" w:rsidRDefault="0016787D">
      <w:pPr>
        <w:divId w:val="2146654557"/>
        <w:rPr>
          <w:rFonts w:eastAsia="Times New Roman"/>
        </w:rPr>
      </w:pPr>
    </w:p>
    <w:p w:rsidR="00000000" w:rsidRDefault="0016787D">
      <w:pPr>
        <w:divId w:val="1674601612"/>
        <w:rPr>
          <w:rFonts w:eastAsia="Times New Roman"/>
        </w:rPr>
      </w:pPr>
    </w:p>
    <w:p w:rsidR="00000000" w:rsidRDefault="0016787D">
      <w:pPr>
        <w:jc w:val="center"/>
        <w:divId w:val="1968582250"/>
        <w:rPr>
          <w:rFonts w:eastAsia="Times New Roman"/>
        </w:rPr>
      </w:pPr>
      <w:r>
        <w:rPr>
          <w:rFonts w:eastAsia="Times New Roman"/>
          <w:color w:val="000000"/>
          <w:sz w:val="20"/>
          <w:szCs w:val="20"/>
        </w:rPr>
        <w:t xml:space="preserve">Page </w:t>
      </w:r>
      <w:r>
        <w:rPr>
          <w:rFonts w:eastAsia="Times New Roman"/>
          <w:color w:val="000000"/>
          <w:sz w:val="20"/>
          <w:szCs w:val="20"/>
        </w:rPr>
        <w:t>6</w:t>
      </w:r>
    </w:p>
    <w:p w:rsidR="00000000" w:rsidRDefault="0016787D">
      <w:pPr>
        <w:rPr>
          <w:rFonts w:eastAsia="Times New Roman"/>
        </w:rPr>
      </w:pPr>
      <w:r>
        <w:rPr>
          <w:rFonts w:eastAsia="Times New Roman"/>
        </w:rPr>
        <w:pict>
          <v:rect id="_x0000_i1031" style="width:0;height:1.5pt" o:hralign="center" o:hrstd="t" o:hr="t" fillcolor="#a0a0a0" stroked="f"/>
        </w:pict>
      </w:r>
    </w:p>
    <w:p w:rsidR="00000000" w:rsidRDefault="0016787D">
      <w:pPr>
        <w:divId w:val="70279908"/>
        <w:rPr>
          <w:rFonts w:eastAsia="Times New Roman"/>
        </w:rPr>
      </w:pPr>
      <w:hyperlink w:anchor="i4478e68e5dea442985a910e3b276f92d_7" w:history="1">
        <w:r>
          <w:rPr>
            <w:rStyle w:val="a3"/>
            <w:rFonts w:eastAsia="Times New Roman"/>
            <w:sz w:val="16"/>
            <w:szCs w:val="16"/>
          </w:rPr>
          <w:t>Index</w:t>
        </w:r>
      </w:hyperlink>
    </w:p>
    <w:tbl>
      <w:tblPr>
        <w:tblW w:w="4978" w:type="pct"/>
        <w:jc w:val="center"/>
        <w:tblCellMar>
          <w:top w:w="15" w:type="dxa"/>
          <w:left w:w="15" w:type="dxa"/>
          <w:bottom w:w="15" w:type="dxa"/>
          <w:right w:w="15" w:type="dxa"/>
        </w:tblCellMar>
        <w:tblLook w:val="04A0" w:firstRow="1" w:lastRow="0" w:firstColumn="1" w:lastColumn="0" w:noHBand="0" w:noVBand="1"/>
      </w:tblPr>
      <w:tblGrid>
        <w:gridCol w:w="39"/>
        <w:gridCol w:w="1024"/>
        <w:gridCol w:w="38"/>
        <w:gridCol w:w="96"/>
        <w:gridCol w:w="554"/>
        <w:gridCol w:w="80"/>
        <w:gridCol w:w="78"/>
        <w:gridCol w:w="406"/>
        <w:gridCol w:w="77"/>
        <w:gridCol w:w="125"/>
        <w:gridCol w:w="465"/>
        <w:gridCol w:w="80"/>
        <w:gridCol w:w="84"/>
        <w:gridCol w:w="433"/>
        <w:gridCol w:w="83"/>
        <w:gridCol w:w="125"/>
        <w:gridCol w:w="645"/>
        <w:gridCol w:w="80"/>
        <w:gridCol w:w="36"/>
        <w:gridCol w:w="36"/>
        <w:gridCol w:w="36"/>
        <w:gridCol w:w="125"/>
        <w:gridCol w:w="855"/>
        <w:gridCol w:w="80"/>
        <w:gridCol w:w="36"/>
        <w:gridCol w:w="36"/>
        <w:gridCol w:w="36"/>
        <w:gridCol w:w="126"/>
        <w:gridCol w:w="597"/>
        <w:gridCol w:w="80"/>
        <w:gridCol w:w="36"/>
        <w:gridCol w:w="36"/>
        <w:gridCol w:w="36"/>
        <w:gridCol w:w="125"/>
        <w:gridCol w:w="780"/>
        <w:gridCol w:w="80"/>
        <w:gridCol w:w="36"/>
        <w:gridCol w:w="36"/>
        <w:gridCol w:w="36"/>
        <w:gridCol w:w="125"/>
        <w:gridCol w:w="780"/>
        <w:gridCol w:w="80"/>
        <w:gridCol w:w="36"/>
        <w:gridCol w:w="36"/>
        <w:gridCol w:w="36"/>
        <w:gridCol w:w="367"/>
        <w:gridCol w:w="367"/>
        <w:gridCol w:w="367"/>
        <w:gridCol w:w="36"/>
        <w:gridCol w:w="36"/>
        <w:gridCol w:w="36"/>
        <w:gridCol w:w="36"/>
        <w:gridCol w:w="36"/>
        <w:gridCol w:w="36"/>
        <w:gridCol w:w="36"/>
        <w:gridCol w:w="36"/>
        <w:gridCol w:w="36"/>
        <w:gridCol w:w="36"/>
        <w:gridCol w:w="36"/>
        <w:gridCol w:w="36"/>
        <w:gridCol w:w="36"/>
        <w:gridCol w:w="36"/>
        <w:gridCol w:w="36"/>
      </w:tblGrid>
      <w:tr w:rsidR="00000000">
        <w:trPr>
          <w:gridAfter w:val="21"/>
          <w:divId w:val="1940796697"/>
          <w:jc w:val="center"/>
        </w:trPr>
        <w:tc>
          <w:tcPr>
            <w:tcW w:w="50" w:type="pct"/>
            <w:vAlign w:val="center"/>
            <w:hideMark/>
          </w:tcPr>
          <w:p w:rsidR="00000000" w:rsidRDefault="0016787D">
            <w:pPr>
              <w:rPr>
                <w:rFonts w:eastAsia="Times New Roman"/>
              </w:rPr>
            </w:pPr>
          </w:p>
        </w:tc>
        <w:tc>
          <w:tcPr>
            <w:tcW w:w="131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28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28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1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gridAfter w:val="15"/>
          <w:divId w:val="1940796697"/>
          <w:jc w:val="center"/>
        </w:trPr>
        <w:tc>
          <w:tcPr>
            <w:tcW w:w="0" w:type="auto"/>
            <w:gridSpan w:val="3"/>
            <w:vMerge w:val="restart"/>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 </w:t>
            </w: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Common Stoc</w:t>
            </w:r>
            <w:r>
              <w:rPr>
                <w:rFonts w:eastAsia="Times New Roman"/>
                <w:b/>
                <w:bCs/>
                <w:color w:val="000000"/>
                <w:sz w:val="18"/>
                <w:szCs w:val="18"/>
              </w:rPr>
              <w:t>k</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Merge w:val="restart"/>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Additiona</w:t>
            </w:r>
            <w:r>
              <w:rPr>
                <w:rFonts w:eastAsia="Times New Roman"/>
                <w:b/>
                <w:bCs/>
                <w:color w:val="000000"/>
                <w:sz w:val="18"/>
                <w:szCs w:val="18"/>
              </w:rPr>
              <w:t>l</w:t>
            </w:r>
          </w:p>
          <w:p w:rsidR="00000000" w:rsidRDefault="0016787D">
            <w:pPr>
              <w:jc w:val="center"/>
              <w:rPr>
                <w:rFonts w:eastAsia="Times New Roman"/>
              </w:rPr>
            </w:pPr>
            <w:r>
              <w:rPr>
                <w:rFonts w:eastAsia="Times New Roman"/>
                <w:b/>
                <w:bCs/>
                <w:color w:val="000000"/>
                <w:sz w:val="18"/>
                <w:szCs w:val="18"/>
              </w:rPr>
              <w:t>Paid-i</w:t>
            </w:r>
            <w:r>
              <w:rPr>
                <w:rFonts w:eastAsia="Times New Roman"/>
                <w:b/>
                <w:bCs/>
                <w:color w:val="000000"/>
                <w:sz w:val="18"/>
                <w:szCs w:val="18"/>
              </w:rPr>
              <w:t>n</w:t>
            </w:r>
          </w:p>
          <w:p w:rsidR="00000000" w:rsidRDefault="0016787D">
            <w:pPr>
              <w:jc w:val="center"/>
              <w:rPr>
                <w:rFonts w:eastAsia="Times New Roman"/>
              </w:rPr>
            </w:pPr>
            <w:r>
              <w:rPr>
                <w:rFonts w:eastAsia="Times New Roman"/>
                <w:b/>
                <w:bCs/>
                <w:color w:val="000000"/>
                <w:sz w:val="18"/>
                <w:szCs w:val="18"/>
              </w:rPr>
              <w:t>Capita</w:t>
            </w:r>
            <w:r>
              <w:rPr>
                <w:rFonts w:eastAsia="Times New Roman"/>
                <w:b/>
                <w:bCs/>
                <w:color w:val="000000"/>
                <w:sz w:val="18"/>
                <w:szCs w:val="18"/>
              </w:rPr>
              <w:t>l</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Treasur</w:t>
            </w:r>
            <w:r>
              <w:rPr>
                <w:rFonts w:eastAsia="Times New Roman"/>
                <w:b/>
                <w:bCs/>
                <w:color w:val="000000"/>
                <w:sz w:val="18"/>
                <w:szCs w:val="18"/>
              </w:rPr>
              <w:t>y</w:t>
            </w:r>
          </w:p>
          <w:p w:rsidR="00000000" w:rsidRDefault="0016787D">
            <w:pPr>
              <w:jc w:val="center"/>
              <w:rPr>
                <w:rFonts w:eastAsia="Times New Roman"/>
              </w:rPr>
            </w:pPr>
            <w:r>
              <w:rPr>
                <w:rFonts w:eastAsia="Times New Roman"/>
                <w:b/>
                <w:bCs/>
                <w:color w:val="000000"/>
                <w:sz w:val="18"/>
                <w:szCs w:val="18"/>
              </w:rPr>
              <w:t>Stoc</w:t>
            </w:r>
            <w:r>
              <w:rPr>
                <w:rFonts w:eastAsia="Times New Roman"/>
                <w:b/>
                <w:bCs/>
                <w:color w:val="000000"/>
                <w:sz w:val="18"/>
                <w:szCs w:val="18"/>
              </w:rPr>
              <w:t>k</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Accum. Other Comp. Incom</w:t>
            </w:r>
            <w:r>
              <w:rPr>
                <w:rFonts w:eastAsia="Times New Roman"/>
                <w:b/>
                <w:bCs/>
                <w:color w:val="000000"/>
                <w:sz w:val="18"/>
                <w:szCs w:val="18"/>
              </w:rPr>
              <w:t>e</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Retaine</w:t>
            </w:r>
            <w:r>
              <w:rPr>
                <w:rFonts w:eastAsia="Times New Roman"/>
                <w:b/>
                <w:bCs/>
                <w:color w:val="000000"/>
                <w:sz w:val="18"/>
                <w:szCs w:val="18"/>
              </w:rPr>
              <w:t>d</w:t>
            </w:r>
          </w:p>
          <w:p w:rsidR="00000000" w:rsidRDefault="0016787D">
            <w:pPr>
              <w:jc w:val="center"/>
              <w:rPr>
                <w:rFonts w:eastAsia="Times New Roman"/>
              </w:rPr>
            </w:pPr>
            <w:r>
              <w:rPr>
                <w:rFonts w:eastAsia="Times New Roman"/>
                <w:b/>
                <w:bCs/>
                <w:color w:val="000000"/>
                <w:sz w:val="18"/>
                <w:szCs w:val="18"/>
              </w:rPr>
              <w:t>Earning</w:t>
            </w:r>
            <w:r>
              <w:rPr>
                <w:rFonts w:eastAsia="Times New Roman"/>
                <w:b/>
                <w:bCs/>
                <w:color w:val="000000"/>
                <w:sz w:val="18"/>
                <w:szCs w:val="18"/>
              </w:rPr>
              <w:t>s</w:t>
            </w:r>
          </w:p>
        </w:tc>
        <w:tc>
          <w:tcPr>
            <w:tcW w:w="0" w:type="auto"/>
            <w:gridSpan w:val="3"/>
            <w:vMerge w:val="restart"/>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Tota</w:t>
            </w:r>
            <w:r>
              <w:rPr>
                <w:rFonts w:eastAsia="Times New Roman"/>
                <w:b/>
                <w:bCs/>
                <w:color w:val="000000"/>
                <w:sz w:val="18"/>
                <w:szCs w:val="18"/>
              </w:rPr>
              <w:t>l</w:t>
            </w:r>
          </w:p>
          <w:p w:rsidR="00000000" w:rsidRDefault="0016787D">
            <w:pPr>
              <w:jc w:val="center"/>
              <w:rPr>
                <w:rFonts w:eastAsia="Times New Roman"/>
              </w:rPr>
            </w:pPr>
            <w:r>
              <w:rPr>
                <w:rFonts w:eastAsia="Times New Roman"/>
                <w:b/>
                <w:bCs/>
                <w:color w:val="000000"/>
                <w:sz w:val="18"/>
                <w:szCs w:val="18"/>
              </w:rPr>
              <w:t>Stockholders</w:t>
            </w:r>
            <w:r>
              <w:rPr>
                <w:rFonts w:eastAsia="Times New Roman"/>
                <w:b/>
                <w:bCs/>
                <w:color w:val="000000"/>
                <w:sz w:val="18"/>
                <w:szCs w:val="18"/>
              </w:rPr>
              <w:t>’</w:t>
            </w:r>
          </w:p>
          <w:p w:rsidR="00000000" w:rsidRDefault="0016787D">
            <w:pPr>
              <w:jc w:val="center"/>
              <w:rPr>
                <w:rFonts w:eastAsia="Times New Roman"/>
              </w:rPr>
            </w:pPr>
            <w:r>
              <w:rPr>
                <w:rFonts w:eastAsia="Times New Roman"/>
                <w:b/>
                <w:bCs/>
                <w:color w:val="000000"/>
                <w:sz w:val="18"/>
                <w:szCs w:val="18"/>
              </w:rPr>
              <w:t>Equit</w:t>
            </w:r>
            <w:r>
              <w:rPr>
                <w:rFonts w:eastAsia="Times New Roman"/>
                <w:b/>
                <w:bCs/>
                <w:color w:val="000000"/>
                <w:sz w:val="18"/>
                <w:szCs w:val="18"/>
              </w:rPr>
              <w:t>y</w:t>
            </w:r>
          </w:p>
        </w:tc>
      </w:tr>
      <w:tr w:rsidR="00000000">
        <w:trPr>
          <w:divId w:val="1940796697"/>
          <w:jc w:val="center"/>
        </w:trPr>
        <w:tc>
          <w:tcPr>
            <w:tcW w:w="0" w:type="auto"/>
            <w:gridSpan w:val="3"/>
            <w:vMerge/>
            <w:vAlign w:val="center"/>
            <w:hideMark/>
          </w:tcPr>
          <w:p w:rsidR="00000000" w:rsidRDefault="0016787D">
            <w:pPr>
              <w:rPr>
                <w:rFonts w:eastAsia="Times New Roman"/>
              </w:rPr>
            </w:pPr>
          </w:p>
        </w:tc>
        <w:tc>
          <w:tcPr>
            <w:tcW w:w="0" w:type="auto"/>
            <w:gridSpan w:val="3"/>
            <w:vAlign w:val="center"/>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Share</w:t>
            </w:r>
            <w:r>
              <w:rPr>
                <w:rFonts w:eastAsia="Times New Roman"/>
                <w:b/>
                <w:bCs/>
                <w:color w:val="000000"/>
                <w:sz w:val="18"/>
                <w:szCs w:val="18"/>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18"/>
                <w:szCs w:val="18"/>
              </w:rPr>
              <w:t>Dollar</w:t>
            </w:r>
            <w:r>
              <w:rPr>
                <w:rFonts w:eastAsia="Times New Roman"/>
                <w:b/>
                <w:bCs/>
                <w:color w:val="000000"/>
                <w:sz w:val="18"/>
                <w:szCs w:val="18"/>
              </w:rPr>
              <w:t>s</w:t>
            </w:r>
          </w:p>
        </w:tc>
        <w:tc>
          <w:tcPr>
            <w:tcW w:w="0" w:type="auto"/>
            <w:gridSpan w:val="3"/>
            <w:vAlign w:val="center"/>
            <w:hideMark/>
          </w:tcPr>
          <w:p w:rsidR="00000000" w:rsidRDefault="0016787D">
            <w:pPr>
              <w:jc w:val="center"/>
              <w:rPr>
                <w:rFonts w:eastAsia="Times New Roman"/>
              </w:rPr>
            </w:pPr>
          </w:p>
        </w:tc>
        <w:tc>
          <w:tcPr>
            <w:tcW w:w="0" w:type="auto"/>
            <w:gridSpan w:val="3"/>
            <w:vMerge/>
            <w:vAlign w:val="center"/>
            <w:hideMark/>
          </w:tcPr>
          <w:p w:rsidR="00000000" w:rsidRDefault="0016787D">
            <w:pPr>
              <w:rPr>
                <w:rFonts w:eastAsia="Times New Roman"/>
                <w:sz w:val="20"/>
                <w:szCs w:val="20"/>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Merge/>
            <w:vAlign w:val="center"/>
            <w:hideMark/>
          </w:tcPr>
          <w:p w:rsidR="00000000" w:rsidRDefault="0016787D">
            <w:pP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2"/>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16787D">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December 29, 201</w:t>
            </w:r>
            <w:r>
              <w:rPr>
                <w:rFonts w:eastAsia="Times New Roman"/>
                <w:b/>
                <w:bCs/>
                <w:color w:val="000000"/>
                <w:sz w:val="18"/>
                <w:szCs w:val="18"/>
              </w:rPr>
              <w:t>8</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121,828</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1,375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823,413</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w:t>
            </w:r>
            <w:r>
              <w:rPr>
                <w:rFonts w:eastAsia="Times New Roman"/>
                <w:color w:val="000000"/>
                <w:sz w:val="18"/>
                <w:szCs w:val="18"/>
              </w:rPr>
              <w:t>2,480,677</w:t>
            </w: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3,814</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3,213,895</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1,561,820</w:t>
            </w:r>
            <w:r>
              <w:rPr>
                <w:rFonts w:eastAsia="Times New Roman"/>
                <w:color w:val="000000"/>
                <w:sz w:val="18"/>
                <w:szCs w:val="18"/>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ind w:hanging="180"/>
              <w:divId w:val="1840541796"/>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570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34,727</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34,732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9,624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9,624</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ind w:hanging="180"/>
              <w:divId w:val="1119566873"/>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(3,026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(3,026</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676927024"/>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(1,724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(155,319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(155,319</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(37,623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(37,623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1122648436"/>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(1,464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(1,464</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76,832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76,832</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Cumulative adjustment as a result of ASU 2017-12 adoptio</w:t>
            </w:r>
            <w:r>
              <w:rPr>
                <w:rFonts w:eastAsia="Times New Roman"/>
                <w:color w:val="000000"/>
                <w:sz w:val="18"/>
                <w:szCs w:val="18"/>
              </w:rPr>
              <w:t>n</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717</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(717</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16787D">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18"/>
                <w:szCs w:val="18"/>
              </w:rPr>
              <w:t xml:space="preserve">Stockholders’ </w:t>
            </w:r>
            <w:r>
              <w:rPr>
                <w:rFonts w:eastAsia="Times New Roman"/>
                <w:b/>
                <w:bCs/>
                <w:color w:val="000000"/>
                <w:sz w:val="18"/>
                <w:szCs w:val="18"/>
              </w:rPr>
              <w:t xml:space="preserve">equity at </w:t>
            </w:r>
            <w:r>
              <w:rPr>
                <w:rFonts w:eastAsia="Times New Roman"/>
                <w:b/>
                <w:bCs/>
                <w:color w:val="000000"/>
                <w:sz w:val="18"/>
                <w:szCs w:val="18"/>
              </w:rPr>
              <w:br/>
              <w:t>March 30, 201</w:t>
            </w:r>
            <w:r>
              <w:rPr>
                <w:rFonts w:eastAsia="Times New Roman"/>
                <w:b/>
                <w:bCs/>
                <w:color w:val="000000"/>
                <w:sz w:val="18"/>
                <w:szCs w:val="18"/>
              </w:rPr>
              <w:t>9</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120,674</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1,380</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864,738</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(2,635,996</w:t>
            </w: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3,067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3,252,387</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1,485,576</w:t>
            </w:r>
            <w:r>
              <w:rPr>
                <w:rFonts w:eastAsia="Times New Roman"/>
                <w:color w:val="000000"/>
                <w:sz w:val="18"/>
                <w:szCs w:val="18"/>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trHeight w:val="100"/>
          <w:jc w:val="center"/>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ind w:hanging="180"/>
              <w:divId w:val="413892036"/>
              <w:rPr>
                <w:rFonts w:eastAsia="Times New Roman"/>
              </w:rPr>
            </w:pPr>
            <w:r>
              <w:rPr>
                <w:rFonts w:eastAsia="Times New Roman"/>
                <w:color w:val="000000"/>
                <w:sz w:val="18"/>
                <w:szCs w:val="18"/>
              </w:rPr>
              <w:t>Common stock issuance under stock award plans &amp; ESP</w:t>
            </w:r>
            <w:r>
              <w:rPr>
                <w:rFonts w:eastAsia="Times New Roman"/>
                <w:color w:val="000000"/>
                <w:sz w:val="18"/>
                <w:szCs w:val="18"/>
              </w:rPr>
              <w:t>P</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781</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6</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54,693</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54,699</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Share-based compensation expens</w:t>
            </w:r>
            <w:r>
              <w:rPr>
                <w:rFonts w:eastAsia="Times New Roman"/>
                <w:color w:val="000000"/>
                <w:sz w:val="18"/>
                <w:szCs w:val="18"/>
              </w:rPr>
              <w:t>e</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8,776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8,776</w:t>
            </w:r>
            <w:r>
              <w:rPr>
                <w:rFonts w:eastAsia="Times New Roman"/>
                <w:color w:val="000000"/>
                <w:sz w:val="18"/>
                <w:szCs w:val="18"/>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ind w:hanging="180"/>
              <w:divId w:val="96490692"/>
              <w:rPr>
                <w:rFonts w:eastAsia="Times New Roman"/>
              </w:rPr>
            </w:pPr>
            <w:r>
              <w:rPr>
                <w:rFonts w:eastAsia="Times New Roman"/>
                <w:color w:val="000000"/>
                <w:sz w:val="18"/>
                <w:szCs w:val="18"/>
              </w:rPr>
              <w:t>Repurchase of shares to satisfy tax obligation</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(113</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67310633"/>
              <w:rPr>
                <w:rFonts w:eastAsia="Times New Roman"/>
              </w:rPr>
            </w:pPr>
            <w:r>
              <w:rPr>
                <w:rFonts w:eastAsia="Times New Roman"/>
                <w:color w:val="000000"/>
                <w:sz w:val="18"/>
                <w:szCs w:val="18"/>
              </w:rPr>
              <w:t>Repurchase of common stoc</w:t>
            </w:r>
            <w:r>
              <w:rPr>
                <w:rFonts w:eastAsia="Times New Roman"/>
                <w:color w:val="000000"/>
                <w:sz w:val="18"/>
                <w:szCs w:val="18"/>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(1,732</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(178,916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(178,916</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Cash dividends paid to stockholder</w:t>
            </w:r>
            <w:r>
              <w:rPr>
                <w:rFonts w:eastAsia="Times New Roman"/>
                <w:color w:val="000000"/>
                <w:sz w:val="18"/>
                <w:szCs w:val="18"/>
              </w:rPr>
              <w:t>s</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(42,105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(42,105</w:t>
            </w:r>
            <w:r>
              <w:rPr>
                <w:rFonts w:eastAsia="Times New Roman"/>
                <w:color w:val="000000"/>
                <w:sz w:val="18"/>
                <w:szCs w:val="18"/>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ind w:hanging="180"/>
              <w:divId w:val="2091385122"/>
              <w:rPr>
                <w:rFonts w:eastAsia="Times New Roman"/>
              </w:rPr>
            </w:pPr>
            <w:r>
              <w:rPr>
                <w:rFonts w:eastAsia="Times New Roman"/>
                <w:color w:val="000000"/>
                <w:sz w:val="18"/>
                <w:szCs w:val="18"/>
              </w:rPr>
              <w:t>Change in fair value of interest rate swaps, net of taxe</w:t>
            </w:r>
            <w:r>
              <w:rPr>
                <w:rFonts w:eastAsia="Times New Roman"/>
                <w:color w:val="000000"/>
                <w:sz w:val="18"/>
                <w:szCs w:val="18"/>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ind w:hanging="180"/>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(2,185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(2,185</w:t>
            </w:r>
            <w:r>
              <w:rPr>
                <w:rFonts w:eastAsia="Times New Roman"/>
                <w:color w:val="000000"/>
                <w:sz w:val="18"/>
                <w:szCs w:val="18"/>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18"/>
                <w:szCs w:val="18"/>
              </w:rPr>
              <w:t>Net incom</w:t>
            </w:r>
            <w:r>
              <w:rPr>
                <w:rFonts w:eastAsia="Times New Roman"/>
                <w:color w:val="000000"/>
                <w:sz w:val="18"/>
                <w:szCs w:val="18"/>
              </w:rPr>
              <w:t>e</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219,210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219,210</w:t>
            </w:r>
            <w:r>
              <w:rPr>
                <w:rFonts w:eastAsia="Times New Roman"/>
                <w:color w:val="000000"/>
                <w:sz w:val="18"/>
                <w:szCs w:val="18"/>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16787D">
        <w:trPr>
          <w:divId w:val="1940796697"/>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18"/>
                <w:szCs w:val="18"/>
              </w:rPr>
              <w:t xml:space="preserve">Stockholders’ equity at </w:t>
            </w:r>
            <w:r>
              <w:rPr>
                <w:rFonts w:eastAsia="Times New Roman"/>
                <w:b/>
                <w:bCs/>
                <w:color w:val="000000"/>
                <w:sz w:val="18"/>
                <w:szCs w:val="18"/>
              </w:rPr>
              <w:br/>
              <w:t>June 29, 201</w:t>
            </w:r>
            <w:r>
              <w:rPr>
                <w:rFonts w:eastAsia="Times New Roman"/>
                <w:b/>
                <w:bCs/>
                <w:color w:val="000000"/>
                <w:sz w:val="18"/>
                <w:szCs w:val="18"/>
              </w:rPr>
              <w:t>9</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119,723</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1,386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928,094</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(2,814,912</w:t>
            </w: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882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3,429,492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18"/>
                <w:szCs w:val="18"/>
              </w:rPr>
              <w:t>1,544,942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18"/>
                <w:szCs w:val="18"/>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940796697"/>
          <w:jc w:val="center"/>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center"/>
        <w:rPr>
          <w:rFonts w:eastAsia="Times New Roman"/>
        </w:rPr>
      </w:pPr>
    </w:p>
    <w:p w:rsidR="00000000" w:rsidRDefault="0016787D">
      <w:pPr>
        <w:jc w:val="center"/>
        <w:rPr>
          <w:rFonts w:eastAsia="Times New Roman"/>
        </w:rPr>
      </w:pPr>
      <w:r>
        <w:rPr>
          <w:rFonts w:eastAsia="Times New Roman"/>
          <w:color w:val="000000"/>
          <w:sz w:val="20"/>
          <w:szCs w:val="20"/>
        </w:rPr>
        <w:t>The accompanying notes are an int</w:t>
      </w:r>
      <w:r>
        <w:rPr>
          <w:rFonts w:eastAsia="Times New Roman"/>
          <w:color w:val="000000"/>
          <w:sz w:val="20"/>
          <w:szCs w:val="20"/>
        </w:rPr>
        <w:t>egral part of these Condensed Consolidated Financial Statements</w:t>
      </w:r>
      <w:r>
        <w:rPr>
          <w:rFonts w:eastAsia="Times New Roman"/>
          <w:color w:val="000000"/>
          <w:sz w:val="20"/>
          <w:szCs w:val="20"/>
        </w:rPr>
        <w:t>.</w:t>
      </w:r>
      <w:r>
        <w:rPr>
          <w:rFonts w:eastAsia="Times New Roman"/>
          <w:color w:val="000000"/>
          <w:sz w:val="16"/>
          <w:szCs w:val="16"/>
        </w:rPr>
        <w:t> </w:t>
      </w:r>
    </w:p>
    <w:p w:rsidR="00000000" w:rsidRDefault="0016787D">
      <w:pPr>
        <w:jc w:val="center"/>
        <w:rPr>
          <w:rFonts w:eastAsia="Times New Roman"/>
        </w:rPr>
      </w:pPr>
    </w:p>
    <w:p w:rsidR="00000000" w:rsidRDefault="0016787D">
      <w:pPr>
        <w:divId w:val="204027563"/>
        <w:rPr>
          <w:rFonts w:eastAsia="Times New Roman"/>
        </w:rPr>
      </w:pPr>
    </w:p>
    <w:p w:rsidR="00000000" w:rsidRDefault="0016787D">
      <w:pPr>
        <w:jc w:val="center"/>
        <w:divId w:val="1271234193"/>
        <w:rPr>
          <w:rFonts w:eastAsia="Times New Roman"/>
        </w:rPr>
      </w:pPr>
      <w:r>
        <w:rPr>
          <w:rFonts w:eastAsia="Times New Roman"/>
          <w:color w:val="000000"/>
          <w:sz w:val="20"/>
          <w:szCs w:val="20"/>
        </w:rPr>
        <w:t xml:space="preserve">Page </w:t>
      </w:r>
      <w:r>
        <w:rPr>
          <w:rFonts w:eastAsia="Times New Roman"/>
          <w:color w:val="000000"/>
          <w:sz w:val="20"/>
          <w:szCs w:val="20"/>
        </w:rPr>
        <w:t>7</w:t>
      </w:r>
    </w:p>
    <w:p w:rsidR="00000000" w:rsidRDefault="0016787D">
      <w:pPr>
        <w:rPr>
          <w:rFonts w:eastAsia="Times New Roman"/>
        </w:rPr>
      </w:pPr>
      <w:r>
        <w:rPr>
          <w:rFonts w:eastAsia="Times New Roman"/>
        </w:rPr>
        <w:pict>
          <v:rect id="_x0000_i1032" style="width:0;height:1.5pt" o:hralign="center" o:hrstd="t" o:hr="t" fillcolor="#a0a0a0" stroked="f"/>
        </w:pict>
      </w:r>
    </w:p>
    <w:p w:rsidR="00000000" w:rsidRDefault="0016787D">
      <w:pPr>
        <w:divId w:val="886070084"/>
        <w:rPr>
          <w:rFonts w:eastAsia="Times New Roman"/>
        </w:rPr>
      </w:pPr>
      <w:hyperlink w:anchor="i4478e68e5dea442985a910e3b276f92d_7" w:history="1">
        <w:r>
          <w:rPr>
            <w:rStyle w:val="a3"/>
            <w:rFonts w:eastAsia="Times New Roman"/>
            <w:sz w:val="16"/>
            <w:szCs w:val="16"/>
          </w:rPr>
          <w:t>Index</w:t>
        </w:r>
      </w:hyperlink>
    </w:p>
    <w:p w:rsidR="00000000" w:rsidRDefault="0016787D">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16787D">
      <w:pPr>
        <w:jc w:val="center"/>
        <w:rPr>
          <w:rFonts w:eastAsia="Times New Roman"/>
        </w:rPr>
      </w:pPr>
      <w:r>
        <w:rPr>
          <w:rFonts w:eastAsia="Times New Roman"/>
          <w:b/>
          <w:bCs/>
          <w:color w:val="000000"/>
          <w:sz w:val="20"/>
          <w:szCs w:val="20"/>
        </w:rPr>
        <w:t>CONDENSED CONSOLIDATED STATEMENTS OF CASH FLOW</w:t>
      </w:r>
      <w:r>
        <w:rPr>
          <w:rFonts w:eastAsia="Times New Roman"/>
          <w:b/>
          <w:bCs/>
          <w:color w:val="000000"/>
          <w:sz w:val="20"/>
          <w:szCs w:val="20"/>
        </w:rPr>
        <w:t>S</w:t>
      </w:r>
    </w:p>
    <w:p w:rsidR="00000000" w:rsidRDefault="0016787D">
      <w:pPr>
        <w:jc w:val="center"/>
        <w:rPr>
          <w:rFonts w:eastAsia="Times New Roman"/>
        </w:rPr>
      </w:pPr>
      <w:r>
        <w:rPr>
          <w:rFonts w:eastAsia="Times New Roman"/>
          <w:b/>
          <w:bCs/>
          <w:color w:val="000000"/>
          <w:sz w:val="20"/>
          <w:szCs w:val="20"/>
        </w:rPr>
        <w:t>(in thousands</w:t>
      </w:r>
      <w:r>
        <w:rPr>
          <w:rFonts w:eastAsia="Times New Roman"/>
          <w:b/>
          <w:bCs/>
          <w:color w:val="000000"/>
          <w:sz w:val="20"/>
          <w:szCs w:val="20"/>
        </w:rPr>
        <w:t>)</w:t>
      </w:r>
    </w:p>
    <w:p w:rsidR="00000000" w:rsidRDefault="0016787D">
      <w:pPr>
        <w:jc w:val="center"/>
        <w:rPr>
          <w:rFonts w:eastAsia="Times New Roman"/>
        </w:rPr>
      </w:pPr>
      <w:r>
        <w:rPr>
          <w:rFonts w:eastAsia="Times New Roman"/>
          <w:b/>
          <w:bCs/>
          <w:i/>
          <w:iCs/>
          <w:color w:val="000000"/>
          <w:sz w:val="20"/>
          <w:szCs w:val="20"/>
        </w:rPr>
        <w:t>(Unaudited</w:t>
      </w:r>
      <w:r>
        <w:rPr>
          <w:rFonts w:eastAsia="Times New Roman"/>
          <w:b/>
          <w:bCs/>
          <w:i/>
          <w:iCs/>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65"/>
        <w:gridCol w:w="5378"/>
        <w:gridCol w:w="65"/>
        <w:gridCol w:w="135"/>
        <w:gridCol w:w="1015"/>
        <w:gridCol w:w="85"/>
        <w:gridCol w:w="36"/>
        <w:gridCol w:w="36"/>
        <w:gridCol w:w="36"/>
        <w:gridCol w:w="136"/>
        <w:gridCol w:w="1005"/>
        <w:gridCol w:w="85"/>
        <w:gridCol w:w="36"/>
        <w:gridCol w:w="36"/>
        <w:gridCol w:w="36"/>
        <w:gridCol w:w="36"/>
        <w:gridCol w:w="36"/>
        <w:gridCol w:w="36"/>
      </w:tblGrid>
      <w:tr w:rsidR="00000000">
        <w:trPr>
          <w:gridAfter w:val="6"/>
          <w:divId w:val="317730502"/>
        </w:trPr>
        <w:tc>
          <w:tcPr>
            <w:tcW w:w="50" w:type="pct"/>
            <w:vAlign w:val="center"/>
            <w:hideMark/>
          </w:tcPr>
          <w:p w:rsidR="00000000" w:rsidRDefault="0016787D">
            <w:pPr>
              <w:jc w:val="center"/>
              <w:rPr>
                <w:rFonts w:eastAsia="Times New Roman"/>
              </w:rPr>
            </w:pPr>
          </w:p>
        </w:tc>
        <w:tc>
          <w:tcPr>
            <w:tcW w:w="335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5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5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317730502"/>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For the 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317730502"/>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Cash flows from operating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422,455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296,042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Adjustments to reconcile net income to net cash provided by operating activities</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103,983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94,765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Gain on disposition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(309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14,449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18,400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(13,019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10,199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Change in assets and liabilities</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(85,727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(143,608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(34,373</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19,396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360,661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61,548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37,664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(27,114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24,908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(21,856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127,846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45,836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34,633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(4,425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993,138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348,874</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Cash flows from investing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Capital expenditure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(86,624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(83,540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Proceeds from sale of property and equipmen</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646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611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cash used in investing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(85,978</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(82,929</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Cash flows from financing activities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Borrowings under debt facilitie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1,159,000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567,000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Repayments under debt facilitie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(639,000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(485,750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Debt issuance cost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(1,237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Principal payments under finance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(2,035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(1,805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Repurchase of shares to satisfy tax obligation</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(7,391</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(3,139</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(263,219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(334,235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50,340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89,431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(81,493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(79,728</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cash provided by/(used in) financing activitie</w:t>
            </w:r>
            <w:r>
              <w:rPr>
                <w:rFonts w:eastAsia="Times New Roman"/>
                <w:color w:val="000000"/>
                <w:sz w:val="20"/>
                <w:szCs w:val="20"/>
              </w:rPr>
              <w: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214,965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(248,226</w:t>
            </w: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Net change in cash and cash equivalent</w:t>
            </w:r>
            <w:r>
              <w:rPr>
                <w:rFonts w:eastAsia="Times New Roman"/>
                <w:b/>
                <w:bCs/>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1,122,125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17,719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Cash and cash equivalents at 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84,241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86,299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Cash and cash equivalents at end of perio</w:t>
            </w:r>
            <w:r>
              <w:rPr>
                <w:rFonts w:eastAsia="Times New Roman"/>
                <w:color w:val="000000"/>
                <w:sz w:val="20"/>
                <w:szCs w:val="20"/>
              </w:rPr>
              <w:t>d</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1,206,366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104,018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Height w:val="100"/>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Supplemental disclosures of cash flow information</w:t>
            </w:r>
            <w:r>
              <w:rPr>
                <w:rFonts w:eastAsia="Times New Roman"/>
                <w:b/>
                <w:bCs/>
                <w:color w:val="000000"/>
                <w:sz w:val="20"/>
                <w:szCs w:val="20"/>
              </w:rPr>
              <w:t>:</w:t>
            </w:r>
          </w:p>
        </w:tc>
        <w:tc>
          <w:tcPr>
            <w:tcW w:w="0" w:type="auto"/>
            <w:gridSpan w:val="3"/>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Cash paid during the period for</w:t>
            </w: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Interest                                                                       </w:t>
            </w:r>
            <w:r>
              <w:rPr>
                <w:rFonts w:eastAsia="Times New Roman"/>
                <w:color w:val="000000"/>
                <w:sz w:val="20"/>
                <w:szCs w:val="20"/>
              </w:rPr>
              <w:t> </w:t>
            </w: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10,587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10,006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6,825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27,196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Height w:val="60"/>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Supplemental disclosures of non-cash activities</w:t>
            </w:r>
            <w:r>
              <w:rPr>
                <w:rFonts w:eastAsia="Times New Roman"/>
                <w:b/>
                <w:bCs/>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Non-cash accruals for construction in progres</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5,789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15,360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Increase of operating lease assets and liabilities from new or modified lease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219,105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133,044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Increase of finance lease assets and liabilities from new or modified lease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4,022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31773050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Operating lease assets and liabilities recognized upon adoption of ASC 84</w:t>
            </w:r>
            <w:r>
              <w:rPr>
                <w:rFonts w:eastAsia="Times New Roman"/>
                <w:color w:val="000000"/>
                <w:sz w:val="20"/>
                <w:szCs w:val="20"/>
              </w:rPr>
              <w:t>2</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2,084,880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center"/>
        <w:rPr>
          <w:rFonts w:eastAsia="Times New Roman"/>
        </w:rPr>
      </w:pPr>
    </w:p>
    <w:p w:rsidR="00000000" w:rsidRDefault="0016787D">
      <w:pPr>
        <w:jc w:val="center"/>
        <w:rPr>
          <w:rFonts w:eastAsia="Times New Roman"/>
        </w:rPr>
      </w:pPr>
      <w:r>
        <w:rPr>
          <w:rFonts w:eastAsia="Times New Roman"/>
          <w:color w:val="000000"/>
          <w:sz w:val="20"/>
          <w:szCs w:val="20"/>
        </w:rPr>
        <w:t>The accompanying notes are an integral part of these Condensed Consolidated Financial Statements</w:t>
      </w:r>
      <w:r>
        <w:rPr>
          <w:rFonts w:eastAsia="Times New Roman"/>
          <w:color w:val="000000"/>
          <w:sz w:val="20"/>
          <w:szCs w:val="20"/>
        </w:rPr>
        <w:t>.</w:t>
      </w:r>
      <w:r>
        <w:rPr>
          <w:rFonts w:eastAsia="Times New Roman"/>
          <w:color w:val="000000"/>
          <w:sz w:val="16"/>
          <w:szCs w:val="16"/>
        </w:rPr>
        <w:t> </w:t>
      </w:r>
    </w:p>
    <w:p w:rsidR="00000000" w:rsidRDefault="0016787D">
      <w:pPr>
        <w:jc w:val="center"/>
        <w:divId w:val="2035308325"/>
        <w:rPr>
          <w:rFonts w:eastAsia="Times New Roman"/>
        </w:rPr>
      </w:pPr>
      <w:r>
        <w:rPr>
          <w:rFonts w:eastAsia="Times New Roman"/>
          <w:color w:val="000000"/>
          <w:sz w:val="20"/>
          <w:szCs w:val="20"/>
        </w:rPr>
        <w:t xml:space="preserve">Page </w:t>
      </w:r>
      <w:r>
        <w:rPr>
          <w:rFonts w:eastAsia="Times New Roman"/>
          <w:color w:val="000000"/>
          <w:sz w:val="20"/>
          <w:szCs w:val="20"/>
        </w:rPr>
        <w:t>8</w:t>
      </w:r>
    </w:p>
    <w:p w:rsidR="00000000" w:rsidRDefault="0016787D">
      <w:pPr>
        <w:rPr>
          <w:rFonts w:eastAsia="Times New Roman"/>
        </w:rPr>
      </w:pPr>
      <w:r>
        <w:rPr>
          <w:rFonts w:eastAsia="Times New Roman"/>
        </w:rPr>
        <w:pict>
          <v:rect id="_x0000_i1033" style="width:0;height:1.5pt" o:hralign="center" o:hrstd="t" o:hr="t" fillcolor="#a0a0a0" stroked="f"/>
        </w:pict>
      </w:r>
    </w:p>
    <w:p w:rsidR="00000000" w:rsidRDefault="0016787D">
      <w:pPr>
        <w:divId w:val="665477036"/>
        <w:rPr>
          <w:rFonts w:eastAsia="Times New Roman"/>
        </w:rPr>
      </w:pPr>
      <w:hyperlink w:anchor="i4478e68e5dea442985a910e3b276f92d_7" w:history="1">
        <w:r>
          <w:rPr>
            <w:rStyle w:val="a3"/>
            <w:rFonts w:eastAsia="Times New Roman"/>
            <w:sz w:val="16"/>
            <w:szCs w:val="16"/>
          </w:rPr>
          <w:t>Index</w:t>
        </w:r>
      </w:hyperlink>
    </w:p>
    <w:p w:rsidR="00000000" w:rsidRDefault="0016787D">
      <w:pPr>
        <w:jc w:val="center"/>
        <w:rPr>
          <w:rFonts w:eastAsia="Times New Roman"/>
        </w:rPr>
      </w:pPr>
      <w:r>
        <w:rPr>
          <w:rFonts w:eastAsia="Times New Roman"/>
          <w:b/>
          <w:bCs/>
          <w:color w:val="000000"/>
          <w:sz w:val="20"/>
          <w:szCs w:val="20"/>
        </w:rPr>
        <w:t>TRACTOR SUPPLY COMPAN</w:t>
      </w:r>
      <w:r>
        <w:rPr>
          <w:rFonts w:eastAsia="Times New Roman"/>
          <w:b/>
          <w:bCs/>
          <w:color w:val="000000"/>
          <w:sz w:val="20"/>
          <w:szCs w:val="20"/>
        </w:rPr>
        <w:t>Y</w:t>
      </w:r>
    </w:p>
    <w:p w:rsidR="00000000" w:rsidRDefault="0016787D">
      <w:pPr>
        <w:jc w:val="center"/>
        <w:rPr>
          <w:rFonts w:eastAsia="Times New Roman"/>
        </w:rPr>
      </w:pPr>
    </w:p>
    <w:p w:rsidR="00000000" w:rsidRDefault="0016787D">
      <w:pPr>
        <w:jc w:val="center"/>
        <w:rPr>
          <w:rFonts w:eastAsia="Times New Roman"/>
        </w:rPr>
      </w:pPr>
      <w:r>
        <w:rPr>
          <w:rFonts w:eastAsia="Times New Roman"/>
          <w:b/>
          <w:bCs/>
          <w:color w:val="000000"/>
          <w:sz w:val="20"/>
          <w:szCs w:val="20"/>
        </w:rPr>
        <w:t>NOTES TO UNAUDITED CONDENSED CONSOLIDATED FINANCIAL STATEMENT</w:t>
      </w:r>
      <w:r>
        <w:rPr>
          <w:rFonts w:eastAsia="Times New Roman"/>
          <w:b/>
          <w:bCs/>
          <w:color w:val="000000"/>
          <w:sz w:val="20"/>
          <w:szCs w:val="20"/>
        </w:rPr>
        <w:t>S</w:t>
      </w:r>
    </w:p>
    <w:p w:rsidR="00000000" w:rsidRDefault="0016787D">
      <w:pPr>
        <w:divId w:val="689649351"/>
        <w:rPr>
          <w:rFonts w:eastAsia="Times New Roman"/>
        </w:rPr>
      </w:pPr>
    </w:p>
    <w:p w:rsidR="00000000" w:rsidRDefault="0016787D">
      <w:pPr>
        <w:jc w:val="both"/>
        <w:rPr>
          <w:rFonts w:eastAsia="Times New Roman"/>
        </w:rPr>
      </w:pPr>
      <w:r>
        <w:rPr>
          <w:rFonts w:eastAsia="Times New Roman"/>
          <w:b/>
          <w:bCs/>
          <w:color w:val="000000"/>
          <w:sz w:val="20"/>
          <w:szCs w:val="20"/>
        </w:rPr>
        <w:t>Note 1 – General</w:t>
      </w:r>
      <w:r>
        <w:rPr>
          <w:rFonts w:eastAsia="Times New Roman"/>
          <w:b/>
          <w:b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u w:val="single"/>
        </w:rPr>
        <w:t>Nature of Busines</w:t>
      </w:r>
      <w:r>
        <w:rPr>
          <w:rFonts w:eastAsia="Times New Roman"/>
          <w:color w:val="000000"/>
          <w:sz w:val="20"/>
          <w:szCs w:val="20"/>
          <w:u w:val="single"/>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Founded in 1938, Tractor Supply Company (the “Company” or “we” or “our” or “us”) is the largest rural lifestyle retailer in the United States (“U.S.”). The Company is focused on supplying the needs of recreational farmers, ranchers, and all those who enjoy</w:t>
      </w:r>
      <w:r>
        <w:rPr>
          <w:rFonts w:eastAsia="Times New Roman"/>
          <w:color w:val="000000"/>
          <w:sz w:val="20"/>
          <w:szCs w:val="20"/>
        </w:rPr>
        <w:t xml:space="preserve"> living the rural lifestyle (which we refer to as the </w:t>
      </w:r>
      <w:r>
        <w:rPr>
          <w:rFonts w:eastAsia="Times New Roman"/>
          <w:color w:val="000000"/>
          <w:sz w:val="20"/>
          <w:szCs w:val="20"/>
        </w:rPr>
        <w:t>“</w:t>
      </w:r>
      <w:r>
        <w:rPr>
          <w:rFonts w:eastAsia="Times New Roman"/>
          <w:i/>
          <w:iCs/>
          <w:color w:val="000000"/>
          <w:sz w:val="20"/>
          <w:szCs w:val="20"/>
        </w:rPr>
        <w:t>Out Her</w:t>
      </w:r>
      <w:r>
        <w:rPr>
          <w:rFonts w:eastAsia="Times New Roman"/>
          <w:i/>
          <w:iCs/>
          <w:color w:val="000000"/>
          <w:sz w:val="20"/>
          <w:szCs w:val="20"/>
        </w:rPr>
        <w:t>e</w:t>
      </w:r>
      <w:r>
        <w:rPr>
          <w:rFonts w:eastAsia="Times New Roman"/>
          <w:color w:val="000000"/>
          <w:sz w:val="20"/>
          <w:szCs w:val="20"/>
        </w:rPr>
        <w:t>” lifestyle), as well as tradesmen and small businesses. Stores are located primarily in towns outlying major metropolitan markets and in rural communities. The Company also owns and operates P</w:t>
      </w:r>
      <w:r>
        <w:rPr>
          <w:rFonts w:eastAsia="Times New Roman"/>
          <w:color w:val="000000"/>
          <w:sz w:val="20"/>
          <w:szCs w:val="20"/>
        </w:rPr>
        <w:t>etsense, LLC (“Petsense”), a small-box pet specialty supply retailer focused on meeting the needs of pet owners, primarily in small and mid-sized communities, and offering a variety of pet products and services. At June 27, 2020, the Company operated a tot</w:t>
      </w:r>
      <w:r>
        <w:rPr>
          <w:rFonts w:eastAsia="Times New Roman"/>
          <w:color w:val="000000"/>
          <w:sz w:val="20"/>
          <w:szCs w:val="20"/>
        </w:rPr>
        <w:t>al of 2,061 retail stores in 49 states (1,881 Tractor Supply and Del’s retail stores and 180 Petsense retail stores) and also offered an expanded assortment of products online at</w:t>
      </w:r>
      <w:r>
        <w:rPr>
          <w:rFonts w:eastAsia="Times New Roman"/>
          <w:color w:val="000000"/>
          <w:sz w:val="20"/>
          <w:szCs w:val="20"/>
        </w:rPr>
        <w:t xml:space="preserve"> </w:t>
      </w:r>
      <w:r>
        <w:rPr>
          <w:rFonts w:eastAsia="Times New Roman"/>
          <w:i/>
          <w:iCs/>
          <w:color w:val="000000"/>
          <w:sz w:val="20"/>
          <w:szCs w:val="20"/>
          <w:u w:val="single"/>
        </w:rPr>
        <w:t>TractorSupply.co</w:t>
      </w:r>
      <w:r>
        <w:rPr>
          <w:rFonts w:eastAsia="Times New Roman"/>
          <w:i/>
          <w:iCs/>
          <w:color w:val="000000"/>
          <w:sz w:val="20"/>
          <w:szCs w:val="20"/>
          <w:u w:val="single"/>
        </w:rPr>
        <w:t>m</w:t>
      </w:r>
      <w:r>
        <w:rPr>
          <w:rFonts w:eastAsia="Times New Roman"/>
          <w:i/>
          <w:iCs/>
          <w:color w:val="000000"/>
          <w:sz w:val="20"/>
          <w:szCs w:val="20"/>
        </w:rPr>
        <w:t xml:space="preserve"> </w:t>
      </w:r>
      <w:r>
        <w:rPr>
          <w:rFonts w:eastAsia="Times New Roman"/>
          <w:color w:val="000000"/>
          <w:sz w:val="20"/>
          <w:szCs w:val="20"/>
        </w:rPr>
        <w:t>and</w:t>
      </w:r>
      <w:r>
        <w:rPr>
          <w:rFonts w:eastAsia="Times New Roman"/>
          <w:color w:val="000000"/>
          <w:sz w:val="20"/>
          <w:szCs w:val="20"/>
        </w:rPr>
        <w:t xml:space="preserve"> </w:t>
      </w:r>
      <w:r>
        <w:rPr>
          <w:rFonts w:eastAsia="Times New Roman"/>
          <w:i/>
          <w:iCs/>
          <w:color w:val="000000"/>
          <w:sz w:val="20"/>
          <w:szCs w:val="20"/>
          <w:u w:val="single"/>
        </w:rPr>
        <w:t>Petsense.co</w:t>
      </w:r>
      <w:r>
        <w:rPr>
          <w:rFonts w:eastAsia="Times New Roman"/>
          <w:i/>
          <w:iCs/>
          <w:color w:val="000000"/>
          <w:sz w:val="20"/>
          <w:szCs w:val="20"/>
          <w:u w:val="single"/>
        </w:rPr>
        <w:t>m</w:t>
      </w:r>
      <w:r>
        <w:rPr>
          <w:rFonts w:eastAsia="Times New Roman"/>
          <w:color w:val="000000"/>
          <w:sz w:val="20"/>
          <w:szCs w:val="20"/>
        </w:rPr>
        <w:t>.</w:t>
      </w:r>
    </w:p>
    <w:p w:rsidR="00000000" w:rsidRDefault="0016787D">
      <w:pPr>
        <w:jc w:val="both"/>
        <w:rPr>
          <w:rFonts w:eastAsia="Times New Roman"/>
        </w:rPr>
      </w:pPr>
    </w:p>
    <w:p w:rsidR="00000000" w:rsidRDefault="0016787D">
      <w:pPr>
        <w:divId w:val="45183744"/>
        <w:rPr>
          <w:rFonts w:eastAsia="Times New Roman"/>
        </w:rPr>
      </w:pPr>
      <w:r>
        <w:rPr>
          <w:rFonts w:eastAsia="Times New Roman"/>
          <w:color w:val="000000"/>
          <w:sz w:val="20"/>
          <w:szCs w:val="20"/>
          <w:u w:val="single"/>
        </w:rPr>
        <w:t>Basis of Presentatio</w:t>
      </w:r>
      <w:r>
        <w:rPr>
          <w:rFonts w:eastAsia="Times New Roman"/>
          <w:color w:val="000000"/>
          <w:sz w:val="20"/>
          <w:szCs w:val="20"/>
          <w:u w:val="single"/>
        </w:rPr>
        <w:t>n</w:t>
      </w:r>
    </w:p>
    <w:p w:rsidR="00000000" w:rsidRDefault="0016787D">
      <w:pPr>
        <w:divId w:val="62877691"/>
        <w:rPr>
          <w:rFonts w:eastAsia="Times New Roman"/>
        </w:rPr>
      </w:pPr>
    </w:p>
    <w:p w:rsidR="00000000" w:rsidRDefault="0016787D">
      <w:pPr>
        <w:jc w:val="both"/>
        <w:rPr>
          <w:rFonts w:eastAsia="Times New Roman"/>
        </w:rPr>
      </w:pPr>
      <w:r>
        <w:rPr>
          <w:rFonts w:eastAsia="Times New Roman"/>
          <w:color w:val="000000"/>
          <w:sz w:val="20"/>
          <w:szCs w:val="20"/>
        </w:rPr>
        <w:t>The accompanyin</w:t>
      </w:r>
      <w:r>
        <w:rPr>
          <w:rFonts w:eastAsia="Times New Roman"/>
          <w:color w:val="000000"/>
          <w:sz w:val="20"/>
          <w:szCs w:val="20"/>
        </w:rPr>
        <w:t>g interim unaudited Condensed Consolidated Financial Statements have been prepared in accordance with accounting principles generally accepted in the United States of America (“U.S. GAAP”) and the rules and regulations of the Securities and Exchange Commis</w:t>
      </w:r>
      <w:r>
        <w:rPr>
          <w:rFonts w:eastAsia="Times New Roman"/>
          <w:color w:val="000000"/>
          <w:sz w:val="20"/>
          <w:szCs w:val="20"/>
        </w:rPr>
        <w:t>sion (“SEC”). Accordingly, they do not include all of the information and notes required by U.S. GAAP for complete financial statements.  In the opinion of management, all adjustments (consisting of normal recurring accruals) considered necessary for a fai</w:t>
      </w:r>
      <w:r>
        <w:rPr>
          <w:rFonts w:eastAsia="Times New Roman"/>
          <w:color w:val="000000"/>
          <w:sz w:val="20"/>
          <w:szCs w:val="20"/>
        </w:rPr>
        <w:t xml:space="preserve">r presentation have been included. These statements should be read in conjunction with our Annual Report on Form 10-K for the fiscal year ended December 28, 2019.  The results of operations for our interim periods are not necessarily indicative of results </w:t>
      </w:r>
      <w:r>
        <w:rPr>
          <w:rFonts w:eastAsia="Times New Roman"/>
          <w:color w:val="000000"/>
          <w:sz w:val="20"/>
          <w:szCs w:val="20"/>
        </w:rPr>
        <w:t>for the full fiscal year.</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COVID-19 pandemic has created significant public health concerns as well as economic disruption, uncertainty, and volatility which may negatively affect our business operations. As a result, if the pandemic persists or wors</w:t>
      </w:r>
      <w:r>
        <w:rPr>
          <w:rFonts w:eastAsia="Times New Roman"/>
          <w:color w:val="000000"/>
          <w:sz w:val="20"/>
          <w:szCs w:val="20"/>
        </w:rPr>
        <w:t>ens, our accounting estimates and assumptions could be impacted in subsequent interim reports and upon final determination at year-end, and it is reasonably possible such changes could be significant (although the potential effects cannot be estimated at t</w:t>
      </w:r>
      <w:r>
        <w:rPr>
          <w:rFonts w:eastAsia="Times New Roman"/>
          <w:color w:val="000000"/>
          <w:sz w:val="20"/>
          <w:szCs w:val="20"/>
        </w:rPr>
        <w:t>his time)</w:t>
      </w:r>
      <w:r>
        <w:rPr>
          <w:rFonts w:eastAsia="Times New Roman"/>
          <w:color w:val="000000"/>
          <w:sz w:val="20"/>
          <w:szCs w:val="20"/>
        </w:rPr>
        <w:t>.</w:t>
      </w:r>
    </w:p>
    <w:p w:rsidR="00000000" w:rsidRDefault="0016787D">
      <w:pPr>
        <w:divId w:val="119614168"/>
        <w:rPr>
          <w:rFonts w:eastAsia="Times New Roman"/>
        </w:rPr>
      </w:pPr>
    </w:p>
    <w:p w:rsidR="00000000" w:rsidRDefault="0016787D">
      <w:pPr>
        <w:jc w:val="both"/>
        <w:rPr>
          <w:rFonts w:eastAsia="Times New Roman"/>
        </w:rPr>
      </w:pPr>
      <w:r>
        <w:rPr>
          <w:rFonts w:eastAsia="Times New Roman"/>
          <w:b/>
          <w:bCs/>
          <w:color w:val="000000"/>
          <w:sz w:val="20"/>
          <w:szCs w:val="20"/>
        </w:rPr>
        <w:t>Note 2 – Fair Value of Financial Instruments</w:t>
      </w:r>
      <w:r>
        <w:rPr>
          <w:rFonts w:eastAsia="Times New Roman"/>
          <w:b/>
          <w:bCs/>
          <w:color w:val="000000"/>
          <w:sz w:val="20"/>
          <w:szCs w:val="20"/>
        </w:rPr>
        <w:t>:</w:t>
      </w:r>
    </w:p>
    <w:p w:rsidR="00000000" w:rsidRDefault="0016787D">
      <w:pPr>
        <w:divId w:val="781613981"/>
        <w:rPr>
          <w:rFonts w:eastAsia="Times New Roman"/>
        </w:rPr>
      </w:pPr>
    </w:p>
    <w:p w:rsidR="00000000" w:rsidRDefault="0016787D">
      <w:pPr>
        <w:jc w:val="both"/>
        <w:rPr>
          <w:rFonts w:eastAsia="Times New Roman"/>
        </w:rPr>
      </w:pPr>
      <w:r>
        <w:rPr>
          <w:rFonts w:eastAsia="Times New Roman"/>
          <w:color w:val="000000"/>
          <w:sz w:val="20"/>
          <w:szCs w:val="20"/>
        </w:rPr>
        <w:t>Fair value is defined as the price that would be received to sell an asset or paid to transfer a liability (an exit price) in an orderly transaction between market participants on the measurement</w:t>
      </w:r>
      <w:r>
        <w:rPr>
          <w:rFonts w:eastAsia="Times New Roman"/>
          <w:color w:val="000000"/>
          <w:sz w:val="20"/>
          <w:szCs w:val="20"/>
        </w:rPr>
        <w:t xml:space="preserve"> date. The Company uses a three-tier fair value hierarchy, which prioritizes the inputs used in measuring fair value.  These tiers include: Level 1, defined as observable inputs such as quoted prices in active markets; Level 2, defined as inputs other than</w:t>
      </w:r>
      <w:r>
        <w:rPr>
          <w:rFonts w:eastAsia="Times New Roman"/>
          <w:color w:val="000000"/>
          <w:sz w:val="20"/>
          <w:szCs w:val="20"/>
        </w:rPr>
        <w:t xml:space="preserve"> quoted prices in active markets that are either directly or indirectly observable; and Level 3, defined as unobservable inputs in which little or no market data exists, therefore requiring an entity to develop its own assumptions</w:t>
      </w:r>
      <w:r>
        <w:rPr>
          <w:rFonts w:eastAsia="Times New Roman"/>
          <w:color w:val="000000"/>
          <w:sz w:val="20"/>
          <w:szCs w:val="20"/>
        </w:rPr>
        <w:t>.</w:t>
      </w:r>
    </w:p>
    <w:p w:rsidR="00000000" w:rsidRDefault="0016787D">
      <w:pPr>
        <w:divId w:val="1904489794"/>
        <w:rPr>
          <w:rFonts w:eastAsia="Times New Roman"/>
        </w:rPr>
      </w:pPr>
    </w:p>
    <w:p w:rsidR="00000000" w:rsidRDefault="0016787D">
      <w:pPr>
        <w:jc w:val="both"/>
        <w:rPr>
          <w:rFonts w:eastAsia="Times New Roman"/>
        </w:rPr>
      </w:pPr>
      <w:r>
        <w:rPr>
          <w:rFonts w:eastAsia="Times New Roman"/>
          <w:color w:val="000000"/>
          <w:sz w:val="20"/>
          <w:szCs w:val="20"/>
        </w:rPr>
        <w:t>The Company’s financia</w:t>
      </w:r>
      <w:r>
        <w:rPr>
          <w:rFonts w:eastAsia="Times New Roman"/>
          <w:color w:val="000000"/>
          <w:sz w:val="20"/>
          <w:szCs w:val="20"/>
        </w:rPr>
        <w:t>l instruments consist of cash and cash equivalents, short-term receivables, trade payables, debt instruments, and interest rate swaps.  Due to their short-term nature, the carrying values of cash and cash equivalents, short-term receivables, and trade paya</w:t>
      </w:r>
      <w:r>
        <w:rPr>
          <w:rFonts w:eastAsia="Times New Roman"/>
          <w:color w:val="000000"/>
          <w:sz w:val="20"/>
          <w:szCs w:val="20"/>
        </w:rPr>
        <w:t>bles approximate current fair value at each balance sheet date. As described in further detail in Note 5 to the Condensed Consolidated Financial Statements, the Company had $917.5 million, $397.5 million, and $490.0 million in borrowings under its debt fac</w:t>
      </w:r>
      <w:r>
        <w:rPr>
          <w:rFonts w:eastAsia="Times New Roman"/>
          <w:color w:val="000000"/>
          <w:sz w:val="20"/>
          <w:szCs w:val="20"/>
        </w:rPr>
        <w:t>ilities at June 27, 2020, December 28, 2019, and June 29, 2019, respectively. Based on market interest rates (Level 2 inputs), the carrying value of borrowings in our debt facilities approximates fair value for each period reported. The fair value of the C</w:t>
      </w:r>
      <w:r>
        <w:rPr>
          <w:rFonts w:eastAsia="Times New Roman"/>
          <w:color w:val="000000"/>
          <w:sz w:val="20"/>
          <w:szCs w:val="20"/>
        </w:rPr>
        <w:t xml:space="preserve">ompany’s interest rate swaps is determined based on the present value of expected future cash flows using forward rate curves (a Level 2 input). As described in further detail in Note 6 to the Condensed Consolidated Financial Statements, the fair value of </w:t>
      </w:r>
      <w:r>
        <w:rPr>
          <w:rFonts w:eastAsia="Times New Roman"/>
          <w:color w:val="000000"/>
          <w:sz w:val="20"/>
          <w:szCs w:val="20"/>
        </w:rPr>
        <w:t>the interest rate swaps, excluding accrued interest, was a net liability of $8.5 million at June 27, 2020 and a net asset of $0.3 million and $0.9 million at December 28, 2019 and June 29, 2019, respectively.</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center"/>
        <w:divId w:val="854728019"/>
        <w:rPr>
          <w:rFonts w:eastAsia="Times New Roman"/>
        </w:rPr>
      </w:pPr>
      <w:r>
        <w:rPr>
          <w:rFonts w:eastAsia="Times New Roman"/>
          <w:color w:val="000000"/>
          <w:sz w:val="20"/>
          <w:szCs w:val="20"/>
        </w:rPr>
        <w:t xml:space="preserve">Page </w:t>
      </w:r>
      <w:r>
        <w:rPr>
          <w:rFonts w:eastAsia="Times New Roman"/>
          <w:color w:val="000000"/>
          <w:sz w:val="20"/>
          <w:szCs w:val="20"/>
        </w:rPr>
        <w:t>9</w:t>
      </w:r>
    </w:p>
    <w:p w:rsidR="00000000" w:rsidRDefault="0016787D">
      <w:pPr>
        <w:rPr>
          <w:rFonts w:eastAsia="Times New Roman"/>
        </w:rPr>
      </w:pPr>
      <w:r>
        <w:rPr>
          <w:rFonts w:eastAsia="Times New Roman"/>
        </w:rPr>
        <w:pict>
          <v:rect id="_x0000_i1034" style="width:0;height:1.5pt" o:hralign="center" o:hrstd="t" o:hr="t" fillcolor="#a0a0a0" stroked="f"/>
        </w:pict>
      </w:r>
    </w:p>
    <w:p w:rsidR="00000000" w:rsidRDefault="0016787D">
      <w:pPr>
        <w:divId w:val="997079479"/>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color w:val="000000"/>
          <w:sz w:val="20"/>
          <w:szCs w:val="20"/>
        </w:rPr>
        <w:t>Note 3 – Share-Based Compensation</w:t>
      </w:r>
      <w:r>
        <w:rPr>
          <w:rFonts w:eastAsia="Times New Roman"/>
          <w:b/>
          <w:bCs/>
          <w:color w:val="000000"/>
          <w:sz w:val="20"/>
          <w:szCs w:val="20"/>
        </w:rPr>
        <w:t>:</w:t>
      </w:r>
    </w:p>
    <w:p w:rsidR="00000000" w:rsidRDefault="0016787D">
      <w:pPr>
        <w:divId w:val="755131387"/>
        <w:rPr>
          <w:rFonts w:eastAsia="Times New Roman"/>
        </w:rPr>
      </w:pPr>
    </w:p>
    <w:p w:rsidR="00000000" w:rsidRDefault="0016787D">
      <w:pPr>
        <w:jc w:val="both"/>
        <w:rPr>
          <w:rFonts w:eastAsia="Times New Roman"/>
        </w:rPr>
      </w:pPr>
      <w:r>
        <w:rPr>
          <w:rFonts w:eastAsia="Times New Roman"/>
          <w:color w:val="000000"/>
          <w:sz w:val="20"/>
          <w:szCs w:val="20"/>
        </w:rPr>
        <w:t>Share-based compensation includes stock options, restricted stock units, performance-based restricted share units, and certain transactions under our Emplo</w:t>
      </w:r>
      <w:r>
        <w:rPr>
          <w:rFonts w:eastAsia="Times New Roman"/>
          <w:color w:val="000000"/>
          <w:sz w:val="20"/>
          <w:szCs w:val="20"/>
        </w:rPr>
        <w:t>yee Stock Purchase Plan (the “ESPP”). Share-based compensation expense is recognized based on grant date fair value of all stock options, restricted stock units, and performance-based restricted share units plus a 15% discount on shares purchased by employ</w:t>
      </w:r>
      <w:r>
        <w:rPr>
          <w:rFonts w:eastAsia="Times New Roman"/>
          <w:color w:val="000000"/>
          <w:sz w:val="20"/>
          <w:szCs w:val="20"/>
        </w:rPr>
        <w:t>ees as a part of the ESPP. The discount under the ESPP represents the difference between the purchase date market value and the employee’s purchase price</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There were no significant modifications to the Company’s share-based compensation plans during the </w:t>
      </w:r>
      <w:r>
        <w:rPr>
          <w:rFonts w:eastAsia="Times New Roman"/>
          <w:color w:val="000000"/>
          <w:sz w:val="20"/>
          <w:szCs w:val="20"/>
        </w:rPr>
        <w:t>fiscal six months ende</w:t>
      </w:r>
      <w:r>
        <w:rPr>
          <w:rFonts w:eastAsia="Times New Roman"/>
          <w:color w:val="000000"/>
          <w:sz w:val="20"/>
          <w:szCs w:val="20"/>
        </w:rPr>
        <w:t>d</w:t>
      </w:r>
    </w:p>
    <w:p w:rsidR="00000000" w:rsidRDefault="0016787D">
      <w:pPr>
        <w:divId w:val="1132357687"/>
        <w:rPr>
          <w:rFonts w:eastAsia="Times New Roman"/>
        </w:rPr>
      </w:pPr>
      <w:r>
        <w:rPr>
          <w:rFonts w:eastAsia="Times New Roman"/>
          <w:color w:val="000000"/>
          <w:sz w:val="20"/>
          <w:szCs w:val="20"/>
        </w:rPr>
        <w:t>June 27, 2020</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For the second quarter of fiscal 2020 and 2019, share-based compensation expense was $7.5 million and $8.8 million, respectively, and $14.4 million and $18.4 </w:t>
      </w:r>
      <w:r>
        <w:rPr>
          <w:rFonts w:eastAsia="Times New Roman"/>
          <w:color w:val="000000"/>
          <w:sz w:val="20"/>
          <w:szCs w:val="20"/>
        </w:rPr>
        <w:t>million for the first six months of fiscal 2020 and 2019, respectively</w:t>
      </w:r>
      <w:r>
        <w:rPr>
          <w:rFonts w:eastAsia="Times New Roman"/>
          <w:color w:val="000000"/>
          <w:sz w:val="20"/>
          <w:szCs w:val="20"/>
        </w:rPr>
        <w:t>.</w:t>
      </w:r>
    </w:p>
    <w:p w:rsidR="00000000" w:rsidRDefault="0016787D">
      <w:pPr>
        <w:jc w:val="both"/>
        <w:rPr>
          <w:rFonts w:eastAsia="Times New Roman"/>
        </w:rPr>
      </w:pPr>
    </w:p>
    <w:p w:rsidR="00000000" w:rsidRDefault="0016787D">
      <w:pPr>
        <w:divId w:val="1074621280"/>
        <w:rPr>
          <w:rFonts w:eastAsia="Times New Roman"/>
        </w:rPr>
      </w:pPr>
      <w:r>
        <w:rPr>
          <w:rFonts w:eastAsia="Times New Roman"/>
          <w:color w:val="000000"/>
          <w:sz w:val="20"/>
          <w:szCs w:val="20"/>
          <w:u w:val="single"/>
        </w:rPr>
        <w:t>Stock Option</w:t>
      </w:r>
      <w:r>
        <w:rPr>
          <w:rFonts w:eastAsia="Times New Roman"/>
          <w:color w:val="000000"/>
          <w:sz w:val="20"/>
          <w:szCs w:val="20"/>
          <w:u w:val="single"/>
        </w:rPr>
        <w:t>s</w:t>
      </w:r>
    </w:p>
    <w:p w:rsidR="00000000" w:rsidRDefault="0016787D">
      <w:pPr>
        <w:divId w:val="1576547196"/>
        <w:rPr>
          <w:rFonts w:eastAsia="Times New Roman"/>
        </w:rPr>
      </w:pPr>
    </w:p>
    <w:p w:rsidR="00000000" w:rsidRDefault="0016787D">
      <w:pPr>
        <w:jc w:val="both"/>
        <w:rPr>
          <w:rFonts w:eastAsia="Times New Roman"/>
        </w:rPr>
      </w:pPr>
      <w:r>
        <w:rPr>
          <w:rFonts w:eastAsia="Times New Roman"/>
          <w:color w:val="000000"/>
          <w:sz w:val="20"/>
          <w:szCs w:val="20"/>
        </w:rPr>
        <w:t>The following table summarizes information concerning stock option grants during the first six months of fiscal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9"/>
        <w:gridCol w:w="6099"/>
        <w:gridCol w:w="69"/>
        <w:gridCol w:w="136"/>
        <w:gridCol w:w="1848"/>
        <w:gridCol w:w="85"/>
      </w:tblGrid>
      <w:tr w:rsidR="00000000">
        <w:trPr>
          <w:divId w:val="1777673267"/>
        </w:trPr>
        <w:tc>
          <w:tcPr>
            <w:tcW w:w="50" w:type="pct"/>
            <w:vAlign w:val="center"/>
            <w:hideMark/>
          </w:tcPr>
          <w:p w:rsidR="00000000" w:rsidRDefault="0016787D">
            <w:pPr>
              <w:jc w:val="both"/>
              <w:rPr>
                <w:rFonts w:eastAsia="Times New Roman"/>
              </w:rPr>
            </w:pPr>
          </w:p>
        </w:tc>
        <w:tc>
          <w:tcPr>
            <w:tcW w:w="367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12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777673267"/>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r>
      <w:tr w:rsidR="00000000">
        <w:trPr>
          <w:divId w:val="1777673267"/>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 202</w:t>
            </w:r>
            <w:r>
              <w:rPr>
                <w:rFonts w:eastAsia="Times New Roman"/>
                <w:b/>
                <w:bCs/>
                <w:color w:val="000000"/>
                <w:sz w:val="20"/>
                <w:szCs w:val="20"/>
              </w:rPr>
              <w:t>0</w:t>
            </w:r>
          </w:p>
        </w:tc>
      </w:tr>
      <w:tr w:rsidR="00000000">
        <w:trPr>
          <w:divId w:val="1777673267"/>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Stock options grante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417,025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777673267"/>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Weighted average exercise pric</w:t>
            </w:r>
            <w:r>
              <w:rPr>
                <w:rFonts w:eastAsia="Times New Roman"/>
                <w:color w:val="000000"/>
                <w:sz w:val="20"/>
                <w:szCs w:val="20"/>
              </w:rPr>
              <w:t>e</w:t>
            </w: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91.21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777673267"/>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Weighted average grant date fair value per optio</w:t>
            </w:r>
            <w:r>
              <w:rPr>
                <w:rFonts w:eastAsia="Times New Roman"/>
                <w:color w:val="000000"/>
                <w:sz w:val="20"/>
                <w:szCs w:val="20"/>
              </w:rPr>
              <w:t>n</w:t>
            </w: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divId w:val="1234199490"/>
        <w:rPr>
          <w:rFonts w:eastAsia="Times New Roman"/>
        </w:rPr>
      </w:pPr>
    </w:p>
    <w:p w:rsidR="00000000" w:rsidRDefault="0016787D">
      <w:pPr>
        <w:jc w:val="both"/>
        <w:rPr>
          <w:rFonts w:eastAsia="Times New Roman"/>
        </w:rPr>
      </w:pPr>
      <w:r>
        <w:rPr>
          <w:rFonts w:eastAsia="Times New Roman"/>
          <w:color w:val="000000"/>
          <w:sz w:val="20"/>
          <w:szCs w:val="20"/>
        </w:rPr>
        <w:t>As of June </w:t>
      </w:r>
      <w:r>
        <w:rPr>
          <w:rFonts w:eastAsia="Times New Roman"/>
          <w:color w:val="000000"/>
          <w:sz w:val="20"/>
          <w:szCs w:val="20"/>
        </w:rPr>
        <w:t>27, 2020, total unrecognized compensation expense related to non-vested stock options was approximately $11.2 million with a remaining weighted average expense recognition period of 2.2 years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u w:val="single"/>
        </w:rPr>
        <w:t>Restricted Stock Units and Performance-Based Restricted Share</w:t>
      </w:r>
      <w:r>
        <w:rPr>
          <w:rFonts w:eastAsia="Times New Roman"/>
          <w:color w:val="000000"/>
          <w:sz w:val="20"/>
          <w:szCs w:val="20"/>
          <w:u w:val="single"/>
        </w:rPr>
        <w:t xml:space="preserve"> Unit</w:t>
      </w:r>
      <w:r>
        <w:rPr>
          <w:rFonts w:eastAsia="Times New Roman"/>
          <w:color w:val="000000"/>
          <w:sz w:val="20"/>
          <w:szCs w:val="20"/>
          <w:u w:val="single"/>
        </w:rPr>
        <w:t>s</w:t>
      </w:r>
    </w:p>
    <w:p w:rsidR="00000000" w:rsidRDefault="0016787D">
      <w:pPr>
        <w:divId w:val="649797482"/>
        <w:rPr>
          <w:rFonts w:eastAsia="Times New Roman"/>
        </w:rPr>
      </w:pPr>
    </w:p>
    <w:p w:rsidR="00000000" w:rsidRDefault="0016787D">
      <w:pPr>
        <w:jc w:val="both"/>
        <w:rPr>
          <w:rFonts w:eastAsia="Times New Roman"/>
        </w:rPr>
      </w:pPr>
      <w:r>
        <w:rPr>
          <w:rFonts w:eastAsia="Times New Roman"/>
          <w:color w:val="000000"/>
          <w:sz w:val="20"/>
          <w:szCs w:val="20"/>
        </w:rPr>
        <w:t>The following table summarizes information concerning restricted stock unit and performance-based restricted share unit grants during the first six months of fiscal 2020</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9"/>
        <w:gridCol w:w="6099"/>
        <w:gridCol w:w="69"/>
        <w:gridCol w:w="136"/>
        <w:gridCol w:w="1848"/>
        <w:gridCol w:w="85"/>
      </w:tblGrid>
      <w:tr w:rsidR="00000000">
        <w:trPr>
          <w:divId w:val="837312084"/>
        </w:trPr>
        <w:tc>
          <w:tcPr>
            <w:tcW w:w="50" w:type="pct"/>
            <w:vAlign w:val="center"/>
            <w:hideMark/>
          </w:tcPr>
          <w:p w:rsidR="00000000" w:rsidRDefault="0016787D">
            <w:pPr>
              <w:jc w:val="both"/>
              <w:rPr>
                <w:rFonts w:eastAsia="Times New Roman"/>
              </w:rPr>
            </w:pPr>
          </w:p>
        </w:tc>
        <w:tc>
          <w:tcPr>
            <w:tcW w:w="367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12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837312084"/>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r>
      <w:tr w:rsidR="00000000">
        <w:trPr>
          <w:divId w:val="837312084"/>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 202</w:t>
            </w:r>
            <w:r>
              <w:rPr>
                <w:rFonts w:eastAsia="Times New Roman"/>
                <w:b/>
                <w:bCs/>
                <w:color w:val="000000"/>
                <w:sz w:val="20"/>
                <w:szCs w:val="20"/>
              </w:rPr>
              <w:t>0</w:t>
            </w:r>
          </w:p>
        </w:tc>
      </w:tr>
      <w:tr w:rsidR="00000000">
        <w:trPr>
          <w:divId w:val="83731208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Restricted stock units grante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305,029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837312084"/>
        </w:trPr>
        <w:tc>
          <w:tcPr>
            <w:tcW w:w="0" w:type="auto"/>
            <w:gridSpan w:val="3"/>
            <w:shd w:val="clear" w:color="auto" w:fill="FFFFFF"/>
            <w:tcMar>
              <w:top w:w="30" w:type="dxa"/>
              <w:left w:w="20" w:type="dxa"/>
              <w:bottom w:w="30" w:type="dxa"/>
              <w:right w:w="20" w:type="dxa"/>
            </w:tcMar>
            <w:vAlign w:val="bottom"/>
            <w:hideMark/>
          </w:tcPr>
          <w:p w:rsidR="00000000" w:rsidRDefault="0016787D">
            <w:pPr>
              <w:divId w:val="985012478"/>
              <w:rPr>
                <w:rFonts w:eastAsia="Times New Roman"/>
              </w:rPr>
            </w:pPr>
            <w:r>
              <w:rPr>
                <w:rFonts w:eastAsia="Times New Roman"/>
                <w:color w:val="000000"/>
                <w:sz w:val="20"/>
                <w:szCs w:val="20"/>
              </w:rPr>
              <w:t>Performance-based restricted share units granted</w:t>
            </w:r>
            <w:r>
              <w:rPr>
                <w:rFonts w:eastAsia="Times New Roman"/>
                <w:color w:val="000000"/>
                <w:sz w:val="20"/>
                <w:szCs w:val="20"/>
              </w:rPr>
              <w:t xml:space="preserve"> </w:t>
            </w: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80,057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83731208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Weighted average grant date fair value per shar</w:t>
            </w:r>
            <w:r>
              <w:rPr>
                <w:rFonts w:eastAsia="Times New Roman"/>
                <w:color w:val="000000"/>
                <w:sz w:val="20"/>
                <w:szCs w:val="20"/>
              </w:rPr>
              <w:t>e</w:t>
            </w: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91.98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jc w:val="both"/>
        <w:rPr>
          <w:rFonts w:eastAsia="Times New Roman"/>
        </w:rPr>
      </w:pPr>
      <w:r>
        <w:rPr>
          <w:rFonts w:eastAsia="Times New Roman"/>
          <w:color w:val="000000"/>
          <w:sz w:val="16"/>
          <w:szCs w:val="16"/>
        </w:rPr>
        <w:t>(a) Assumes 100% target level achievement of the relative performance targets</w:t>
      </w:r>
      <w:r>
        <w:rPr>
          <w:rFonts w:eastAsia="Times New Roman"/>
          <w:color w:val="000000"/>
          <w:sz w:val="16"/>
          <w:szCs w:val="16"/>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fiscal 2020, the Company granted awards that are subject to the achievement of specified performance goals. The performance metrics for the units are growth in net sales and growth in earnings per diluted share. The number of performance-based restricte</w:t>
      </w:r>
      <w:r>
        <w:rPr>
          <w:rFonts w:eastAsia="Times New Roman"/>
          <w:color w:val="000000"/>
          <w:sz w:val="20"/>
          <w:szCs w:val="20"/>
        </w:rPr>
        <w:t>d share units presented in the foregoing table represent the shares that can be achieved at the performance metric target value. The actual number of shares that will be issued under the performance share awards, which may be higher or lower than the targe</w:t>
      </w:r>
      <w:r>
        <w:rPr>
          <w:rFonts w:eastAsia="Times New Roman"/>
          <w:color w:val="000000"/>
          <w:sz w:val="20"/>
          <w:szCs w:val="20"/>
        </w:rPr>
        <w:t xml:space="preserve">t, will be determined by the level of achievement of the performance goals. If the performance targets are achieved, the units will be issued based on the achievement level and the grant date fair value and will cliff vest in full on the third anniversary </w:t>
      </w:r>
      <w:r>
        <w:rPr>
          <w:rFonts w:eastAsia="Times New Roman"/>
          <w:color w:val="000000"/>
          <w:sz w:val="20"/>
          <w:szCs w:val="20"/>
        </w:rPr>
        <w:t>of the date of the grant</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As of June 27, 2020, total unrecognized compensation expense related to non-vested restricted stock units and non-vested performance-based restricted share units was approximately $45.1 million with a remaining weighted average </w:t>
      </w:r>
      <w:r>
        <w:rPr>
          <w:rFonts w:eastAsia="Times New Roman"/>
          <w:color w:val="000000"/>
          <w:sz w:val="20"/>
          <w:szCs w:val="20"/>
        </w:rPr>
        <w:t>expense recognition period of 2.2 years</w:t>
      </w:r>
      <w:r>
        <w:rPr>
          <w:rFonts w:eastAsia="Times New Roman"/>
          <w:color w:val="000000"/>
          <w:sz w:val="20"/>
          <w:szCs w:val="20"/>
        </w:rPr>
        <w:t>.</w:t>
      </w:r>
    </w:p>
    <w:p w:rsidR="00000000" w:rsidRDefault="0016787D">
      <w:pPr>
        <w:divId w:val="1429816149"/>
        <w:rPr>
          <w:rFonts w:eastAsia="Times New Roman"/>
        </w:rPr>
      </w:pPr>
    </w:p>
    <w:p w:rsidR="00000000" w:rsidRDefault="0016787D">
      <w:pPr>
        <w:jc w:val="center"/>
        <w:divId w:val="1099258820"/>
        <w:rPr>
          <w:rFonts w:eastAsia="Times New Roman"/>
        </w:rPr>
      </w:pPr>
      <w:r>
        <w:rPr>
          <w:rFonts w:eastAsia="Times New Roman"/>
          <w:color w:val="000000"/>
          <w:sz w:val="20"/>
          <w:szCs w:val="20"/>
        </w:rPr>
        <w:t>Page 1</w:t>
      </w:r>
      <w:r>
        <w:rPr>
          <w:rFonts w:eastAsia="Times New Roman"/>
          <w:color w:val="000000"/>
          <w:sz w:val="20"/>
          <w:szCs w:val="20"/>
        </w:rPr>
        <w:t>0</w:t>
      </w:r>
    </w:p>
    <w:p w:rsidR="00000000" w:rsidRDefault="0016787D">
      <w:pPr>
        <w:rPr>
          <w:rFonts w:eastAsia="Times New Roman"/>
        </w:rPr>
      </w:pPr>
      <w:r>
        <w:rPr>
          <w:rFonts w:eastAsia="Times New Roman"/>
        </w:rPr>
        <w:pict>
          <v:rect id="_x0000_i1035" style="width:0;height:1.5pt" o:hralign="center" o:hrstd="t" o:hr="t" fillcolor="#a0a0a0" stroked="f"/>
        </w:pict>
      </w:r>
    </w:p>
    <w:p w:rsidR="00000000" w:rsidRDefault="0016787D">
      <w:pPr>
        <w:divId w:val="763765811"/>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color w:val="000000"/>
          <w:sz w:val="20"/>
          <w:szCs w:val="20"/>
        </w:rPr>
        <w:t>Note 4 – Net Income Per Share</w:t>
      </w:r>
      <w:r>
        <w:rPr>
          <w:rFonts w:eastAsia="Times New Roman"/>
          <w:b/>
          <w:bCs/>
          <w:color w:val="000000"/>
          <w:sz w:val="20"/>
          <w:szCs w:val="20"/>
        </w:rPr>
        <w:t>:</w:t>
      </w:r>
    </w:p>
    <w:p w:rsidR="00000000" w:rsidRDefault="0016787D">
      <w:pPr>
        <w:divId w:val="538784723"/>
        <w:rPr>
          <w:rFonts w:eastAsia="Times New Roman"/>
        </w:rPr>
      </w:pPr>
    </w:p>
    <w:p w:rsidR="00000000" w:rsidRDefault="0016787D">
      <w:pPr>
        <w:jc w:val="both"/>
        <w:rPr>
          <w:rFonts w:eastAsia="Times New Roman"/>
        </w:rPr>
      </w:pPr>
      <w:r>
        <w:rPr>
          <w:rFonts w:eastAsia="Times New Roman"/>
          <w:color w:val="000000"/>
          <w:sz w:val="20"/>
          <w:szCs w:val="20"/>
        </w:rPr>
        <w:t>The Company presents both basic and diluted net income per share on the</w:t>
      </w:r>
      <w:r>
        <w:rPr>
          <w:rFonts w:eastAsia="Times New Roman"/>
          <w:color w:val="000000"/>
          <w:sz w:val="20"/>
          <w:szCs w:val="20"/>
        </w:rPr>
        <w:t xml:space="preserve"> Condensed Consolidated Statements of Income.  Basic net income per share is calculated by dividing net income by the weighted average number of shares outstanding during the period.  Diluted net income per share is calculated by dividing net income by the</w:t>
      </w:r>
      <w:r>
        <w:rPr>
          <w:rFonts w:eastAsia="Times New Roman"/>
          <w:color w:val="000000"/>
          <w:sz w:val="20"/>
          <w:szCs w:val="20"/>
        </w:rPr>
        <w:t xml:space="preserve"> weighted average diluted shares outstanding during the period. Dilutive shares are computed using the treasury stock method for share-based awards. Performance-based restricted share units are included in diluted shares only if the related performance con</w:t>
      </w:r>
      <w:r>
        <w:rPr>
          <w:rFonts w:eastAsia="Times New Roman"/>
          <w:color w:val="000000"/>
          <w:sz w:val="20"/>
          <w:szCs w:val="20"/>
        </w:rPr>
        <w:t>ditions are considered satisfied as of the end of the reporting period. Net income per share is calculated as follows (in thousands, except per share amounts)</w:t>
      </w:r>
      <w:r>
        <w:rPr>
          <w:rFonts w:eastAsia="Times New Roman"/>
          <w:color w:val="000000"/>
          <w:sz w:val="20"/>
          <w:szCs w:val="20"/>
        </w:rPr>
        <w:t>:</w:t>
      </w:r>
    </w:p>
    <w:tbl>
      <w:tblPr>
        <w:tblW w:w="4956" w:type="pct"/>
        <w:tblCellMar>
          <w:top w:w="15" w:type="dxa"/>
          <w:left w:w="15" w:type="dxa"/>
          <w:bottom w:w="15" w:type="dxa"/>
          <w:right w:w="15" w:type="dxa"/>
        </w:tblCellMar>
        <w:tblLook w:val="04A0" w:firstRow="1" w:lastRow="0" w:firstColumn="1" w:lastColumn="0" w:noHBand="0" w:noVBand="1"/>
      </w:tblPr>
      <w:tblGrid>
        <w:gridCol w:w="38"/>
        <w:gridCol w:w="1610"/>
        <w:gridCol w:w="37"/>
        <w:gridCol w:w="135"/>
        <w:gridCol w:w="715"/>
        <w:gridCol w:w="85"/>
        <w:gridCol w:w="36"/>
        <w:gridCol w:w="36"/>
        <w:gridCol w:w="36"/>
        <w:gridCol w:w="82"/>
        <w:gridCol w:w="638"/>
        <w:gridCol w:w="85"/>
        <w:gridCol w:w="36"/>
        <w:gridCol w:w="36"/>
        <w:gridCol w:w="36"/>
        <w:gridCol w:w="135"/>
        <w:gridCol w:w="591"/>
        <w:gridCol w:w="85"/>
        <w:gridCol w:w="36"/>
        <w:gridCol w:w="36"/>
        <w:gridCol w:w="36"/>
        <w:gridCol w:w="135"/>
        <w:gridCol w:w="715"/>
        <w:gridCol w:w="85"/>
        <w:gridCol w:w="36"/>
        <w:gridCol w:w="36"/>
        <w:gridCol w:w="36"/>
        <w:gridCol w:w="82"/>
        <w:gridCol w:w="638"/>
        <w:gridCol w:w="85"/>
        <w:gridCol w:w="36"/>
        <w:gridCol w:w="36"/>
        <w:gridCol w:w="36"/>
        <w:gridCol w:w="136"/>
        <w:gridCol w:w="631"/>
        <w:gridCol w:w="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110057809"/>
        </w:trPr>
        <w:tc>
          <w:tcPr>
            <w:tcW w:w="50" w:type="pct"/>
            <w:vAlign w:val="center"/>
            <w:hideMark/>
          </w:tcPr>
          <w:p w:rsidR="00000000" w:rsidRDefault="0016787D">
            <w:pPr>
              <w:jc w:val="both"/>
              <w:rPr>
                <w:rFonts w:eastAsia="Times New Roman"/>
              </w:rPr>
            </w:pPr>
          </w:p>
        </w:tc>
        <w:tc>
          <w:tcPr>
            <w:tcW w:w="178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10057809"/>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110057809"/>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 202</w:t>
            </w:r>
            <w:r>
              <w:rPr>
                <w:rFonts w:eastAsia="Times New Roman"/>
                <w:b/>
                <w:bCs/>
                <w:color w:val="000000"/>
                <w:sz w:val="20"/>
                <w:szCs w:val="20"/>
              </w:rPr>
              <w:t>0</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 201</w:t>
            </w:r>
            <w:r>
              <w:rPr>
                <w:rFonts w:eastAsia="Times New Roman"/>
                <w:b/>
                <w:bCs/>
                <w:color w:val="000000"/>
                <w:sz w:val="20"/>
                <w:szCs w:val="20"/>
              </w:rPr>
              <w:t>9</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110057809"/>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w:t>
            </w:r>
            <w:r>
              <w:rPr>
                <w:rFonts w:eastAsia="Times New Roman"/>
                <w:b/>
                <w:bCs/>
                <w:color w:val="000000"/>
                <w:sz w:val="20"/>
                <w:szCs w:val="20"/>
              </w:rPr>
              <w:t>t</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w:t>
            </w:r>
            <w:r>
              <w:rPr>
                <w:rFonts w:eastAsia="Times New Roman"/>
                <w:b/>
                <w:bCs/>
                <w:color w:val="000000"/>
                <w:sz w:val="20"/>
                <w:szCs w:val="20"/>
              </w:rPr>
              <w:t>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0057809"/>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338,678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115,912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219,210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120,371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0057809"/>
        </w:trPr>
        <w:tc>
          <w:tcPr>
            <w:tcW w:w="0" w:type="auto"/>
            <w:gridSpan w:val="3"/>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900</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(0.02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1,137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(0.02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0057809"/>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338,678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116,812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219,210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121,508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divId w:val="292562741"/>
        <w:rPr>
          <w:rFonts w:eastAsia="Times New Roman"/>
        </w:rPr>
      </w:pPr>
    </w:p>
    <w:p w:rsidR="00000000" w:rsidRDefault="0016787D">
      <w:pPr>
        <w:jc w:val="both"/>
        <w:rPr>
          <w:rFonts w:eastAsia="Times New Roman"/>
        </w:rPr>
      </w:pPr>
    </w:p>
    <w:tbl>
      <w:tblPr>
        <w:tblW w:w="4956" w:type="pct"/>
        <w:tblCellMar>
          <w:top w:w="15" w:type="dxa"/>
          <w:left w:w="15" w:type="dxa"/>
          <w:bottom w:w="15" w:type="dxa"/>
          <w:right w:w="15" w:type="dxa"/>
        </w:tblCellMar>
        <w:tblLook w:val="04A0" w:firstRow="1" w:lastRow="0" w:firstColumn="1" w:lastColumn="0" w:noHBand="0" w:noVBand="1"/>
      </w:tblPr>
      <w:tblGrid>
        <w:gridCol w:w="38"/>
        <w:gridCol w:w="1610"/>
        <w:gridCol w:w="37"/>
        <w:gridCol w:w="135"/>
        <w:gridCol w:w="715"/>
        <w:gridCol w:w="85"/>
        <w:gridCol w:w="36"/>
        <w:gridCol w:w="36"/>
        <w:gridCol w:w="36"/>
        <w:gridCol w:w="82"/>
        <w:gridCol w:w="638"/>
        <w:gridCol w:w="85"/>
        <w:gridCol w:w="36"/>
        <w:gridCol w:w="36"/>
        <w:gridCol w:w="36"/>
        <w:gridCol w:w="135"/>
        <w:gridCol w:w="591"/>
        <w:gridCol w:w="85"/>
        <w:gridCol w:w="36"/>
        <w:gridCol w:w="36"/>
        <w:gridCol w:w="36"/>
        <w:gridCol w:w="135"/>
        <w:gridCol w:w="715"/>
        <w:gridCol w:w="85"/>
        <w:gridCol w:w="36"/>
        <w:gridCol w:w="36"/>
        <w:gridCol w:w="36"/>
        <w:gridCol w:w="82"/>
        <w:gridCol w:w="638"/>
        <w:gridCol w:w="85"/>
        <w:gridCol w:w="36"/>
        <w:gridCol w:w="36"/>
        <w:gridCol w:w="36"/>
        <w:gridCol w:w="136"/>
        <w:gridCol w:w="631"/>
        <w:gridCol w:w="8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gridAfter w:val="24"/>
          <w:divId w:val="501899932"/>
        </w:trPr>
        <w:tc>
          <w:tcPr>
            <w:tcW w:w="50" w:type="pct"/>
            <w:vAlign w:val="center"/>
            <w:hideMark/>
          </w:tcPr>
          <w:p w:rsidR="00000000" w:rsidRDefault="0016787D">
            <w:pPr>
              <w:jc w:val="both"/>
              <w:rPr>
                <w:rFonts w:eastAsia="Times New Roman"/>
              </w:rPr>
            </w:pPr>
          </w:p>
        </w:tc>
        <w:tc>
          <w:tcPr>
            <w:tcW w:w="178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501899932"/>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501899932"/>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 202</w:t>
            </w:r>
            <w:r>
              <w:rPr>
                <w:rFonts w:eastAsia="Times New Roman"/>
                <w:b/>
                <w:bCs/>
                <w:color w:val="000000"/>
                <w:sz w:val="20"/>
                <w:szCs w:val="20"/>
              </w:rPr>
              <w:t>0</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 201</w:t>
            </w:r>
            <w:r>
              <w:rPr>
                <w:rFonts w:eastAsia="Times New Roman"/>
                <w:b/>
                <w:bCs/>
                <w:color w:val="000000"/>
                <w:sz w:val="20"/>
                <w:szCs w:val="20"/>
              </w:rPr>
              <w:t>9</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501899932"/>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Amoun</w:t>
            </w:r>
            <w:r>
              <w:rPr>
                <w:rFonts w:eastAsia="Times New Roman"/>
                <w:b/>
                <w:bCs/>
                <w:color w:val="000000"/>
                <w:sz w:val="20"/>
                <w:szCs w:val="20"/>
              </w:rPr>
              <w:t>t</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Incom</w:t>
            </w:r>
            <w:r>
              <w:rPr>
                <w:rFonts w:eastAsia="Times New Roman"/>
                <w:b/>
                <w:bCs/>
                <w:color w:val="000000"/>
                <w:sz w:val="20"/>
                <w:szCs w:val="20"/>
              </w:rPr>
              <w:t>e</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Share</w:t>
            </w:r>
            <w:r>
              <w:rPr>
                <w:rFonts w:eastAsia="Times New Roman"/>
                <w:b/>
                <w:bCs/>
                <w:color w:val="000000"/>
                <w:sz w:val="20"/>
                <w:szCs w:val="20"/>
              </w:rPr>
              <w:t>s</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Per Share</w:t>
            </w:r>
            <w:r>
              <w:rPr>
                <w:rFonts w:eastAsia="Times New Roman"/>
                <w:b/>
                <w:bCs/>
                <w:color w:val="000000"/>
                <w:sz w:val="20"/>
                <w:szCs w:val="20"/>
              </w:rPr>
              <w:br/>
              <w:t> Amoun</w:t>
            </w:r>
            <w:r>
              <w:rPr>
                <w:rFonts w:eastAsia="Times New Roman"/>
                <w:b/>
                <w:bCs/>
                <w:color w:val="000000"/>
                <w:sz w:val="20"/>
                <w:szCs w:val="20"/>
              </w:rPr>
              <w:t>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50189993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Basic net income per share</w:t>
            </w:r>
            <w:r>
              <w:rPr>
                <w:rFonts w:eastAsia="Times New Roman"/>
                <w:color w:val="000000"/>
                <w:sz w:val="20"/>
                <w:szCs w:val="20"/>
              </w:rPr>
              <w:t>:</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422,455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116,325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296,042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120,791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501899932"/>
        </w:trPr>
        <w:tc>
          <w:tcPr>
            <w:tcW w:w="0" w:type="auto"/>
            <w:gridSpan w:val="3"/>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Dilutive effect of share-based award</w:t>
            </w:r>
            <w:r>
              <w:rPr>
                <w:rFonts w:eastAsia="Times New Roman"/>
                <w:color w:val="000000"/>
                <w:sz w:val="20"/>
                <w:szCs w:val="20"/>
              </w:rPr>
              <w:t>s</w:t>
            </w: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797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(0.02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1,039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(0.02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50189993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Diluted net income per share</w:t>
            </w: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422,455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117,122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296,042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121,830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both"/>
        <w:rPr>
          <w:rFonts w:eastAsia="Times New Roman"/>
        </w:rPr>
      </w:pP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Anti-dilutive stock awards excluded from the above calculations totaled approximately 0.5 million and 0.3 million shares for the fiscal three months ended June 27, 2020 and June 29, 2019, respectively, and 0.6 million and 0.3 million shares for the fiscal </w:t>
      </w:r>
      <w:r>
        <w:rPr>
          <w:rFonts w:eastAsia="Times New Roman"/>
          <w:color w:val="000000"/>
          <w:sz w:val="20"/>
          <w:szCs w:val="20"/>
        </w:rPr>
        <w:t>six months ended June 27, 2020 and June 29, 2019, respectively</w:t>
      </w:r>
      <w:r>
        <w:rPr>
          <w:rFonts w:eastAsia="Times New Roman"/>
          <w:color w:val="000000"/>
          <w:sz w:val="20"/>
          <w:szCs w:val="20"/>
        </w:rPr>
        <w:t>.</w:t>
      </w:r>
    </w:p>
    <w:p w:rsidR="00000000" w:rsidRDefault="0016787D">
      <w:pPr>
        <w:jc w:val="both"/>
        <w:rPr>
          <w:rFonts w:eastAsia="Times New Roman"/>
        </w:rPr>
      </w:pPr>
    </w:p>
    <w:p w:rsidR="00000000" w:rsidRDefault="0016787D">
      <w:pPr>
        <w:divId w:val="638531755"/>
        <w:rPr>
          <w:rFonts w:eastAsia="Times New Roman"/>
        </w:rPr>
      </w:pPr>
      <w:r>
        <w:rPr>
          <w:rFonts w:eastAsia="Times New Roman"/>
          <w:b/>
          <w:bCs/>
          <w:color w:val="000000"/>
          <w:sz w:val="20"/>
          <w:szCs w:val="20"/>
        </w:rPr>
        <w:t>Note 5 – Debt</w:t>
      </w:r>
      <w:r>
        <w:rPr>
          <w:rFonts w:eastAsia="Times New Roman"/>
          <w:b/>
          <w:b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following table summarizes the Company’s outstanding debt as of the dates indicated (in millions)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4256"/>
        <w:gridCol w:w="46"/>
        <w:gridCol w:w="36"/>
        <w:gridCol w:w="36"/>
        <w:gridCol w:w="36"/>
        <w:gridCol w:w="135"/>
        <w:gridCol w:w="982"/>
        <w:gridCol w:w="85"/>
        <w:gridCol w:w="36"/>
        <w:gridCol w:w="36"/>
        <w:gridCol w:w="36"/>
        <w:gridCol w:w="136"/>
        <w:gridCol w:w="983"/>
        <w:gridCol w:w="85"/>
        <w:gridCol w:w="36"/>
        <w:gridCol w:w="36"/>
        <w:gridCol w:w="36"/>
        <w:gridCol w:w="135"/>
        <w:gridCol w:w="983"/>
        <w:gridCol w:w="85"/>
      </w:tblGrid>
      <w:tr w:rsidR="00000000">
        <w:trPr>
          <w:divId w:val="1650860243"/>
          <w:jc w:val="center"/>
        </w:trPr>
        <w:tc>
          <w:tcPr>
            <w:tcW w:w="50" w:type="pct"/>
            <w:vAlign w:val="center"/>
            <w:hideMark/>
          </w:tcPr>
          <w:p w:rsidR="00000000" w:rsidRDefault="0016787D">
            <w:pPr>
              <w:jc w:val="both"/>
              <w:rPr>
                <w:rFonts w:eastAsia="Times New Roman"/>
              </w:rPr>
            </w:pPr>
          </w:p>
        </w:tc>
        <w:tc>
          <w:tcPr>
            <w:tcW w:w="259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650860243"/>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r>
      <w:tr w:rsidR="00000000">
        <w:trPr>
          <w:divId w:val="1650860243"/>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1650860243"/>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March 2020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April 2020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917.5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490.0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916.1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536.1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466.3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650860243"/>
          <w:trHeight w:val="160"/>
          <w:jc w:val="center"/>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1650860243"/>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jc w:val="center"/>
        <w:divId w:val="1115324255"/>
        <w:rPr>
          <w:rFonts w:eastAsia="Times New Roman"/>
        </w:rPr>
      </w:pPr>
      <w:r>
        <w:rPr>
          <w:rFonts w:eastAsia="Times New Roman"/>
          <w:color w:val="000000"/>
          <w:sz w:val="20"/>
          <w:szCs w:val="20"/>
        </w:rPr>
        <w:t>Page 1</w:t>
      </w:r>
      <w:r>
        <w:rPr>
          <w:rFonts w:eastAsia="Times New Roman"/>
          <w:color w:val="000000"/>
          <w:sz w:val="20"/>
          <w:szCs w:val="20"/>
        </w:rPr>
        <w:t>1</w:t>
      </w:r>
    </w:p>
    <w:p w:rsidR="00000000" w:rsidRDefault="0016787D">
      <w:pPr>
        <w:rPr>
          <w:rFonts w:eastAsia="Times New Roman"/>
        </w:rPr>
      </w:pPr>
      <w:r>
        <w:rPr>
          <w:rFonts w:eastAsia="Times New Roman"/>
        </w:rPr>
        <w:pict>
          <v:rect id="_x0000_i1036" style="width:0;height:1.5pt" o:hralign="center" o:hrstd="t" o:hr="t" fillcolor="#a0a0a0" stroked="f"/>
        </w:pict>
      </w:r>
    </w:p>
    <w:p w:rsidR="00000000" w:rsidRDefault="0016787D">
      <w:pPr>
        <w:divId w:val="535050128"/>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p>
    <w:p w:rsidR="00000000" w:rsidRDefault="0016787D">
      <w:pPr>
        <w:jc w:val="both"/>
        <w:rPr>
          <w:rFonts w:eastAsia="Times New Roman"/>
        </w:rPr>
      </w:pPr>
      <w:r>
        <w:rPr>
          <w:rFonts w:eastAsia="Times New Roman"/>
          <w:i/>
          <w:iCs/>
          <w:color w:val="000000"/>
          <w:sz w:val="20"/>
          <w:szCs w:val="20"/>
        </w:rPr>
        <w:t>Senior Note</w:t>
      </w:r>
      <w:r>
        <w:rPr>
          <w:rFonts w:eastAsia="Times New Roman"/>
          <w:i/>
          <w:i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On August 14, 2017, the Company entered into a note purchase and private shelf ag</w:t>
      </w:r>
      <w:r>
        <w:rPr>
          <w:rFonts w:eastAsia="Times New Roman"/>
          <w:color w:val="000000"/>
          <w:sz w:val="20"/>
          <w:szCs w:val="20"/>
        </w:rPr>
        <w:t>reement (the “Note Purchase Agreement”), pursuant to which the Company agreed to sell $150 million aggregate principal amount of senior unsecured notes due August 14, 2029 (the “2029 Notes”) in a private placement. The 2029 Notes bear interest at 3.70% per</w:t>
      </w:r>
      <w:r>
        <w:rPr>
          <w:rFonts w:eastAsia="Times New Roman"/>
          <w:color w:val="000000"/>
          <w:sz w:val="20"/>
          <w:szCs w:val="20"/>
        </w:rPr>
        <w:t xml:space="preserve"> annum with interest payable semi-annually in arrears on each annual and semi-annual anniversary of the issuance date. The obligations under the Note Purchase Agreement are unsecured, but guaranteed by each of the Company’s material subsidiaries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w:t>
      </w:r>
      <w:r>
        <w:rPr>
          <w:rFonts w:eastAsia="Times New Roman"/>
          <w:color w:val="000000"/>
          <w:sz w:val="20"/>
          <w:szCs w:val="20"/>
        </w:rPr>
        <w:t>pany may from time to time issue and sell additional senior unsecured notes (the “Shelf Notes”) pursuant to the Note Purchase Agreement, in an aggregate principal amount of up to $150 million. The Shelf Notes will have a maturity date of no more than 12 ye</w:t>
      </w:r>
      <w:r>
        <w:rPr>
          <w:rFonts w:eastAsia="Times New Roman"/>
          <w:color w:val="000000"/>
          <w:sz w:val="20"/>
          <w:szCs w:val="20"/>
        </w:rPr>
        <w:t>ars after the date of original issuance and may be issued through August 14, 2020, unless earlier terminated in accordance with the terms of the Note Purchase Agreement.</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Pursuant to the Note Purchase Agreement, the 2029 Notes and any Shelf Notes (collectively, the “Notes”) are redeemable by the Company, in whole at any time or in part from time to time, at 100% of the principal amount of the Notes being redeemed, together </w:t>
      </w:r>
      <w:r>
        <w:rPr>
          <w:rFonts w:eastAsia="Times New Roman"/>
          <w:color w:val="000000"/>
          <w:sz w:val="20"/>
          <w:szCs w:val="20"/>
        </w:rPr>
        <w:t>with accrued and unpaid interest thereon and a make whole amount calculated by discounting all remaining scheduled payments on the Notes by the yield on the U.S. Treasury security with a maturity equal to the remaining average life of the Notes plus 0.50%</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i/>
          <w:iCs/>
          <w:color w:val="000000"/>
          <w:sz w:val="20"/>
          <w:szCs w:val="20"/>
        </w:rPr>
        <w:t>Senior Credit Facilit</w:t>
      </w:r>
      <w:r>
        <w:rPr>
          <w:rFonts w:eastAsia="Times New Roman"/>
          <w:i/>
          <w:iCs/>
          <w:color w:val="000000"/>
          <w:sz w:val="20"/>
          <w:szCs w:val="20"/>
        </w:rPr>
        <w:t>y</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On February 19, 2016, the Company entered into a senior credit facility (the “2016 Senior Credit Facility”), as amended from time to time, which provides borrowing capacity under term loan agreements as well as a revolving credi</w:t>
      </w:r>
      <w:r>
        <w:rPr>
          <w:rFonts w:eastAsia="Times New Roman"/>
          <w:color w:val="000000"/>
          <w:sz w:val="20"/>
          <w:szCs w:val="20"/>
        </w:rPr>
        <w:t>t facility. Proceeds from the 2016 Senior Credit Facility may be used for working capital, capital expenditures, dividends, share repurchases, and other matters. There are no compensating balance requirements associated with the 2016 Senior Credit Facility</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2016 Senior Credit Facility contains a $500 million revolving credit facility (the “Revolver”) with a sublimit of $50 million for swingline loans. This agreement is unsecured and matures on February 19, 2022. Borrowings under the Revolver bear inte</w:t>
      </w:r>
      <w:r>
        <w:rPr>
          <w:rFonts w:eastAsia="Times New Roman"/>
          <w:color w:val="000000"/>
          <w:sz w:val="20"/>
          <w:szCs w:val="20"/>
        </w:rPr>
        <w:t>rest either at the bank’s base rate (3.250% at June 27, 2020) or at the London Inter-Bank Offer Rate (“LIBOR”) (0.178% at June 27, 2020) plus an additional amount ranging from 0.500% to 1.125% per annum (0.750% at June 27, 2020), adjusted quarterly based o</w:t>
      </w:r>
      <w:r>
        <w:rPr>
          <w:rFonts w:eastAsia="Times New Roman"/>
          <w:color w:val="000000"/>
          <w:sz w:val="20"/>
          <w:szCs w:val="20"/>
        </w:rPr>
        <w:t>n our leverage ratio. The Company is also required to pay, quarterly in arrears, a commitment fee for unused capacity ranging from 0.075% to 0.200% per annum (0.125% at June 27, 2020), adjusted quarterly based on the Company’s leverage ratio.</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On Februar</w:t>
      </w:r>
      <w:r>
        <w:rPr>
          <w:rFonts w:eastAsia="Times New Roman"/>
          <w:color w:val="000000"/>
          <w:sz w:val="20"/>
          <w:szCs w:val="20"/>
        </w:rPr>
        <w:t>y 19, 2016, at the inception of the 2016 Senior Credit Facility, the Company entered into a $200 million term loan (the “February 2016 Term Loan”). This agreement is unsecured and matures on February 19, 2022. The February 2016 Term Loan of $200 million re</w:t>
      </w:r>
      <w:r>
        <w:rPr>
          <w:rFonts w:eastAsia="Times New Roman"/>
          <w:color w:val="000000"/>
          <w:sz w:val="20"/>
          <w:szCs w:val="20"/>
        </w:rPr>
        <w:t xml:space="preserve">quires quarterly payments totaling $10 million per year in years one and two and $20 million per year in years three through the maturity date, with the remaining balance due in full on the maturity date of February 19, 2022. Borrowings under the February </w:t>
      </w:r>
      <w:r>
        <w:rPr>
          <w:rFonts w:eastAsia="Times New Roman"/>
          <w:color w:val="000000"/>
          <w:sz w:val="20"/>
          <w:szCs w:val="20"/>
        </w:rPr>
        <w:t>2016 Term Loan bear interest either at the bank’s base rate (3.250% at June 27, 2020) or at LIBOR (0.178% at June 27, 2020) plus an additional amount ranging from 0.500% to 1.125% per annum (0.750% at June 27, 2020), adjusted quarterly based on our leverag</w:t>
      </w:r>
      <w:r>
        <w:rPr>
          <w:rFonts w:eastAsia="Times New Roman"/>
          <w:color w:val="000000"/>
          <w:sz w:val="20"/>
          <w:szCs w:val="20"/>
        </w:rPr>
        <w:t>e ratio</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On June 15, 2017, pursuant to an accordion feature available under the 2016 Senior Credit Facility, the Company entered into an incremental term loan agreement (the “June 2017 Term Loan”) which increased the term loan capacity under the 2016 Sen</w:t>
      </w:r>
      <w:r>
        <w:rPr>
          <w:rFonts w:eastAsia="Times New Roman"/>
          <w:color w:val="000000"/>
          <w:sz w:val="20"/>
          <w:szCs w:val="20"/>
        </w:rPr>
        <w:t>ior Credit Facility by $100 million. This agreement is unsecured and matures on June 15, 2022. The June 2017 Term Loan of $100 million requires quarterly payments totaling $5 million per year in years one and two and $10 million per year in years three thr</w:t>
      </w:r>
      <w:r>
        <w:rPr>
          <w:rFonts w:eastAsia="Times New Roman"/>
          <w:color w:val="000000"/>
          <w:sz w:val="20"/>
          <w:szCs w:val="20"/>
        </w:rPr>
        <w:t>ough the maturity date, with the remaining balance due in full on the maturity date of June 15, 2022. Borrowings under the June 2017 Term Loan bear interest either at the bank’s base rate (3.250% at June 27, 2020) or at LIBOR (0.178% at June 27, 2020) plus</w:t>
      </w:r>
      <w:r>
        <w:rPr>
          <w:rFonts w:eastAsia="Times New Roman"/>
          <w:color w:val="000000"/>
          <w:sz w:val="20"/>
          <w:szCs w:val="20"/>
        </w:rPr>
        <w:t xml:space="preserve"> an additional 1.000% per annum</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On March 12, 2020, pursuant to an accordion feature available under the 2016 Senior Credit Facility, the Company entered into an incremental term loan agreement (the “March 2020 Term Loan”) which increased the term loan c</w:t>
      </w:r>
      <w:r>
        <w:rPr>
          <w:rFonts w:eastAsia="Times New Roman"/>
          <w:color w:val="000000"/>
          <w:sz w:val="20"/>
          <w:szCs w:val="20"/>
        </w:rPr>
        <w:t>apacity under the 2016 Senior Credit Facility by $200 million. This agreement is unsecured and matures with the amount due in full on March 16, 2022. Borrowings under the March 2020 Term Loan bear interest either at the bank’s base rate (3.250% at June 27,</w:t>
      </w:r>
      <w:r>
        <w:rPr>
          <w:rFonts w:eastAsia="Times New Roman"/>
          <w:color w:val="000000"/>
          <w:sz w:val="20"/>
          <w:szCs w:val="20"/>
        </w:rPr>
        <w:t xml:space="preserve"> 2020) or at LIBOR (0.178% at June 27, 2020) plus an additional 0.750% per annum</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On April 22, 2020, the Company entered into a second amendment to the 2016 Senior Credit Facility (the “Second Amendment”) to, among other things, increase the option to in</w:t>
      </w:r>
      <w:r>
        <w:rPr>
          <w:rFonts w:eastAsia="Times New Roman"/>
          <w:color w:val="000000"/>
          <w:sz w:val="20"/>
          <w:szCs w:val="20"/>
        </w:rPr>
        <w:t>crease the aggregate principal amount of Revolving Loan</w:t>
      </w:r>
      <w:r>
        <w:rPr>
          <w:rFonts w:eastAsia="Times New Roman"/>
          <w:color w:val="000000"/>
          <w:sz w:val="20"/>
          <w:szCs w:val="20"/>
        </w:rPr>
        <w:t xml:space="preserve"> </w:t>
      </w:r>
    </w:p>
    <w:p w:rsidR="00000000" w:rsidRDefault="0016787D">
      <w:pPr>
        <w:jc w:val="center"/>
        <w:divId w:val="1646163740"/>
        <w:rPr>
          <w:rFonts w:eastAsia="Times New Roman"/>
        </w:rPr>
      </w:pPr>
      <w:r>
        <w:rPr>
          <w:rFonts w:eastAsia="Times New Roman"/>
          <w:color w:val="000000"/>
          <w:sz w:val="20"/>
          <w:szCs w:val="20"/>
        </w:rPr>
        <w:t>Page 1</w:t>
      </w:r>
      <w:r>
        <w:rPr>
          <w:rFonts w:eastAsia="Times New Roman"/>
          <w:color w:val="000000"/>
          <w:sz w:val="20"/>
          <w:szCs w:val="20"/>
        </w:rPr>
        <w:t>2</w:t>
      </w:r>
    </w:p>
    <w:p w:rsidR="00000000" w:rsidRDefault="0016787D">
      <w:pPr>
        <w:rPr>
          <w:rFonts w:eastAsia="Times New Roman"/>
        </w:rPr>
      </w:pPr>
      <w:r>
        <w:rPr>
          <w:rFonts w:eastAsia="Times New Roman"/>
        </w:rPr>
        <w:pict>
          <v:rect id="_x0000_i1037" style="width:0;height:1.5pt" o:hralign="center" o:hrstd="t" o:hr="t" fillcolor="#a0a0a0" stroked="f"/>
        </w:pict>
      </w:r>
    </w:p>
    <w:p w:rsidR="00000000" w:rsidRDefault="0016787D">
      <w:pPr>
        <w:divId w:val="624888473"/>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Commitments and Incremental Term Loans (as defined in the 2016 Senior Credit Facility) up to an amount not to exceed $650 million. Simultaneously with the S</w:t>
      </w:r>
      <w:r>
        <w:rPr>
          <w:rFonts w:eastAsia="Times New Roman"/>
          <w:color w:val="000000"/>
          <w:sz w:val="20"/>
          <w:szCs w:val="20"/>
        </w:rPr>
        <w:t>econd Amendment, the Company entered into an incremental term loan agreement (the “April 2020 Term Loan”) in the amount of $350 million, which is in addition to the 2016 Senior Credit Facility’s existing term loan and revolving credit facility. This agreem</w:t>
      </w:r>
      <w:r>
        <w:rPr>
          <w:rFonts w:eastAsia="Times New Roman"/>
          <w:color w:val="000000"/>
          <w:sz w:val="20"/>
          <w:szCs w:val="20"/>
        </w:rPr>
        <w:t>ent is unsecured and matures with the amount due in full on April 21, 2021. Borrowings under the April 2020 Term Loan bear interest either at the bank’s base rate (3.250% at June 27, 2020) plus an additional amount ranging from 0.250% to 1.500% per annum (</w:t>
      </w:r>
      <w:r>
        <w:rPr>
          <w:rFonts w:eastAsia="Times New Roman"/>
          <w:color w:val="000000"/>
          <w:sz w:val="20"/>
          <w:szCs w:val="20"/>
        </w:rPr>
        <w:t>0.750% at June 27, 2020) or at LIBOR (0.178% at June 27, 2020), with a floor of 0.750%, plus an additional amount ranging from 1.250% to 2.500% per annum (1.750% at June 27, 2020), adjusted quarterly based on our leverage ratio</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As further described in N</w:t>
      </w:r>
      <w:r>
        <w:rPr>
          <w:rFonts w:eastAsia="Times New Roman"/>
          <w:color w:val="000000"/>
          <w:sz w:val="20"/>
          <w:szCs w:val="20"/>
        </w:rPr>
        <w:t>ote 6 to the Condensed Consolidated Financial Statements, the Company has entered into interest rate swap agreements in order to hedge our exposure to variable rate interest payments associated with each of the term loans under the 2016 Senior Credit Facil</w:t>
      </w:r>
      <w:r>
        <w:rPr>
          <w:rFonts w:eastAsia="Times New Roman"/>
          <w:color w:val="000000"/>
          <w:sz w:val="20"/>
          <w:szCs w:val="20"/>
        </w:rPr>
        <w:t>ity other than the April 2020 Term Loan.</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i/>
          <w:iCs/>
          <w:color w:val="000000"/>
          <w:sz w:val="20"/>
          <w:szCs w:val="20"/>
        </w:rPr>
        <w:t>Covenants and Default Provisions of the Debt Agreement</w:t>
      </w:r>
      <w:r>
        <w:rPr>
          <w:rFonts w:eastAsia="Times New Roman"/>
          <w:i/>
          <w:i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2016 Senior Credit Facility and the Note Purchase Agreement (collectively, the “Debt Agreements”) require quarterly compliance with respect to two mat</w:t>
      </w:r>
      <w:r>
        <w:rPr>
          <w:rFonts w:eastAsia="Times New Roman"/>
          <w:color w:val="000000"/>
          <w:sz w:val="20"/>
          <w:szCs w:val="20"/>
        </w:rPr>
        <w:t>erial covenants: a fixed charge coverage ratio and a leverage ratio.  Both ratios are calculated on a trailing twelve-month basis at the end of each fiscal quarter. The fixed charge coverage ratio compares earnings before interest, taxes, depreciation, amo</w:t>
      </w:r>
      <w:r>
        <w:rPr>
          <w:rFonts w:eastAsia="Times New Roman"/>
          <w:color w:val="000000"/>
          <w:sz w:val="20"/>
          <w:szCs w:val="20"/>
        </w:rPr>
        <w:t xml:space="preserve">rtization, share-based compensation, and rent expense (“consolidated EBITDAR”) to the sum of interest paid and rental expense (excluding any straight-line rent adjustments).  The fixed charge coverage ratio shall be greater than or equal to 2.00 to 1.0 as </w:t>
      </w:r>
      <w:r>
        <w:rPr>
          <w:rFonts w:eastAsia="Times New Roman"/>
          <w:color w:val="000000"/>
          <w:sz w:val="20"/>
          <w:szCs w:val="20"/>
        </w:rPr>
        <w:t>of the last day of each fiscal quarter. The leverage ratio compares rental expense (excluding any straight-line rent adjustments) multiplied by a factor of six plus total debt to consolidated EBITDAR.  The leverage ratio shall be less than or equal to 4.00</w:t>
      </w:r>
      <w:r>
        <w:rPr>
          <w:rFonts w:eastAsia="Times New Roman"/>
          <w:color w:val="000000"/>
          <w:sz w:val="20"/>
          <w:szCs w:val="20"/>
        </w:rPr>
        <w:t xml:space="preserve"> to 1.0 as of the last day of each fiscal quarter. The Debt Agreements also contain certain other restrictions regarding additional indebtedness, capital expenditures, business operations, guarantees, investments, mergers, consolidations and sales of asset</w:t>
      </w:r>
      <w:r>
        <w:rPr>
          <w:rFonts w:eastAsia="Times New Roman"/>
          <w:color w:val="000000"/>
          <w:sz w:val="20"/>
          <w:szCs w:val="20"/>
        </w:rPr>
        <w:t>s, prepayment of debts, transactions with subsidiaries or affiliates, and liens.  As of June 27, 2020, the Company was in compliance with all debt covenants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Debt Agreements contain customary events of default, including payment defaults, breaches of</w:t>
      </w:r>
      <w:r>
        <w:rPr>
          <w:rFonts w:eastAsia="Times New Roman"/>
          <w:color w:val="000000"/>
          <w:sz w:val="20"/>
          <w:szCs w:val="20"/>
        </w:rPr>
        <w:t xml:space="preserve"> representations and warranties, covenant defaults, cross-defaults to other material indebtedness, certain events of bankruptcy and insolvency, material judgments, certain ERISA events, and invalidity of loan documents. Upon certain changes of control, pay</w:t>
      </w:r>
      <w:r>
        <w:rPr>
          <w:rFonts w:eastAsia="Times New Roman"/>
          <w:color w:val="000000"/>
          <w:sz w:val="20"/>
          <w:szCs w:val="20"/>
        </w:rPr>
        <w:t>ment under the Debt Agreements could become due and payable. In addition, under the Note Purchase Agreement, upon an event of default or change of control, the make whole payment described above may become due and payable.</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Note Purchase Agreement also requires that, in the event the Company amends its 2016 Senior Credit Facility, or any subsequent credit facility of $100 million or greater, such that it contains covenant or default provisions that are not provided in the</w:t>
      </w:r>
      <w:r>
        <w:rPr>
          <w:rFonts w:eastAsia="Times New Roman"/>
          <w:color w:val="000000"/>
          <w:sz w:val="20"/>
          <w:szCs w:val="20"/>
        </w:rPr>
        <w:t xml:space="preserve"> Note Purchase Agreement or that are similar to those contained in the Note Purchase Agreement but which contain percentages, amounts, formulas or grace periods that are more restrictive than those set forth in the Note Purchase Agreement or are otherwise </w:t>
      </w:r>
      <w:r>
        <w:rPr>
          <w:rFonts w:eastAsia="Times New Roman"/>
          <w:color w:val="000000"/>
          <w:sz w:val="20"/>
          <w:szCs w:val="20"/>
        </w:rPr>
        <w:t>more beneficial to the lenders thereunder, the Note Purchase Agreement shall be automatically amended to include such additional or amended covenants and/or default provisions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p>
    <w:p w:rsidR="00000000" w:rsidRDefault="0016787D">
      <w:pPr>
        <w:divId w:val="1538155297"/>
        <w:rPr>
          <w:rFonts w:eastAsia="Times New Roman"/>
        </w:rPr>
      </w:pPr>
      <w:r>
        <w:rPr>
          <w:rFonts w:eastAsia="Times New Roman"/>
          <w:b/>
          <w:bCs/>
          <w:color w:val="000000"/>
          <w:sz w:val="20"/>
          <w:szCs w:val="20"/>
        </w:rPr>
        <w:t>Note 6 – Interest Rate Swaps</w:t>
      </w:r>
      <w:r>
        <w:rPr>
          <w:rFonts w:eastAsia="Times New Roman"/>
          <w:b/>
          <w:bCs/>
          <w:color w:val="000000"/>
          <w:sz w:val="20"/>
          <w:szCs w:val="20"/>
        </w:rPr>
        <w:t>:</w:t>
      </w:r>
    </w:p>
    <w:p w:rsidR="00000000" w:rsidRDefault="0016787D">
      <w:pPr>
        <w:divId w:val="17465171"/>
        <w:rPr>
          <w:rFonts w:eastAsia="Times New Roman"/>
        </w:rPr>
      </w:pPr>
    </w:p>
    <w:p w:rsidR="00000000" w:rsidRDefault="0016787D">
      <w:pPr>
        <w:jc w:val="both"/>
        <w:rPr>
          <w:rFonts w:eastAsia="Times New Roman"/>
        </w:rPr>
      </w:pPr>
      <w:r>
        <w:rPr>
          <w:rFonts w:eastAsia="Times New Roman"/>
          <w:color w:val="000000"/>
          <w:sz w:val="20"/>
          <w:szCs w:val="20"/>
        </w:rPr>
        <w:t>The Company entered into an interest rate s</w:t>
      </w:r>
      <w:r>
        <w:rPr>
          <w:rFonts w:eastAsia="Times New Roman"/>
          <w:color w:val="000000"/>
          <w:sz w:val="20"/>
          <w:szCs w:val="20"/>
        </w:rPr>
        <w:t xml:space="preserve">wap agreement which became effective on March 31, 2016, with a maturity date of February 19, 2021. The notional amount of this swap agreement began at $197.5 million (the principal amount of the February 2016 Term Loan borrowings as of March 31, 2016) and </w:t>
      </w:r>
      <w:r>
        <w:rPr>
          <w:rFonts w:eastAsia="Times New Roman"/>
          <w:color w:val="000000"/>
          <w:sz w:val="20"/>
          <w:szCs w:val="20"/>
        </w:rPr>
        <w:t>will amortize at the same time and in the same amount as the February 2016 Term Loan borrowings, as described in Note 5 to the Condensed Consolidated Financial Statements, up to the maturity date of the interest rate swap agreement on February 19, 2021. As</w:t>
      </w:r>
      <w:r>
        <w:rPr>
          <w:rFonts w:eastAsia="Times New Roman"/>
          <w:color w:val="000000"/>
          <w:sz w:val="20"/>
          <w:szCs w:val="20"/>
        </w:rPr>
        <w:t xml:space="preserve"> of June 27, 2020, the notional amount of the interest rate swap was $135.0 million.</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 entered into a second interest rate swap agreement which became effective on June 30, 2017, with a maturity date of June 15, 2022. The notional amount of th</w:t>
      </w:r>
      <w:r>
        <w:rPr>
          <w:rFonts w:eastAsia="Times New Roman"/>
          <w:color w:val="000000"/>
          <w:sz w:val="20"/>
          <w:szCs w:val="20"/>
        </w:rPr>
        <w:t>is swap agreement began at $100 million (the principal amount of the June 2017 Term Loan borrowings as of June 30, 2017) and will amortize at the same time and in the same amount as the June 2017 Term Loan borrowings, as described in Note 5 to the Condense</w:t>
      </w:r>
      <w:r>
        <w:rPr>
          <w:rFonts w:eastAsia="Times New Roman"/>
          <w:color w:val="000000"/>
          <w:sz w:val="20"/>
          <w:szCs w:val="20"/>
        </w:rPr>
        <w:t>d Consolidated Financial Statements. As of June 27, 2020, the notional amount of the interest rate swap was $82.5 million.</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 entered into a third interest rate swap agreement which became effective on March 18, 2020, with a maturity date of Ma</w:t>
      </w:r>
      <w:r>
        <w:rPr>
          <w:rFonts w:eastAsia="Times New Roman"/>
          <w:color w:val="000000"/>
          <w:sz w:val="20"/>
          <w:szCs w:val="20"/>
        </w:rPr>
        <w:t>rch 18, 2025. The notional amount of this swap agreement is fixed at $200 million.</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center"/>
        <w:divId w:val="1231042166"/>
        <w:rPr>
          <w:rFonts w:eastAsia="Times New Roman"/>
        </w:rPr>
      </w:pPr>
      <w:r>
        <w:rPr>
          <w:rFonts w:eastAsia="Times New Roman"/>
          <w:color w:val="000000"/>
          <w:sz w:val="20"/>
          <w:szCs w:val="20"/>
        </w:rPr>
        <w:t>Page 1</w:t>
      </w:r>
      <w:r>
        <w:rPr>
          <w:rFonts w:eastAsia="Times New Roman"/>
          <w:color w:val="000000"/>
          <w:sz w:val="20"/>
          <w:szCs w:val="20"/>
        </w:rPr>
        <w:t>3</w:t>
      </w:r>
    </w:p>
    <w:p w:rsidR="00000000" w:rsidRDefault="0016787D">
      <w:pPr>
        <w:rPr>
          <w:rFonts w:eastAsia="Times New Roman"/>
        </w:rPr>
      </w:pPr>
      <w:r>
        <w:rPr>
          <w:rFonts w:eastAsia="Times New Roman"/>
        </w:rPr>
        <w:pict>
          <v:rect id="_x0000_i1038" style="width:0;height:1.5pt" o:hralign="center" o:hrstd="t" o:hr="t" fillcolor="#a0a0a0" stroked="f"/>
        </w:pict>
      </w:r>
    </w:p>
    <w:p w:rsidR="00000000" w:rsidRDefault="0016787D">
      <w:pPr>
        <w:divId w:val="1615482249"/>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The Company’s interest rate swap agreements are executed for r</w:t>
      </w:r>
      <w:r>
        <w:rPr>
          <w:rFonts w:eastAsia="Times New Roman"/>
          <w:color w:val="000000"/>
          <w:sz w:val="20"/>
          <w:szCs w:val="20"/>
        </w:rPr>
        <w:t>isk management and are not held for trading purposes. The objective of the interest rate swap agreements is to mitigate interest rate risk associated with future changes in interest rates. To accomplish this objective, the interest rate swap agreements are</w:t>
      </w:r>
      <w:r>
        <w:rPr>
          <w:rFonts w:eastAsia="Times New Roman"/>
          <w:color w:val="000000"/>
          <w:sz w:val="20"/>
          <w:szCs w:val="20"/>
        </w:rPr>
        <w:t xml:space="preserve"> intended to hedge the variable cash flows associated with the variable rate term loan borrowings under the 2016 Senior Credit Facility. The interest rate swap agreements entitle the Company to receive, at specified intervals, a variable rate of interest b</w:t>
      </w:r>
      <w:r>
        <w:rPr>
          <w:rFonts w:eastAsia="Times New Roman"/>
          <w:color w:val="000000"/>
          <w:sz w:val="20"/>
          <w:szCs w:val="20"/>
        </w:rPr>
        <w:t>ased on LIBOR in exchange for the payment of a fixed rate of interest throughout the life of the agreement, without exchange of the underlying notional amount.</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 has designated its interest rate swap agreements as cash flow hedges and accounts</w:t>
      </w:r>
      <w:r>
        <w:rPr>
          <w:rFonts w:eastAsia="Times New Roman"/>
          <w:color w:val="000000"/>
          <w:sz w:val="20"/>
          <w:szCs w:val="20"/>
        </w:rPr>
        <w:t xml:space="preserve"> for the underlying activity in accordance with hedge accounting. The interest rate swaps are presented within the Condensed Consolidated Balance Sheets at fair value. In accordance with hedge accounting, the gains and losses on interest rate swaps that ar</w:t>
      </w:r>
      <w:r>
        <w:rPr>
          <w:rFonts w:eastAsia="Times New Roman"/>
          <w:color w:val="000000"/>
          <w:sz w:val="20"/>
          <w:szCs w:val="20"/>
        </w:rPr>
        <w:t>e designated and qualify as cash flow hedges are recorded as a component of Other Comprehensive Income (“OCI”), net of related income taxes, and reclassified into earnings in the same income statement line and period during which the hedged transactions af</w:t>
      </w:r>
      <w:r>
        <w:rPr>
          <w:rFonts w:eastAsia="Times New Roman"/>
          <w:color w:val="000000"/>
          <w:sz w:val="20"/>
          <w:szCs w:val="20"/>
        </w:rPr>
        <w:t>fect earnings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As of June 27, 2020, amounts to be reclassified from Accumulated Other Comprehensive Income (“AOCI”) into interest during the next twelve months are not expected to be material. No significant amounts were excluded from the assessment of c</w:t>
      </w:r>
      <w:r>
        <w:rPr>
          <w:rFonts w:eastAsia="Times New Roman"/>
          <w:color w:val="000000"/>
          <w:sz w:val="20"/>
          <w:szCs w:val="20"/>
        </w:rPr>
        <w:t>ash flow hedge effectiveness as of June 27, 2020</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assets and liabilities measured at fair value related to the Company’s interest rate swaps, excluding accrued interest, were as follows (in thousands):</w:t>
      </w:r>
      <w:r>
        <w:rPr>
          <w:rFonts w:eastAsia="Times New Roman"/>
          <w:color w:val="000000"/>
          <w:sz w:val="20"/>
          <w:szCs w:val="20"/>
        </w:rPr>
        <w:t xml:space="preserve"> </w:t>
      </w:r>
    </w:p>
    <w:tbl>
      <w:tblPr>
        <w:tblW w:w="4985" w:type="pct"/>
        <w:jc w:val="center"/>
        <w:tblCellMar>
          <w:top w:w="15" w:type="dxa"/>
          <w:left w:w="15" w:type="dxa"/>
          <w:bottom w:w="15" w:type="dxa"/>
          <w:right w:w="15" w:type="dxa"/>
        </w:tblCellMar>
        <w:tblLook w:val="04A0" w:firstRow="1" w:lastRow="0" w:firstColumn="1" w:lastColumn="0" w:noHBand="0" w:noVBand="1"/>
      </w:tblPr>
      <w:tblGrid>
        <w:gridCol w:w="53"/>
        <w:gridCol w:w="2731"/>
        <w:gridCol w:w="53"/>
        <w:gridCol w:w="36"/>
        <w:gridCol w:w="36"/>
        <w:gridCol w:w="36"/>
        <w:gridCol w:w="37"/>
        <w:gridCol w:w="1596"/>
        <w:gridCol w:w="54"/>
        <w:gridCol w:w="36"/>
        <w:gridCol w:w="36"/>
        <w:gridCol w:w="36"/>
        <w:gridCol w:w="135"/>
        <w:gridCol w:w="888"/>
        <w:gridCol w:w="85"/>
        <w:gridCol w:w="36"/>
        <w:gridCol w:w="36"/>
        <w:gridCol w:w="36"/>
        <w:gridCol w:w="136"/>
        <w:gridCol w:w="888"/>
        <w:gridCol w:w="85"/>
        <w:gridCol w:w="36"/>
        <w:gridCol w:w="36"/>
        <w:gridCol w:w="36"/>
        <w:gridCol w:w="135"/>
        <w:gridCol w:w="888"/>
        <w:gridCol w:w="85"/>
      </w:tblGrid>
      <w:tr w:rsidR="00000000">
        <w:trPr>
          <w:divId w:val="540243075"/>
          <w:jc w:val="center"/>
        </w:trPr>
        <w:tc>
          <w:tcPr>
            <w:tcW w:w="50" w:type="pct"/>
            <w:vAlign w:val="center"/>
            <w:hideMark/>
          </w:tcPr>
          <w:p w:rsidR="00000000" w:rsidRDefault="0016787D">
            <w:pPr>
              <w:jc w:val="both"/>
              <w:rPr>
                <w:rFonts w:eastAsia="Times New Roman"/>
              </w:rPr>
            </w:pPr>
          </w:p>
        </w:tc>
        <w:tc>
          <w:tcPr>
            <w:tcW w:w="1666"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98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6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6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6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540243075"/>
          <w:jc w:val="center"/>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Derivatives Designated</w:t>
            </w:r>
            <w:r>
              <w:rPr>
                <w:rFonts w:eastAsia="Times New Roman"/>
                <w:b/>
                <w:bCs/>
                <w:color w:val="000000"/>
                <w:sz w:val="20"/>
                <w:szCs w:val="20"/>
              </w:rPr>
              <w:t xml:space="preserve"> </w:t>
            </w:r>
          </w:p>
          <w:p w:rsidR="00000000" w:rsidRDefault="0016787D">
            <w:pPr>
              <w:jc w:val="center"/>
              <w:rPr>
                <w:rFonts w:eastAsia="Times New Roman"/>
              </w:rPr>
            </w:pPr>
            <w:r>
              <w:rPr>
                <w:rFonts w:eastAsia="Times New Roman"/>
                <w:b/>
                <w:bCs/>
                <w:color w:val="000000"/>
                <w:sz w:val="20"/>
                <w:szCs w:val="20"/>
              </w:rPr>
              <w:t>as Cash Flow Hedge</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Balance Sheet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r>
      <w:tr w:rsidR="00000000">
        <w:trPr>
          <w:divId w:val="540243075"/>
          <w:jc w:val="center"/>
        </w:trPr>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Other current asset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558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1,052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540243075"/>
          <w:jc w:val="center"/>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Other assets</w:t>
            </w:r>
            <w:r>
              <w:rPr>
                <w:rFonts w:eastAsia="Times New Roman"/>
                <w:color w:val="000000"/>
                <w:sz w:val="20"/>
                <w:szCs w:val="20"/>
              </w:rPr>
              <w:t xml:space="preserve"> </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91</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276</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54024307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Total derivative asset</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649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1,328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540243075"/>
          <w:trHeight w:val="300"/>
          <w:jc w:val="center"/>
        </w:trPr>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540243075"/>
          <w:jc w:val="center"/>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Interest rate swaps (short-term portion</w:t>
            </w: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shd w:val="clear" w:color="auto" w:fill="CCEEFF"/>
            <w:tcMar>
              <w:top w:w="30" w:type="dxa"/>
              <w:left w:w="20" w:type="dxa"/>
              <w:bottom w:w="30" w:type="dxa"/>
              <w:right w:w="15" w:type="dxa"/>
            </w:tcMar>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rsidR="00000000" w:rsidRDefault="0016787D">
            <w:pPr>
              <w:jc w:val="right"/>
              <w:rPr>
                <w:rFonts w:eastAsia="Times New Roman"/>
              </w:rPr>
            </w:pPr>
            <w:r>
              <w:rPr>
                <w:rFonts w:eastAsia="Times New Roman"/>
                <w:color w:val="000000"/>
                <w:sz w:val="20"/>
                <w:szCs w:val="20"/>
              </w:rPr>
              <w:t>3,112</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rsidR="00000000" w:rsidRDefault="0016787D">
            <w:pPr>
              <w:jc w:val="right"/>
              <w:rPr>
                <w:rFonts w:eastAsia="Times New Roman"/>
              </w:rPr>
            </w:pPr>
            <w:r>
              <w:rPr>
                <w:rFonts w:eastAsia="Times New Roman"/>
                <w:color w:val="000000"/>
                <w:sz w:val="20"/>
                <w:szCs w:val="20"/>
              </w:rPr>
              <w:t>90</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hideMark/>
          </w:tcPr>
          <w:p w:rsidR="00000000" w:rsidRDefault="0016787D">
            <w:pPr>
              <w:jc w:val="right"/>
              <w:rPr>
                <w:rFonts w:eastAsia="Times New Roman"/>
              </w:rPr>
            </w:pPr>
            <w:r>
              <w:rPr>
                <w:rFonts w:eastAsia="Times New Roman"/>
                <w:color w:val="000000"/>
                <w:sz w:val="20"/>
                <w:szCs w:val="20"/>
              </w:rPr>
              <w:t> </w:t>
            </w:r>
          </w:p>
        </w:tc>
      </w:tr>
      <w:tr w:rsidR="00000000">
        <w:trPr>
          <w:divId w:val="540243075"/>
          <w:jc w:val="center"/>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Interest rate swaps (long-term portion</w:t>
            </w:r>
            <w:r>
              <w:rPr>
                <w:rFonts w:eastAsia="Times New Roman"/>
                <w:color w:val="000000"/>
                <w:sz w:val="20"/>
                <w:szCs w:val="20"/>
              </w:rPr>
              <w:t>)</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Other long-term liabilitie</w:t>
            </w:r>
            <w:r>
              <w:rPr>
                <w:rFonts w:eastAsia="Times New Roman"/>
                <w:color w:val="000000"/>
                <w:sz w:val="20"/>
                <w:szCs w:val="20"/>
              </w:rPr>
              <w:t>s</w:t>
            </w:r>
          </w:p>
        </w:tc>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Mar>
              <w:top w:w="30" w:type="dxa"/>
              <w:left w:w="20" w:type="dxa"/>
              <w:bottom w:w="30" w:type="dxa"/>
              <w:right w:w="0" w:type="dxa"/>
            </w:tcMar>
            <w:hideMark/>
          </w:tcPr>
          <w:p w:rsidR="00000000" w:rsidRDefault="0016787D">
            <w:pPr>
              <w:jc w:val="right"/>
              <w:rPr>
                <w:rFonts w:eastAsia="Times New Roman"/>
              </w:rPr>
            </w:pPr>
            <w:r>
              <w:rPr>
                <w:rFonts w:eastAsia="Times New Roman"/>
                <w:color w:val="000000"/>
                <w:sz w:val="20"/>
                <w:szCs w:val="20"/>
              </w:rPr>
              <w:t>5,403</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hideMark/>
          </w:tcPr>
          <w:p w:rsidR="00000000" w:rsidRDefault="0016787D">
            <w:pPr>
              <w:jc w:val="right"/>
              <w:rPr>
                <w:rFonts w:eastAsia="Times New Roman"/>
              </w:rPr>
            </w:pPr>
            <w:r>
              <w:rPr>
                <w:rFonts w:eastAsia="Times New Roman"/>
                <w:color w:val="000000"/>
                <w:sz w:val="20"/>
                <w:szCs w:val="20"/>
              </w:rPr>
              <w:t>292</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hideMark/>
          </w:tcPr>
          <w:p w:rsidR="00000000" w:rsidRDefault="0016787D">
            <w:pPr>
              <w:jc w:val="right"/>
              <w:rPr>
                <w:rFonts w:eastAsia="Times New Roman"/>
              </w:rPr>
            </w:pPr>
            <w:r>
              <w:rPr>
                <w:rFonts w:eastAsia="Times New Roman"/>
                <w:color w:val="000000"/>
                <w:sz w:val="20"/>
                <w:szCs w:val="20"/>
              </w:rPr>
              <w:t>389</w:t>
            </w:r>
            <w:r>
              <w:rPr>
                <w:rFonts w:eastAsia="Times New Roman"/>
                <w:color w:val="000000"/>
                <w:sz w:val="20"/>
                <w:szCs w:val="20"/>
              </w:rPr>
              <w:t> </w:t>
            </w:r>
          </w:p>
        </w:tc>
        <w:tc>
          <w:tcPr>
            <w:tcW w:w="0" w:type="auto"/>
            <w:tcMar>
              <w:top w:w="30" w:type="dxa"/>
              <w:left w:w="15" w:type="dxa"/>
              <w:bottom w:w="30" w:type="dxa"/>
              <w:right w:w="20" w:type="dxa"/>
            </w:tcMar>
            <w:hideMark/>
          </w:tcPr>
          <w:p w:rsidR="00000000" w:rsidRDefault="0016787D">
            <w:pPr>
              <w:jc w:val="right"/>
              <w:rPr>
                <w:rFonts w:eastAsia="Times New Roman"/>
              </w:rPr>
            </w:pPr>
            <w:r>
              <w:rPr>
                <w:rFonts w:eastAsia="Times New Roman"/>
                <w:color w:val="000000"/>
                <w:sz w:val="20"/>
                <w:szCs w:val="20"/>
              </w:rPr>
              <w:t> </w:t>
            </w:r>
          </w:p>
        </w:tc>
      </w:tr>
      <w:tr w:rsidR="00000000">
        <w:trPr>
          <w:divId w:val="54024307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Total derivative liabilitie</w:t>
            </w:r>
            <w:r>
              <w:rPr>
                <w:rFonts w:eastAsia="Times New Roman"/>
                <w:b/>
                <w:bCs/>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8,515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divId w:val="1641374486"/>
        <w:rPr>
          <w:rFonts w:eastAsia="Times New Roman"/>
        </w:rPr>
      </w:pPr>
    </w:p>
    <w:p w:rsidR="00000000" w:rsidRDefault="0016787D">
      <w:pPr>
        <w:jc w:val="both"/>
        <w:rPr>
          <w:rFonts w:eastAsia="Times New Roman"/>
        </w:rPr>
      </w:pPr>
      <w:r>
        <w:rPr>
          <w:rFonts w:eastAsia="Times New Roman"/>
          <w:color w:val="000000"/>
          <w:sz w:val="20"/>
          <w:szCs w:val="20"/>
        </w:rPr>
        <w:t>The offset to the interest rate swap asset or liability is recorded as a component of equity, net of deferred taxes, in AOCI, and will be reclassified into earnings over the term of the underlying debt as interest payments are made.</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The following table </w:t>
      </w:r>
      <w:r>
        <w:rPr>
          <w:rFonts w:eastAsia="Times New Roman"/>
          <w:color w:val="000000"/>
          <w:sz w:val="20"/>
          <w:szCs w:val="20"/>
        </w:rPr>
        <w:t>summarizes the changes in AOCI, net of tax, related to the Company’s interest rate swaps (in thousands)</w:t>
      </w:r>
      <w:r>
        <w:rPr>
          <w:rFonts w:eastAsia="Times New Roman"/>
          <w:color w:val="000000"/>
          <w:sz w:val="20"/>
          <w:szCs w:val="20"/>
        </w:rPr>
        <w:t>:</w:t>
      </w:r>
    </w:p>
    <w:tbl>
      <w:tblPr>
        <w:tblW w:w="4978" w:type="pct"/>
        <w:jc w:val="center"/>
        <w:tblCellMar>
          <w:top w:w="15" w:type="dxa"/>
          <w:left w:w="15" w:type="dxa"/>
          <w:bottom w:w="15" w:type="dxa"/>
          <w:right w:w="15" w:type="dxa"/>
        </w:tblCellMar>
        <w:tblLook w:val="04A0" w:firstRow="1" w:lastRow="0" w:firstColumn="1" w:lastColumn="0" w:noHBand="0" w:noVBand="1"/>
      </w:tblPr>
      <w:tblGrid>
        <w:gridCol w:w="46"/>
        <w:gridCol w:w="4645"/>
        <w:gridCol w:w="46"/>
        <w:gridCol w:w="36"/>
        <w:gridCol w:w="36"/>
        <w:gridCol w:w="36"/>
        <w:gridCol w:w="135"/>
        <w:gridCol w:w="848"/>
        <w:gridCol w:w="85"/>
        <w:gridCol w:w="36"/>
        <w:gridCol w:w="36"/>
        <w:gridCol w:w="36"/>
        <w:gridCol w:w="136"/>
        <w:gridCol w:w="849"/>
        <w:gridCol w:w="85"/>
        <w:gridCol w:w="36"/>
        <w:gridCol w:w="36"/>
        <w:gridCol w:w="36"/>
        <w:gridCol w:w="135"/>
        <w:gridCol w:w="850"/>
        <w:gridCol w:w="85"/>
      </w:tblGrid>
      <w:tr w:rsidR="00000000">
        <w:trPr>
          <w:divId w:val="1391150025"/>
          <w:jc w:val="center"/>
        </w:trPr>
        <w:tc>
          <w:tcPr>
            <w:tcW w:w="50" w:type="pct"/>
            <w:vAlign w:val="center"/>
            <w:hideMark/>
          </w:tcPr>
          <w:p w:rsidR="00000000" w:rsidRDefault="0016787D">
            <w:pPr>
              <w:jc w:val="both"/>
              <w:rPr>
                <w:rFonts w:eastAsia="Times New Roman"/>
              </w:rPr>
            </w:pPr>
          </w:p>
        </w:tc>
        <w:tc>
          <w:tcPr>
            <w:tcW w:w="282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391150025"/>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r>
      <w:tr w:rsidR="00000000">
        <w:trPr>
          <w:divId w:val="139115002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Beginning fiscal year AOCI balanc</w:t>
            </w:r>
            <w:r>
              <w:rPr>
                <w:rFonts w:eastAsia="Times New Roman"/>
                <w:color w:val="000000"/>
                <w:sz w:val="20"/>
                <w:szCs w:val="20"/>
              </w:rPr>
              <w:t>e</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91150025"/>
          <w:trHeight w:val="160"/>
          <w:jc w:val="center"/>
        </w:trPr>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1391150025"/>
          <w:jc w:val="center"/>
        </w:trPr>
        <w:tc>
          <w:tcPr>
            <w:tcW w:w="0" w:type="auto"/>
            <w:gridSpan w:val="3"/>
            <w:shd w:val="clear" w:color="auto" w:fill="CCEE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Current fiscal period loss recognized in OC</w:t>
            </w:r>
            <w:r>
              <w:rPr>
                <w:rFonts w:eastAsia="Times New Roman"/>
                <w:color w:val="000000"/>
                <w:sz w:val="20"/>
                <w:szCs w:val="20"/>
              </w:rPr>
              <w:t>I</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(6,534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(4,332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(3,649</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91150025"/>
          <w:jc w:val="center"/>
        </w:trPr>
        <w:tc>
          <w:tcPr>
            <w:tcW w:w="0" w:type="auto"/>
            <w:gridSpan w:val="3"/>
            <w:shd w:val="clear" w:color="auto" w:fill="FFFF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Cumulative adjustment as a result of ASU 2017-12 adoptio</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717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91150025"/>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Other comprehensive loss, net of ta</w:t>
            </w:r>
            <w:r>
              <w:rPr>
                <w:rFonts w:eastAsia="Times New Roman"/>
                <w:color w:val="000000"/>
                <w:sz w:val="20"/>
                <w:szCs w:val="20"/>
              </w:rPr>
              <w:t>x</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(6,534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(3,615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(2,932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91150025"/>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Ending fiscal period AOCI balanc</w:t>
            </w:r>
            <w:r>
              <w:rPr>
                <w:rFonts w:eastAsia="Times New Roman"/>
                <w:color w:val="000000"/>
                <w:sz w:val="20"/>
                <w:szCs w:val="20"/>
              </w:rPr>
              <w:t>e</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(6,335</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882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jc w:val="center"/>
        <w:rPr>
          <w:rFonts w:eastAsia="Times New Roman"/>
        </w:rPr>
      </w:pPr>
    </w:p>
    <w:p w:rsidR="00000000" w:rsidRDefault="0016787D">
      <w:pPr>
        <w:jc w:val="both"/>
        <w:rPr>
          <w:rFonts w:eastAsia="Times New Roman"/>
        </w:rPr>
      </w:pPr>
      <w:r>
        <w:rPr>
          <w:rFonts w:eastAsia="Times New Roman"/>
          <w:color w:val="000000"/>
          <w:sz w:val="20"/>
          <w:szCs w:val="20"/>
        </w:rPr>
        <w:t>Cash flows related to the interest rate swaps are included in operating activities on the Condensed Consolidated Statements of Cash Flows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following table summarizes the impact of pre-tax gains and losses derived from the Company’s interest rate swap</w:t>
      </w:r>
      <w:r>
        <w:rPr>
          <w:rFonts w:eastAsia="Times New Roman"/>
          <w:color w:val="000000"/>
          <w:sz w:val="20"/>
          <w:szCs w:val="20"/>
        </w:rPr>
        <w:t>s (in thousands)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4"/>
        <w:gridCol w:w="2124"/>
        <w:gridCol w:w="44"/>
        <w:gridCol w:w="63"/>
        <w:gridCol w:w="1356"/>
        <w:gridCol w:w="63"/>
        <w:gridCol w:w="36"/>
        <w:gridCol w:w="36"/>
        <w:gridCol w:w="36"/>
        <w:gridCol w:w="135"/>
        <w:gridCol w:w="763"/>
        <w:gridCol w:w="85"/>
        <w:gridCol w:w="36"/>
        <w:gridCol w:w="36"/>
        <w:gridCol w:w="36"/>
        <w:gridCol w:w="135"/>
        <w:gridCol w:w="700"/>
        <w:gridCol w:w="85"/>
        <w:gridCol w:w="36"/>
        <w:gridCol w:w="36"/>
        <w:gridCol w:w="36"/>
        <w:gridCol w:w="135"/>
        <w:gridCol w:w="701"/>
        <w:gridCol w:w="85"/>
        <w:gridCol w:w="36"/>
        <w:gridCol w:w="36"/>
        <w:gridCol w:w="36"/>
        <w:gridCol w:w="135"/>
        <w:gridCol w:w="704"/>
        <w:gridCol w:w="85"/>
        <w:gridCol w:w="36"/>
        <w:gridCol w:w="36"/>
        <w:gridCol w:w="36"/>
        <w:gridCol w:w="36"/>
        <w:gridCol w:w="36"/>
        <w:gridCol w:w="36"/>
        <w:gridCol w:w="36"/>
        <w:gridCol w:w="36"/>
        <w:gridCol w:w="36"/>
        <w:gridCol w:w="36"/>
        <w:gridCol w:w="36"/>
        <w:gridCol w:w="36"/>
      </w:tblGrid>
      <w:tr w:rsidR="00000000">
        <w:trPr>
          <w:gridAfter w:val="12"/>
          <w:divId w:val="1069841136"/>
        </w:trPr>
        <w:tc>
          <w:tcPr>
            <w:tcW w:w="50" w:type="pct"/>
            <w:vAlign w:val="center"/>
            <w:hideMark/>
          </w:tcPr>
          <w:p w:rsidR="00000000" w:rsidRDefault="0016787D">
            <w:pPr>
              <w:jc w:val="both"/>
              <w:rPr>
                <w:rFonts w:eastAsia="Times New Roman"/>
              </w:rPr>
            </w:pPr>
          </w:p>
        </w:tc>
        <w:tc>
          <w:tcPr>
            <w:tcW w:w="136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89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3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8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8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8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069841136"/>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069841136"/>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Financial Statement Locatio</w:t>
            </w:r>
            <w:r>
              <w:rPr>
                <w:rFonts w:eastAsia="Times New Roman"/>
                <w:b/>
                <w:bCs/>
                <w:color w:val="000000"/>
                <w:sz w:val="20"/>
                <w:szCs w:val="20"/>
              </w:rPr>
              <w:t>n</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69841136"/>
        </w:trPr>
        <w:tc>
          <w:tcPr>
            <w:tcW w:w="0" w:type="auto"/>
            <w:gridSpan w:val="3"/>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Amount of losses recognized in OCI during the perio</w:t>
            </w:r>
            <w:r>
              <w:rPr>
                <w:rFonts w:eastAsia="Times New Roman"/>
                <w:color w:val="000000"/>
                <w:sz w:val="20"/>
                <w:szCs w:val="20"/>
              </w:rPr>
              <w:t>d</w:t>
            </w:r>
          </w:p>
        </w:tc>
        <w:tc>
          <w:tcPr>
            <w:tcW w:w="0" w:type="auto"/>
            <w:gridSpan w:val="3"/>
            <w:tcBorders>
              <w:top w:val="single" w:sz="8" w:space="0" w:color="000000"/>
            </w:tcBorders>
            <w:shd w:val="clear" w:color="auto" w:fill="CCEEFF"/>
            <w:tcMar>
              <w:top w:w="30" w:type="dxa"/>
              <w:left w:w="20" w:type="dxa"/>
              <w:bottom w:w="30" w:type="dxa"/>
              <w:right w:w="20" w:type="dxa"/>
            </w:tcMar>
            <w:vAlign w:val="center"/>
            <w:hideMark/>
          </w:tcPr>
          <w:p w:rsidR="00000000" w:rsidRDefault="0016787D">
            <w:pPr>
              <w:rPr>
                <w:rFonts w:eastAsia="Times New Roman"/>
              </w:rPr>
            </w:pPr>
            <w:r>
              <w:rPr>
                <w:rFonts w:eastAsia="Times New Roman"/>
                <w:color w:val="000000"/>
                <w:sz w:val="20"/>
                <w:szCs w:val="20"/>
              </w:rPr>
              <w:t>Other comprehensive los</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(1,726</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(2,937</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(8,782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(4,884</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center"/>
        <w:divId w:val="2088266966"/>
        <w:rPr>
          <w:rFonts w:eastAsia="Times New Roman"/>
        </w:rPr>
      </w:pPr>
      <w:r>
        <w:rPr>
          <w:rFonts w:eastAsia="Times New Roman"/>
          <w:color w:val="000000"/>
          <w:sz w:val="20"/>
          <w:szCs w:val="20"/>
        </w:rPr>
        <w:t>Page 1</w:t>
      </w:r>
      <w:r>
        <w:rPr>
          <w:rFonts w:eastAsia="Times New Roman"/>
          <w:color w:val="000000"/>
          <w:sz w:val="20"/>
          <w:szCs w:val="20"/>
        </w:rPr>
        <w:t>4</w:t>
      </w:r>
    </w:p>
    <w:p w:rsidR="00000000" w:rsidRDefault="0016787D">
      <w:pPr>
        <w:rPr>
          <w:rFonts w:eastAsia="Times New Roman"/>
        </w:rPr>
      </w:pPr>
      <w:r>
        <w:rPr>
          <w:rFonts w:eastAsia="Times New Roman"/>
        </w:rPr>
        <w:pict>
          <v:rect id="_x0000_i1039" style="width:0;height:1.5pt" o:hralign="center" o:hrstd="t" o:hr="t" fillcolor="#a0a0a0" stroked="f"/>
        </w:pict>
      </w:r>
    </w:p>
    <w:p w:rsidR="00000000" w:rsidRDefault="0016787D">
      <w:pPr>
        <w:divId w:val="516969507"/>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The following table summarizes the impact of taxes affecting AOCI as a result of the Company’s interest rate swaps (in thousands)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740"/>
        <w:gridCol w:w="36"/>
        <w:gridCol w:w="135"/>
        <w:gridCol w:w="802"/>
        <w:gridCol w:w="85"/>
        <w:gridCol w:w="36"/>
        <w:gridCol w:w="36"/>
        <w:gridCol w:w="36"/>
        <w:gridCol w:w="135"/>
        <w:gridCol w:w="684"/>
        <w:gridCol w:w="85"/>
        <w:gridCol w:w="36"/>
        <w:gridCol w:w="36"/>
        <w:gridCol w:w="36"/>
        <w:gridCol w:w="135"/>
        <w:gridCol w:w="684"/>
        <w:gridCol w:w="85"/>
        <w:gridCol w:w="36"/>
        <w:gridCol w:w="36"/>
        <w:gridCol w:w="36"/>
        <w:gridCol w:w="135"/>
        <w:gridCol w:w="687"/>
        <w:gridCol w:w="85"/>
        <w:gridCol w:w="36"/>
        <w:gridCol w:w="36"/>
        <w:gridCol w:w="36"/>
        <w:gridCol w:w="36"/>
        <w:gridCol w:w="36"/>
        <w:gridCol w:w="36"/>
        <w:gridCol w:w="36"/>
        <w:gridCol w:w="36"/>
        <w:gridCol w:w="36"/>
        <w:gridCol w:w="36"/>
        <w:gridCol w:w="36"/>
        <w:gridCol w:w="36"/>
      </w:tblGrid>
      <w:tr w:rsidR="00000000">
        <w:trPr>
          <w:gridAfter w:val="12"/>
          <w:divId w:val="1371413652"/>
          <w:jc w:val="center"/>
        </w:trPr>
        <w:tc>
          <w:tcPr>
            <w:tcW w:w="50" w:type="pct"/>
            <w:vAlign w:val="center"/>
            <w:hideMark/>
          </w:tcPr>
          <w:p w:rsidR="00000000" w:rsidRDefault="0016787D">
            <w:pPr>
              <w:jc w:val="both"/>
              <w:rPr>
                <w:rFonts w:eastAsia="Times New Roman"/>
              </w:rPr>
            </w:pPr>
          </w:p>
        </w:tc>
        <w:tc>
          <w:tcPr>
            <w:tcW w:w="240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3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8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8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8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371413652"/>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371413652"/>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 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371413652"/>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Income tax benefit of interest rate swaps on AOC</w:t>
            </w:r>
            <w:r>
              <w:rPr>
                <w:rFonts w:eastAsia="Times New Roman"/>
                <w:color w:val="000000"/>
                <w:sz w:val="20"/>
                <w:szCs w:val="20"/>
              </w:rPr>
              <w:t>I</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(442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(752</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(2,248</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(1,235</w:t>
            </w: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divId w:val="1540584452"/>
        <w:rPr>
          <w:rFonts w:eastAsia="Times New Roman"/>
        </w:rPr>
      </w:pPr>
    </w:p>
    <w:p w:rsidR="00000000" w:rsidRDefault="0016787D">
      <w:pPr>
        <w:divId w:val="2020348140"/>
        <w:rPr>
          <w:rFonts w:eastAsia="Times New Roman"/>
        </w:rPr>
      </w:pPr>
      <w:r>
        <w:rPr>
          <w:rFonts w:eastAsia="Times New Roman"/>
          <w:i/>
          <w:iCs/>
          <w:color w:val="000000"/>
          <w:sz w:val="20"/>
          <w:szCs w:val="20"/>
        </w:rPr>
        <w:t>Credit-risk-related contingent feature</w:t>
      </w:r>
      <w:r>
        <w:rPr>
          <w:rFonts w:eastAsia="Times New Roman"/>
          <w:i/>
          <w:iCs/>
          <w:color w:val="000000"/>
          <w:sz w:val="20"/>
          <w:szCs w:val="20"/>
        </w:rPr>
        <w:t>s</w:t>
      </w:r>
      <w:r>
        <w:rPr>
          <w:rFonts w:eastAsia="Times New Roman"/>
          <w:b/>
          <w:bCs/>
          <w:color w:val="000000"/>
          <w:sz w:val="20"/>
          <w:szCs w:val="20"/>
        </w:rPr>
        <w:t xml:space="preserve"> </w:t>
      </w:r>
    </w:p>
    <w:p w:rsidR="00000000" w:rsidRDefault="0016787D">
      <w:pPr>
        <w:divId w:val="839656384"/>
        <w:rPr>
          <w:rFonts w:eastAsia="Times New Roman"/>
        </w:rPr>
      </w:pPr>
    </w:p>
    <w:p w:rsidR="00000000" w:rsidRDefault="0016787D">
      <w:pPr>
        <w:jc w:val="both"/>
        <w:rPr>
          <w:rFonts w:eastAsia="Times New Roman"/>
        </w:rPr>
      </w:pPr>
      <w:r>
        <w:rPr>
          <w:rFonts w:eastAsia="Times New Roman"/>
          <w:color w:val="000000"/>
          <w:sz w:val="20"/>
          <w:szCs w:val="20"/>
        </w:rPr>
        <w:t>In accordance with the underlying interest rate swap agreeme</w:t>
      </w:r>
      <w:r>
        <w:rPr>
          <w:rFonts w:eastAsia="Times New Roman"/>
          <w:color w:val="000000"/>
          <w:sz w:val="20"/>
          <w:szCs w:val="20"/>
        </w:rPr>
        <w:t>nts, the Company could be declared in default on its interest rate swap obligations if repayment of the underlying indebtedness (i.e., the Company’s term loans) is accelerated by the lender due to the Company's default on such indebtedness.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If the Compa</w:t>
      </w:r>
      <w:r>
        <w:rPr>
          <w:rFonts w:eastAsia="Times New Roman"/>
          <w:color w:val="000000"/>
          <w:sz w:val="20"/>
          <w:szCs w:val="20"/>
        </w:rPr>
        <w:t xml:space="preserve">ny had breached any of the provisions in the underlying agreements at June 27, 2020, it could have been required to post full collateral or settle its obligations under the Company’s interest rate swap agreements. However, as of June 27, 2020, the Company </w:t>
      </w:r>
      <w:r>
        <w:rPr>
          <w:rFonts w:eastAsia="Times New Roman"/>
          <w:color w:val="000000"/>
          <w:sz w:val="20"/>
          <w:szCs w:val="20"/>
        </w:rPr>
        <w:t>had not breached any of these provisions or posted any collateral related to the underlying interest rate swap agreements.</w:t>
      </w:r>
      <w:r>
        <w:rPr>
          <w:rFonts w:eastAsia="Times New Roman"/>
          <w:color w:val="000000"/>
          <w:sz w:val="20"/>
          <w:szCs w:val="20"/>
        </w:rPr>
        <w:t xml:space="preserve"> </w:t>
      </w:r>
    </w:p>
    <w:p w:rsidR="00000000" w:rsidRDefault="0016787D">
      <w:pPr>
        <w:jc w:val="both"/>
        <w:rPr>
          <w:rFonts w:eastAsia="Times New Roman"/>
        </w:rPr>
      </w:pPr>
    </w:p>
    <w:p w:rsidR="00000000" w:rsidRDefault="0016787D">
      <w:pPr>
        <w:divId w:val="274756915"/>
        <w:rPr>
          <w:rFonts w:eastAsia="Times New Roman"/>
        </w:rPr>
      </w:pPr>
      <w:r>
        <w:rPr>
          <w:rFonts w:eastAsia="Times New Roman"/>
          <w:b/>
          <w:bCs/>
          <w:color w:val="000000"/>
          <w:sz w:val="20"/>
          <w:szCs w:val="20"/>
        </w:rPr>
        <w:t>Note 7 – Capital Stock and Dividends</w:t>
      </w:r>
      <w:r>
        <w:rPr>
          <w:rFonts w:eastAsia="Times New Roman"/>
          <w:b/>
          <w:bCs/>
          <w:color w:val="000000"/>
          <w:sz w:val="20"/>
          <w:szCs w:val="20"/>
        </w:rPr>
        <w:t>:</w:t>
      </w:r>
    </w:p>
    <w:p w:rsidR="00000000" w:rsidRDefault="0016787D">
      <w:pPr>
        <w:divId w:val="1542210863"/>
        <w:rPr>
          <w:rFonts w:eastAsia="Times New Roman"/>
        </w:rPr>
      </w:pPr>
    </w:p>
    <w:p w:rsidR="00000000" w:rsidRDefault="0016787D">
      <w:pPr>
        <w:jc w:val="both"/>
        <w:rPr>
          <w:rFonts w:eastAsia="Times New Roman"/>
        </w:rPr>
      </w:pPr>
      <w:r>
        <w:rPr>
          <w:rFonts w:eastAsia="Times New Roman"/>
          <w:color w:val="000000"/>
          <w:sz w:val="20"/>
          <w:szCs w:val="20"/>
          <w:u w:val="single"/>
        </w:rPr>
        <w:t>Capital Stoc</w:t>
      </w:r>
      <w:r>
        <w:rPr>
          <w:rFonts w:eastAsia="Times New Roman"/>
          <w:color w:val="000000"/>
          <w:sz w:val="20"/>
          <w:szCs w:val="20"/>
          <w:u w:val="single"/>
        </w:rPr>
        <w:t>k</w:t>
      </w:r>
    </w:p>
    <w:p w:rsidR="00000000" w:rsidRDefault="0016787D">
      <w:pPr>
        <w:divId w:val="1171675857"/>
        <w:rPr>
          <w:rFonts w:eastAsia="Times New Roman"/>
        </w:rPr>
      </w:pPr>
    </w:p>
    <w:p w:rsidR="00000000" w:rsidRDefault="0016787D">
      <w:pPr>
        <w:jc w:val="both"/>
        <w:rPr>
          <w:rFonts w:eastAsia="Times New Roman"/>
        </w:rPr>
      </w:pPr>
      <w:r>
        <w:rPr>
          <w:rFonts w:eastAsia="Times New Roman"/>
          <w:color w:val="000000"/>
          <w:sz w:val="20"/>
          <w:szCs w:val="20"/>
        </w:rPr>
        <w:t>The authorized capital stock of the Company consists of common stock and preferred stock. The Company is authorized to issue 400 million shares of common stock. The Company is also authorized to issue 40 thousand shares of preferred stock, with such design</w:t>
      </w:r>
      <w:r>
        <w:rPr>
          <w:rFonts w:eastAsia="Times New Roman"/>
          <w:color w:val="000000"/>
          <w:sz w:val="20"/>
          <w:szCs w:val="20"/>
        </w:rPr>
        <w:t>ations, rights and preferences as may be determined from time to time by the Company's Board of Directors</w:t>
      </w:r>
      <w:r>
        <w:rPr>
          <w:rFonts w:eastAsia="Times New Roman"/>
          <w:color w:val="000000"/>
          <w:sz w:val="20"/>
          <w:szCs w:val="20"/>
        </w:rPr>
        <w:t>.</w:t>
      </w:r>
    </w:p>
    <w:p w:rsidR="00000000" w:rsidRDefault="0016787D">
      <w:pPr>
        <w:divId w:val="412701694"/>
        <w:rPr>
          <w:rFonts w:eastAsia="Times New Roman"/>
        </w:rPr>
      </w:pPr>
    </w:p>
    <w:p w:rsidR="00000000" w:rsidRDefault="0016787D">
      <w:pPr>
        <w:jc w:val="both"/>
        <w:rPr>
          <w:rFonts w:eastAsia="Times New Roman"/>
        </w:rPr>
      </w:pPr>
      <w:r>
        <w:rPr>
          <w:rFonts w:eastAsia="Times New Roman"/>
          <w:color w:val="000000"/>
          <w:sz w:val="20"/>
          <w:szCs w:val="20"/>
          <w:u w:val="single"/>
        </w:rPr>
        <w:t>Dividend</w:t>
      </w:r>
      <w:r>
        <w:rPr>
          <w:rFonts w:eastAsia="Times New Roman"/>
          <w:color w:val="000000"/>
          <w:sz w:val="20"/>
          <w:szCs w:val="20"/>
          <w:u w:val="single"/>
        </w:rPr>
        <w:t>s</w:t>
      </w:r>
    </w:p>
    <w:p w:rsidR="00000000" w:rsidRDefault="0016787D">
      <w:pPr>
        <w:divId w:val="1167012634"/>
        <w:rPr>
          <w:rFonts w:eastAsia="Times New Roman"/>
        </w:rPr>
      </w:pPr>
    </w:p>
    <w:p w:rsidR="00000000" w:rsidRDefault="0016787D">
      <w:pPr>
        <w:divId w:val="229536833"/>
        <w:rPr>
          <w:rFonts w:eastAsia="Times New Roman"/>
        </w:rPr>
      </w:pPr>
      <w:r>
        <w:rPr>
          <w:rFonts w:eastAsia="Times New Roman"/>
          <w:color w:val="000000"/>
          <w:sz w:val="20"/>
          <w:szCs w:val="20"/>
        </w:rPr>
        <w:t>During the first six months of fiscal 2020 and 2019, the Company's Board of Directors declared the following cash dividends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5"/>
        <w:gridCol w:w="2149"/>
        <w:gridCol w:w="66"/>
        <w:gridCol w:w="36"/>
        <w:gridCol w:w="36"/>
        <w:gridCol w:w="36"/>
        <w:gridCol w:w="136"/>
        <w:gridCol w:w="1205"/>
        <w:gridCol w:w="85"/>
        <w:gridCol w:w="36"/>
        <w:gridCol w:w="36"/>
        <w:gridCol w:w="36"/>
        <w:gridCol w:w="56"/>
        <w:gridCol w:w="2197"/>
        <w:gridCol w:w="66"/>
        <w:gridCol w:w="36"/>
        <w:gridCol w:w="36"/>
        <w:gridCol w:w="36"/>
        <w:gridCol w:w="56"/>
        <w:gridCol w:w="1810"/>
        <w:gridCol w:w="66"/>
      </w:tblGrid>
      <w:tr w:rsidR="00000000">
        <w:trPr>
          <w:divId w:val="523982702"/>
        </w:trPr>
        <w:tc>
          <w:tcPr>
            <w:tcW w:w="50" w:type="pct"/>
            <w:vAlign w:val="center"/>
            <w:hideMark/>
          </w:tcPr>
          <w:p w:rsidR="00000000" w:rsidRDefault="0016787D">
            <w:pPr>
              <w:rPr>
                <w:rFonts w:eastAsia="Times New Roman"/>
              </w:rPr>
            </w:pPr>
          </w:p>
        </w:tc>
        <w:tc>
          <w:tcPr>
            <w:tcW w:w="130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74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336"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10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523982702"/>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trPr>
          <w:divId w:val="523982702"/>
        </w:trPr>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523982702"/>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6,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26,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June 9, 202</w:t>
            </w:r>
            <w:r>
              <w:rPr>
                <w:rFonts w:eastAsia="Times New Roman"/>
                <w:color w:val="000000"/>
                <w:sz w:val="20"/>
                <w:szCs w:val="20"/>
              </w:rPr>
              <w:t>0</w:t>
            </w:r>
          </w:p>
        </w:tc>
      </w:tr>
      <w:tr w:rsidR="00000000">
        <w:trPr>
          <w:divId w:val="523982702"/>
        </w:trPr>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5,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24,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March 10, 202</w:t>
            </w:r>
            <w:r>
              <w:rPr>
                <w:rFonts w:eastAsia="Times New Roman"/>
                <w:color w:val="000000"/>
                <w:sz w:val="20"/>
                <w:szCs w:val="20"/>
              </w:rPr>
              <w:t>0</w:t>
            </w:r>
          </w:p>
        </w:tc>
      </w:tr>
      <w:tr w:rsidR="00000000">
        <w:trPr>
          <w:divId w:val="523982702"/>
          <w:trHeight w:val="300"/>
        </w:trPr>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523982702"/>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523982702"/>
        </w:trPr>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28,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June 11, 201</w:t>
            </w:r>
            <w:r>
              <w:rPr>
                <w:rFonts w:eastAsia="Times New Roman"/>
                <w:color w:val="000000"/>
                <w:sz w:val="20"/>
                <w:szCs w:val="20"/>
              </w:rPr>
              <w:t>9</w:t>
            </w:r>
          </w:p>
        </w:tc>
      </w:tr>
      <w:tr w:rsidR="00000000">
        <w:trPr>
          <w:divId w:val="523982702"/>
        </w:trPr>
        <w:tc>
          <w:tcPr>
            <w:tcW w:w="0" w:type="auto"/>
            <w:gridSpan w:val="3"/>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bl>
    <w:p w:rsidR="00000000" w:rsidRDefault="0016787D">
      <w:pPr>
        <w:divId w:val="994725339"/>
        <w:rPr>
          <w:rFonts w:eastAsia="Times New Roman"/>
        </w:rPr>
      </w:pPr>
    </w:p>
    <w:p w:rsidR="00000000" w:rsidRDefault="0016787D">
      <w:pPr>
        <w:jc w:val="both"/>
        <w:rPr>
          <w:rFonts w:eastAsia="Times New Roman"/>
        </w:rPr>
      </w:pPr>
      <w:r>
        <w:rPr>
          <w:rFonts w:eastAsia="Times New Roman"/>
          <w:color w:val="000000"/>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eastAsia="Times New Roman"/>
          <w:color w:val="000000"/>
          <w:sz w:val="20"/>
          <w:szCs w:val="20"/>
        </w:rPr>
        <w:t>gs, financial condition and capital needs of the Company, along with any other factors that the Board of Directors deems relevant.</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On August 5, 2020, the Company’s Board of Directors declared a quarterly cash dividend of $0.40 per share of the Company’s</w:t>
      </w:r>
      <w:r>
        <w:rPr>
          <w:rFonts w:eastAsia="Times New Roman"/>
          <w:color w:val="000000"/>
          <w:sz w:val="20"/>
          <w:szCs w:val="20"/>
        </w:rPr>
        <w:t xml:space="preserve"> outstanding common stock.  The dividend will be paid on September 9, 2020, to stockholders of record as of the close of business on August 24, 2020.</w:t>
      </w:r>
      <w:r>
        <w:rPr>
          <w:rFonts w:eastAsia="Times New Roman"/>
          <w:color w:val="000000"/>
          <w:sz w:val="20"/>
          <w:szCs w:val="20"/>
        </w:rPr>
        <w:t xml:space="preserve"> </w:t>
      </w:r>
    </w:p>
    <w:p w:rsidR="00000000" w:rsidRDefault="0016787D">
      <w:pPr>
        <w:divId w:val="1931741103"/>
        <w:rPr>
          <w:rFonts w:eastAsia="Times New Roman"/>
        </w:rPr>
      </w:pPr>
    </w:p>
    <w:p w:rsidR="00000000" w:rsidRDefault="0016787D">
      <w:pPr>
        <w:jc w:val="center"/>
        <w:divId w:val="1353798242"/>
        <w:rPr>
          <w:rFonts w:eastAsia="Times New Roman"/>
        </w:rPr>
      </w:pPr>
      <w:r>
        <w:rPr>
          <w:rFonts w:eastAsia="Times New Roman"/>
          <w:color w:val="000000"/>
          <w:sz w:val="20"/>
          <w:szCs w:val="20"/>
        </w:rPr>
        <w:t>Page 1</w:t>
      </w:r>
      <w:r>
        <w:rPr>
          <w:rFonts w:eastAsia="Times New Roman"/>
          <w:color w:val="000000"/>
          <w:sz w:val="20"/>
          <w:szCs w:val="20"/>
        </w:rPr>
        <w:t>5</w:t>
      </w:r>
    </w:p>
    <w:p w:rsidR="00000000" w:rsidRDefault="0016787D">
      <w:pPr>
        <w:rPr>
          <w:rFonts w:eastAsia="Times New Roman"/>
        </w:rPr>
      </w:pPr>
      <w:r>
        <w:rPr>
          <w:rFonts w:eastAsia="Times New Roman"/>
        </w:rPr>
        <w:pict>
          <v:rect id="_x0000_i1040" style="width:0;height:1.5pt" o:hralign="center" o:hrstd="t" o:hr="t" fillcolor="#a0a0a0" stroked="f"/>
        </w:pict>
      </w:r>
    </w:p>
    <w:p w:rsidR="00000000" w:rsidRDefault="0016787D">
      <w:pPr>
        <w:divId w:val="1904900821"/>
        <w:rPr>
          <w:rFonts w:eastAsia="Times New Roman"/>
        </w:rPr>
      </w:pPr>
      <w:hyperlink w:anchor="i4478e68e5dea442985a910e3b276f92d_7" w:history="1">
        <w:r>
          <w:rPr>
            <w:rStyle w:val="a3"/>
            <w:rFonts w:eastAsia="Times New Roman"/>
            <w:sz w:val="16"/>
            <w:szCs w:val="16"/>
          </w:rPr>
          <w:t>Index</w:t>
        </w:r>
      </w:hyperlink>
    </w:p>
    <w:p w:rsidR="00000000" w:rsidRDefault="0016787D">
      <w:pPr>
        <w:divId w:val="468941657"/>
        <w:rPr>
          <w:rFonts w:eastAsia="Times New Roman"/>
        </w:rPr>
      </w:pPr>
      <w:r>
        <w:rPr>
          <w:rFonts w:eastAsia="Times New Roman"/>
          <w:b/>
          <w:bCs/>
          <w:color w:val="000000"/>
          <w:sz w:val="20"/>
          <w:szCs w:val="20"/>
        </w:rPr>
        <w:t>Note 8 – Treasury Stock</w:t>
      </w:r>
      <w:r>
        <w:rPr>
          <w:rFonts w:eastAsia="Times New Roman"/>
          <w:b/>
          <w:b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Company’s Board of Directors has authorized common stock repurchases under a share repurchase program up to $4.5 billion, exc</w:t>
      </w:r>
      <w:r>
        <w:rPr>
          <w:rFonts w:eastAsia="Times New Roman"/>
          <w:color w:val="000000"/>
          <w:sz w:val="20"/>
          <w:szCs w:val="20"/>
        </w:rPr>
        <w:t>lusive of any fees, commissions, or other expenses related to such repurchases. The repurchases may be made from time to time on the open market or in privately negotiated transactions.  The timing and amount of any shares repurchased under the program wil</w:t>
      </w:r>
      <w:r>
        <w:rPr>
          <w:rFonts w:eastAsia="Times New Roman"/>
          <w:color w:val="000000"/>
          <w:sz w:val="20"/>
          <w:szCs w:val="20"/>
        </w:rPr>
        <w:t>l depend on a variety of factors, including price, corporate and regulatory requirements, capital availability, and other market conditions.  Repurchased shares are accounted for at cost and will be held in treasury for future issuance.  The program may be</w:t>
      </w:r>
      <w:r>
        <w:rPr>
          <w:rFonts w:eastAsia="Times New Roman"/>
          <w:color w:val="000000"/>
          <w:sz w:val="20"/>
          <w:szCs w:val="20"/>
        </w:rPr>
        <w:t xml:space="preserve"> limited or terminated at any time without prior notice. As of June 27, 2020, the Company had remaining authorization under the share repurchase program of $1.22 billion, exclusive of any fees, commissions, or other expenses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 has suspended th</w:t>
      </w:r>
      <w:r>
        <w:rPr>
          <w:rFonts w:eastAsia="Times New Roman"/>
          <w:color w:val="000000"/>
          <w:sz w:val="20"/>
          <w:szCs w:val="20"/>
        </w:rPr>
        <w:t>e share repurchase program effective March 12, 2020, in order to strengthen its liquidity and preserve cash while navigating the COVID-19 pandemic</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following table provides the number of shares repurchased, average price paid per share, and total amo</w:t>
      </w:r>
      <w:r>
        <w:rPr>
          <w:rFonts w:eastAsia="Times New Roman"/>
          <w:color w:val="000000"/>
          <w:sz w:val="20"/>
          <w:szCs w:val="20"/>
        </w:rPr>
        <w:t>unt paid for share repurchases during the fiscal three and six months ended June 27, 2020 and June 29, 2019, respectively (in thousands, except per share amounts)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198"/>
        <w:gridCol w:w="36"/>
        <w:gridCol w:w="135"/>
        <w:gridCol w:w="848"/>
        <w:gridCol w:w="85"/>
        <w:gridCol w:w="36"/>
        <w:gridCol w:w="36"/>
        <w:gridCol w:w="36"/>
        <w:gridCol w:w="135"/>
        <w:gridCol w:w="812"/>
        <w:gridCol w:w="85"/>
        <w:gridCol w:w="36"/>
        <w:gridCol w:w="36"/>
        <w:gridCol w:w="36"/>
        <w:gridCol w:w="135"/>
        <w:gridCol w:w="869"/>
        <w:gridCol w:w="85"/>
        <w:gridCol w:w="36"/>
        <w:gridCol w:w="36"/>
        <w:gridCol w:w="36"/>
        <w:gridCol w:w="135"/>
        <w:gridCol w:w="870"/>
        <w:gridCol w:w="85"/>
        <w:gridCol w:w="36"/>
        <w:gridCol w:w="36"/>
        <w:gridCol w:w="36"/>
        <w:gridCol w:w="36"/>
        <w:gridCol w:w="36"/>
        <w:gridCol w:w="36"/>
        <w:gridCol w:w="36"/>
        <w:gridCol w:w="36"/>
        <w:gridCol w:w="36"/>
        <w:gridCol w:w="36"/>
        <w:gridCol w:w="36"/>
        <w:gridCol w:w="36"/>
      </w:tblGrid>
      <w:tr w:rsidR="00000000">
        <w:trPr>
          <w:gridAfter w:val="12"/>
          <w:divId w:val="1665741038"/>
          <w:jc w:val="center"/>
        </w:trPr>
        <w:tc>
          <w:tcPr>
            <w:tcW w:w="50" w:type="pct"/>
            <w:vAlign w:val="center"/>
            <w:hideMark/>
          </w:tcPr>
          <w:p w:rsidR="00000000" w:rsidRDefault="0016787D">
            <w:pPr>
              <w:jc w:val="both"/>
              <w:rPr>
                <w:rFonts w:eastAsia="Times New Roman"/>
              </w:rPr>
            </w:pPr>
          </w:p>
        </w:tc>
        <w:tc>
          <w:tcPr>
            <w:tcW w:w="2056"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6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6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0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0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665741038"/>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665741038"/>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65741038"/>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number of shares repurchase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65741038"/>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Average price paid per shar</w:t>
            </w:r>
            <w:r>
              <w:rPr>
                <w:rFonts w:eastAsia="Times New Roman"/>
                <w:color w:val="000000"/>
                <w:sz w:val="20"/>
                <w:szCs w:val="20"/>
              </w:rPr>
              <w:t>e</w:t>
            </w: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103.27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92.28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96.69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65741038"/>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cash paid for share repurchase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178,916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263,219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334,235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Note 9 – Income Taxes</w:t>
      </w:r>
      <w:r>
        <w:rPr>
          <w:rFonts w:eastAsia="Times New Roman"/>
          <w:b/>
          <w:b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Company’s effective income tax rate increased to 22.9% in the second quarter of fiscal 2020 compared to 22.4% in the second quarter of fiscal 2019. The effective income tax rate was 22.7% in the first six months of fiscal 2020 compared to 22.3% in th</w:t>
      </w:r>
      <w:r>
        <w:rPr>
          <w:rFonts w:eastAsia="Times New Roman"/>
          <w:color w:val="000000"/>
          <w:sz w:val="20"/>
          <w:szCs w:val="20"/>
        </w:rPr>
        <w:t>e first six months of fiscal 2019. The primary driver for the increase in the Company’s effective income tax rate was attributable to a reduction in the tax benefit associated with share-based compensation.</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Coronavirus Aid, Relief, and Economic Security Act (“CARES Act”) was enacted in the U.S. on March 27, 2020. We do not anticipate that the enactment of this legislation will significantly impact our full year effective tax rate in fiscal 2020</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Note 10</w:t>
      </w:r>
      <w:r>
        <w:rPr>
          <w:rFonts w:eastAsia="Times New Roman"/>
          <w:b/>
          <w:bCs/>
          <w:color w:val="000000"/>
          <w:sz w:val="20"/>
          <w:szCs w:val="20"/>
        </w:rPr>
        <w:t xml:space="preserve"> – Commitments and Contingencies</w:t>
      </w:r>
      <w:r>
        <w:rPr>
          <w:rFonts w:eastAsia="Times New Roman"/>
          <w:b/>
          <w:bCs/>
          <w:color w:val="000000"/>
          <w:sz w:val="20"/>
          <w:szCs w:val="20"/>
        </w:rPr>
        <w:t>:</w:t>
      </w:r>
    </w:p>
    <w:p w:rsidR="00000000" w:rsidRDefault="0016787D">
      <w:pPr>
        <w:divId w:val="840780243"/>
        <w:rPr>
          <w:rFonts w:eastAsia="Times New Roman"/>
        </w:rPr>
      </w:pPr>
    </w:p>
    <w:p w:rsidR="00000000" w:rsidRDefault="0016787D">
      <w:pPr>
        <w:jc w:val="both"/>
        <w:rPr>
          <w:rFonts w:eastAsia="Times New Roman"/>
        </w:rPr>
      </w:pPr>
      <w:r>
        <w:rPr>
          <w:rFonts w:eastAsia="Times New Roman"/>
          <w:color w:val="000000"/>
          <w:sz w:val="20"/>
          <w:szCs w:val="20"/>
          <w:u w:val="single"/>
        </w:rPr>
        <w:t>Construction and Real Estate Commitment</w:t>
      </w:r>
      <w:r>
        <w:rPr>
          <w:rFonts w:eastAsia="Times New Roman"/>
          <w:color w:val="000000"/>
          <w:sz w:val="20"/>
          <w:szCs w:val="20"/>
          <w:u w:val="single"/>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At June 27, 2020, there were no material commitments related to real estate or construction projects extending greater than twelve months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u w:val="single"/>
        </w:rPr>
        <w:t>Letters of Credi</w:t>
      </w:r>
      <w:r>
        <w:rPr>
          <w:rFonts w:eastAsia="Times New Roman"/>
          <w:color w:val="000000"/>
          <w:sz w:val="20"/>
          <w:szCs w:val="20"/>
          <w:u w:val="single"/>
        </w:rPr>
        <w:t>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At June 27, 2020</w:t>
      </w:r>
      <w:r>
        <w:rPr>
          <w:rFonts w:eastAsia="Times New Roman"/>
          <w:color w:val="000000"/>
          <w:sz w:val="20"/>
          <w:szCs w:val="20"/>
        </w:rPr>
        <w:t>, there were $52.4 million of outstanding letters of credit under the 2016 Senior Credit Facility</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u w:val="single"/>
        </w:rPr>
        <w:t>Litigatio</w:t>
      </w:r>
      <w:r>
        <w:rPr>
          <w:rFonts w:eastAsia="Times New Roman"/>
          <w:color w:val="000000"/>
          <w:sz w:val="20"/>
          <w:szCs w:val="20"/>
          <w:u w:val="single"/>
        </w:rPr>
        <w:t>n</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The Company is involved in various litigation matters arising in the ordinary course of business. The Company believes that, based upon information currently available, any estimated loss related to such matters has been adequately provided for in accrued </w:t>
      </w:r>
      <w:r>
        <w:rPr>
          <w:rFonts w:eastAsia="Times New Roman"/>
          <w:color w:val="000000"/>
          <w:sz w:val="20"/>
          <w:szCs w:val="20"/>
        </w:rPr>
        <w:t>liabilities to the extent probable and reasonably estimable. Accordingly, the Company currently expects these matters will be resolved without material adverse effect on its consolidated financial position, results of operations, or cash flows.  However, l</w:t>
      </w:r>
      <w:r>
        <w:rPr>
          <w:rFonts w:eastAsia="Times New Roman"/>
          <w:color w:val="000000"/>
          <w:sz w:val="20"/>
          <w:szCs w:val="20"/>
        </w:rPr>
        <w:t>itigation and other legal matters involve an element of uncertainty. Future developments in such matters, including adverse decisions or settlements or resulting required changes to the Company's business operations, could affect our consolidated operating</w:t>
      </w:r>
      <w:r>
        <w:rPr>
          <w:rFonts w:eastAsia="Times New Roman"/>
          <w:color w:val="000000"/>
          <w:sz w:val="20"/>
          <w:szCs w:val="20"/>
        </w:rPr>
        <w:t xml:space="preserve"> results when resolved in future periods or could result in liability or other amounts material to the Company's Condensed Consolidated Financial Statements.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center"/>
        <w:divId w:val="1285848571"/>
        <w:rPr>
          <w:rFonts w:eastAsia="Times New Roman"/>
        </w:rPr>
      </w:pPr>
      <w:r>
        <w:rPr>
          <w:rFonts w:eastAsia="Times New Roman"/>
          <w:color w:val="000000"/>
          <w:sz w:val="20"/>
          <w:szCs w:val="20"/>
        </w:rPr>
        <w:t>Page 1</w:t>
      </w:r>
      <w:r>
        <w:rPr>
          <w:rFonts w:eastAsia="Times New Roman"/>
          <w:color w:val="000000"/>
          <w:sz w:val="20"/>
          <w:szCs w:val="20"/>
        </w:rPr>
        <w:t>6</w:t>
      </w:r>
    </w:p>
    <w:p w:rsidR="00000000" w:rsidRDefault="0016787D">
      <w:pPr>
        <w:rPr>
          <w:rFonts w:eastAsia="Times New Roman"/>
        </w:rPr>
      </w:pPr>
      <w:r>
        <w:rPr>
          <w:rFonts w:eastAsia="Times New Roman"/>
        </w:rPr>
        <w:pict>
          <v:rect id="_x0000_i1041" style="width:0;height:1.5pt" o:hralign="center" o:hrstd="t" o:hr="t" fillcolor="#a0a0a0" stroked="f"/>
        </w:pict>
      </w:r>
    </w:p>
    <w:p w:rsidR="00000000" w:rsidRDefault="0016787D">
      <w:pPr>
        <w:divId w:val="328481221"/>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color w:val="000000"/>
          <w:sz w:val="20"/>
          <w:szCs w:val="20"/>
        </w:rPr>
        <w:t>Note 11 – Segment Reporting</w:t>
      </w:r>
      <w:r>
        <w:rPr>
          <w:rFonts w:eastAsia="Times New Roman"/>
          <w:b/>
          <w:bCs/>
          <w:color w:val="000000"/>
          <w:sz w:val="20"/>
          <w:szCs w:val="20"/>
        </w:rPr>
        <w:t>:</w:t>
      </w:r>
    </w:p>
    <w:p w:rsidR="00000000" w:rsidRDefault="0016787D">
      <w:pPr>
        <w:divId w:val="2143618501"/>
        <w:rPr>
          <w:rFonts w:eastAsia="Times New Roman"/>
        </w:rPr>
      </w:pPr>
    </w:p>
    <w:p w:rsidR="00000000" w:rsidRDefault="0016787D">
      <w:pPr>
        <w:jc w:val="both"/>
        <w:rPr>
          <w:rFonts w:eastAsia="Times New Roman"/>
        </w:rPr>
      </w:pPr>
      <w:r>
        <w:rPr>
          <w:rFonts w:eastAsia="Times New Roman"/>
          <w:color w:val="000000"/>
          <w:sz w:val="20"/>
          <w:szCs w:val="20"/>
        </w:rPr>
        <w:t>The Company has one reportable segment which is the retail sale of products that support the rural lifestyle.  The following table indicates the percentage of net sales represented by each major product category</w:t>
      </w:r>
      <w:r>
        <w:rPr>
          <w:rFonts w:eastAsia="Times New Roman"/>
          <w:color w:val="000000"/>
          <w:sz w:val="20"/>
          <w:szCs w:val="20"/>
        </w:rPr>
        <w:t xml:space="preserve"> during the fiscal three and six months ended June 27, 2020 and June 29, 2019</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40"/>
        <w:gridCol w:w="3030"/>
        <w:gridCol w:w="39"/>
        <w:gridCol w:w="38"/>
        <w:gridCol w:w="751"/>
        <w:gridCol w:w="203"/>
        <w:gridCol w:w="36"/>
        <w:gridCol w:w="36"/>
        <w:gridCol w:w="36"/>
        <w:gridCol w:w="37"/>
        <w:gridCol w:w="720"/>
        <w:gridCol w:w="202"/>
        <w:gridCol w:w="36"/>
        <w:gridCol w:w="36"/>
        <w:gridCol w:w="36"/>
        <w:gridCol w:w="37"/>
        <w:gridCol w:w="796"/>
        <w:gridCol w:w="202"/>
        <w:gridCol w:w="36"/>
        <w:gridCol w:w="36"/>
        <w:gridCol w:w="36"/>
        <w:gridCol w:w="38"/>
        <w:gridCol w:w="830"/>
        <w:gridCol w:w="203"/>
        <w:gridCol w:w="100"/>
        <w:gridCol w:w="100"/>
        <w:gridCol w:w="100"/>
        <w:gridCol w:w="100"/>
        <w:gridCol w:w="100"/>
        <w:gridCol w:w="100"/>
        <w:gridCol w:w="36"/>
        <w:gridCol w:w="36"/>
        <w:gridCol w:w="36"/>
        <w:gridCol w:w="36"/>
        <w:gridCol w:w="36"/>
        <w:gridCol w:w="36"/>
      </w:tblGrid>
      <w:tr w:rsidR="00000000">
        <w:trPr>
          <w:gridAfter w:val="12"/>
          <w:divId w:val="1741906090"/>
        </w:trPr>
        <w:tc>
          <w:tcPr>
            <w:tcW w:w="50" w:type="pct"/>
            <w:vAlign w:val="center"/>
            <w:hideMark/>
          </w:tcPr>
          <w:p w:rsidR="00000000" w:rsidRDefault="0016787D">
            <w:pPr>
              <w:jc w:val="both"/>
              <w:rPr>
                <w:rFonts w:eastAsia="Times New Roman"/>
              </w:rPr>
            </w:pPr>
          </w:p>
        </w:tc>
        <w:tc>
          <w:tcPr>
            <w:tcW w:w="206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0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48"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0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741906090"/>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741906090"/>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741906090"/>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741906090"/>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741906090"/>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741906090"/>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741906090"/>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741906090"/>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divId w:val="1995330316"/>
        <w:rPr>
          <w:rFonts w:eastAsia="Times New Roman"/>
        </w:rPr>
      </w:pPr>
    </w:p>
    <w:p w:rsidR="00000000" w:rsidRDefault="0016787D">
      <w:pPr>
        <w:jc w:val="both"/>
        <w:rPr>
          <w:rFonts w:eastAsia="Times New Roman"/>
        </w:rPr>
      </w:pPr>
      <w:r>
        <w:rPr>
          <w:rFonts w:eastAsia="Times New Roman"/>
          <w:b/>
          <w:bCs/>
          <w:color w:val="000000"/>
          <w:sz w:val="20"/>
          <w:szCs w:val="20"/>
        </w:rPr>
        <w:t>Note 12 – New Accounting Pronouncements</w:t>
      </w:r>
      <w:r>
        <w:rPr>
          <w:rFonts w:eastAsia="Times New Roman"/>
          <w:b/>
          <w:b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i/>
          <w:iCs/>
          <w:color w:val="000000"/>
          <w:sz w:val="20"/>
          <w:szCs w:val="20"/>
        </w:rPr>
        <w:t>New Accounting Pronouncements Recently Adopte</w:t>
      </w:r>
      <w:r>
        <w:rPr>
          <w:rFonts w:eastAsia="Times New Roman"/>
          <w:i/>
          <w:iCs/>
          <w:color w:val="000000"/>
          <w:sz w:val="20"/>
          <w:szCs w:val="20"/>
        </w:rPr>
        <w:t>d</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June 2016, the Financial Accounting Standards Board (“FASB”) issued Accounting Standards Update (“ASU”) 2016-13, “Financial Instruments-Credit Losses (Topic 326): Measurement of Credit Losses on Financial Instruments” which amends the impairment model t</w:t>
      </w:r>
      <w:r>
        <w:rPr>
          <w:rFonts w:eastAsia="Times New Roman"/>
          <w:color w:val="000000"/>
          <w:sz w:val="20"/>
          <w:szCs w:val="20"/>
        </w:rPr>
        <w:t>o utilize an expected loss methodology in place of the currently used incurred loss methodology, which will result in more timely recognition of losses. The new guidance applies to financial assets measured at amortized cost basis, including receivables th</w:t>
      </w:r>
      <w:r>
        <w:rPr>
          <w:rFonts w:eastAsia="Times New Roman"/>
          <w:color w:val="000000"/>
          <w:sz w:val="20"/>
          <w:szCs w:val="20"/>
        </w:rPr>
        <w:t>at result from revenue transactions and held-to-maturity debt securities. This guidance is effective for fiscal years, and interim periods within those fiscal years, beginning after December 15, 2019, and early adoption was permitted for fiscal years begin</w:t>
      </w:r>
      <w:r>
        <w:rPr>
          <w:rFonts w:eastAsia="Times New Roman"/>
          <w:color w:val="000000"/>
          <w:sz w:val="20"/>
          <w:szCs w:val="20"/>
        </w:rPr>
        <w:t>ning after December 15, 2018. The Company adopted this guidance in the first quarter of fiscal 2020. The adoption of this guidance did not have a material impact on our Condensed Consolidated Financial Statements and related disclosures.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August 2018,</w:t>
      </w:r>
      <w:r>
        <w:rPr>
          <w:rFonts w:eastAsia="Times New Roman"/>
          <w:color w:val="000000"/>
          <w:sz w:val="20"/>
          <w:szCs w:val="20"/>
        </w:rPr>
        <w:t xml:space="preserve"> the FASB issued ASU 2018-13, “Fair Value Measurement (Topic 820): Disclosure Framework - Changes to the Disclosure Requirements for Fair Value Measurement,” which amends the disclosure requirements for fair value measurements by removing, modifying and ad</w:t>
      </w:r>
      <w:r>
        <w:rPr>
          <w:rFonts w:eastAsia="Times New Roman"/>
          <w:color w:val="000000"/>
          <w:sz w:val="20"/>
          <w:szCs w:val="20"/>
        </w:rPr>
        <w:t>ding certain disclosures.  This guidance is effective for fiscal years, and interim periods within those years, beginning after December 15, 2019, with early adoption permitted. The Company adopted this guidance in the first quarter of fiscal 2020. The ado</w:t>
      </w:r>
      <w:r>
        <w:rPr>
          <w:rFonts w:eastAsia="Times New Roman"/>
          <w:color w:val="000000"/>
          <w:sz w:val="20"/>
          <w:szCs w:val="20"/>
        </w:rPr>
        <w:t>ption of this guidance did not have a material impact on our Condensed Consolidated Financial Statements and related disclosures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August 2018, the FASB issued ASU 2018-15, “Intangibles – Goodwill and Other – Internal-Use Software (Subtopic 350-40): Cu</w:t>
      </w:r>
      <w:r>
        <w:rPr>
          <w:rFonts w:eastAsia="Times New Roman"/>
          <w:color w:val="000000"/>
          <w:sz w:val="20"/>
          <w:szCs w:val="20"/>
        </w:rPr>
        <w:t>stomer’s Accounting for Implementation Costs Incurred in a Cloud Computing Arrangement That Is a Service Contract.” This update clarifies the accounting treatment for fees paid by a customer in a cloud computing arrangement (hosting arrangement) by providi</w:t>
      </w:r>
      <w:r>
        <w:rPr>
          <w:rFonts w:eastAsia="Times New Roman"/>
          <w:color w:val="000000"/>
          <w:sz w:val="20"/>
          <w:szCs w:val="20"/>
        </w:rPr>
        <w:t>ng guidance for determining when the arrangement includes a software license. This guidance is effective for public business entities for fiscal years, and interim periods within those years, beginning after December 15, 2019, with early adoption permitted</w:t>
      </w:r>
      <w:r>
        <w:rPr>
          <w:rFonts w:eastAsia="Times New Roman"/>
          <w:color w:val="000000"/>
          <w:sz w:val="20"/>
          <w:szCs w:val="20"/>
        </w:rPr>
        <w:t>.  The amendments may be applied either retrospectively or prospectively to all implementation costs incurred after the date of adoption. The Company adopted this guidance on a prospective basis in the first quarter of fiscal 2020. The adoption of this gui</w:t>
      </w:r>
      <w:r>
        <w:rPr>
          <w:rFonts w:eastAsia="Times New Roman"/>
          <w:color w:val="000000"/>
          <w:sz w:val="20"/>
          <w:szCs w:val="20"/>
        </w:rPr>
        <w:t>dance did not have a material impact on our Condensed Consolidated Financial Statements and related disclosures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i/>
          <w:iCs/>
          <w:color w:val="000000"/>
          <w:sz w:val="20"/>
          <w:szCs w:val="20"/>
        </w:rPr>
        <w:t>New Accounting Pronouncements Not Yet Adopte</w:t>
      </w:r>
      <w:r>
        <w:rPr>
          <w:rFonts w:eastAsia="Times New Roman"/>
          <w:i/>
          <w:iCs/>
          <w:color w:val="000000"/>
          <w:sz w:val="20"/>
          <w:szCs w:val="20"/>
        </w:rPr>
        <w:t>d</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In March 2020, the FASB issued ASU 2020-04, “Reference Rate Reform (Topic 848): Facilitation </w:t>
      </w:r>
      <w:r>
        <w:rPr>
          <w:rFonts w:eastAsia="Times New Roman"/>
          <w:color w:val="000000"/>
          <w:sz w:val="20"/>
          <w:szCs w:val="20"/>
        </w:rPr>
        <w:t>of the Effects of Reference Rate Reform on Financial Reporting.” This guidance is in response to accounting concerns regarding contract modifications and hedge accounting because of impending rate reform associated with structural risks of interbank offere</w:t>
      </w:r>
      <w:r>
        <w:rPr>
          <w:rFonts w:eastAsia="Times New Roman"/>
          <w:color w:val="000000"/>
          <w:sz w:val="20"/>
          <w:szCs w:val="20"/>
        </w:rPr>
        <w:t>d rates (IBORs), and, particularly, the risk of cessation of LIBOR related to regulators in several jurisdictions around the world having undertaken reference rate reform initiatives to identify alternative reference rates. The guidance provides optional e</w:t>
      </w:r>
      <w:r>
        <w:rPr>
          <w:rFonts w:eastAsia="Times New Roman"/>
          <w:color w:val="000000"/>
          <w:sz w:val="20"/>
          <w:szCs w:val="20"/>
        </w:rPr>
        <w:t>xpedients and exceptions for applying U.S. GAAP to contracts, hedging relationships, and other transactions affected by reference rate reform if certain criteria are met. The adoption of this guidance is effective for all entities as of March 12, 2020 thro</w:t>
      </w:r>
      <w:r>
        <w:rPr>
          <w:rFonts w:eastAsia="Times New Roman"/>
          <w:color w:val="000000"/>
          <w:sz w:val="20"/>
          <w:szCs w:val="20"/>
        </w:rPr>
        <w:t>ugh December 31,</w:t>
      </w:r>
      <w:r>
        <w:rPr>
          <w:rFonts w:eastAsia="Times New Roman"/>
          <w:color w:val="000000"/>
          <w:sz w:val="20"/>
          <w:szCs w:val="20"/>
        </w:rPr>
        <w:t xml:space="preserve"> </w:t>
      </w:r>
    </w:p>
    <w:p w:rsidR="00000000" w:rsidRDefault="0016787D">
      <w:pPr>
        <w:jc w:val="center"/>
        <w:divId w:val="649595538"/>
        <w:rPr>
          <w:rFonts w:eastAsia="Times New Roman"/>
        </w:rPr>
      </w:pPr>
      <w:r>
        <w:rPr>
          <w:rFonts w:eastAsia="Times New Roman"/>
          <w:color w:val="000000"/>
          <w:sz w:val="20"/>
          <w:szCs w:val="20"/>
        </w:rPr>
        <w:t>Page 1</w:t>
      </w:r>
      <w:r>
        <w:rPr>
          <w:rFonts w:eastAsia="Times New Roman"/>
          <w:color w:val="000000"/>
          <w:sz w:val="20"/>
          <w:szCs w:val="20"/>
        </w:rPr>
        <w:t>7</w:t>
      </w:r>
    </w:p>
    <w:p w:rsidR="00000000" w:rsidRDefault="0016787D">
      <w:pPr>
        <w:rPr>
          <w:rFonts w:eastAsia="Times New Roman"/>
        </w:rPr>
      </w:pPr>
      <w:r>
        <w:rPr>
          <w:rFonts w:eastAsia="Times New Roman"/>
        </w:rPr>
        <w:pict>
          <v:rect id="_x0000_i1042" style="width:0;height:1.5pt" o:hralign="center" o:hrstd="t" o:hr="t" fillcolor="#a0a0a0" stroked="f"/>
        </w:pict>
      </w:r>
    </w:p>
    <w:p w:rsidR="00000000" w:rsidRDefault="0016787D">
      <w:pPr>
        <w:divId w:val="1307971472"/>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 xml:space="preserve">2022. </w:t>
      </w:r>
      <w:r>
        <w:rPr>
          <w:rFonts w:eastAsia="Times New Roman"/>
          <w:color w:val="000000"/>
          <w:sz w:val="20"/>
          <w:szCs w:val="20"/>
        </w:rPr>
        <w:t>The Company does not expect the adoption of this guidance to have a material impact on its Condensed Consolidated Financial Statements and related disclosures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p>
    <w:p w:rsidR="00000000" w:rsidRDefault="0016787D">
      <w:pPr>
        <w:jc w:val="center"/>
        <w:divId w:val="1520655741"/>
        <w:rPr>
          <w:rFonts w:eastAsia="Times New Roman"/>
        </w:rPr>
      </w:pPr>
      <w:r>
        <w:rPr>
          <w:rFonts w:eastAsia="Times New Roman"/>
          <w:color w:val="000000"/>
          <w:sz w:val="20"/>
          <w:szCs w:val="20"/>
        </w:rPr>
        <w:t>Page 1</w:t>
      </w:r>
      <w:r>
        <w:rPr>
          <w:rFonts w:eastAsia="Times New Roman"/>
          <w:color w:val="000000"/>
          <w:sz w:val="20"/>
          <w:szCs w:val="20"/>
        </w:rPr>
        <w:t>8</w:t>
      </w:r>
    </w:p>
    <w:p w:rsidR="00000000" w:rsidRDefault="0016787D">
      <w:pPr>
        <w:rPr>
          <w:rFonts w:eastAsia="Times New Roman"/>
        </w:rPr>
      </w:pPr>
      <w:r>
        <w:rPr>
          <w:rFonts w:eastAsia="Times New Roman"/>
        </w:rPr>
        <w:pict>
          <v:rect id="_x0000_i1043" style="width:0;height:1.5pt" o:hralign="center" o:hrstd="t" o:hr="t" fillcolor="#a0a0a0" stroked="f"/>
        </w:pict>
      </w:r>
    </w:p>
    <w:p w:rsidR="00000000" w:rsidRDefault="0016787D">
      <w:pPr>
        <w:divId w:val="135221405"/>
        <w:rPr>
          <w:rFonts w:eastAsia="Times New Roman"/>
        </w:rPr>
      </w:pPr>
      <w:hyperlink w:anchor="i4478e68e5dea442985a910e3b276f92d_7" w:history="1">
        <w:r>
          <w:rPr>
            <w:rStyle w:val="a3"/>
            <w:rFonts w:eastAsia="Times New Roman"/>
            <w:sz w:val="16"/>
            <w:szCs w:val="16"/>
          </w:rPr>
          <w:t>Index</w:t>
        </w:r>
      </w:hyperlink>
    </w:p>
    <w:p w:rsidR="00000000" w:rsidRDefault="0016787D">
      <w:pPr>
        <w:divId w:val="363099700"/>
        <w:rPr>
          <w:rFonts w:eastAsia="Times New Roman"/>
        </w:rPr>
      </w:pPr>
      <w:r>
        <w:rPr>
          <w:rFonts w:eastAsia="Times New Roman"/>
          <w:b/>
          <w:bCs/>
          <w:color w:val="000000"/>
          <w:sz w:val="20"/>
          <w:szCs w:val="20"/>
          <w:u w:val="single"/>
        </w:rPr>
        <w:t>Item 2.  Management’s Discussion and Analysis of Financial Condition and Results of Operation</w:t>
      </w:r>
      <w:r>
        <w:rPr>
          <w:rFonts w:eastAsia="Times New Roman"/>
          <w:b/>
          <w:bCs/>
          <w:color w:val="000000"/>
          <w:sz w:val="20"/>
          <w:szCs w:val="20"/>
          <w:u w:val="single"/>
        </w:rPr>
        <w:t>s</w:t>
      </w:r>
    </w:p>
    <w:p w:rsidR="00000000" w:rsidRDefault="0016787D">
      <w:pPr>
        <w:divId w:val="1685014755"/>
        <w:rPr>
          <w:rFonts w:eastAsia="Times New Roman"/>
        </w:rPr>
      </w:pPr>
    </w:p>
    <w:p w:rsidR="00000000" w:rsidRDefault="0016787D">
      <w:pPr>
        <w:jc w:val="both"/>
        <w:rPr>
          <w:rFonts w:eastAsia="Times New Roman"/>
        </w:rPr>
      </w:pPr>
      <w:r>
        <w:rPr>
          <w:rFonts w:eastAsia="Times New Roman"/>
          <w:b/>
          <w:bCs/>
          <w:color w:val="000000"/>
          <w:sz w:val="20"/>
          <w:szCs w:val="20"/>
        </w:rPr>
        <w:t>Genera</w:t>
      </w:r>
      <w:r>
        <w:rPr>
          <w:rFonts w:eastAsia="Times New Roman"/>
          <w:b/>
          <w:bCs/>
          <w:color w:val="000000"/>
          <w:sz w:val="20"/>
          <w:szCs w:val="20"/>
        </w:rPr>
        <w:t>l</w:t>
      </w:r>
    </w:p>
    <w:p w:rsidR="00000000" w:rsidRDefault="0016787D">
      <w:pPr>
        <w:divId w:val="1464881443"/>
        <w:rPr>
          <w:rFonts w:eastAsia="Times New Roman"/>
        </w:rPr>
      </w:pPr>
    </w:p>
    <w:p w:rsidR="00000000" w:rsidRDefault="0016787D">
      <w:pPr>
        <w:jc w:val="both"/>
        <w:rPr>
          <w:rFonts w:eastAsia="Times New Roman"/>
        </w:rPr>
      </w:pPr>
      <w:r>
        <w:rPr>
          <w:rFonts w:eastAsia="Times New Roman"/>
          <w:color w:val="000000"/>
          <w:sz w:val="20"/>
          <w:szCs w:val="20"/>
        </w:rPr>
        <w:t>The following discussion and analysis should be read in conjunction with our Annual Report on Form 10-K for the fiscal year ended Dec</w:t>
      </w:r>
      <w:r>
        <w:rPr>
          <w:rFonts w:eastAsia="Times New Roman"/>
          <w:color w:val="000000"/>
          <w:sz w:val="20"/>
          <w:szCs w:val="20"/>
        </w:rPr>
        <w:t>ember 28, 2019 (the "2019 10-K"). This Quarterly Report on Form 10-Q also contains forward-looking statements and information. The forward-looking statements included herein are made pursuant to the safe harbor provisions of the Private Securities Litigati</w:t>
      </w:r>
      <w:r>
        <w:rPr>
          <w:rFonts w:eastAsia="Times New Roman"/>
          <w:color w:val="000000"/>
          <w:sz w:val="20"/>
          <w:szCs w:val="20"/>
        </w:rPr>
        <w:t>on Reform Act of 1995 (the “Act”).  All statements, other than statements of historical facts, which address activities, events, or developments that we expect or anticipate will or may occur in the future, including sales and earnings growth, estimated re</w:t>
      </w:r>
      <w:r>
        <w:rPr>
          <w:rFonts w:eastAsia="Times New Roman"/>
          <w:color w:val="000000"/>
          <w:sz w:val="20"/>
          <w:szCs w:val="20"/>
        </w:rPr>
        <w:t>sults of operations in future periods, the declaration and payment of dividends, future capital expenditures (including their amount and nature), business strategy, expansion and growth of our business operations, and other such matters are forward-looking</w:t>
      </w:r>
      <w:r>
        <w:rPr>
          <w:rFonts w:eastAsia="Times New Roman"/>
          <w:color w:val="000000"/>
          <w:sz w:val="20"/>
          <w:szCs w:val="20"/>
        </w:rPr>
        <w:t xml:space="preserve"> statements.  These forward-looking statements may be affected by certain risks and uncertainties, any one, or a combination of which, could materially affect the results of our operations. To take advantage of the safe harbor provided by the Act, we are i</w:t>
      </w:r>
      <w:r>
        <w:rPr>
          <w:rFonts w:eastAsia="Times New Roman"/>
          <w:color w:val="000000"/>
          <w:sz w:val="20"/>
          <w:szCs w:val="20"/>
        </w:rPr>
        <w:t>dentifying certain factors that could cause actual results to differ materially from those expressed in any forward-looking statements, whether oral or written</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As with any business, many aspects of our operations are subject to influences outside our control. These factors include, without limitation, national, regional, and local economic conditions affecting consumer spending, including the effects of the COVID</w:t>
      </w:r>
      <w:r>
        <w:rPr>
          <w:rFonts w:eastAsia="Times New Roman"/>
          <w:color w:val="000000"/>
          <w:sz w:val="20"/>
          <w:szCs w:val="20"/>
        </w:rPr>
        <w:t xml:space="preserve">-19 pandemic, the timing and acceptance of new products in the stores, the timing and mix of goods sold, purchase price volatility (including inflationary and deflationary pressures), the ability to increase sales at existing stores, the ability to manage </w:t>
      </w:r>
      <w:r>
        <w:rPr>
          <w:rFonts w:eastAsia="Times New Roman"/>
          <w:color w:val="000000"/>
          <w:sz w:val="20"/>
          <w:szCs w:val="20"/>
        </w:rPr>
        <w:t xml:space="preserve">growth and identify suitable locations, failure of an acquisition to produce anticipated results, the ability to successfully manage expenses (including increased expenses as a result of operating as an essential retailer during the COVID-19 pandemic) and </w:t>
      </w:r>
      <w:r>
        <w:rPr>
          <w:rFonts w:eastAsia="Times New Roman"/>
          <w:color w:val="000000"/>
          <w:sz w:val="20"/>
          <w:szCs w:val="20"/>
        </w:rPr>
        <w:t>execute our key gross margin enhancing initiatives, the availability of favorable credit sources, capital market conditions in general, the ability to open new stores in the time, manner and number currently contemplated, particularly in light of the COVID</w:t>
      </w:r>
      <w:r>
        <w:rPr>
          <w:rFonts w:eastAsia="Times New Roman"/>
          <w:color w:val="000000"/>
          <w:sz w:val="20"/>
          <w:szCs w:val="20"/>
        </w:rPr>
        <w:t>-19 pandemic, the impact of new stores on our business, competition, including that from online competitors, weather conditions, the seasonal nature of our business, effective merchandising initiatives and marketing emphasis, the ability to retain vendors,</w:t>
      </w:r>
      <w:r>
        <w:rPr>
          <w:rFonts w:eastAsia="Times New Roman"/>
          <w:color w:val="000000"/>
          <w:sz w:val="20"/>
          <w:szCs w:val="20"/>
        </w:rPr>
        <w:t xml:space="preserve"> reliance on foreign suppliers, the ability to attract, train, and retain qualified employees, product liability and other claims, changes in federal, state, or local regulations, the effects that “shelter in place” and similar federal, state, and local re</w:t>
      </w:r>
      <w:r>
        <w:rPr>
          <w:rFonts w:eastAsia="Times New Roman"/>
          <w:color w:val="000000"/>
          <w:sz w:val="20"/>
          <w:szCs w:val="20"/>
        </w:rPr>
        <w:t>gulations and protocols could have on our business, including our supply chain and employees, the imposition of tariffs on imported products or the disallowance of tax deductions on imported products, potential judgments, fines, legal fees, and other costs</w:t>
      </w:r>
      <w:r>
        <w:rPr>
          <w:rFonts w:eastAsia="Times New Roman"/>
          <w:color w:val="000000"/>
          <w:sz w:val="20"/>
          <w:szCs w:val="20"/>
        </w:rPr>
        <w:t>, breach of information systems or theft of employee or customer data, ongoing and potential future legal or regulatory proceedings, management of our information systems, failure to develop and implement new technologies, the failure of customer-facing te</w:t>
      </w:r>
      <w:r>
        <w:rPr>
          <w:rFonts w:eastAsia="Times New Roman"/>
          <w:color w:val="000000"/>
          <w:sz w:val="20"/>
          <w:szCs w:val="20"/>
        </w:rPr>
        <w:t>chnology systems, business disruption including from the implementation of supply chain technologies, effective tax rate changes and results of examination by taxing authorities, the ability to maintain an effective system of internal control over financia</w:t>
      </w:r>
      <w:r>
        <w:rPr>
          <w:rFonts w:eastAsia="Times New Roman"/>
          <w:color w:val="000000"/>
          <w:sz w:val="20"/>
          <w:szCs w:val="20"/>
        </w:rPr>
        <w:t xml:space="preserve">l reporting, and changes in accounting standards, assumptions, and estimates. We discuss in greater detail risk factors relating to our business in Item 1A of our 2019 10-K, Part II, Item 1A of the Quarterly Report on Form 10-Q for the quarter ended March </w:t>
      </w:r>
      <w:r>
        <w:rPr>
          <w:rFonts w:eastAsia="Times New Roman"/>
          <w:color w:val="000000"/>
          <w:sz w:val="20"/>
          <w:szCs w:val="20"/>
        </w:rPr>
        <w:t>28, 2020, and in Part II, Item 1A of this Quarterly Report on Form 10-Q.  Forward-looking statements are based on our knowledge of our business and the environment in which we operate, but because of the factors listed above or other factors, actual result</w:t>
      </w:r>
      <w:r>
        <w:rPr>
          <w:rFonts w:eastAsia="Times New Roman"/>
          <w:color w:val="000000"/>
          <w:sz w:val="20"/>
          <w:szCs w:val="20"/>
        </w:rPr>
        <w:t>s could differ materially from those reflected by any forward-looking statements. Consequently, all of the forward-looking statements made are qualified by these cautionary statements and there can be no assurance that the actual results or developments an</w:t>
      </w:r>
      <w:r>
        <w:rPr>
          <w:rFonts w:eastAsia="Times New Roman"/>
          <w:color w:val="000000"/>
          <w:sz w:val="20"/>
          <w:szCs w:val="20"/>
        </w:rPr>
        <w:t>ticipated will be realized or, even if substantially realized, that they will have the expected consequences to or effects on our business and operations. Readers are cautioned not to place undue reliance on these forward-looking statements, which speak on</w:t>
      </w:r>
      <w:r>
        <w:rPr>
          <w:rFonts w:eastAsia="Times New Roman"/>
          <w:color w:val="000000"/>
          <w:sz w:val="20"/>
          <w:szCs w:val="20"/>
        </w:rPr>
        <w:t>ly as of the date hereof.  We undertake no obligation to release publicly any revisions to these forward-looking statements to reflect events or circumstances after the date hereof or to reflect the occurrence of unanticipated events</w:t>
      </w:r>
      <w:r>
        <w:rPr>
          <w:rFonts w:eastAsia="Times New Roman"/>
          <w:color w:val="000000"/>
          <w:sz w:val="20"/>
          <w:szCs w:val="20"/>
        </w:rPr>
        <w:t>.</w:t>
      </w:r>
    </w:p>
    <w:p w:rsidR="00000000" w:rsidRDefault="0016787D">
      <w:pPr>
        <w:jc w:val="both"/>
        <w:rPr>
          <w:rFonts w:eastAsia="Times New Roman"/>
        </w:rPr>
      </w:pPr>
    </w:p>
    <w:p w:rsidR="00000000" w:rsidRDefault="0016787D">
      <w:pPr>
        <w:divId w:val="1162744623"/>
        <w:rPr>
          <w:rFonts w:eastAsia="Times New Roman"/>
        </w:rPr>
      </w:pPr>
      <w:r>
        <w:rPr>
          <w:rFonts w:eastAsia="Times New Roman"/>
          <w:b/>
          <w:bCs/>
          <w:color w:val="000000"/>
          <w:sz w:val="20"/>
          <w:szCs w:val="20"/>
        </w:rPr>
        <w:t>Information Regardi</w:t>
      </w:r>
      <w:r>
        <w:rPr>
          <w:rFonts w:eastAsia="Times New Roman"/>
          <w:b/>
          <w:bCs/>
          <w:color w:val="000000"/>
          <w:sz w:val="20"/>
          <w:szCs w:val="20"/>
        </w:rPr>
        <w:t>ng COVID-19 Coronavirus Pandemi</w:t>
      </w:r>
      <w:r>
        <w:rPr>
          <w:rFonts w:eastAsia="Times New Roman"/>
          <w:b/>
          <w:bCs/>
          <w:color w:val="000000"/>
          <w:sz w:val="20"/>
          <w:szCs w:val="20"/>
        </w:rPr>
        <w:t>c</w:t>
      </w:r>
    </w:p>
    <w:p w:rsidR="00000000" w:rsidRDefault="0016787D">
      <w:pPr>
        <w:divId w:val="248973011"/>
        <w:rPr>
          <w:rFonts w:eastAsia="Times New Roman"/>
        </w:rPr>
      </w:pPr>
    </w:p>
    <w:p w:rsidR="00000000" w:rsidRDefault="0016787D">
      <w:pPr>
        <w:jc w:val="both"/>
        <w:rPr>
          <w:rFonts w:eastAsia="Times New Roman"/>
        </w:rPr>
      </w:pPr>
      <w:r>
        <w:rPr>
          <w:rFonts w:eastAsia="Times New Roman"/>
          <w:color w:val="000000"/>
          <w:sz w:val="20"/>
          <w:szCs w:val="20"/>
        </w:rPr>
        <w:t xml:space="preserve">The Company has been and continues to closely monitor the impact of the COVID-19 outbreak on all facets of our business. This includes the impact on our team members, customers, suppliers, vendors, business partners, and </w:t>
      </w:r>
      <w:r>
        <w:rPr>
          <w:rFonts w:eastAsia="Times New Roman"/>
          <w:color w:val="000000"/>
          <w:sz w:val="20"/>
          <w:szCs w:val="20"/>
        </w:rPr>
        <w:t>supply chain networks.</w:t>
      </w:r>
      <w:r>
        <w:rPr>
          <w:rFonts w:eastAsia="Times New Roman"/>
          <w:color w:val="000000"/>
          <w:sz w:val="20"/>
          <w:szCs w:val="20"/>
        </w:rPr>
        <w:t xml:space="preserve"> </w:t>
      </w:r>
    </w:p>
    <w:p w:rsidR="00000000" w:rsidRDefault="0016787D">
      <w:pPr>
        <w:divId w:val="1541016912"/>
        <w:rPr>
          <w:rFonts w:eastAsia="Times New Roman"/>
        </w:rPr>
      </w:pPr>
    </w:p>
    <w:p w:rsidR="00000000" w:rsidRDefault="0016787D">
      <w:pPr>
        <w:jc w:val="both"/>
        <w:rPr>
          <w:rFonts w:eastAsia="Times New Roman"/>
        </w:rPr>
      </w:pPr>
      <w:r>
        <w:rPr>
          <w:rFonts w:eastAsia="Times New Roman"/>
          <w:color w:val="000000"/>
          <w:sz w:val="20"/>
          <w:szCs w:val="20"/>
        </w:rPr>
        <w:t>The health and safety of our team members and customers are the primary concerns of our management team. We have taken and continue to take numerous actions to promote health and safety, including, rapidly providing personal prote</w:t>
      </w:r>
      <w:r>
        <w:rPr>
          <w:rFonts w:eastAsia="Times New Roman"/>
          <w:color w:val="000000"/>
          <w:sz w:val="20"/>
          <w:szCs w:val="20"/>
        </w:rPr>
        <w:t xml:space="preserve">ctive equipment to our team members, requiring the use of masks in our facilities, rolling out additional functionality to support contactless shopping experiences, adding services for cleaning and sanitation in our stores and distribution centers, hiring </w:t>
      </w:r>
      <w:r>
        <w:rPr>
          <w:rFonts w:eastAsia="Times New Roman"/>
          <w:color w:val="000000"/>
          <w:sz w:val="20"/>
          <w:szCs w:val="20"/>
        </w:rPr>
        <w:t>additional team members to assist in promoting social distancing and cleaning actions in our stores, and implementing remote work plans at our store support center.</w:t>
      </w:r>
      <w:r>
        <w:rPr>
          <w:rFonts w:eastAsia="Times New Roman"/>
          <w:color w:val="000000"/>
          <w:sz w:val="20"/>
          <w:szCs w:val="20"/>
        </w:rPr>
        <w:t xml:space="preserve"> </w:t>
      </w:r>
    </w:p>
    <w:p w:rsidR="00000000" w:rsidRDefault="0016787D">
      <w:pPr>
        <w:divId w:val="1126045831"/>
        <w:rPr>
          <w:rFonts w:eastAsia="Times New Roman"/>
        </w:rPr>
      </w:pPr>
    </w:p>
    <w:p w:rsidR="00000000" w:rsidRDefault="0016787D">
      <w:pPr>
        <w:jc w:val="center"/>
        <w:divId w:val="42406882"/>
        <w:rPr>
          <w:rFonts w:eastAsia="Times New Roman"/>
        </w:rPr>
      </w:pPr>
      <w:r>
        <w:rPr>
          <w:rFonts w:eastAsia="Times New Roman"/>
          <w:color w:val="000000"/>
          <w:sz w:val="20"/>
          <w:szCs w:val="20"/>
        </w:rPr>
        <w:t>Page 1</w:t>
      </w:r>
      <w:r>
        <w:rPr>
          <w:rFonts w:eastAsia="Times New Roman"/>
          <w:color w:val="000000"/>
          <w:sz w:val="20"/>
          <w:szCs w:val="20"/>
        </w:rPr>
        <w:t>9</w:t>
      </w:r>
    </w:p>
    <w:p w:rsidR="00000000" w:rsidRDefault="0016787D">
      <w:pPr>
        <w:rPr>
          <w:rFonts w:eastAsia="Times New Roman"/>
        </w:rPr>
      </w:pPr>
      <w:r>
        <w:rPr>
          <w:rFonts w:eastAsia="Times New Roman"/>
        </w:rPr>
        <w:pict>
          <v:rect id="_x0000_i1044" style="width:0;height:1.5pt" o:hralign="center" o:hrstd="t" o:hr="t" fillcolor="#a0a0a0" stroked="f"/>
        </w:pict>
      </w:r>
    </w:p>
    <w:p w:rsidR="00000000" w:rsidRDefault="0016787D">
      <w:pPr>
        <w:divId w:val="1114789566"/>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Additionally, we have taken significant actions to support our team members during this pandemic including COVID-19 paid medical leave, 100% coverage of COVID-19 testing and treatment under our medical plan, and the payment of increment</w:t>
      </w:r>
      <w:r>
        <w:rPr>
          <w:rFonts w:eastAsia="Times New Roman"/>
          <w:color w:val="000000"/>
          <w:sz w:val="20"/>
          <w:szCs w:val="20"/>
        </w:rPr>
        <w:t xml:space="preserve">al appreciation bonuses for frontline team members of approximately $35 million from March 16 to June 27. Effective June 28 we have implemented permanent wage increases for all of our hourly team members in our stores and distribution centers of a minimum </w:t>
      </w:r>
      <w:r>
        <w:rPr>
          <w:rFonts w:eastAsia="Times New Roman"/>
          <w:color w:val="000000"/>
          <w:sz w:val="20"/>
          <w:szCs w:val="20"/>
        </w:rPr>
        <w:t>of $1 per hour and are now providing a new benefit package for part-time team members, including medical, vision and dental coverage, paid sick time and life insurance. Further, we have also implemented annual restricted stock unit grants to more than 2,00</w:t>
      </w:r>
      <w:r>
        <w:rPr>
          <w:rFonts w:eastAsia="Times New Roman"/>
          <w:color w:val="000000"/>
          <w:sz w:val="20"/>
          <w:szCs w:val="20"/>
        </w:rPr>
        <w:t>0 frontline salaried managers in our stores and distribution centers. These actions, among others, are intended to support our team members both during and after the COVID-19 pandemic.</w:t>
      </w:r>
      <w:r>
        <w:rPr>
          <w:rFonts w:eastAsia="Times New Roman"/>
          <w:color w:val="000000"/>
          <w:sz w:val="20"/>
          <w:szCs w:val="20"/>
        </w:rPr>
        <w:t xml:space="preserve"> </w:t>
      </w:r>
    </w:p>
    <w:p w:rsidR="00000000" w:rsidRDefault="0016787D">
      <w:pPr>
        <w:divId w:val="1743678918"/>
        <w:rPr>
          <w:rFonts w:eastAsia="Times New Roman"/>
        </w:rPr>
      </w:pPr>
    </w:p>
    <w:p w:rsidR="00000000" w:rsidRDefault="0016787D">
      <w:pPr>
        <w:jc w:val="both"/>
        <w:rPr>
          <w:rFonts w:eastAsia="Times New Roman"/>
        </w:rPr>
      </w:pPr>
      <w:r>
        <w:rPr>
          <w:rFonts w:eastAsia="Times New Roman"/>
          <w:color w:val="000000"/>
          <w:sz w:val="20"/>
          <w:szCs w:val="20"/>
        </w:rPr>
        <w:t xml:space="preserve">As further described in the results of operations for the three and </w:t>
      </w:r>
      <w:r>
        <w:rPr>
          <w:rFonts w:eastAsia="Times New Roman"/>
          <w:color w:val="000000"/>
          <w:sz w:val="20"/>
          <w:szCs w:val="20"/>
        </w:rPr>
        <w:t>six fiscal months ended June 27, 2020, our net sales have significantly increased due to unprecedented customer demand across all major product categories, channels, and geographic regions. However, the net incremental costs of doing business during this c</w:t>
      </w:r>
      <w:r>
        <w:rPr>
          <w:rFonts w:eastAsia="Times New Roman"/>
          <w:color w:val="000000"/>
          <w:sz w:val="20"/>
          <w:szCs w:val="20"/>
        </w:rPr>
        <w:t>risis have increased as a result of the aforementioned actions we have taken to support and ensure the safety and well-being of our team members and customers, and we believe these incremental costs will continue after the pandemic is over.</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On July 23, </w:t>
      </w:r>
      <w:r>
        <w:rPr>
          <w:rFonts w:eastAsia="Times New Roman"/>
          <w:color w:val="000000"/>
          <w:sz w:val="20"/>
          <w:szCs w:val="20"/>
        </w:rPr>
        <w:t>2020 we provided financial guidance for the results of operations expected for the third fiscal quarter ending September 26, 2020 which reflected a continuation of the strong consumer demand for our products, albeit to a lesser extent than experienced duri</w:t>
      </w:r>
      <w:r>
        <w:rPr>
          <w:rFonts w:eastAsia="Times New Roman"/>
          <w:color w:val="000000"/>
          <w:sz w:val="20"/>
          <w:szCs w:val="20"/>
        </w:rPr>
        <w:t>ng our second fiscal quarter. Additionally, we anticipate incurring incremental costs to respond to the COVID-19 pandemic, as well as costs associated with the previously announced permanent increase in compensation and benefits for our frontline team memb</w:t>
      </w:r>
      <w:r>
        <w:rPr>
          <w:rFonts w:eastAsia="Times New Roman"/>
          <w:color w:val="000000"/>
          <w:sz w:val="20"/>
          <w:szCs w:val="20"/>
        </w:rPr>
        <w:t>ers, and incremental costs for strategic investments in our business.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However, there are numerous uncertainties surrounding the pandemic and its impact on the economy and our business, as further described in the Risk Factors section of our 2019 10-K (a</w:t>
      </w:r>
      <w:r>
        <w:rPr>
          <w:rFonts w:eastAsia="Times New Roman"/>
          <w:color w:val="000000"/>
          <w:sz w:val="20"/>
          <w:szCs w:val="20"/>
        </w:rPr>
        <w:t>s updated in Part II, Item 1A of the Quarterly Report on Form 10-Q for the quarter ended March 28, 2020 and Part II, Item 1A of this Quarterly Report on Form 10-Q), which make it difficult to predict the impact on our business, financial position, or resul</w:t>
      </w:r>
      <w:r>
        <w:rPr>
          <w:rFonts w:eastAsia="Times New Roman"/>
          <w:color w:val="000000"/>
          <w:sz w:val="20"/>
          <w:szCs w:val="20"/>
        </w:rPr>
        <w:t>ts of operations for the remainder of fiscal 2020 and beyond. While our stores, distribution centers, and e-commerce operations are open and plan to remain open, we cannot predict the uncertainties, or the corresponding impacts on our business, at this tim</w:t>
      </w:r>
      <w:r>
        <w:rPr>
          <w:rFonts w:eastAsia="Times New Roman"/>
          <w:color w:val="000000"/>
          <w:sz w:val="20"/>
          <w:szCs w:val="20"/>
        </w:rPr>
        <w:t>e.</w:t>
      </w:r>
      <w:r>
        <w:rPr>
          <w:rFonts w:eastAsia="Times New Roman"/>
          <w:color w:val="000000"/>
          <w:sz w:val="20"/>
          <w:szCs w:val="20"/>
        </w:rPr>
        <w:t xml:space="preserve"> </w:t>
      </w:r>
    </w:p>
    <w:p w:rsidR="00000000" w:rsidRDefault="0016787D">
      <w:pPr>
        <w:divId w:val="1723677433"/>
        <w:rPr>
          <w:rFonts w:eastAsia="Times New Roman"/>
        </w:rPr>
      </w:pPr>
    </w:p>
    <w:p w:rsidR="00000000" w:rsidRDefault="0016787D">
      <w:pPr>
        <w:jc w:val="both"/>
        <w:rPr>
          <w:rFonts w:eastAsia="Times New Roman"/>
        </w:rPr>
      </w:pPr>
      <w:r>
        <w:rPr>
          <w:rFonts w:eastAsia="Times New Roman"/>
          <w:color w:val="000000"/>
          <w:sz w:val="20"/>
          <w:szCs w:val="20"/>
        </w:rPr>
        <w:t>Therefore, as previously disclosed, in an effort to strengthen our liquidity and preserve cash while navigating the COVID-19 pandemic, we suspended our share repurchase program effective March 12, 2020 and increased borrowings under our debt faciliti</w:t>
      </w:r>
      <w:r>
        <w:rPr>
          <w:rFonts w:eastAsia="Times New Roman"/>
          <w:color w:val="000000"/>
          <w:sz w:val="20"/>
          <w:szCs w:val="20"/>
        </w:rPr>
        <w:t>es as described in Note 5 to the Condensed Consolidated Financial Statements.</w:t>
      </w:r>
      <w:r>
        <w:rPr>
          <w:rFonts w:eastAsia="Times New Roman"/>
          <w:color w:val="000000"/>
          <w:sz w:val="20"/>
          <w:szCs w:val="20"/>
        </w:rPr>
        <w:t xml:space="preserve"> </w:t>
      </w:r>
    </w:p>
    <w:p w:rsidR="00000000" w:rsidRDefault="0016787D">
      <w:pPr>
        <w:divId w:val="2134596145"/>
        <w:rPr>
          <w:rFonts w:eastAsia="Times New Roman"/>
        </w:rPr>
      </w:pPr>
    </w:p>
    <w:p w:rsidR="00000000" w:rsidRDefault="0016787D">
      <w:pPr>
        <w:jc w:val="both"/>
        <w:rPr>
          <w:rFonts w:eastAsia="Times New Roman"/>
        </w:rPr>
      </w:pPr>
      <w:r>
        <w:rPr>
          <w:rFonts w:eastAsia="Times New Roman"/>
          <w:b/>
          <w:bCs/>
          <w:color w:val="000000"/>
          <w:sz w:val="20"/>
          <w:szCs w:val="20"/>
        </w:rPr>
        <w:t>Seasonality and Weathe</w:t>
      </w:r>
      <w:r>
        <w:rPr>
          <w:rFonts w:eastAsia="Times New Roman"/>
          <w:b/>
          <w:bCs/>
          <w:color w:val="000000"/>
          <w:sz w:val="20"/>
          <w:szCs w:val="20"/>
        </w:rPr>
        <w:t>r</w:t>
      </w:r>
    </w:p>
    <w:p w:rsidR="00000000" w:rsidRDefault="0016787D">
      <w:pPr>
        <w:divId w:val="446243491"/>
        <w:rPr>
          <w:rFonts w:eastAsia="Times New Roman"/>
        </w:rPr>
      </w:pPr>
    </w:p>
    <w:p w:rsidR="00000000" w:rsidRDefault="0016787D">
      <w:pPr>
        <w:jc w:val="both"/>
        <w:rPr>
          <w:rFonts w:eastAsia="Times New Roman"/>
        </w:rPr>
      </w:pPr>
      <w:r>
        <w:rPr>
          <w:rFonts w:eastAsia="Times New Roman"/>
          <w:color w:val="000000"/>
          <w:sz w:val="20"/>
          <w:szCs w:val="20"/>
        </w:rPr>
        <w:t>Our business is seasonal.  Historically, our sales and profits are the highest in the second and fourth fiscal quarters due to the sale of seasonal p</w:t>
      </w:r>
      <w:r>
        <w:rPr>
          <w:rFonts w:eastAsia="Times New Roman"/>
          <w:color w:val="000000"/>
          <w:sz w:val="20"/>
          <w:szCs w:val="20"/>
        </w:rPr>
        <w:t>roducts. We usually experience our highest inventory and accounts payable balances during our first fiscal quarter for purchases of seasonal products to support the higher sales volume of the spring selling season, and again during our third fiscal quarter</w:t>
      </w:r>
      <w:r>
        <w:rPr>
          <w:rFonts w:eastAsia="Times New Roman"/>
          <w:color w:val="000000"/>
          <w:sz w:val="20"/>
          <w:szCs w:val="20"/>
        </w:rPr>
        <w:t xml:space="preserve"> to support the higher sales volume of the cold-weather selling season. We believe that our business can be more accurately assessed by focusing on the performance of the halves, not the quarters, due to the fact that different weather patterns from year-t</w:t>
      </w:r>
      <w:r>
        <w:rPr>
          <w:rFonts w:eastAsia="Times New Roman"/>
          <w:color w:val="000000"/>
          <w:sz w:val="20"/>
          <w:szCs w:val="20"/>
        </w:rPr>
        <w:t>o-year can shift the timing of sales and profits between quarters, particularly between the first and second fiscal quarters and the third and fourth fiscal quarters.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Historically, weather conditions, including unseasonably warm weather in the fall and </w:t>
      </w:r>
      <w:r>
        <w:rPr>
          <w:rFonts w:eastAsia="Times New Roman"/>
          <w:color w:val="000000"/>
          <w:sz w:val="20"/>
          <w:szCs w:val="20"/>
        </w:rPr>
        <w:t>winter months and unseasonably cool weather in the spring and summer months, have affected the timing and volume of our sales and results of operations. In addition, extreme weather conditions, including snow and ice storms, flood and wind damage, hurrican</w:t>
      </w:r>
      <w:r>
        <w:rPr>
          <w:rFonts w:eastAsia="Times New Roman"/>
          <w:color w:val="000000"/>
          <w:sz w:val="20"/>
          <w:szCs w:val="20"/>
        </w:rPr>
        <w:t>es, tornadoes, extreme rain, and droughts have impacted operating results both negatively and positively, depending on the severity and length of these conditions. Our strategy is to manage product flow and adjust merchandise assortments and depth of inven</w:t>
      </w:r>
      <w:r>
        <w:rPr>
          <w:rFonts w:eastAsia="Times New Roman"/>
          <w:color w:val="000000"/>
          <w:sz w:val="20"/>
          <w:szCs w:val="20"/>
        </w:rPr>
        <w:t>tory to capitalize on seasonal demand trends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Comparable Store Metric</w:t>
      </w:r>
      <w:r>
        <w:rPr>
          <w:rFonts w:eastAsia="Times New Roman"/>
          <w:b/>
          <w:b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Comparable store metrics are a key performance indicator used in the retail industry to measure the performance of the underlying business. Our comparable store metrics are calculated on an annual basis using sales generated from all stores open at least o</w:t>
      </w:r>
      <w:r>
        <w:rPr>
          <w:rFonts w:eastAsia="Times New Roman"/>
          <w:color w:val="000000"/>
          <w:sz w:val="20"/>
          <w:szCs w:val="20"/>
        </w:rPr>
        <w:t>ne year and all online sales and exclude certain adjustments to net sales. Stores closed during either of the years being compared are removed from our comparable store metrics calculations. Stores relocated during either of the years being compared are no</w:t>
      </w:r>
      <w:r>
        <w:rPr>
          <w:rFonts w:eastAsia="Times New Roman"/>
          <w:color w:val="000000"/>
          <w:sz w:val="20"/>
          <w:szCs w:val="20"/>
        </w:rPr>
        <w:t>t removed from our comparable store metrics calculations. If the effect of relocated stores on our comparable store metrics calculations became material, we would remove relocated stores from the calculations</w:t>
      </w:r>
      <w:r>
        <w:rPr>
          <w:rFonts w:eastAsia="Times New Roman"/>
          <w:color w:val="000000"/>
          <w:sz w:val="20"/>
          <w:szCs w:val="20"/>
        </w:rPr>
        <w:t>.</w:t>
      </w:r>
    </w:p>
    <w:p w:rsidR="00000000" w:rsidRDefault="0016787D">
      <w:pPr>
        <w:jc w:val="both"/>
        <w:rPr>
          <w:rFonts w:eastAsia="Times New Roman"/>
        </w:rPr>
      </w:pPr>
    </w:p>
    <w:p w:rsidR="00000000" w:rsidRDefault="0016787D">
      <w:pPr>
        <w:jc w:val="center"/>
        <w:divId w:val="1359504631"/>
        <w:rPr>
          <w:rFonts w:eastAsia="Times New Roman"/>
        </w:rPr>
      </w:pPr>
      <w:r>
        <w:rPr>
          <w:rFonts w:eastAsia="Times New Roman"/>
          <w:color w:val="000000"/>
          <w:sz w:val="20"/>
          <w:szCs w:val="20"/>
        </w:rPr>
        <w:t>Page 2</w:t>
      </w:r>
      <w:r>
        <w:rPr>
          <w:rFonts w:eastAsia="Times New Roman"/>
          <w:color w:val="000000"/>
          <w:sz w:val="20"/>
          <w:szCs w:val="20"/>
        </w:rPr>
        <w:t>0</w:t>
      </w:r>
    </w:p>
    <w:p w:rsidR="00000000" w:rsidRDefault="0016787D">
      <w:pPr>
        <w:rPr>
          <w:rFonts w:eastAsia="Times New Roman"/>
        </w:rPr>
      </w:pPr>
      <w:r>
        <w:rPr>
          <w:rFonts w:eastAsia="Times New Roman"/>
        </w:rPr>
        <w:pict>
          <v:rect id="_x0000_i1045" style="width:0;height:1.5pt" o:hralign="center" o:hrstd="t" o:hr="t" fillcolor="#a0a0a0" stroked="f"/>
        </w:pict>
      </w:r>
    </w:p>
    <w:p w:rsidR="00000000" w:rsidRDefault="0016787D">
      <w:pPr>
        <w:divId w:val="1385641705"/>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color w:val="000000"/>
          <w:sz w:val="20"/>
          <w:szCs w:val="20"/>
        </w:rPr>
        <w:t>Results of Operation</w:t>
      </w:r>
      <w:r>
        <w:rPr>
          <w:rFonts w:eastAsia="Times New Roman"/>
          <w:b/>
          <w:b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i/>
          <w:iCs/>
          <w:color w:val="000000"/>
          <w:sz w:val="20"/>
          <w:szCs w:val="20"/>
          <w:u w:val="single"/>
        </w:rPr>
        <w:t>Fiscal Three Months (Second Quarter) Ended June 27, 2020 and June 29, 2019</w:t>
      </w:r>
      <w:r>
        <w:rPr>
          <w:rFonts w:eastAsia="Times New Roman"/>
          <w:i/>
          <w:iCs/>
          <w:color w:val="000000"/>
          <w:sz w:val="20"/>
          <w:szCs w:val="20"/>
          <w:u w:val="single"/>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Net sales for the second quarter of fiscal 2020 increased 35.0% to $3.18 billion from $2.</w:t>
      </w:r>
      <w:r>
        <w:rPr>
          <w:rFonts w:eastAsia="Times New Roman"/>
          <w:color w:val="000000"/>
          <w:sz w:val="20"/>
          <w:szCs w:val="20"/>
        </w:rPr>
        <w:t>35 billion for the second quarter of fiscal 2019. Comparable store sales for the second quarter of fiscal 2020 were $3.08 billion, a 30.5% increase as compared to the second quarter of fiscal 2019. Comparable store sales increased 3.2% in the second quarte</w:t>
      </w:r>
      <w:r>
        <w:rPr>
          <w:rFonts w:eastAsia="Times New Roman"/>
          <w:color w:val="000000"/>
          <w:sz w:val="20"/>
          <w:szCs w:val="20"/>
        </w:rPr>
        <w:t>r of fiscal 2019.</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comparable store sales results for the second quarter of fiscal 2020 included an increase in comparable average transaction value of 15.8% and an increase of 14.6% in comparable average transaction count, each as compared to the se</w:t>
      </w:r>
      <w:r>
        <w:rPr>
          <w:rFonts w:eastAsia="Times New Roman"/>
          <w:color w:val="000000"/>
          <w:sz w:val="20"/>
          <w:szCs w:val="20"/>
        </w:rPr>
        <w:t>cond quarter of fiscal 2019. The COVID-19 pandemic had a significant impact on consumer demand across all of the Company’s major product categories as customers focused on the care of their homes, land and animals. Additionally, consumer demand in the quar</w:t>
      </w:r>
      <w:r>
        <w:rPr>
          <w:rFonts w:eastAsia="Times New Roman"/>
          <w:color w:val="000000"/>
          <w:sz w:val="20"/>
          <w:szCs w:val="20"/>
        </w:rPr>
        <w:t>ter benefited from growth in new customer acquisition and the re-engagement of lapsed customers as a result of advertising campaigns focused on brand awareness, favorable spring and summer weather conditions across much of the country, and other factors su</w:t>
      </w:r>
      <w:r>
        <w:rPr>
          <w:rFonts w:eastAsia="Times New Roman"/>
          <w:color w:val="000000"/>
          <w:sz w:val="20"/>
          <w:szCs w:val="20"/>
        </w:rPr>
        <w:t>ch as government stimulus. These factors all led to a significant increase in comparable store sales which was driven by unprecedented demand for spring and summer seasonal categories along with exceptional growth in everyday merchandise, including consuma</w:t>
      </w:r>
      <w:r>
        <w:rPr>
          <w:rFonts w:eastAsia="Times New Roman"/>
          <w:color w:val="000000"/>
          <w:sz w:val="20"/>
          <w:szCs w:val="20"/>
        </w:rPr>
        <w:t>ble, usable and edible products. All geographic regions of the Company had robust comparable store sales growth. In addition, the Company’s e-commerce sales experienced triple-digit sales growth as compared to the second quarter of fiscal 2019</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additi</w:t>
      </w:r>
      <w:r>
        <w:rPr>
          <w:rFonts w:eastAsia="Times New Roman"/>
          <w:color w:val="000000"/>
          <w:sz w:val="20"/>
          <w:szCs w:val="20"/>
        </w:rPr>
        <w:t>on to comparable store sales growth for the second quarter of fiscal 2020, sales from stores open less than one year were $110.2 million for the second quarter of fiscal 2020, which represented 4.7 percentage points of the 35.0% increase over second quarte</w:t>
      </w:r>
      <w:r>
        <w:rPr>
          <w:rFonts w:eastAsia="Times New Roman"/>
          <w:color w:val="000000"/>
          <w:sz w:val="20"/>
          <w:szCs w:val="20"/>
        </w:rPr>
        <w:t>r fiscal 2019 net sales. For the second quarter of fiscal 2019, sales from stores open less than one year were $71.6 million, which represented 3.2 percentage points of the 6.3% increase over second quarter fiscal 2018 net sales.</w:t>
      </w:r>
      <w:r>
        <w:rPr>
          <w:rFonts w:eastAsia="Times New Roman"/>
          <w:color w:val="000000"/>
          <w:sz w:val="20"/>
          <w:szCs w:val="20"/>
        </w:rPr>
        <w:t xml:space="preserve"> </w:t>
      </w:r>
    </w:p>
    <w:p w:rsidR="00000000" w:rsidRDefault="0016787D">
      <w:pPr>
        <w:jc w:val="both"/>
        <w:rPr>
          <w:rFonts w:eastAsia="Times New Roman"/>
        </w:rPr>
      </w:pPr>
    </w:p>
    <w:p w:rsidR="00000000" w:rsidRDefault="0016787D">
      <w:pPr>
        <w:divId w:val="1815491638"/>
        <w:rPr>
          <w:rFonts w:eastAsia="Times New Roman"/>
        </w:rPr>
      </w:pPr>
      <w:r>
        <w:rPr>
          <w:rFonts w:eastAsia="Times New Roman"/>
          <w:color w:val="000000"/>
          <w:sz w:val="20"/>
          <w:szCs w:val="20"/>
        </w:rPr>
        <w:t>The following table sum</w:t>
      </w:r>
      <w:r>
        <w:rPr>
          <w:rFonts w:eastAsia="Times New Roman"/>
          <w:color w:val="000000"/>
          <w:sz w:val="20"/>
          <w:szCs w:val="20"/>
        </w:rPr>
        <w:t>marizes store growth for the fiscal three months ended June 27, 2020 and June 29, 2019</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72"/>
        <w:gridCol w:w="5460"/>
        <w:gridCol w:w="72"/>
        <w:gridCol w:w="72"/>
        <w:gridCol w:w="1013"/>
        <w:gridCol w:w="87"/>
        <w:gridCol w:w="36"/>
        <w:gridCol w:w="36"/>
        <w:gridCol w:w="36"/>
        <w:gridCol w:w="70"/>
        <w:gridCol w:w="1025"/>
        <w:gridCol w:w="86"/>
        <w:gridCol w:w="36"/>
        <w:gridCol w:w="36"/>
        <w:gridCol w:w="36"/>
        <w:gridCol w:w="36"/>
        <w:gridCol w:w="36"/>
        <w:gridCol w:w="36"/>
      </w:tblGrid>
      <w:tr w:rsidR="00000000">
        <w:trPr>
          <w:gridAfter w:val="6"/>
          <w:divId w:val="1089739934"/>
        </w:trPr>
        <w:tc>
          <w:tcPr>
            <w:tcW w:w="50" w:type="pct"/>
            <w:vAlign w:val="center"/>
            <w:hideMark/>
          </w:tcPr>
          <w:p w:rsidR="00000000" w:rsidRDefault="0016787D">
            <w:pPr>
              <w:rPr>
                <w:rFonts w:eastAsia="Times New Roman"/>
              </w:rPr>
            </w:pPr>
          </w:p>
        </w:tc>
        <w:tc>
          <w:tcPr>
            <w:tcW w:w="338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4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089739934"/>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089739934"/>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Store Count Information</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i/>
                <w:iCs/>
                <w:color w:val="000000"/>
                <w:sz w:val="20"/>
                <w:szCs w:val="20"/>
                <w:u w:val="single"/>
              </w:rPr>
              <w:t>Tractor Suppl</w:t>
            </w:r>
            <w:r>
              <w:rPr>
                <w:rFonts w:eastAsia="Times New Roman"/>
                <w:i/>
                <w:iCs/>
                <w:color w:val="000000"/>
                <w:sz w:val="20"/>
                <w:szCs w:val="20"/>
                <w:u w:val="single"/>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FFFF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1,863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CCEE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i/>
                <w:iCs/>
                <w:color w:val="000000"/>
                <w:sz w:val="20"/>
                <w:szCs w:val="20"/>
                <w:u w:val="single"/>
              </w:rPr>
              <w:t>Petsens</w:t>
            </w:r>
            <w:r>
              <w:rPr>
                <w:rFonts w:eastAsia="Times New Roman"/>
                <w:i/>
                <w:iCs/>
                <w:color w:val="000000"/>
                <w:sz w:val="20"/>
                <w:szCs w:val="20"/>
                <w:u w:val="single"/>
              </w:rPr>
              <w:t>e</w:t>
            </w: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CCEE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FFFF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Consolidated, 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2,061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1,967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089739934"/>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Stores relocate</w:t>
            </w:r>
            <w:r>
              <w:rPr>
                <w:rFonts w:eastAsia="Times New Roman"/>
                <w:color w:val="000000"/>
                <w:sz w:val="20"/>
                <w:szCs w:val="20"/>
              </w:rPr>
              <w:t>d</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center"/>
        <w:divId w:val="1828783324"/>
        <w:rPr>
          <w:rFonts w:eastAsia="Times New Roman"/>
        </w:rPr>
      </w:pPr>
      <w:r>
        <w:rPr>
          <w:rFonts w:eastAsia="Times New Roman"/>
          <w:color w:val="000000"/>
          <w:sz w:val="20"/>
          <w:szCs w:val="20"/>
        </w:rPr>
        <w:t>Page 2</w:t>
      </w:r>
      <w:r>
        <w:rPr>
          <w:rFonts w:eastAsia="Times New Roman"/>
          <w:color w:val="000000"/>
          <w:sz w:val="20"/>
          <w:szCs w:val="20"/>
        </w:rPr>
        <w:t>1</w:t>
      </w:r>
    </w:p>
    <w:p w:rsidR="00000000" w:rsidRDefault="0016787D">
      <w:pPr>
        <w:rPr>
          <w:rFonts w:eastAsia="Times New Roman"/>
        </w:rPr>
      </w:pPr>
      <w:r>
        <w:rPr>
          <w:rFonts w:eastAsia="Times New Roman"/>
        </w:rPr>
        <w:pict>
          <v:rect id="_x0000_i1046" style="width:0;height:1.5pt" o:hralign="center" o:hrstd="t" o:hr="t" fillcolor="#a0a0a0" stroked="f"/>
        </w:pict>
      </w:r>
    </w:p>
    <w:p w:rsidR="00000000" w:rsidRDefault="0016787D">
      <w:pPr>
        <w:divId w:val="533274174"/>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three months ended June 27, 202</w:t>
      </w:r>
      <w:r>
        <w:rPr>
          <w:rFonts w:eastAsia="Times New Roman"/>
          <w:color w:val="000000"/>
          <w:sz w:val="20"/>
          <w:szCs w:val="20"/>
        </w:rPr>
        <w:t>0 and June 29, 2019</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273"/>
        <w:gridCol w:w="40"/>
        <w:gridCol w:w="40"/>
        <w:gridCol w:w="967"/>
        <w:gridCol w:w="203"/>
        <w:gridCol w:w="37"/>
        <w:gridCol w:w="37"/>
        <w:gridCol w:w="37"/>
        <w:gridCol w:w="38"/>
        <w:gridCol w:w="935"/>
        <w:gridCol w:w="202"/>
        <w:gridCol w:w="36"/>
        <w:gridCol w:w="36"/>
        <w:gridCol w:w="36"/>
        <w:gridCol w:w="36"/>
        <w:gridCol w:w="36"/>
        <w:gridCol w:w="36"/>
        <w:gridCol w:w="36"/>
        <w:gridCol w:w="36"/>
        <w:gridCol w:w="36"/>
        <w:gridCol w:w="36"/>
        <w:gridCol w:w="36"/>
        <w:gridCol w:w="36"/>
      </w:tblGrid>
      <w:tr w:rsidR="00000000">
        <w:trPr>
          <w:gridAfter w:val="12"/>
          <w:divId w:val="1589919664"/>
          <w:jc w:val="center"/>
        </w:trPr>
        <w:tc>
          <w:tcPr>
            <w:tcW w:w="50" w:type="pct"/>
            <w:vAlign w:val="center"/>
            <w:hideMark/>
          </w:tcPr>
          <w:p w:rsidR="00000000" w:rsidRDefault="0016787D">
            <w:pPr>
              <w:jc w:val="both"/>
              <w:rPr>
                <w:rFonts w:eastAsia="Times New Roman"/>
              </w:rPr>
            </w:pPr>
          </w:p>
        </w:tc>
        <w:tc>
          <w:tcPr>
            <w:tcW w:w="338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4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4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gridAfter w:val="6"/>
          <w:divId w:val="1589919664"/>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gridAfter w:val="6"/>
          <w:divId w:val="1589919664"/>
          <w:jc w:val="center"/>
        </w:trPr>
        <w:tc>
          <w:tcPr>
            <w:tcW w:w="0" w:type="auto"/>
            <w:gridSpan w:val="3"/>
            <w:vMerge w:val="restart"/>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589919664"/>
          <w:jc w:val="center"/>
        </w:trPr>
        <w:tc>
          <w:tcPr>
            <w:tcW w:w="0" w:type="auto"/>
            <w:gridSpan w:val="3"/>
            <w:vMerge/>
            <w:vAlign w:val="center"/>
            <w:hideMark/>
          </w:tcPr>
          <w:p w:rsidR="00000000" w:rsidRDefault="0016787D">
            <w:pPr>
              <w:rPr>
                <w:rFonts w:eastAsia="Times New Roman"/>
              </w:rPr>
            </w:pPr>
          </w:p>
        </w:tc>
        <w:tc>
          <w:tcPr>
            <w:tcW w:w="0" w:type="auto"/>
            <w:gridSpan w:val="9"/>
            <w:vMerge/>
            <w:vAlign w:val="center"/>
            <w:hideMark/>
          </w:tcPr>
          <w:p w:rsidR="00000000" w:rsidRDefault="0016787D">
            <w:pP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1589919664"/>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89919664"/>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89919664"/>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89919664"/>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89919664"/>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89919664"/>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89919664"/>
          <w:jc w:val="center"/>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center"/>
        <w:rPr>
          <w:rFonts w:eastAsia="Times New Roman"/>
        </w:rPr>
      </w:pPr>
      <w:r>
        <w:rPr>
          <w:rFonts w:eastAsia="Times New Roman"/>
          <w:color w:val="000000"/>
          <w:sz w:val="20"/>
          <w:szCs w:val="20"/>
        </w:rPr>
        <w:t> </w:t>
      </w:r>
    </w:p>
    <w:p w:rsidR="00000000" w:rsidRDefault="0016787D">
      <w:pPr>
        <w:jc w:val="both"/>
        <w:rPr>
          <w:rFonts w:eastAsia="Times New Roman"/>
        </w:rPr>
      </w:pPr>
      <w:r>
        <w:rPr>
          <w:rFonts w:eastAsia="Times New Roman"/>
          <w:color w:val="000000"/>
          <w:sz w:val="20"/>
          <w:szCs w:val="20"/>
        </w:rPr>
        <w:t>Gross profit increased 41.0% to $1.16 billion for the second quarter of fiscal 2020 from $820.7 million for the second quarter of fiscal 2019. As a percent of net sales, gross margin in the second quarter of fiscal 2020 increased 155 basis points to 36.42%</w:t>
      </w:r>
      <w:r>
        <w:rPr>
          <w:rFonts w:eastAsia="Times New Roman"/>
          <w:color w:val="000000"/>
          <w:sz w:val="20"/>
          <w:szCs w:val="20"/>
        </w:rPr>
        <w:t xml:space="preserve"> from the 34.87% in the second quarter of fiscal 2019. The increase in gross margin was driven by lower depth and frequency of sales promotions, favorable product mix and lower transportation costs as a percent of net sales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Selling, general and administ</w:t>
      </w:r>
      <w:r>
        <w:rPr>
          <w:rFonts w:eastAsia="Times New Roman"/>
          <w:color w:val="000000"/>
          <w:sz w:val="20"/>
          <w:szCs w:val="20"/>
        </w:rPr>
        <w:t>rative (“SG&amp;A”) expenses, including depreciation and amortization, increased 33.0% to $709.1 million for the second quarter of fiscal 2020 from $533.2 million for the second quarter of fiscal 2019. As a percent of net sales, SG&amp;A expenses decreased 33 basi</w:t>
      </w:r>
      <w:r>
        <w:rPr>
          <w:rFonts w:eastAsia="Times New Roman"/>
          <w:color w:val="000000"/>
          <w:sz w:val="20"/>
          <w:szCs w:val="20"/>
        </w:rPr>
        <w:t>s points to 22.32% for the second quarter of fiscal 2020 from 22.65% for the second quarter of fiscal 2019. The decrease in SG&amp;A as a percent of net sales was primarily attributable to leverage in occupancy and other fixed costs from the increase in compar</w:t>
      </w:r>
      <w:r>
        <w:rPr>
          <w:rFonts w:eastAsia="Times New Roman"/>
          <w:color w:val="000000"/>
          <w:sz w:val="20"/>
          <w:szCs w:val="20"/>
        </w:rPr>
        <w:t xml:space="preserve">able store sales. The leverage from these SG&amp;A expenses was partially offset by incremental costs related to the COVID-19 pandemic and increased incentive compensation given the Company’s strong performance in the quarter. The Company incurred incremental </w:t>
      </w:r>
      <w:r>
        <w:rPr>
          <w:rFonts w:eastAsia="Times New Roman"/>
          <w:color w:val="000000"/>
          <w:sz w:val="20"/>
          <w:szCs w:val="20"/>
        </w:rPr>
        <w:t>costs related to the COVID-19 pandemic of approximately $55 million, including appreciation wages for frontline team members as well as additional labor hours and supply costs associated with cleaning and sanitation measures related to COVID-19</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Operating income for the second quarter of fiscal 2020 increased 55.7% to $447.8 million compared to $287.6 million in the second quarter of fiscal 2019.</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The effective income tax rate increased to 22.9% for the second quarter of fiscal 2020 compared to </w:t>
      </w:r>
      <w:r>
        <w:rPr>
          <w:rFonts w:eastAsia="Times New Roman"/>
          <w:color w:val="000000"/>
          <w:sz w:val="20"/>
          <w:szCs w:val="20"/>
        </w:rPr>
        <w:t>22.4% for the second quarter of fiscal 2019. The primary driver for the increase in the Company’s effective income tax rate was attributable to a reduction in the tax benefit associated with share-based compensation. The CARES Act was enacted in the U.S. o</w:t>
      </w:r>
      <w:r>
        <w:rPr>
          <w:rFonts w:eastAsia="Times New Roman"/>
          <w:color w:val="000000"/>
          <w:sz w:val="20"/>
          <w:szCs w:val="20"/>
        </w:rPr>
        <w:t>n March 27, 2020. We do not anticipate that the enactment of this legislation will significantly impact our full year effective tax rate in fiscal 2020; however, the legislation resulted in the deferral of certain tax payments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As a result of the foregoi</w:t>
      </w:r>
      <w:r>
        <w:rPr>
          <w:rFonts w:eastAsia="Times New Roman"/>
          <w:color w:val="000000"/>
          <w:sz w:val="20"/>
          <w:szCs w:val="20"/>
        </w:rPr>
        <w:t>ng factors, net income for the second quarter of fiscal 2020 increased 54.5% to $338.7 million, or $2.90 per diluted share, as compared to net income of $219.2 million, or $1.80 per diluted share, for the second quarter of fiscal 2019</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i/>
          <w:iCs/>
          <w:color w:val="000000"/>
          <w:sz w:val="20"/>
          <w:szCs w:val="20"/>
          <w:u w:val="single"/>
        </w:rPr>
        <w:t xml:space="preserve">Fiscal Six Months </w:t>
      </w:r>
      <w:r>
        <w:rPr>
          <w:rFonts w:eastAsia="Times New Roman"/>
          <w:i/>
          <w:iCs/>
          <w:color w:val="000000"/>
          <w:sz w:val="20"/>
          <w:szCs w:val="20"/>
          <w:u w:val="single"/>
        </w:rPr>
        <w:t>(Second Quarter) Ended June 27, 2020 and June 29, 2019</w:t>
      </w:r>
      <w:r>
        <w:rPr>
          <w:rFonts w:eastAsia="Times New Roman"/>
          <w:i/>
          <w:iCs/>
          <w:color w:val="000000"/>
          <w:sz w:val="20"/>
          <w:szCs w:val="20"/>
          <w:u w:val="single"/>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Net sales increased 23.0% to $5.14 billion for the first six months of fiscal 2020 from $4.18 billion for the first six months of fiscal 2019. Comparable store sales for the first six months of fisc</w:t>
      </w:r>
      <w:r>
        <w:rPr>
          <w:rFonts w:eastAsia="Times New Roman"/>
          <w:color w:val="000000"/>
          <w:sz w:val="20"/>
          <w:szCs w:val="20"/>
        </w:rPr>
        <w:t>al 2020 were $4.98 billion, a 19.0% increase over the first six months of fiscal 2019. Comparable store sales increased 4.0% in the first six months of fiscal 2019.</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For the first six months of fiscal 2020, the comparable store sales results included an </w:t>
      </w:r>
      <w:r>
        <w:rPr>
          <w:rFonts w:eastAsia="Times New Roman"/>
          <w:color w:val="000000"/>
          <w:sz w:val="20"/>
          <w:szCs w:val="20"/>
        </w:rPr>
        <w:t xml:space="preserve">increase in comparable average transaction value of 11.7% and comparable average transaction count of 7.3%. Beginning in March 2020, the COVID-19 pandemic had a significant impact on consumer demand across all of the Company’s major product categories and </w:t>
      </w:r>
      <w:r>
        <w:rPr>
          <w:rFonts w:eastAsia="Times New Roman"/>
          <w:color w:val="000000"/>
          <w:sz w:val="20"/>
          <w:szCs w:val="20"/>
        </w:rPr>
        <w:t>geographic regions. All geographic regions of the Company had robust comparable store sales growth during the first six months of fiscal 2020. The increase in comparable store sales was driven by unprecedented demand for spring and summer seasonal categori</w:t>
      </w:r>
      <w:r>
        <w:rPr>
          <w:rFonts w:eastAsia="Times New Roman"/>
          <w:color w:val="000000"/>
          <w:sz w:val="20"/>
          <w:szCs w:val="20"/>
        </w:rPr>
        <w:t>es along with exceptional growth in everyday merchandise, including consumable, usable and edible products.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addition to comparable store sales growth in the first six months of fiscal 2020, sales from stores open less than one year were $170.4 millio</w:t>
      </w:r>
      <w:r>
        <w:rPr>
          <w:rFonts w:eastAsia="Times New Roman"/>
          <w:color w:val="000000"/>
          <w:sz w:val="20"/>
          <w:szCs w:val="20"/>
        </w:rPr>
        <w:t>n in the first six months of fiscal 2020, which represented 4.1 percentage points of the 23.0% increase over the first six months of fiscal 2019 net sales. For the first six months of fiscal 2019, sales from stores open less than one year</w:t>
      </w:r>
      <w:r>
        <w:rPr>
          <w:rFonts w:eastAsia="Times New Roman"/>
          <w:color w:val="000000"/>
          <w:sz w:val="20"/>
          <w:szCs w:val="20"/>
        </w:rPr>
        <w:t xml:space="preserve"> </w:t>
      </w:r>
    </w:p>
    <w:p w:rsidR="00000000" w:rsidRDefault="0016787D">
      <w:pPr>
        <w:jc w:val="center"/>
        <w:divId w:val="1608929724"/>
        <w:rPr>
          <w:rFonts w:eastAsia="Times New Roman"/>
        </w:rPr>
      </w:pPr>
      <w:r>
        <w:rPr>
          <w:rFonts w:eastAsia="Times New Roman"/>
          <w:color w:val="000000"/>
          <w:sz w:val="20"/>
          <w:szCs w:val="20"/>
        </w:rPr>
        <w:t>Page 2</w:t>
      </w:r>
      <w:r>
        <w:rPr>
          <w:rFonts w:eastAsia="Times New Roman"/>
          <w:color w:val="000000"/>
          <w:sz w:val="20"/>
          <w:szCs w:val="20"/>
        </w:rPr>
        <w:t>2</w:t>
      </w:r>
    </w:p>
    <w:p w:rsidR="00000000" w:rsidRDefault="0016787D">
      <w:pPr>
        <w:rPr>
          <w:rFonts w:eastAsia="Times New Roman"/>
        </w:rPr>
      </w:pPr>
      <w:r>
        <w:rPr>
          <w:rFonts w:eastAsia="Times New Roman"/>
        </w:rPr>
        <w:pict>
          <v:rect id="_x0000_i1047" style="width:0;height:1.5pt" o:hralign="center" o:hrstd="t" o:hr="t" fillcolor="#a0a0a0" stroked="f"/>
        </w:pict>
      </w:r>
    </w:p>
    <w:p w:rsidR="00000000" w:rsidRDefault="0016787D">
      <w:pPr>
        <w:divId w:val="121308246"/>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were $129.6 million, which represented 3.3 percentage points of the 7.2% increase over the first six months of fiscal 2018 net sales.</w:t>
      </w:r>
      <w:r>
        <w:rPr>
          <w:rFonts w:eastAsia="Times New Roman"/>
          <w:color w:val="000000"/>
          <w:sz w:val="20"/>
          <w:szCs w:val="20"/>
        </w:rPr>
        <w:t xml:space="preserve"> </w:t>
      </w:r>
    </w:p>
    <w:p w:rsidR="00000000" w:rsidRDefault="0016787D">
      <w:pPr>
        <w:jc w:val="both"/>
        <w:rPr>
          <w:rFonts w:eastAsia="Times New Roman"/>
        </w:rPr>
      </w:pPr>
    </w:p>
    <w:p w:rsidR="00000000" w:rsidRDefault="0016787D">
      <w:pPr>
        <w:divId w:val="1192691952"/>
        <w:rPr>
          <w:rFonts w:eastAsia="Times New Roman"/>
        </w:rPr>
      </w:pPr>
      <w:r>
        <w:rPr>
          <w:rFonts w:eastAsia="Times New Roman"/>
          <w:color w:val="000000"/>
          <w:sz w:val="20"/>
          <w:szCs w:val="20"/>
        </w:rPr>
        <w:t>The following table summari</w:t>
      </w:r>
      <w:r>
        <w:rPr>
          <w:rFonts w:eastAsia="Times New Roman"/>
          <w:color w:val="000000"/>
          <w:sz w:val="20"/>
          <w:szCs w:val="20"/>
        </w:rPr>
        <w:t>zes store growth for the fiscal six months ended June 27, 2020 and June 29, 2019</w:t>
      </w:r>
      <w:r>
        <w:rPr>
          <w:rFonts w:eastAsia="Times New Roman"/>
          <w:color w:val="000000"/>
          <w:sz w:val="20"/>
          <w:szCs w:val="20"/>
        </w:rPr>
        <w:t>:</w:t>
      </w:r>
    </w:p>
    <w:p w:rsidR="00000000" w:rsidRDefault="0016787D">
      <w:pPr>
        <w:divId w:val="151592050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2"/>
        <w:gridCol w:w="5450"/>
        <w:gridCol w:w="72"/>
        <w:gridCol w:w="72"/>
        <w:gridCol w:w="1046"/>
        <w:gridCol w:w="87"/>
        <w:gridCol w:w="37"/>
        <w:gridCol w:w="37"/>
        <w:gridCol w:w="37"/>
        <w:gridCol w:w="69"/>
        <w:gridCol w:w="1025"/>
        <w:gridCol w:w="86"/>
        <w:gridCol w:w="36"/>
        <w:gridCol w:w="36"/>
        <w:gridCol w:w="36"/>
        <w:gridCol w:w="36"/>
        <w:gridCol w:w="36"/>
        <w:gridCol w:w="36"/>
      </w:tblGrid>
      <w:tr w:rsidR="00000000">
        <w:trPr>
          <w:gridAfter w:val="6"/>
          <w:divId w:val="1140608576"/>
        </w:trPr>
        <w:tc>
          <w:tcPr>
            <w:tcW w:w="50" w:type="pct"/>
            <w:vAlign w:val="center"/>
            <w:hideMark/>
          </w:tcPr>
          <w:p w:rsidR="00000000" w:rsidRDefault="0016787D">
            <w:pPr>
              <w:rPr>
                <w:rFonts w:eastAsia="Times New Roman"/>
              </w:rPr>
            </w:pPr>
          </w:p>
        </w:tc>
        <w:tc>
          <w:tcPr>
            <w:tcW w:w="337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140608576"/>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140608576"/>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Store Count Information</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i/>
                <w:iCs/>
                <w:color w:val="000000"/>
                <w:sz w:val="20"/>
                <w:szCs w:val="20"/>
                <w:u w:val="single"/>
              </w:rPr>
              <w:t>Tractor Suppl</w:t>
            </w:r>
            <w:r>
              <w:rPr>
                <w:rFonts w:eastAsia="Times New Roman"/>
                <w:i/>
                <w:iCs/>
                <w:color w:val="000000"/>
                <w:sz w:val="20"/>
                <w:szCs w:val="20"/>
                <w:u w:val="single"/>
              </w:rPr>
              <w:t>y</w:t>
            </w: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1,844</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1,765</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shd w:val="clear" w:color="auto" w:fill="CCEE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1,881</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i/>
                <w:iCs/>
                <w:color w:val="000000"/>
                <w:sz w:val="20"/>
                <w:szCs w:val="20"/>
                <w:u w:val="single"/>
              </w:rPr>
              <w:t>Petsens</w:t>
            </w:r>
            <w:r>
              <w:rPr>
                <w:rFonts w:eastAsia="Times New Roman"/>
                <w:i/>
                <w:iCs/>
                <w:color w:val="000000"/>
                <w:sz w:val="20"/>
                <w:szCs w:val="20"/>
                <w:u w:val="single"/>
              </w:rPr>
              <w:t>e</w:t>
            </w: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gridSpan w:val="3"/>
            <w:tcBorders>
              <w:top w:val="double" w:sz="6" w:space="0" w:color="000000"/>
            </w:tcBorders>
            <w:tcMar>
              <w:top w:w="15" w:type="dxa"/>
              <w:left w:w="20" w:type="dxa"/>
              <w:bottom w:w="15" w:type="dxa"/>
              <w:right w:w="20" w:type="dxa"/>
            </w:tcMar>
            <w:vAlign w:val="bottom"/>
            <w:hideMark/>
          </w:tcPr>
          <w:p w:rsidR="00000000" w:rsidRDefault="0016787D">
            <w:pPr>
              <w:jc w:val="right"/>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shd w:val="clear" w:color="auto" w:fill="CCEEFF"/>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Beginning of perio</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New stores opene</w:t>
            </w:r>
            <w:r>
              <w:rPr>
                <w:rFonts w:eastAsia="Times New Roman"/>
                <w:color w:val="000000"/>
                <w:sz w:val="20"/>
                <w:szCs w:val="20"/>
              </w:rPr>
              <w:t>d</w:t>
            </w: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shd w:val="clear" w:color="auto" w:fill="CCEE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Stores close</w:t>
            </w:r>
            <w:r>
              <w:rPr>
                <w:rFonts w:eastAsia="Times New Roman"/>
                <w:color w:val="000000"/>
                <w:sz w:val="20"/>
                <w:szCs w:val="20"/>
              </w:rPr>
              <w:t>d</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tcMar>
              <w:top w:w="30" w:type="dxa"/>
              <w:left w:w="135" w:type="dxa"/>
              <w:bottom w:w="30" w:type="dxa"/>
              <w:right w:w="20" w:type="dxa"/>
            </w:tcMar>
            <w:vAlign w:val="bottom"/>
            <w:hideMark/>
          </w:tcPr>
          <w:p w:rsidR="00000000" w:rsidRDefault="0016787D">
            <w:pPr>
              <w:rPr>
                <w:rFonts w:eastAsia="Times New Roman"/>
              </w:rPr>
            </w:pPr>
            <w:r>
              <w:rPr>
                <w:rFonts w:eastAsia="Times New Roman"/>
                <w:color w:val="000000"/>
                <w:sz w:val="20"/>
                <w:szCs w:val="20"/>
              </w:rPr>
              <w:t>End of perio</w:t>
            </w:r>
            <w:r>
              <w:rPr>
                <w:rFonts w:eastAsia="Times New Roman"/>
                <w:color w:val="000000"/>
                <w:sz w:val="20"/>
                <w:szCs w:val="20"/>
              </w:rPr>
              <w:t>d</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180</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177</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Consolidated, end of perio</w:t>
            </w:r>
            <w:r>
              <w:rPr>
                <w:rFonts w:eastAsia="Times New Roman"/>
                <w:color w:val="000000"/>
                <w:sz w:val="20"/>
                <w:szCs w:val="20"/>
              </w:rPr>
              <w:t>d</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2,061</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1,967</w:t>
            </w:r>
            <w:r>
              <w:rPr>
                <w:rFonts w:eastAsia="Times New Roman"/>
                <w:color w:val="000000"/>
                <w:sz w:val="20"/>
                <w:szCs w:val="20"/>
              </w:rPr>
              <w:t> </w:t>
            </w:r>
          </w:p>
        </w:tc>
        <w:tc>
          <w:tcPr>
            <w:tcW w:w="0" w:type="auto"/>
            <w:tcBorders>
              <w:top w:val="double" w:sz="6"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40608576"/>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Stores relocate</w:t>
            </w:r>
            <w:r>
              <w:rPr>
                <w:rFonts w:eastAsia="Times New Roman"/>
                <w:color w:val="000000"/>
                <w:sz w:val="20"/>
                <w:szCs w:val="20"/>
              </w:rPr>
              <w:t>d</w:t>
            </w: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double" w:sz="6" w:space="0" w:color="000000"/>
            </w:tcBorders>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w:t>
            </w:r>
            <w:r>
              <w:rPr>
                <w:rFonts w:eastAsia="Times New Roman"/>
                <w:color w:val="000000"/>
                <w:sz w:val="20"/>
                <w:szCs w:val="20"/>
              </w:rPr>
              <w:t> </w:t>
            </w:r>
          </w:p>
        </w:tc>
        <w:tc>
          <w:tcPr>
            <w:tcW w:w="0" w:type="auto"/>
            <w:tcBorders>
              <w:top w:val="double" w:sz="6"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r>
        <w:rPr>
          <w:rFonts w:eastAsia="Times New Roman"/>
          <w:color w:val="000000"/>
          <w:sz w:val="20"/>
          <w:szCs w:val="20"/>
        </w:rPr>
        <w:t>The following table indicates the percentage of net sales represented by each of our major product categories for the fiscal six months ended June 27, 2020 and June 29, 2019</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273"/>
        <w:gridCol w:w="40"/>
        <w:gridCol w:w="40"/>
        <w:gridCol w:w="967"/>
        <w:gridCol w:w="203"/>
        <w:gridCol w:w="37"/>
        <w:gridCol w:w="37"/>
        <w:gridCol w:w="37"/>
        <w:gridCol w:w="38"/>
        <w:gridCol w:w="935"/>
        <w:gridCol w:w="202"/>
        <w:gridCol w:w="36"/>
        <w:gridCol w:w="36"/>
        <w:gridCol w:w="36"/>
        <w:gridCol w:w="36"/>
        <w:gridCol w:w="36"/>
        <w:gridCol w:w="36"/>
        <w:gridCol w:w="36"/>
        <w:gridCol w:w="36"/>
        <w:gridCol w:w="36"/>
        <w:gridCol w:w="36"/>
        <w:gridCol w:w="36"/>
        <w:gridCol w:w="36"/>
      </w:tblGrid>
      <w:tr w:rsidR="00000000">
        <w:trPr>
          <w:gridAfter w:val="12"/>
          <w:divId w:val="2025277514"/>
          <w:jc w:val="center"/>
        </w:trPr>
        <w:tc>
          <w:tcPr>
            <w:tcW w:w="50" w:type="pct"/>
            <w:vAlign w:val="center"/>
            <w:hideMark/>
          </w:tcPr>
          <w:p w:rsidR="00000000" w:rsidRDefault="0016787D">
            <w:pPr>
              <w:jc w:val="both"/>
              <w:rPr>
                <w:rFonts w:eastAsia="Times New Roman"/>
              </w:rPr>
            </w:pPr>
          </w:p>
        </w:tc>
        <w:tc>
          <w:tcPr>
            <w:tcW w:w="338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4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4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gridAfter w:val="6"/>
          <w:divId w:val="2025277514"/>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Percent of Net Sale</w:t>
            </w:r>
            <w:r>
              <w:rPr>
                <w:rFonts w:eastAsia="Times New Roman"/>
                <w:b/>
                <w:bCs/>
                <w:color w:val="000000"/>
                <w:sz w:val="20"/>
                <w:szCs w:val="20"/>
              </w:rPr>
              <w:t>s</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gridAfter w:val="6"/>
          <w:divId w:val="2025277514"/>
          <w:jc w:val="center"/>
        </w:trPr>
        <w:tc>
          <w:tcPr>
            <w:tcW w:w="0" w:type="auto"/>
            <w:gridSpan w:val="3"/>
            <w:vMerge w:val="restart"/>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9"/>
            <w:vMerge w:val="restart"/>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2025277514"/>
          <w:jc w:val="center"/>
        </w:trPr>
        <w:tc>
          <w:tcPr>
            <w:tcW w:w="0" w:type="auto"/>
            <w:gridSpan w:val="3"/>
            <w:vMerge/>
            <w:vAlign w:val="center"/>
            <w:hideMark/>
          </w:tcPr>
          <w:p w:rsidR="00000000" w:rsidRDefault="0016787D">
            <w:pPr>
              <w:rPr>
                <w:rFonts w:eastAsia="Times New Roman"/>
              </w:rPr>
            </w:pPr>
          </w:p>
        </w:tc>
        <w:tc>
          <w:tcPr>
            <w:tcW w:w="0" w:type="auto"/>
            <w:gridSpan w:val="9"/>
            <w:vMerge/>
            <w:vAlign w:val="center"/>
            <w:hideMark/>
          </w:tcPr>
          <w:p w:rsidR="00000000" w:rsidRDefault="0016787D">
            <w:pP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2025277514"/>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Product Category</w:t>
            </w:r>
            <w:r>
              <w:rPr>
                <w:rFonts w:eastAsia="Times New Roman"/>
                <w:b/>
                <w:bCs/>
                <w:color w:val="000000"/>
                <w:sz w:val="20"/>
                <w:szCs w:val="20"/>
              </w:rPr>
              <w: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2025277514"/>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Livestock and Pe</w:t>
            </w:r>
            <w:r>
              <w:rPr>
                <w:rFonts w:eastAsia="Times New Roman"/>
                <w:color w:val="000000"/>
                <w:sz w:val="20"/>
                <w:szCs w:val="20"/>
              </w:rPr>
              <w:t>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2025277514"/>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Seasonal, Gift and Toy Product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2025277514"/>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Hardware, Tools and Truc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2025277514"/>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Clothing and Footwea</w:t>
            </w:r>
            <w:r>
              <w:rPr>
                <w:rFonts w:eastAsia="Times New Roman"/>
                <w:color w:val="000000"/>
                <w:sz w:val="20"/>
                <w:szCs w:val="20"/>
              </w:rPr>
              <w:t>r</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2025277514"/>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Agricultur</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2025277514"/>
          <w:jc w:val="center"/>
        </w:trPr>
        <w:tc>
          <w:tcPr>
            <w:tcW w:w="0" w:type="auto"/>
            <w:gridSpan w:val="3"/>
            <w:shd w:val="clear" w:color="auto" w:fill="FFFFFF"/>
            <w:tcMar>
              <w:top w:w="30" w:type="dxa"/>
              <w:left w:w="495"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center"/>
        <w:rPr>
          <w:rFonts w:eastAsia="Times New Roman"/>
        </w:rPr>
      </w:pPr>
    </w:p>
    <w:p w:rsidR="00000000" w:rsidRDefault="0016787D">
      <w:pPr>
        <w:jc w:val="both"/>
        <w:rPr>
          <w:rFonts w:eastAsia="Times New Roman"/>
        </w:rPr>
      </w:pPr>
      <w:r>
        <w:rPr>
          <w:rFonts w:eastAsia="Times New Roman"/>
          <w:color w:val="000000"/>
          <w:sz w:val="20"/>
          <w:szCs w:val="20"/>
        </w:rPr>
        <w:t xml:space="preserve">Gross profit increased 26.6% to $1.82 billion from $1.44 billion in the first six months of fiscal 2019, and gross margin increased to 35.40% from 34.38% in the first six months of fiscal 2019. The increase in gross margin was driven by the performance in </w:t>
      </w:r>
      <w:r>
        <w:rPr>
          <w:rFonts w:eastAsia="Times New Roman"/>
          <w:color w:val="000000"/>
          <w:sz w:val="20"/>
          <w:szCs w:val="20"/>
        </w:rPr>
        <w:t>the second quarter which improved as a result of lower depth and frequency of sales promotions, favorable product mix and lower transportation costs as a percent of net sales.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Total SG&amp;A expenses, including depreciation and amortization, increased 20.4%</w:t>
      </w:r>
      <w:r>
        <w:rPr>
          <w:rFonts w:eastAsia="Times New Roman"/>
          <w:color w:val="000000"/>
          <w:sz w:val="20"/>
          <w:szCs w:val="20"/>
        </w:rPr>
        <w:t xml:space="preserve"> to $1.26 billion from $1.04 billion in the first six months of fiscal 2019. As a percent of net sales, SG&amp;A expenses decreased to 24.49% from 25.02% in the first six months of fiscal 2019. The decrease in SG&amp;A as a percent of net sales was primarily attri</w:t>
      </w:r>
      <w:r>
        <w:rPr>
          <w:rFonts w:eastAsia="Times New Roman"/>
          <w:color w:val="000000"/>
          <w:sz w:val="20"/>
          <w:szCs w:val="20"/>
        </w:rPr>
        <w:t>butable to leverage in occupancy and other fixed costs from the increase in comparable store sales, partially offset by incremental costs related to the COVID-19 pandemic and increased incentive compensation given the Company’s strong financial performance</w:t>
      </w:r>
      <w:r>
        <w:rPr>
          <w:rFonts w:eastAsia="Times New Roman"/>
          <w:color w:val="000000"/>
          <w:sz w:val="20"/>
          <w:szCs w:val="20"/>
        </w:rPr>
        <w:t xml:space="preserve">. The costs related to the COVID-19 pandemic were approximately $62 million during the first six months of fiscal 2020 which includes appreciation wages for frontline team members as well as additional labor hours and supply costs associated with cleaning </w:t>
      </w:r>
      <w:r>
        <w:rPr>
          <w:rFonts w:eastAsia="Times New Roman"/>
          <w:color w:val="000000"/>
          <w:sz w:val="20"/>
          <w:szCs w:val="20"/>
        </w:rPr>
        <w:t>and sanitation measures related to COVID-19.</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Operating income for the first six months of fiscal 2020 increased 43.3% to $560.3 million compared to $391.0 million in the first six months of fiscal 2019.</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effective income tax rate was 22.7% in the first six months of fiscal 2020 compared to 22.3% in the first six months of fiscal 2019.  The primary driver for the increase in the Company’s effective income tax rate was attributable to a reduction in</w:t>
      </w:r>
      <w:r>
        <w:rPr>
          <w:rFonts w:eastAsia="Times New Roman"/>
          <w:color w:val="000000"/>
          <w:sz w:val="20"/>
          <w:szCs w:val="20"/>
        </w:rPr>
        <w:t xml:space="preserve"> </w:t>
      </w:r>
    </w:p>
    <w:p w:rsidR="00000000" w:rsidRDefault="0016787D">
      <w:pPr>
        <w:jc w:val="center"/>
        <w:divId w:val="1426222145"/>
        <w:rPr>
          <w:rFonts w:eastAsia="Times New Roman"/>
        </w:rPr>
      </w:pPr>
      <w:r>
        <w:rPr>
          <w:rFonts w:eastAsia="Times New Roman"/>
          <w:color w:val="000000"/>
          <w:sz w:val="20"/>
          <w:szCs w:val="20"/>
        </w:rPr>
        <w:t>Pag</w:t>
      </w:r>
      <w:r>
        <w:rPr>
          <w:rFonts w:eastAsia="Times New Roman"/>
          <w:color w:val="000000"/>
          <w:sz w:val="20"/>
          <w:szCs w:val="20"/>
        </w:rPr>
        <w:t>e 2</w:t>
      </w:r>
      <w:r>
        <w:rPr>
          <w:rFonts w:eastAsia="Times New Roman"/>
          <w:color w:val="000000"/>
          <w:sz w:val="20"/>
          <w:szCs w:val="20"/>
        </w:rPr>
        <w:t>3</w:t>
      </w:r>
    </w:p>
    <w:p w:rsidR="00000000" w:rsidRDefault="0016787D">
      <w:pPr>
        <w:rPr>
          <w:rFonts w:eastAsia="Times New Roman"/>
        </w:rPr>
      </w:pPr>
      <w:r>
        <w:rPr>
          <w:rFonts w:eastAsia="Times New Roman"/>
        </w:rPr>
        <w:pict>
          <v:rect id="_x0000_i1048" style="width:0;height:1.5pt" o:hralign="center" o:hrstd="t" o:hr="t" fillcolor="#a0a0a0" stroked="f"/>
        </w:pict>
      </w:r>
    </w:p>
    <w:p w:rsidR="00000000" w:rsidRDefault="0016787D">
      <w:pPr>
        <w:divId w:val="856845983"/>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the tax benefit associated with share-based compensation. The Company expects the full fiscal year 2020 effective tax rate to be in a range between 22</w:t>
      </w:r>
      <w:r>
        <w:rPr>
          <w:rFonts w:eastAsia="Times New Roman"/>
          <w:color w:val="000000"/>
          <w:sz w:val="20"/>
          <w:szCs w:val="20"/>
        </w:rPr>
        <w:t>.6% and 22.9%. The CARES Act was enacted in the U.S. on March 27, 2020. We do not anticipate that the enactment of this legislation will significantly impact our full year effective tax rate in fiscal 2020; however, the legislation resulted in the deferral</w:t>
      </w:r>
      <w:r>
        <w:rPr>
          <w:rFonts w:eastAsia="Times New Roman"/>
          <w:color w:val="000000"/>
          <w:sz w:val="20"/>
          <w:szCs w:val="20"/>
        </w:rPr>
        <w:t xml:space="preserve"> of certain tax payments.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As a result of the foregoing factors, net income increased 42.7% to $422.5 million from $296.0 million in the first six months of fiscal 2019, and diluted earnings per share increased 48.6% to $3.61 from $2.43 in the first six </w:t>
      </w:r>
      <w:r>
        <w:rPr>
          <w:rFonts w:eastAsia="Times New Roman"/>
          <w:color w:val="000000"/>
          <w:sz w:val="20"/>
          <w:szCs w:val="20"/>
        </w:rPr>
        <w:t>months of fiscal 2019</w:t>
      </w:r>
      <w:r>
        <w:rPr>
          <w:rFonts w:eastAsia="Times New Roman"/>
          <w:color w:val="000000"/>
          <w:sz w:val="20"/>
          <w:szCs w:val="20"/>
        </w:rPr>
        <w:t>.</w:t>
      </w:r>
    </w:p>
    <w:p w:rsidR="00000000" w:rsidRDefault="0016787D">
      <w:pPr>
        <w:jc w:val="both"/>
        <w:rPr>
          <w:rFonts w:eastAsia="Times New Roman"/>
        </w:rPr>
      </w:pPr>
    </w:p>
    <w:p w:rsidR="00000000" w:rsidRDefault="0016787D">
      <w:pPr>
        <w:divId w:val="1871795436"/>
        <w:rPr>
          <w:rFonts w:eastAsia="Times New Roman"/>
        </w:rPr>
      </w:pPr>
    </w:p>
    <w:p w:rsidR="00000000" w:rsidRDefault="0016787D">
      <w:pPr>
        <w:divId w:val="1923219954"/>
        <w:rPr>
          <w:rFonts w:eastAsia="Times New Roman"/>
        </w:rPr>
      </w:pPr>
      <w:r>
        <w:rPr>
          <w:rFonts w:eastAsia="Times New Roman"/>
          <w:b/>
          <w:bCs/>
          <w:color w:val="000000"/>
          <w:sz w:val="20"/>
          <w:szCs w:val="20"/>
        </w:rPr>
        <w:t>Liquidity and Capital Resource</w:t>
      </w:r>
      <w:r>
        <w:rPr>
          <w:rFonts w:eastAsia="Times New Roman"/>
          <w:b/>
          <w:b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addition to normal operating expenses, our primary ongoing cash requirements are for new store expansion, remodeling and relocation programs, distribution facility capacity and improvements, i</w:t>
      </w:r>
      <w:r>
        <w:rPr>
          <w:rFonts w:eastAsia="Times New Roman"/>
          <w:color w:val="000000"/>
          <w:sz w:val="20"/>
          <w:szCs w:val="20"/>
        </w:rPr>
        <w:t>nformation technology, inventory purchases, repayment of existing borrowings under our debt facilities, share repurchases, cash dividends, and selective acquisitions as opportunities arise. </w:t>
      </w:r>
      <w:r>
        <w:rPr>
          <w:rFonts w:eastAsia="Times New Roman"/>
          <w:color w:val="000000"/>
          <w:sz w:val="20"/>
          <w:szCs w:val="20"/>
        </w:rPr>
        <w:t>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Our primary ongoing sources of liquidity are existing cash bal</w:t>
      </w:r>
      <w:r>
        <w:rPr>
          <w:rFonts w:eastAsia="Times New Roman"/>
          <w:color w:val="000000"/>
          <w:sz w:val="20"/>
          <w:szCs w:val="20"/>
        </w:rPr>
        <w:t>ances, cash provided from operations, remaining funds available under our debt facilities, finance and operating leases, and normal trade credit.  Our inventory and accounts payable levels typically build in the first and third fiscal quarters to support t</w:t>
      </w:r>
      <w:r>
        <w:rPr>
          <w:rFonts w:eastAsia="Times New Roman"/>
          <w:color w:val="000000"/>
          <w:sz w:val="20"/>
          <w:szCs w:val="20"/>
        </w:rPr>
        <w:t>he higher sales volume of the spring and cold-weather selling seasons, respectively</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 believes that its existing cash balances, expected cash flow from future operations, funds available under its debt facilities, finance and operating leases,</w:t>
      </w:r>
      <w:r>
        <w:rPr>
          <w:rFonts w:eastAsia="Times New Roman"/>
          <w:color w:val="000000"/>
          <w:sz w:val="20"/>
          <w:szCs w:val="20"/>
        </w:rPr>
        <w:t xml:space="preserve"> and normal trade credit will be sufficient to fund its operations, including increased expenses associated with COVID-19, and its capital expenditure needs, including new store openings, store acquisitions, relocations and renovations, and distribution fa</w:t>
      </w:r>
      <w:r>
        <w:rPr>
          <w:rFonts w:eastAsia="Times New Roman"/>
          <w:color w:val="000000"/>
          <w:sz w:val="20"/>
          <w:szCs w:val="20"/>
        </w:rPr>
        <w:t>cility capacity, through the end of fiscal 2020</w:t>
      </w:r>
      <w:r>
        <w:rPr>
          <w:rFonts w:eastAsia="Times New Roman"/>
          <w:color w:val="000000"/>
          <w:sz w:val="20"/>
          <w:szCs w:val="20"/>
        </w:rPr>
        <w:t>.</w:t>
      </w:r>
    </w:p>
    <w:p w:rsidR="00000000" w:rsidRDefault="0016787D">
      <w:pPr>
        <w:jc w:val="both"/>
        <w:rPr>
          <w:rFonts w:eastAsia="Times New Roman"/>
        </w:rPr>
      </w:pPr>
    </w:p>
    <w:p w:rsidR="00000000" w:rsidRDefault="0016787D">
      <w:pPr>
        <w:divId w:val="872964088"/>
        <w:rPr>
          <w:rFonts w:eastAsia="Times New Roman"/>
        </w:rPr>
      </w:pPr>
      <w:r>
        <w:rPr>
          <w:rFonts w:eastAsia="Times New Roman"/>
          <w:b/>
          <w:bCs/>
          <w:color w:val="000000"/>
          <w:sz w:val="20"/>
          <w:szCs w:val="20"/>
        </w:rPr>
        <w:t>Working Capita</w:t>
      </w:r>
      <w:r>
        <w:rPr>
          <w:rFonts w:eastAsia="Times New Roman"/>
          <w:b/>
          <w:bCs/>
          <w:color w:val="000000"/>
          <w:sz w:val="20"/>
          <w:szCs w:val="20"/>
        </w:rPr>
        <w:t>l</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At June 27, 2020, the Company had working capital of $873.1 million, which increased $332.8 million from December 28, 2019, and increased $206.7 million from June 29, 2019.  The shifts in</w:t>
      </w:r>
      <w:r>
        <w:rPr>
          <w:rFonts w:eastAsia="Times New Roman"/>
          <w:color w:val="000000"/>
          <w:sz w:val="20"/>
          <w:szCs w:val="20"/>
        </w:rPr>
        <w:t xml:space="preserve"> working capital were attributable to changes in the following components of current assets and current liabilities (in millions)</w:t>
      </w:r>
      <w:r>
        <w:rPr>
          <w:rFonts w:eastAsia="Times New Roman"/>
          <w:color w:val="000000"/>
          <w:sz w:val="20"/>
          <w:szCs w:val="20"/>
        </w:rPr>
        <w:t>:</w:t>
      </w:r>
    </w:p>
    <w:tbl>
      <w:tblPr>
        <w:tblW w:w="4978" w:type="pct"/>
        <w:tblCellMar>
          <w:top w:w="15" w:type="dxa"/>
          <w:left w:w="15" w:type="dxa"/>
          <w:bottom w:w="15" w:type="dxa"/>
          <w:right w:w="15" w:type="dxa"/>
        </w:tblCellMar>
        <w:tblLook w:val="04A0" w:firstRow="1" w:lastRow="0" w:firstColumn="1" w:lastColumn="0" w:noHBand="0" w:noVBand="1"/>
      </w:tblPr>
      <w:tblGrid>
        <w:gridCol w:w="40"/>
        <w:gridCol w:w="2918"/>
        <w:gridCol w:w="39"/>
        <w:gridCol w:w="135"/>
        <w:gridCol w:w="842"/>
        <w:gridCol w:w="85"/>
        <w:gridCol w:w="36"/>
        <w:gridCol w:w="36"/>
        <w:gridCol w:w="36"/>
        <w:gridCol w:w="136"/>
        <w:gridCol w:w="806"/>
        <w:gridCol w:w="85"/>
        <w:gridCol w:w="36"/>
        <w:gridCol w:w="36"/>
        <w:gridCol w:w="36"/>
        <w:gridCol w:w="135"/>
        <w:gridCol w:w="665"/>
        <w:gridCol w:w="85"/>
        <w:gridCol w:w="36"/>
        <w:gridCol w:w="36"/>
        <w:gridCol w:w="36"/>
        <w:gridCol w:w="136"/>
        <w:gridCol w:w="760"/>
        <w:gridCol w:w="85"/>
        <w:gridCol w:w="36"/>
        <w:gridCol w:w="36"/>
        <w:gridCol w:w="36"/>
        <w:gridCol w:w="135"/>
        <w:gridCol w:w="665"/>
        <w:gridCol w:w="85"/>
      </w:tblGrid>
      <w:tr w:rsidR="00000000">
        <w:trPr>
          <w:divId w:val="1325357309"/>
        </w:trPr>
        <w:tc>
          <w:tcPr>
            <w:tcW w:w="50" w:type="pct"/>
            <w:vAlign w:val="center"/>
            <w:hideMark/>
          </w:tcPr>
          <w:p w:rsidR="00000000" w:rsidRDefault="0016787D">
            <w:pPr>
              <w:jc w:val="both"/>
              <w:rPr>
                <w:rFonts w:eastAsia="Times New Roman"/>
              </w:rPr>
            </w:pPr>
          </w:p>
        </w:tc>
        <w:tc>
          <w:tcPr>
            <w:tcW w:w="180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39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325357309"/>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r>
      <w:tr w:rsidR="00000000">
        <w:trPr>
          <w:divId w:val="1325357309"/>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Current assets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Cash and cash equivalent</w:t>
            </w:r>
            <w:r>
              <w:rPr>
                <w:rFonts w:eastAsia="Times New Roman"/>
                <w:color w:val="000000"/>
                <w:sz w:val="20"/>
                <w:szCs w:val="20"/>
              </w:rPr>
              <w:t>s</w:t>
            </w: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1,206.4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84.2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1,122.2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1,102.4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Inventorie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1,688.5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1,602.8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85.7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1,733.2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135.2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95.0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Income taxes receivabl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585"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current asset</w:t>
            </w:r>
            <w:r>
              <w:rPr>
                <w:rFonts w:eastAsia="Times New Roman"/>
                <w:color w:val="000000"/>
                <w:sz w:val="20"/>
                <w:szCs w:val="20"/>
              </w:rPr>
              <w:t>s</w:t>
            </w:r>
          </w:p>
        </w:tc>
        <w:tc>
          <w:tcPr>
            <w:tcW w:w="0" w:type="auto"/>
            <w:gridSpan w:val="2"/>
            <w:tcBorders>
              <w:top w:val="single" w:sz="8" w:space="0" w:color="000000"/>
            </w:tcBorders>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3,030.1</w:t>
            </w:r>
            <w:r>
              <w:rPr>
                <w:rFonts w:eastAsia="Times New Roman"/>
                <w:color w:val="000000"/>
                <w:sz w:val="20"/>
                <w:szCs w:val="20"/>
              </w:rPr>
              <w:t> </w:t>
            </w:r>
          </w:p>
        </w:tc>
        <w:tc>
          <w:tcPr>
            <w:tcW w:w="0" w:type="auto"/>
            <w:tcBorders>
              <w:top w:val="single" w:sz="8"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1,787.9</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1,242.2</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1,937.8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1,092.3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Current liabilities</w:t>
            </w:r>
            <w:r>
              <w:rPr>
                <w:rFonts w:eastAsia="Times New Roman"/>
                <w:b/>
                <w:bCs/>
                <w:color w:val="000000"/>
                <w:sz w:val="20"/>
                <w:szCs w:val="20"/>
              </w:rPr>
              <w:t>:</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Accounts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643.0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360.7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681.6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322.1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Accrued employee compensatio</w:t>
            </w:r>
            <w:r>
              <w:rPr>
                <w:rFonts w:eastAsia="Times New Roman"/>
                <w:color w:val="000000"/>
                <w:sz w:val="20"/>
                <w:szCs w:val="20"/>
              </w:rPr>
              <w:t>n</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77.4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37.6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50.5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Other accrued expense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270.5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247.7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222.9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47.6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Current portion of long-term deb</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357.5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Current portion of finance lease liabilitie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Current portion of operating lease liabilitie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287.3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277.1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264.7</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Income taxes payabl</w:t>
            </w:r>
            <w:r>
              <w:rPr>
                <w:rFonts w:eastAsia="Times New Roman"/>
                <w:color w:val="000000"/>
                <w:sz w:val="20"/>
                <w:szCs w:val="20"/>
              </w:rPr>
              <w:t>e</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133.8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49.1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84.7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1325357309"/>
        </w:trPr>
        <w:tc>
          <w:tcPr>
            <w:tcW w:w="0" w:type="auto"/>
            <w:gridSpan w:val="3"/>
            <w:shd w:val="clear" w:color="auto" w:fill="CCEEFF"/>
            <w:tcMar>
              <w:top w:w="30" w:type="dxa"/>
              <w:left w:w="585"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current liabilitie</w:t>
            </w:r>
            <w:r>
              <w:rPr>
                <w:rFonts w:eastAsia="Times New Roman"/>
                <w:color w:val="000000"/>
                <w:sz w:val="20"/>
                <w:szCs w:val="20"/>
              </w:rPr>
              <w: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2,157.0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1,247.6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909.4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1,271.4</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885.6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325357309"/>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Working capita</w:t>
            </w:r>
            <w:r>
              <w:rPr>
                <w:rFonts w:eastAsia="Times New Roman"/>
                <w:b/>
                <w:bCs/>
                <w:color w:val="000000"/>
                <w:sz w:val="20"/>
                <w:szCs w:val="20"/>
              </w:rPr>
              <w:t>l</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873.1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540.3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666.4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206.7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In comparison to December 28, 2019, working capital as of June 27, 2020, was impacted </w:t>
      </w:r>
      <w:r>
        <w:rPr>
          <w:rFonts w:eastAsia="Times New Roman"/>
          <w:color w:val="000000"/>
          <w:sz w:val="20"/>
          <w:szCs w:val="20"/>
        </w:rPr>
        <w:t>most significantly by changes in cash and cash equivalents, inventories, accounts payable, current portion of long-term debt, and income taxes payable</w:t>
      </w:r>
      <w:r>
        <w:rPr>
          <w:rFonts w:eastAsia="Times New Roman"/>
          <w:color w:val="000000"/>
          <w:sz w:val="20"/>
          <w:szCs w:val="20"/>
        </w:rPr>
        <w:t>.</w:t>
      </w:r>
    </w:p>
    <w:p w:rsidR="00000000" w:rsidRDefault="0016787D">
      <w:pPr>
        <w:jc w:val="both"/>
        <w:rPr>
          <w:rFonts w:eastAsia="Times New Roman"/>
        </w:rPr>
      </w:pPr>
    </w:p>
    <w:p w:rsidR="00000000" w:rsidRDefault="0016787D">
      <w:pPr>
        <w:jc w:val="center"/>
        <w:divId w:val="353961048"/>
        <w:rPr>
          <w:rFonts w:eastAsia="Times New Roman"/>
        </w:rPr>
      </w:pPr>
      <w:r>
        <w:rPr>
          <w:rFonts w:eastAsia="Times New Roman"/>
          <w:color w:val="000000"/>
          <w:sz w:val="20"/>
          <w:szCs w:val="20"/>
        </w:rPr>
        <w:t>Page 2</w:t>
      </w:r>
      <w:r>
        <w:rPr>
          <w:rFonts w:eastAsia="Times New Roman"/>
          <w:color w:val="000000"/>
          <w:sz w:val="20"/>
          <w:szCs w:val="20"/>
        </w:rPr>
        <w:t>4</w:t>
      </w:r>
    </w:p>
    <w:p w:rsidR="00000000" w:rsidRDefault="0016787D">
      <w:pPr>
        <w:rPr>
          <w:rFonts w:eastAsia="Times New Roman"/>
        </w:rPr>
      </w:pPr>
      <w:r>
        <w:rPr>
          <w:rFonts w:eastAsia="Times New Roman"/>
        </w:rPr>
        <w:pict>
          <v:rect id="_x0000_i1049" style="width:0;height:1.5pt" o:hralign="center" o:hrstd="t" o:hr="t" fillcolor="#a0a0a0" stroked="f"/>
        </w:pict>
      </w:r>
    </w:p>
    <w:p w:rsidR="00000000" w:rsidRDefault="0016787D">
      <w:pPr>
        <w:divId w:val="1607620346"/>
        <w:rPr>
          <w:rFonts w:eastAsia="Times New Roman"/>
        </w:rPr>
      </w:pPr>
      <w:hyperlink w:anchor="i4478e68e5dea442985a910e3b276f92d_7" w:history="1">
        <w:r>
          <w:rPr>
            <w:rStyle w:val="a3"/>
            <w:rFonts w:eastAsia="Times New Roman"/>
            <w:sz w:val="16"/>
            <w:szCs w:val="16"/>
          </w:rPr>
          <w:t>Index</w:t>
        </w:r>
      </w:hyperlink>
    </w:p>
    <w:p w:rsidR="00000000" w:rsidRDefault="0016787D">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cash and cash equivalents was driven by significant net cash provided by operating activities in the first six months of fiscal 2020 and an increase in borrowings, net of repa</w:t>
      </w:r>
      <w:r>
        <w:rPr>
          <w:rFonts w:eastAsia="Times New Roman"/>
          <w:color w:val="000000"/>
          <w:sz w:val="20"/>
          <w:szCs w:val="20"/>
        </w:rPr>
        <w:t>yments, under our debt facilities as we sought to strengthen liquidity and preserve cash while navigating the COVID-19 pandemic. These increases in cash and cash equivalents were partially offset by share repurchases, cash dividends paid to stockholders, a</w:t>
      </w:r>
      <w:r>
        <w:rPr>
          <w:rFonts w:eastAsia="Times New Roman"/>
          <w:color w:val="000000"/>
          <w:sz w:val="20"/>
          <w:szCs w:val="20"/>
        </w:rPr>
        <w:t>nd capital expenditures to support our strategic growth</w:t>
      </w:r>
      <w:r>
        <w:rPr>
          <w:rFonts w:eastAsia="Times New Roman"/>
          <w:color w:val="000000"/>
          <w:sz w:val="20"/>
          <w:szCs w:val="20"/>
        </w:rPr>
        <w:t>.</w:t>
      </w:r>
    </w:p>
    <w:p w:rsidR="00000000" w:rsidRDefault="0016787D">
      <w:pPr>
        <w:ind w:hanging="180"/>
        <w:jc w:val="both"/>
        <w:rPr>
          <w:rFonts w:eastAsia="Times New Roman"/>
        </w:rPr>
      </w:pPr>
      <w:r>
        <w:rPr>
          <w:rFonts w:eastAsia="Times New Roman"/>
          <w:color w:val="000000"/>
          <w:sz w:val="20"/>
          <w:szCs w:val="20"/>
        </w:rPr>
        <w:t>•</w:t>
      </w:r>
      <w:r>
        <w:rPr>
          <w:rFonts w:eastAsia="Times New Roman"/>
          <w:color w:val="000000"/>
          <w:sz w:val="20"/>
          <w:szCs w:val="20"/>
        </w:rPr>
        <w:t>Inventories increased to support new store growth. Average inventory per store did not fluctuate significantly as the increases in inventory for normal seasonal patterns were offset by reduced inven</w:t>
      </w:r>
      <w:r>
        <w:rPr>
          <w:rFonts w:eastAsia="Times New Roman"/>
          <w:color w:val="000000"/>
          <w:sz w:val="20"/>
          <w:szCs w:val="20"/>
        </w:rPr>
        <w:t>tory positions resulting from the increased demand associated with the strong comparable store sales performance in the second quarter of fiscal 2020</w:t>
      </w:r>
      <w:r>
        <w:rPr>
          <w:rFonts w:eastAsia="Times New Roman"/>
          <w:color w:val="000000"/>
          <w:sz w:val="20"/>
          <w:szCs w:val="20"/>
        </w:rPr>
        <w:t>.</w:t>
      </w:r>
    </w:p>
    <w:p w:rsidR="00000000" w:rsidRDefault="0016787D">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accounts payable was strongly correlated to the significant increase in comparable store</w:t>
      </w:r>
      <w:r>
        <w:rPr>
          <w:rFonts w:eastAsia="Times New Roman"/>
          <w:color w:val="000000"/>
          <w:sz w:val="20"/>
          <w:szCs w:val="20"/>
        </w:rPr>
        <w:t xml:space="preserve"> sales during the second quarter of fiscal 2020. A significant increase in the sales volumes and higher inventory turns resulted in an increase in the amount of inventory purchases that remain in accounts payable at quarter end.</w:t>
      </w:r>
      <w:r>
        <w:rPr>
          <w:rFonts w:eastAsia="Times New Roman"/>
          <w:color w:val="000000"/>
          <w:sz w:val="20"/>
          <w:szCs w:val="20"/>
        </w:rPr>
        <w:t xml:space="preserve"> </w:t>
      </w:r>
    </w:p>
    <w:p w:rsidR="00000000" w:rsidRDefault="0016787D">
      <w:pPr>
        <w:ind w:hanging="180"/>
        <w:divId w:val="2023701389"/>
        <w:rPr>
          <w:rFonts w:eastAsia="Times New Roman"/>
        </w:rPr>
      </w:pPr>
      <w:r>
        <w:rPr>
          <w:rFonts w:eastAsia="Times New Roman"/>
          <w:color w:val="000000"/>
          <w:sz w:val="20"/>
          <w:szCs w:val="20"/>
        </w:rPr>
        <w:t>•</w:t>
      </w:r>
      <w:r>
        <w:rPr>
          <w:rFonts w:eastAsia="Times New Roman"/>
          <w:color w:val="000000"/>
          <w:sz w:val="20"/>
          <w:szCs w:val="20"/>
        </w:rPr>
        <w:t>The increase in the curre</w:t>
      </w:r>
      <w:r>
        <w:rPr>
          <w:rFonts w:eastAsia="Times New Roman"/>
          <w:color w:val="000000"/>
          <w:sz w:val="20"/>
          <w:szCs w:val="20"/>
        </w:rPr>
        <w:t>nt portion of long-term debt was related to the new $350 million April 2020 Term Loan borrowing, which was executed in order to strengthen liquidity and preserve cash while navigating the COVID-19 pandemic</w:t>
      </w:r>
      <w:r>
        <w:rPr>
          <w:rFonts w:eastAsia="Times New Roman"/>
          <w:color w:val="000000"/>
          <w:sz w:val="20"/>
          <w:szCs w:val="20"/>
        </w:rPr>
        <w:t>.</w:t>
      </w:r>
    </w:p>
    <w:p w:rsidR="00000000" w:rsidRDefault="0016787D">
      <w:pPr>
        <w:ind w:hanging="180"/>
        <w:divId w:val="483205168"/>
        <w:rPr>
          <w:rFonts w:eastAsia="Times New Roman"/>
        </w:rPr>
      </w:pPr>
      <w:r>
        <w:rPr>
          <w:rFonts w:eastAsia="Times New Roman"/>
          <w:color w:val="000000"/>
          <w:sz w:val="20"/>
          <w:szCs w:val="20"/>
        </w:rPr>
        <w:t>•</w:t>
      </w:r>
      <w:r>
        <w:rPr>
          <w:rFonts w:eastAsia="Times New Roman"/>
          <w:color w:val="000000"/>
          <w:sz w:val="20"/>
          <w:szCs w:val="20"/>
        </w:rPr>
        <w:t>The increase in income taxes payable is primaril</w:t>
      </w:r>
      <w:r>
        <w:rPr>
          <w:rFonts w:eastAsia="Times New Roman"/>
          <w:color w:val="000000"/>
          <w:sz w:val="20"/>
          <w:szCs w:val="20"/>
        </w:rPr>
        <w:t>y the result of pre-tax income generated in the first six months of fiscal 2020, along with a deferral of certain income tax payments as a result of the CARES Act</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comparison to June 29, 2019, working capital as of June 27, 2020, was impacted most sig</w:t>
      </w:r>
      <w:r>
        <w:rPr>
          <w:rFonts w:eastAsia="Times New Roman"/>
          <w:color w:val="000000"/>
          <w:sz w:val="20"/>
          <w:szCs w:val="20"/>
        </w:rPr>
        <w:t>nificantly by changes in cash and cash equivalents, accounts payable, current portion of long-term debt, and income taxes payable</w:t>
      </w:r>
      <w:r>
        <w:rPr>
          <w:rFonts w:eastAsia="Times New Roman"/>
          <w:color w:val="000000"/>
          <w:sz w:val="20"/>
          <w:szCs w:val="20"/>
        </w:rPr>
        <w:t>.</w:t>
      </w:r>
    </w:p>
    <w:p w:rsidR="00000000" w:rsidRDefault="0016787D">
      <w:pPr>
        <w:jc w:val="both"/>
        <w:rPr>
          <w:rFonts w:eastAsia="Times New Roman"/>
        </w:rPr>
      </w:pPr>
    </w:p>
    <w:p w:rsidR="00000000" w:rsidRDefault="0016787D">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cash and cash equivalents was driven by a significant year-over-year increase in net cash provided by oper</w:t>
      </w:r>
      <w:r>
        <w:rPr>
          <w:rFonts w:eastAsia="Times New Roman"/>
          <w:color w:val="000000"/>
          <w:sz w:val="20"/>
          <w:szCs w:val="20"/>
        </w:rPr>
        <w:t>ating activities as well as an increase in borrowings, net of repayments, under our debt facilities as we sought to strengthen liquidity and preserve cash while navigating the COVID-19 pandemic.</w:t>
      </w:r>
      <w:r>
        <w:rPr>
          <w:rFonts w:eastAsia="Times New Roman"/>
          <w:color w:val="000000"/>
          <w:sz w:val="20"/>
          <w:szCs w:val="20"/>
        </w:rPr>
        <w:t xml:space="preserve"> </w:t>
      </w:r>
    </w:p>
    <w:p w:rsidR="00000000" w:rsidRDefault="0016787D">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accounts payable resulted primarily from th</w:t>
      </w:r>
      <w:r>
        <w:rPr>
          <w:rFonts w:eastAsia="Times New Roman"/>
          <w:color w:val="000000"/>
          <w:sz w:val="20"/>
          <w:szCs w:val="20"/>
        </w:rPr>
        <w:t>e purchase of additional inventory to support new store growth and increased sales volumes during the second quarter of fiscal 2020. However, the inventory balance did not increase at the same rate as accounts payable due to the significant increase in sal</w:t>
      </w:r>
      <w:r>
        <w:rPr>
          <w:rFonts w:eastAsia="Times New Roman"/>
          <w:color w:val="000000"/>
          <w:sz w:val="20"/>
          <w:szCs w:val="20"/>
        </w:rPr>
        <w:t>es and inventory turns in the second quarter of fiscal 2020 which resulted in a year-over-year decrease in average inventory per store</w:t>
      </w:r>
      <w:r>
        <w:rPr>
          <w:rFonts w:eastAsia="Times New Roman"/>
          <w:color w:val="000000"/>
          <w:sz w:val="20"/>
          <w:szCs w:val="20"/>
        </w:rPr>
        <w:t>.</w:t>
      </w:r>
    </w:p>
    <w:p w:rsidR="00000000" w:rsidRDefault="0016787D">
      <w:pPr>
        <w:ind w:hanging="180"/>
        <w:jc w:val="both"/>
        <w:rPr>
          <w:rFonts w:eastAsia="Times New Roman"/>
        </w:rPr>
      </w:pPr>
      <w:r>
        <w:rPr>
          <w:rFonts w:eastAsia="Times New Roman"/>
          <w:color w:val="000000"/>
          <w:sz w:val="20"/>
          <w:szCs w:val="20"/>
        </w:rPr>
        <w:t>•</w:t>
      </w:r>
      <w:r>
        <w:rPr>
          <w:rFonts w:eastAsia="Times New Roman"/>
          <w:color w:val="000000"/>
          <w:sz w:val="20"/>
          <w:szCs w:val="20"/>
        </w:rPr>
        <w:t>The increase in the current portion of long-term debt was related to the new $350 million April 2020 Term Loan borrowin</w:t>
      </w:r>
      <w:r>
        <w:rPr>
          <w:rFonts w:eastAsia="Times New Roman"/>
          <w:color w:val="000000"/>
          <w:sz w:val="20"/>
          <w:szCs w:val="20"/>
        </w:rPr>
        <w:t>g, which was executed in order to strengthen liquidity and preserve cash while navigating the COVID-19 pandemic</w:t>
      </w:r>
      <w:r>
        <w:rPr>
          <w:rFonts w:eastAsia="Times New Roman"/>
          <w:color w:val="000000"/>
          <w:sz w:val="20"/>
          <w:szCs w:val="20"/>
        </w:rPr>
        <w:t>.</w:t>
      </w:r>
    </w:p>
    <w:p w:rsidR="00000000" w:rsidRDefault="0016787D">
      <w:pPr>
        <w:ind w:hanging="180"/>
        <w:divId w:val="1630823685"/>
        <w:rPr>
          <w:rFonts w:eastAsia="Times New Roman"/>
        </w:rPr>
      </w:pPr>
      <w:r>
        <w:rPr>
          <w:rFonts w:eastAsia="Times New Roman"/>
          <w:color w:val="000000"/>
          <w:sz w:val="20"/>
          <w:szCs w:val="20"/>
        </w:rPr>
        <w:t>•</w:t>
      </w:r>
      <w:r>
        <w:rPr>
          <w:rFonts w:eastAsia="Times New Roman"/>
          <w:color w:val="000000"/>
          <w:sz w:val="20"/>
          <w:szCs w:val="20"/>
        </w:rPr>
        <w:t>The increase in income taxes payable is primarily the result of a significant year-over-year increase in pre-tax income generated in the first</w:t>
      </w:r>
      <w:r>
        <w:rPr>
          <w:rFonts w:eastAsia="Times New Roman"/>
          <w:color w:val="000000"/>
          <w:sz w:val="20"/>
          <w:szCs w:val="20"/>
        </w:rPr>
        <w:t xml:space="preserve"> six months of fiscal 2020, along with a deferral of certain income tax payments as a result of the CARES Act</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Deb</w:t>
      </w:r>
      <w:r>
        <w:rPr>
          <w:rFonts w:eastAsia="Times New Roman"/>
          <w:b/>
          <w:bCs/>
          <w:color w:val="000000"/>
          <w:sz w:val="20"/>
          <w:szCs w:val="20"/>
        </w:rPr>
        <w:t>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following table summarizes the Company’</w:t>
      </w:r>
      <w:r>
        <w:rPr>
          <w:rFonts w:eastAsia="Times New Roman"/>
          <w:color w:val="000000"/>
          <w:sz w:val="20"/>
          <w:szCs w:val="20"/>
        </w:rPr>
        <w:t>s outstanding debt as of the dates indicated (in millions)</w:t>
      </w:r>
      <w:r>
        <w:rPr>
          <w:rFonts w:eastAsia="Times New Roman"/>
          <w:color w:val="000000"/>
          <w:sz w:val="20"/>
          <w:szCs w:val="20"/>
        </w:rPr>
        <w:t>:</w:t>
      </w:r>
    </w:p>
    <w:tbl>
      <w:tblPr>
        <w:tblW w:w="4985" w:type="pct"/>
        <w:jc w:val="center"/>
        <w:tblCellMar>
          <w:top w:w="15" w:type="dxa"/>
          <w:left w:w="15" w:type="dxa"/>
          <w:bottom w:w="15" w:type="dxa"/>
          <w:right w:w="15" w:type="dxa"/>
        </w:tblCellMar>
        <w:tblLook w:val="04A0" w:firstRow="1" w:lastRow="0" w:firstColumn="1" w:lastColumn="0" w:noHBand="0" w:noVBand="1"/>
      </w:tblPr>
      <w:tblGrid>
        <w:gridCol w:w="46"/>
        <w:gridCol w:w="4256"/>
        <w:gridCol w:w="46"/>
        <w:gridCol w:w="36"/>
        <w:gridCol w:w="36"/>
        <w:gridCol w:w="36"/>
        <w:gridCol w:w="135"/>
        <w:gridCol w:w="982"/>
        <w:gridCol w:w="85"/>
        <w:gridCol w:w="36"/>
        <w:gridCol w:w="36"/>
        <w:gridCol w:w="36"/>
        <w:gridCol w:w="136"/>
        <w:gridCol w:w="983"/>
        <w:gridCol w:w="85"/>
        <w:gridCol w:w="36"/>
        <w:gridCol w:w="36"/>
        <w:gridCol w:w="36"/>
        <w:gridCol w:w="135"/>
        <w:gridCol w:w="983"/>
        <w:gridCol w:w="85"/>
      </w:tblGrid>
      <w:tr w:rsidR="00000000">
        <w:trPr>
          <w:divId w:val="416557646"/>
          <w:jc w:val="center"/>
        </w:trPr>
        <w:tc>
          <w:tcPr>
            <w:tcW w:w="50" w:type="pct"/>
            <w:vAlign w:val="center"/>
            <w:hideMark/>
          </w:tcPr>
          <w:p w:rsidR="00000000" w:rsidRDefault="0016787D">
            <w:pPr>
              <w:jc w:val="both"/>
              <w:rPr>
                <w:rFonts w:eastAsia="Times New Roman"/>
              </w:rPr>
            </w:pPr>
          </w:p>
        </w:tc>
        <w:tc>
          <w:tcPr>
            <w:tcW w:w="259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3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416557646"/>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December 28,</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r>
      <w:tr w:rsidR="00000000">
        <w:trPr>
          <w:divId w:val="416557646"/>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Senior Note</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Senior Credit Facility</w:t>
            </w:r>
            <w:r>
              <w:rPr>
                <w:rFonts w:eastAsia="Times New Roman"/>
                <w:color w:val="000000"/>
                <w:sz w:val="20"/>
                <w:szCs w:val="20"/>
              </w:rPr>
              <w: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416557646"/>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February 2016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June 2017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82.5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87.5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March 2020 Term Loa</w:t>
            </w:r>
            <w:r>
              <w:rPr>
                <w:rFonts w:eastAsia="Times New Roman"/>
                <w:color w:val="000000"/>
                <w:sz w:val="20"/>
                <w:szCs w:val="20"/>
              </w:rPr>
              <w:t>n</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April 2020 Term Loa</w:t>
            </w:r>
            <w:r>
              <w:rPr>
                <w:rFonts w:eastAsia="Times New Roman"/>
                <w:color w:val="000000"/>
                <w:sz w:val="20"/>
                <w:szCs w:val="20"/>
              </w:rPr>
              <w:t>n</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350.0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CCEE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Revolving credit loan</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100.0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outstanding borrowing</w:t>
            </w:r>
            <w:r>
              <w:rPr>
                <w:rFonts w:eastAsia="Times New Roman"/>
                <w:color w:val="000000"/>
                <w:sz w:val="20"/>
                <w:szCs w:val="20"/>
              </w:rPr>
              <w:t>s</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917.5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397.5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490.0</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Less: unamortized debt issuance cost</w:t>
            </w:r>
            <w:r>
              <w:rPr>
                <w:rFonts w:eastAsia="Times New Roman"/>
                <w:color w:val="000000"/>
                <w:sz w:val="20"/>
                <w:szCs w:val="20"/>
              </w:rPr>
              <w:t>s</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Total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916.1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488.8</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Less: current portion of long-term deb</w:t>
            </w:r>
            <w:r>
              <w:rPr>
                <w:rFonts w:eastAsia="Times New Roman"/>
                <w:color w:val="000000"/>
                <w:sz w:val="20"/>
                <w:szCs w:val="20"/>
              </w:rPr>
              <w:t>t</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(380.0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(30.0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(22.5</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b/>
                <w:bCs/>
                <w:color w:val="000000"/>
                <w:sz w:val="20"/>
                <w:szCs w:val="20"/>
              </w:rPr>
              <w:t>Long-term deb</w:t>
            </w:r>
            <w:r>
              <w:rPr>
                <w:rFonts w:eastAsia="Times New Roman"/>
                <w:b/>
                <w:bCs/>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536.1</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366.5</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466.3</w:t>
            </w:r>
            <w:r>
              <w:rPr>
                <w:rFonts w:eastAsia="Times New Roman"/>
                <w:color w:val="000000"/>
                <w:sz w:val="20"/>
                <w:szCs w:val="20"/>
              </w:rPr>
              <w:t> </w:t>
            </w:r>
          </w:p>
        </w:tc>
        <w:tc>
          <w:tcPr>
            <w:tcW w:w="0" w:type="auto"/>
            <w:tcBorders>
              <w:top w:val="single" w:sz="8"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416557646"/>
          <w:trHeight w:val="160"/>
          <w:jc w:val="center"/>
        </w:trPr>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double" w:sz="6" w:space="0" w:color="000000"/>
            </w:tcBorders>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416557646"/>
          <w:jc w:val="center"/>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Outstanding letters of credi</w:t>
            </w:r>
            <w:r>
              <w:rPr>
                <w:rFonts w:eastAsia="Times New Roman"/>
                <w:color w:val="000000"/>
                <w:sz w:val="20"/>
                <w:szCs w:val="20"/>
              </w:rPr>
              <w:t>t</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52.4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32.0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37.3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jc w:val="center"/>
        <w:divId w:val="193007988"/>
        <w:rPr>
          <w:rFonts w:eastAsia="Times New Roman"/>
        </w:rPr>
      </w:pPr>
      <w:r>
        <w:rPr>
          <w:rFonts w:eastAsia="Times New Roman"/>
          <w:color w:val="000000"/>
          <w:sz w:val="20"/>
          <w:szCs w:val="20"/>
        </w:rPr>
        <w:t>Page 2</w:t>
      </w:r>
      <w:r>
        <w:rPr>
          <w:rFonts w:eastAsia="Times New Roman"/>
          <w:color w:val="000000"/>
          <w:sz w:val="20"/>
          <w:szCs w:val="20"/>
        </w:rPr>
        <w:t>5</w:t>
      </w:r>
    </w:p>
    <w:p w:rsidR="00000000" w:rsidRDefault="0016787D">
      <w:pPr>
        <w:rPr>
          <w:rFonts w:eastAsia="Times New Roman"/>
        </w:rPr>
      </w:pPr>
      <w:r>
        <w:rPr>
          <w:rFonts w:eastAsia="Times New Roman"/>
        </w:rPr>
        <w:pict>
          <v:rect id="_x0000_i1050" style="width:0;height:1.5pt" o:hralign="center" o:hrstd="t" o:hr="t" fillcolor="#a0a0a0" stroked="f"/>
        </w:pict>
      </w:r>
    </w:p>
    <w:p w:rsidR="00000000" w:rsidRDefault="0016787D">
      <w:pPr>
        <w:divId w:val="1744794759"/>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 xml:space="preserve">For additional information about the Company’s debt and credit facilities, refer to Note 5 to the </w:t>
      </w:r>
      <w:r>
        <w:rPr>
          <w:rFonts w:eastAsia="Times New Roman"/>
          <w:color w:val="000000"/>
          <w:sz w:val="20"/>
          <w:szCs w:val="20"/>
        </w:rPr>
        <w:t>Condensed Consolidated Financial Statements. Refer to Note 6 to the Condensed Consolidated Financial Statements for information about the Company’s interest rate swap agreements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Operating Activitie</w:t>
      </w:r>
      <w:r>
        <w:rPr>
          <w:rFonts w:eastAsia="Times New Roman"/>
          <w:b/>
          <w:b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Operating activities provided net cash of $993.1 mil</w:t>
      </w:r>
      <w:r>
        <w:rPr>
          <w:rFonts w:eastAsia="Times New Roman"/>
          <w:color w:val="000000"/>
          <w:sz w:val="20"/>
          <w:szCs w:val="20"/>
        </w:rPr>
        <w:t>lion and $348.9 million in the first six months of fiscal 2020 and fiscal 2019, respectively.  The $644.2 million increase in net cash provided by operating activities in the first six months of fiscal 2020 compared to the first six months of fiscal 2019 i</w:t>
      </w:r>
      <w:r>
        <w:rPr>
          <w:rFonts w:eastAsia="Times New Roman"/>
          <w:color w:val="000000"/>
          <w:sz w:val="20"/>
          <w:szCs w:val="20"/>
        </w:rPr>
        <w:t>s due to changes in the following operating activities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9"/>
        <w:gridCol w:w="4617"/>
        <w:gridCol w:w="37"/>
        <w:gridCol w:w="135"/>
        <w:gridCol w:w="819"/>
        <w:gridCol w:w="85"/>
        <w:gridCol w:w="36"/>
        <w:gridCol w:w="36"/>
        <w:gridCol w:w="36"/>
        <w:gridCol w:w="135"/>
        <w:gridCol w:w="791"/>
        <w:gridCol w:w="85"/>
        <w:gridCol w:w="36"/>
        <w:gridCol w:w="36"/>
        <w:gridCol w:w="36"/>
        <w:gridCol w:w="136"/>
        <w:gridCol w:w="669"/>
        <w:gridCol w:w="85"/>
        <w:gridCol w:w="36"/>
        <w:gridCol w:w="36"/>
        <w:gridCol w:w="36"/>
        <w:gridCol w:w="36"/>
        <w:gridCol w:w="36"/>
        <w:gridCol w:w="36"/>
        <w:gridCol w:w="36"/>
        <w:gridCol w:w="36"/>
        <w:gridCol w:w="36"/>
        <w:gridCol w:w="36"/>
        <w:gridCol w:w="36"/>
        <w:gridCol w:w="36"/>
      </w:tblGrid>
      <w:tr w:rsidR="00000000">
        <w:trPr>
          <w:gridAfter w:val="12"/>
          <w:divId w:val="1521384894"/>
        </w:trPr>
        <w:tc>
          <w:tcPr>
            <w:tcW w:w="50" w:type="pct"/>
            <w:vAlign w:val="center"/>
            <w:hideMark/>
          </w:tcPr>
          <w:p w:rsidR="00000000" w:rsidRDefault="0016787D">
            <w:pPr>
              <w:jc w:val="both"/>
              <w:rPr>
                <w:rFonts w:eastAsia="Times New Roman"/>
              </w:rPr>
            </w:pPr>
          </w:p>
        </w:tc>
        <w:tc>
          <w:tcPr>
            <w:tcW w:w="297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521384894"/>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1521384894"/>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incom</w:t>
            </w:r>
            <w:r>
              <w:rPr>
                <w:rFonts w:eastAsia="Times New Roman"/>
                <w:color w:val="000000"/>
                <w:sz w:val="20"/>
                <w:szCs w:val="20"/>
              </w:rPr>
              <w:t>e</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422.5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296.0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126.5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Depreciation and amortizatio</w:t>
            </w:r>
            <w:r>
              <w:rPr>
                <w:rFonts w:eastAsia="Times New Roman"/>
                <w:color w:val="000000"/>
                <w:sz w:val="20"/>
                <w:szCs w:val="20"/>
              </w:rPr>
              <w:t>n</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104.0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94.8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Share-based compensation expens</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Deferred 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(13.0</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10.2</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Inventories and accounts payabl</w:t>
            </w:r>
            <w:r>
              <w:rPr>
                <w:rFonts w:eastAsia="Times New Roman"/>
                <w:color w:val="000000"/>
                <w:sz w:val="20"/>
                <w:szCs w:val="20"/>
              </w:rPr>
              <w:t>e</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274.9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(82.1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357.0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Prepaid expenses and other current asset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(34.4</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19.4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(53.8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Accrued expense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62.6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(49.0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Income taxe</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127.8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45.9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81.9</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(4.7</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521384894"/>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cash provided by operating activitie</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993.1</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348.9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644.2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$644.2 million increase in net cash provided by operating activities in the first six months of fiscal 2020 compared with the first six months of fiscal 2019 resulted from a year-over-year increase in our net income as well as the net impact of changes</w:t>
      </w:r>
      <w:r>
        <w:rPr>
          <w:rFonts w:eastAsia="Times New Roman"/>
          <w:color w:val="000000"/>
          <w:sz w:val="20"/>
          <w:szCs w:val="20"/>
        </w:rPr>
        <w:t xml:space="preserve"> in our operating assets and liabilities, principally due to the timing of accruals and related payments and a significant increase in inventory that remains in accounts payable due to the increased sales volume and inventory turns in the second quarter of</w:t>
      </w:r>
      <w:r>
        <w:rPr>
          <w:rFonts w:eastAsia="Times New Roman"/>
          <w:color w:val="000000"/>
          <w:sz w:val="20"/>
          <w:szCs w:val="20"/>
        </w:rPr>
        <w:t xml:space="preserve"> fiscal 2020</w:t>
      </w:r>
      <w:r>
        <w:rPr>
          <w:rFonts w:eastAsia="Times New Roman"/>
          <w:color w:val="000000"/>
          <w:sz w:val="20"/>
          <w:szCs w:val="20"/>
        </w:rPr>
        <w:t>.</w:t>
      </w:r>
    </w:p>
    <w:p w:rsidR="00000000" w:rsidRDefault="0016787D">
      <w:pPr>
        <w:divId w:val="198398003"/>
        <w:rPr>
          <w:rFonts w:eastAsia="Times New Roman"/>
        </w:rPr>
      </w:pPr>
    </w:p>
    <w:p w:rsidR="00000000" w:rsidRDefault="0016787D">
      <w:pPr>
        <w:divId w:val="1703435754"/>
        <w:rPr>
          <w:rFonts w:eastAsia="Times New Roman"/>
        </w:rPr>
      </w:pPr>
      <w:r>
        <w:rPr>
          <w:rFonts w:eastAsia="Times New Roman"/>
          <w:b/>
          <w:bCs/>
          <w:color w:val="000000"/>
          <w:sz w:val="20"/>
          <w:szCs w:val="20"/>
        </w:rPr>
        <w:t>Investing Activitie</w:t>
      </w:r>
      <w:r>
        <w:rPr>
          <w:rFonts w:eastAsia="Times New Roman"/>
          <w:b/>
          <w:b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Investing activities used net cash of $86.0 million and $82.9 million in the first six months of fiscal 2020 and fiscal 2019, respectively. The $3.1 million increase in net cash used in investing activities primarily </w:t>
      </w:r>
      <w:r>
        <w:rPr>
          <w:rFonts w:eastAsia="Times New Roman"/>
          <w:color w:val="000000"/>
          <w:sz w:val="20"/>
          <w:szCs w:val="20"/>
        </w:rPr>
        <w:t>reflects an increase in capital expenditures in the first six months of fiscal 2020 compared to fiscal 2019.</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Capital expenditures for the first six months of fiscal 2020 and fiscal 2019 were as follows (in millions)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2"/>
        <w:gridCol w:w="5713"/>
        <w:gridCol w:w="52"/>
        <w:gridCol w:w="135"/>
        <w:gridCol w:w="862"/>
        <w:gridCol w:w="85"/>
        <w:gridCol w:w="36"/>
        <w:gridCol w:w="36"/>
        <w:gridCol w:w="36"/>
        <w:gridCol w:w="135"/>
        <w:gridCol w:w="838"/>
        <w:gridCol w:w="85"/>
        <w:gridCol w:w="36"/>
        <w:gridCol w:w="36"/>
        <w:gridCol w:w="36"/>
        <w:gridCol w:w="36"/>
        <w:gridCol w:w="36"/>
        <w:gridCol w:w="36"/>
      </w:tblGrid>
      <w:tr w:rsidR="00000000">
        <w:trPr>
          <w:gridAfter w:val="6"/>
          <w:divId w:val="1609697050"/>
        </w:trPr>
        <w:tc>
          <w:tcPr>
            <w:tcW w:w="50" w:type="pct"/>
            <w:vAlign w:val="center"/>
            <w:hideMark/>
          </w:tcPr>
          <w:p w:rsidR="00000000" w:rsidRDefault="0016787D">
            <w:pPr>
              <w:jc w:val="both"/>
              <w:rPr>
                <w:rFonts w:eastAsia="Times New Roman"/>
              </w:rPr>
            </w:pPr>
          </w:p>
        </w:tc>
        <w:tc>
          <w:tcPr>
            <w:tcW w:w="355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609697050"/>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w:t>
            </w:r>
            <w:r>
              <w:rPr>
                <w:rFonts w:eastAsia="Times New Roman"/>
                <w:b/>
                <w:bCs/>
                <w:color w:val="000000"/>
                <w:sz w:val="20"/>
                <w:szCs w:val="20"/>
              </w:rPr>
              <w:t>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1609697050"/>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09697050"/>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Information technolog</w:t>
            </w:r>
            <w:r>
              <w:rPr>
                <w:rFonts w:eastAsia="Times New Roman"/>
                <w:color w:val="000000"/>
                <w:sz w:val="20"/>
                <w:szCs w:val="20"/>
              </w:rPr>
              <w:t>y</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36.0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09697050"/>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New and relocated stores and stores not yet opene</w:t>
            </w:r>
            <w:r>
              <w:rPr>
                <w:rFonts w:eastAsia="Times New Roman"/>
                <w:color w:val="000000"/>
                <w:sz w:val="20"/>
                <w:szCs w:val="20"/>
              </w:rPr>
              <w:t>d</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27.1</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22.3</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09697050"/>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Existing store</w:t>
            </w:r>
            <w:r>
              <w:rPr>
                <w:rFonts w:eastAsia="Times New Roman"/>
                <w:color w:val="000000"/>
                <w:sz w:val="20"/>
                <w:szCs w:val="20"/>
              </w:rPr>
              <w:t>s</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16.0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13.0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09697050"/>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Distribution center capacity and improvement</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6.0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11.8</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09697050"/>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Corporate and othe</w:t>
            </w:r>
            <w:r>
              <w:rPr>
                <w:rFonts w:eastAsia="Times New Roman"/>
                <w:color w:val="000000"/>
                <w:sz w:val="20"/>
                <w:szCs w:val="20"/>
              </w:rPr>
              <w:t>r</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0.8</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09697050"/>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Total capital expenditure</w:t>
            </w:r>
            <w:r>
              <w:rPr>
                <w:rFonts w:eastAsia="Times New Roman"/>
                <w:color w:val="000000"/>
                <w:sz w:val="20"/>
                <w:szCs w:val="20"/>
              </w:rPr>
              <w:t>s</w:t>
            </w: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86.6</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83.5</w:t>
            </w:r>
            <w:r>
              <w:rPr>
                <w:rFonts w:eastAsia="Times New Roman"/>
                <w:color w:val="000000"/>
                <w:sz w:val="20"/>
                <w:szCs w:val="20"/>
              </w:rPr>
              <w:t> </w:t>
            </w:r>
          </w:p>
        </w:tc>
        <w:tc>
          <w:tcPr>
            <w:tcW w:w="0" w:type="auto"/>
            <w:tcBorders>
              <w:top w:val="single" w:sz="8" w:space="0" w:color="000000"/>
              <w:bottom w:val="double" w:sz="6" w:space="0" w:color="000000"/>
            </w:tcBorders>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609697050"/>
        </w:trPr>
        <w:tc>
          <w:tcPr>
            <w:tcW w:w="0" w:type="auto"/>
            <w:gridSpan w:val="3"/>
            <w:vAlign w:val="center"/>
            <w:hideMark/>
          </w:tcPr>
          <w:p w:rsidR="00000000" w:rsidRDefault="0016787D">
            <w:pPr>
              <w:jc w:val="right"/>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The spending on information technology represents continued support of our store growth and our omni-channel initiatives, as well as improvements in security and compliance, enhancements to our customer relationship management program, and other strategic </w:t>
      </w:r>
      <w:r>
        <w:rPr>
          <w:rFonts w:eastAsia="Times New Roman"/>
          <w:color w:val="000000"/>
          <w:sz w:val="20"/>
          <w:szCs w:val="20"/>
        </w:rPr>
        <w:t>initiatives. As we continue throughout fiscal 2020, we intend to prioritize our information technology capital expenditures to accelerate initiatives to enhance safety and convenience for customers, including initiatives such as Buy Online, Pickup In Store</w:t>
      </w:r>
      <w:r>
        <w:rPr>
          <w:rFonts w:eastAsia="Times New Roman"/>
          <w:color w:val="000000"/>
          <w:sz w:val="20"/>
          <w:szCs w:val="20"/>
        </w:rPr>
        <w:t>; Buy Online, Deliver from Store; Contactless Curbside Pickup; Contactless Payment capabilities; and additional Mobile POS devices in all stores</w:t>
      </w:r>
      <w:r>
        <w:rPr>
          <w:rFonts w:eastAsia="Times New Roman"/>
          <w:color w:val="000000"/>
          <w:sz w:val="20"/>
          <w:szCs w:val="20"/>
        </w:rPr>
        <w:t>.</w:t>
      </w:r>
    </w:p>
    <w:p w:rsidR="00000000" w:rsidRDefault="0016787D">
      <w:pPr>
        <w:jc w:val="both"/>
        <w:rPr>
          <w:rFonts w:eastAsia="Times New Roman"/>
        </w:rPr>
      </w:pPr>
    </w:p>
    <w:p w:rsidR="00000000" w:rsidRDefault="0016787D">
      <w:pPr>
        <w:jc w:val="center"/>
        <w:divId w:val="7684886"/>
        <w:rPr>
          <w:rFonts w:eastAsia="Times New Roman"/>
        </w:rPr>
      </w:pPr>
      <w:r>
        <w:rPr>
          <w:rFonts w:eastAsia="Times New Roman"/>
          <w:color w:val="000000"/>
          <w:sz w:val="20"/>
          <w:szCs w:val="20"/>
        </w:rPr>
        <w:t>Page 2</w:t>
      </w:r>
      <w:r>
        <w:rPr>
          <w:rFonts w:eastAsia="Times New Roman"/>
          <w:color w:val="000000"/>
          <w:sz w:val="20"/>
          <w:szCs w:val="20"/>
        </w:rPr>
        <w:t>6</w:t>
      </w:r>
    </w:p>
    <w:p w:rsidR="00000000" w:rsidRDefault="0016787D">
      <w:pPr>
        <w:rPr>
          <w:rFonts w:eastAsia="Times New Roman"/>
        </w:rPr>
      </w:pPr>
      <w:r>
        <w:rPr>
          <w:rFonts w:eastAsia="Times New Roman"/>
        </w:rPr>
        <w:pict>
          <v:rect id="_x0000_i1051" style="width:0;height:1.5pt" o:hralign="center" o:hrstd="t" o:hr="t" fillcolor="#a0a0a0" stroked="f"/>
        </w:pict>
      </w:r>
    </w:p>
    <w:p w:rsidR="00000000" w:rsidRDefault="0016787D">
      <w:pPr>
        <w:divId w:val="1655721574"/>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color w:val="000000"/>
          <w:sz w:val="20"/>
          <w:szCs w:val="20"/>
        </w:rPr>
        <w:t>Spending on existing stores principally reflects routine refresh activity. In the first six months of fiscal 2020, the Company opened 38 new Tractor Supply stores compared to 25 new Tractor Supply stores during the first six months of fiscal 2019. The Comp</w:t>
      </w:r>
      <w:r>
        <w:rPr>
          <w:rFonts w:eastAsia="Times New Roman"/>
          <w:color w:val="000000"/>
          <w:sz w:val="20"/>
          <w:szCs w:val="20"/>
        </w:rPr>
        <w:t>any also opened three new Petsense stores during the first six months of fiscal 2020 compared to two new Petsense stores during the first six months of fiscal 2019. We expect to open approximately 75 to 80 new Tractor Supply stores and approximately 10 new</w:t>
      </w:r>
      <w:r>
        <w:rPr>
          <w:rFonts w:eastAsia="Times New Roman"/>
          <w:color w:val="000000"/>
          <w:sz w:val="20"/>
          <w:szCs w:val="20"/>
        </w:rPr>
        <w:t xml:space="preserve"> Petsense stores during fiscal 2020, but the timing of new store openings in some areas may be delayed as a result of the COVID-19 pandemic, including local and state orders.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For fiscal 2020, the Company expects capital expenditures to be approximately </w:t>
      </w:r>
      <w:r>
        <w:rPr>
          <w:rFonts w:eastAsia="Times New Roman"/>
          <w:color w:val="000000"/>
          <w:sz w:val="20"/>
          <w:szCs w:val="20"/>
        </w:rPr>
        <w:t xml:space="preserve">$300 million to $325 million, compared to its previous range of $225 million to $275 million, with the anticipated increase to support strategic growth initiatives related to space productivity and side lot improvements in certain existing store locations </w:t>
      </w:r>
      <w:r>
        <w:rPr>
          <w:rFonts w:eastAsia="Times New Roman"/>
          <w:color w:val="000000"/>
          <w:sz w:val="20"/>
          <w:szCs w:val="20"/>
        </w:rPr>
        <w:t>as well as new technology and service enhancements that are being implemented across the enterprise</w:t>
      </w:r>
      <w:r>
        <w:rPr>
          <w:rFonts w:eastAsia="Times New Roman"/>
          <w:color w:val="000000"/>
          <w:sz w:val="20"/>
          <w:szCs w:val="20"/>
        </w:rPr>
        <w:t>.</w:t>
      </w:r>
    </w:p>
    <w:p w:rsidR="00000000" w:rsidRDefault="0016787D">
      <w:pPr>
        <w:jc w:val="both"/>
        <w:rPr>
          <w:rFonts w:eastAsia="Times New Roman"/>
        </w:rPr>
      </w:pPr>
    </w:p>
    <w:p w:rsidR="00000000" w:rsidRDefault="0016787D">
      <w:pPr>
        <w:divId w:val="1890263171"/>
        <w:rPr>
          <w:rFonts w:eastAsia="Times New Roman"/>
        </w:rPr>
      </w:pPr>
      <w:r>
        <w:rPr>
          <w:rFonts w:eastAsia="Times New Roman"/>
          <w:b/>
          <w:bCs/>
          <w:color w:val="000000"/>
          <w:sz w:val="20"/>
          <w:szCs w:val="20"/>
        </w:rPr>
        <w:t>Financing Activitie</w:t>
      </w:r>
      <w:r>
        <w:rPr>
          <w:rFonts w:eastAsia="Times New Roman"/>
          <w:b/>
          <w:b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Financing activities provided net cash of $215.0 million in the first six months of fiscal 2020 compared to using net cash of $248</w:t>
      </w:r>
      <w:r>
        <w:rPr>
          <w:rFonts w:eastAsia="Times New Roman"/>
          <w:color w:val="000000"/>
          <w:sz w:val="20"/>
          <w:szCs w:val="20"/>
        </w:rPr>
        <w:t>.2 million in the first six months of fiscal 2019. The $463.2 million change in net cash provided by financing activities in the first six months of fiscal 2020 compared to the first six months of fiscal 2019 is due to changes in the following (in millions</w:t>
      </w:r>
      <w:r>
        <w:rPr>
          <w:rFonts w:eastAsia="Times New Roman"/>
          <w:color w:val="000000"/>
          <w:sz w:val="20"/>
          <w:szCs w:val="20"/>
        </w:rPr>
        <w:t>)</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38"/>
        <w:gridCol w:w="4618"/>
        <w:gridCol w:w="37"/>
        <w:gridCol w:w="135"/>
        <w:gridCol w:w="819"/>
        <w:gridCol w:w="85"/>
        <w:gridCol w:w="36"/>
        <w:gridCol w:w="36"/>
        <w:gridCol w:w="36"/>
        <w:gridCol w:w="135"/>
        <w:gridCol w:w="791"/>
        <w:gridCol w:w="85"/>
        <w:gridCol w:w="36"/>
        <w:gridCol w:w="36"/>
        <w:gridCol w:w="36"/>
        <w:gridCol w:w="136"/>
        <w:gridCol w:w="669"/>
        <w:gridCol w:w="85"/>
        <w:gridCol w:w="36"/>
        <w:gridCol w:w="36"/>
        <w:gridCol w:w="36"/>
        <w:gridCol w:w="36"/>
        <w:gridCol w:w="36"/>
        <w:gridCol w:w="36"/>
        <w:gridCol w:w="36"/>
        <w:gridCol w:w="36"/>
        <w:gridCol w:w="36"/>
        <w:gridCol w:w="36"/>
        <w:gridCol w:w="36"/>
        <w:gridCol w:w="36"/>
      </w:tblGrid>
      <w:tr w:rsidR="00000000">
        <w:trPr>
          <w:gridAfter w:val="12"/>
          <w:divId w:val="1137798252"/>
        </w:trPr>
        <w:tc>
          <w:tcPr>
            <w:tcW w:w="50" w:type="pct"/>
            <w:vAlign w:val="center"/>
            <w:hideMark/>
          </w:tcPr>
          <w:p w:rsidR="00000000" w:rsidRDefault="0016787D">
            <w:pPr>
              <w:jc w:val="both"/>
              <w:rPr>
                <w:rFonts w:eastAsia="Times New Roman"/>
              </w:rPr>
            </w:pPr>
          </w:p>
        </w:tc>
        <w:tc>
          <w:tcPr>
            <w:tcW w:w="297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5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137798252"/>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1137798252"/>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Varianc</w:t>
            </w:r>
            <w:r>
              <w:rPr>
                <w:rFonts w:eastAsia="Times New Roman"/>
                <w:b/>
                <w:bCs/>
                <w:color w:val="000000"/>
                <w:sz w:val="20"/>
                <w:szCs w:val="20"/>
              </w:rPr>
              <w:t>e</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3779825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borrowings and repayments under debt facilitie</w:t>
            </w:r>
            <w:r>
              <w:rPr>
                <w:rFonts w:eastAsia="Times New Roman"/>
                <w:color w:val="000000"/>
                <w:sz w:val="20"/>
                <w:szCs w:val="20"/>
              </w:rPr>
              <w:t>s</w:t>
            </w: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520.0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81.3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438.7</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37798252"/>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Repurchase of common stoc</w:t>
            </w:r>
            <w:r>
              <w:rPr>
                <w:rFonts w:eastAsia="Times New Roman"/>
                <w:color w:val="000000"/>
                <w:sz w:val="20"/>
                <w:szCs w:val="20"/>
              </w:rPr>
              <w:t>k</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(263.2</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(334.2</w:t>
            </w:r>
            <w:r>
              <w:rPr>
                <w:rFonts w:eastAsia="Times New Roman"/>
                <w:color w:val="000000"/>
                <w:sz w:val="20"/>
                <w:szCs w:val="20"/>
              </w:rPr>
              <w:t>)</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71.0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3779825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proceeds from issuance of common stoc</w:t>
            </w:r>
            <w:r>
              <w:rPr>
                <w:rFonts w:eastAsia="Times New Roman"/>
                <w:color w:val="000000"/>
                <w:sz w:val="20"/>
                <w:szCs w:val="20"/>
              </w:rPr>
              <w:t>k</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50.3</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89.4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(39.1</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37798252"/>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Cash dividends paid to stockholder</w:t>
            </w:r>
            <w:r>
              <w:rPr>
                <w:rFonts w:eastAsia="Times New Roman"/>
                <w:color w:val="000000"/>
                <w:sz w:val="20"/>
                <w:szCs w:val="20"/>
              </w:rPr>
              <w:t>s</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(81.5</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(79.7</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(1.8</w:t>
            </w:r>
            <w:r>
              <w:rPr>
                <w:rFonts w:eastAsia="Times New Roman"/>
                <w:color w:val="000000"/>
                <w:sz w:val="20"/>
                <w:szCs w:val="20"/>
              </w:rPr>
              <w:t>)</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37798252"/>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Other, ne</w:t>
            </w:r>
            <w:r>
              <w:rPr>
                <w:rFonts w:eastAsia="Times New Roman"/>
                <w:color w:val="000000"/>
                <w:sz w:val="20"/>
                <w:szCs w:val="20"/>
              </w:rPr>
              <w:t>t</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(5.0</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(5.6</w:t>
            </w:r>
            <w:r>
              <w:rPr>
                <w:rFonts w:eastAsia="Times New Roman"/>
                <w:color w:val="000000"/>
                <w:sz w:val="20"/>
                <w:szCs w:val="20"/>
              </w:rPr>
              <w:t>)</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1137798252"/>
        </w:trPr>
        <w:tc>
          <w:tcPr>
            <w:tcW w:w="0" w:type="auto"/>
            <w:gridSpan w:val="3"/>
            <w:shd w:val="clear" w:color="auto" w:fill="FFFFFF"/>
            <w:tcMar>
              <w:top w:w="30" w:type="dxa"/>
              <w:left w:w="225" w:type="dxa"/>
              <w:bottom w:w="30" w:type="dxa"/>
              <w:right w:w="20" w:type="dxa"/>
            </w:tcMar>
            <w:vAlign w:val="bottom"/>
            <w:hideMark/>
          </w:tcPr>
          <w:p w:rsidR="00000000" w:rsidRDefault="0016787D">
            <w:pPr>
              <w:rPr>
                <w:rFonts w:eastAsia="Times New Roman"/>
              </w:rPr>
            </w:pPr>
            <w:r>
              <w:rPr>
                <w:rFonts w:eastAsia="Times New Roman"/>
                <w:color w:val="000000"/>
                <w:sz w:val="20"/>
                <w:szCs w:val="20"/>
              </w:rPr>
              <w:t>Net cash provided by/(used in) financing activitie</w:t>
            </w:r>
            <w:r>
              <w:rPr>
                <w:rFonts w:eastAsia="Times New Roman"/>
                <w:color w:val="000000"/>
                <w:sz w:val="20"/>
                <w:szCs w:val="20"/>
              </w:rPr>
              <w:t>s</w:t>
            </w: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215.0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(248.2</w:t>
            </w: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463.2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$463.2 million change in net cash provided by financing activities in the first six months of fiscal 2020 compared with the first six months of fiscal 2019 is due to an increase in net borrowings under debt facilities, which included the addition of th</w:t>
      </w:r>
      <w:r>
        <w:rPr>
          <w:rFonts w:eastAsia="Times New Roman"/>
          <w:color w:val="000000"/>
          <w:sz w:val="20"/>
          <w:szCs w:val="20"/>
        </w:rPr>
        <w:t>e $200 million March 2020 Term Loan and the $350 million April 2020 Term Loan as described in Note 5 to the Condensed Consolidated Financial Statements. Additionally, we used less cash for the repurchase of common stock as we have suspended our share repur</w:t>
      </w:r>
      <w:r>
        <w:rPr>
          <w:rFonts w:eastAsia="Times New Roman"/>
          <w:color w:val="000000"/>
          <w:sz w:val="20"/>
          <w:szCs w:val="20"/>
        </w:rPr>
        <w:t>chase program effective March 12, 2020. The incremental borrowings and suspension of our share repurchase program were both intended to strengthen our liquidity and preserve cash while navigating the COVID-19 pandemic</w:t>
      </w:r>
      <w:r>
        <w:rPr>
          <w:rFonts w:eastAsia="Times New Roman"/>
          <w:color w:val="000000"/>
          <w:sz w:val="20"/>
          <w:szCs w:val="20"/>
        </w:rPr>
        <w:t>.</w:t>
      </w:r>
    </w:p>
    <w:p w:rsidR="00000000" w:rsidRDefault="0016787D">
      <w:pPr>
        <w:jc w:val="both"/>
        <w:rPr>
          <w:rFonts w:eastAsia="Times New Roman"/>
        </w:rPr>
      </w:pPr>
    </w:p>
    <w:p w:rsidR="00000000" w:rsidRDefault="0016787D">
      <w:pPr>
        <w:divId w:val="345909683"/>
        <w:rPr>
          <w:rFonts w:eastAsia="Times New Roman"/>
        </w:rPr>
      </w:pPr>
      <w:r>
        <w:rPr>
          <w:rFonts w:eastAsia="Times New Roman"/>
          <w:b/>
          <w:bCs/>
          <w:color w:val="000000"/>
          <w:sz w:val="20"/>
          <w:szCs w:val="20"/>
        </w:rPr>
        <w:t>Dividend</w:t>
      </w:r>
      <w:r>
        <w:rPr>
          <w:rFonts w:eastAsia="Times New Roman"/>
          <w:b/>
          <w:bCs/>
          <w:color w:val="000000"/>
          <w:sz w:val="20"/>
          <w:szCs w:val="20"/>
        </w:rPr>
        <w:t>s</w:t>
      </w:r>
    </w:p>
    <w:p w:rsidR="00000000" w:rsidRDefault="0016787D">
      <w:pPr>
        <w:divId w:val="1390611157"/>
        <w:rPr>
          <w:rFonts w:eastAsia="Times New Roman"/>
        </w:rPr>
      </w:pPr>
    </w:p>
    <w:p w:rsidR="00000000" w:rsidRDefault="0016787D">
      <w:pPr>
        <w:jc w:val="both"/>
        <w:rPr>
          <w:rFonts w:eastAsia="Times New Roman"/>
        </w:rPr>
      </w:pPr>
      <w:r>
        <w:rPr>
          <w:rFonts w:eastAsia="Times New Roman"/>
          <w:color w:val="000000"/>
          <w:sz w:val="20"/>
          <w:szCs w:val="20"/>
        </w:rPr>
        <w:t>During the first six mo</w:t>
      </w:r>
      <w:r>
        <w:rPr>
          <w:rFonts w:eastAsia="Times New Roman"/>
          <w:color w:val="000000"/>
          <w:sz w:val="20"/>
          <w:szCs w:val="20"/>
        </w:rPr>
        <w:t>nths of fiscal 2020 and fiscal 2019, the Board of Directors declared the following cash dividends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65"/>
        <w:gridCol w:w="2149"/>
        <w:gridCol w:w="66"/>
        <w:gridCol w:w="36"/>
        <w:gridCol w:w="36"/>
        <w:gridCol w:w="36"/>
        <w:gridCol w:w="136"/>
        <w:gridCol w:w="1205"/>
        <w:gridCol w:w="85"/>
        <w:gridCol w:w="36"/>
        <w:gridCol w:w="36"/>
        <w:gridCol w:w="36"/>
        <w:gridCol w:w="56"/>
        <w:gridCol w:w="2197"/>
        <w:gridCol w:w="66"/>
        <w:gridCol w:w="36"/>
        <w:gridCol w:w="36"/>
        <w:gridCol w:w="36"/>
        <w:gridCol w:w="56"/>
        <w:gridCol w:w="1810"/>
        <w:gridCol w:w="66"/>
      </w:tblGrid>
      <w:tr w:rsidR="00000000">
        <w:trPr>
          <w:divId w:val="2083596288"/>
        </w:trPr>
        <w:tc>
          <w:tcPr>
            <w:tcW w:w="50" w:type="pct"/>
            <w:vAlign w:val="center"/>
            <w:hideMark/>
          </w:tcPr>
          <w:p w:rsidR="00000000" w:rsidRDefault="0016787D">
            <w:pPr>
              <w:jc w:val="both"/>
              <w:rPr>
                <w:rFonts w:eastAsia="Times New Roman"/>
              </w:rPr>
            </w:pPr>
          </w:p>
        </w:tc>
        <w:tc>
          <w:tcPr>
            <w:tcW w:w="130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74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336"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10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2083596288"/>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Date Declare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Dividend Amount</w:t>
            </w:r>
            <w:r>
              <w:rPr>
                <w:rFonts w:eastAsia="Times New Roman"/>
                <w:b/>
                <w:bCs/>
                <w:color w:val="000000"/>
                <w:sz w:val="20"/>
                <w:szCs w:val="20"/>
              </w:rPr>
              <w:br/>
              <w:t>Per Share of Common Stoc</w:t>
            </w:r>
            <w:r>
              <w:rPr>
                <w:rFonts w:eastAsia="Times New Roman"/>
                <w:b/>
                <w:bCs/>
                <w:color w:val="000000"/>
                <w:sz w:val="20"/>
                <w:szCs w:val="20"/>
              </w:rPr>
              <w:t>k</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Record Dat</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Date Pai</w:t>
            </w:r>
            <w:r>
              <w:rPr>
                <w:rFonts w:eastAsia="Times New Roman"/>
                <w:b/>
                <w:bCs/>
                <w:color w:val="000000"/>
                <w:sz w:val="20"/>
                <w:szCs w:val="20"/>
              </w:rPr>
              <w:t>d</w:t>
            </w:r>
          </w:p>
        </w:tc>
      </w:tr>
      <w:tr w:rsidR="00000000">
        <w:trPr>
          <w:divId w:val="2083596288"/>
        </w:trPr>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208359628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6,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26,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June 9, 202</w:t>
            </w:r>
            <w:r>
              <w:rPr>
                <w:rFonts w:eastAsia="Times New Roman"/>
                <w:color w:val="000000"/>
                <w:sz w:val="20"/>
                <w:szCs w:val="20"/>
              </w:rPr>
              <w:t>0</w:t>
            </w:r>
          </w:p>
        </w:tc>
      </w:tr>
      <w:tr w:rsidR="00000000">
        <w:trPr>
          <w:divId w:val="2083596288"/>
        </w:trPr>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5,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24, 202</w:t>
            </w:r>
            <w:r>
              <w:rPr>
                <w:rFonts w:eastAsia="Times New Roman"/>
                <w:color w:val="000000"/>
                <w:sz w:val="20"/>
                <w:szCs w:val="20"/>
              </w:rPr>
              <w:t>0</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March 10, 202</w:t>
            </w:r>
            <w:r>
              <w:rPr>
                <w:rFonts w:eastAsia="Times New Roman"/>
                <w:color w:val="000000"/>
                <w:sz w:val="20"/>
                <w:szCs w:val="20"/>
              </w:rPr>
              <w:t>0</w:t>
            </w:r>
          </w:p>
        </w:tc>
      </w:tr>
      <w:tr w:rsidR="00000000">
        <w:trPr>
          <w:divId w:val="2083596288"/>
          <w:trHeight w:val="280"/>
        </w:trPr>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sz w:val="20"/>
                <w:szCs w:val="20"/>
              </w:rPr>
            </w:pPr>
          </w:p>
        </w:tc>
      </w:tr>
      <w:tr w:rsidR="00000000">
        <w:trPr>
          <w:divId w:val="2083596288"/>
        </w:trPr>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r w:rsidR="00000000">
        <w:trPr>
          <w:divId w:val="2083596288"/>
        </w:trPr>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0.35</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May 28, 201</w:t>
            </w:r>
            <w:r>
              <w:rPr>
                <w:rFonts w:eastAsia="Times New Roman"/>
                <w:color w:val="000000"/>
                <w:sz w:val="20"/>
                <w:szCs w:val="20"/>
              </w:rPr>
              <w:t>9</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June 11, 201</w:t>
            </w:r>
            <w:r>
              <w:rPr>
                <w:rFonts w:eastAsia="Times New Roman"/>
                <w:color w:val="000000"/>
                <w:sz w:val="20"/>
                <w:szCs w:val="20"/>
              </w:rPr>
              <w:t>9</w:t>
            </w:r>
          </w:p>
        </w:tc>
      </w:tr>
      <w:tr w:rsidR="00000000">
        <w:trPr>
          <w:divId w:val="2083596288"/>
        </w:trPr>
        <w:tc>
          <w:tcPr>
            <w:tcW w:w="0" w:type="auto"/>
            <w:gridSpan w:val="3"/>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6,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0.31</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February 25, 201</w:t>
            </w:r>
            <w:r>
              <w:rPr>
                <w:rFonts w:eastAsia="Times New Roman"/>
                <w:color w:val="000000"/>
                <w:sz w:val="20"/>
                <w:szCs w:val="20"/>
              </w:rPr>
              <w:t>9</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color w:val="000000"/>
                <w:sz w:val="20"/>
                <w:szCs w:val="20"/>
              </w:rPr>
              <w:t>March 12, 201</w:t>
            </w:r>
            <w:r>
              <w:rPr>
                <w:rFonts w:eastAsia="Times New Roman"/>
                <w:color w:val="000000"/>
                <w:sz w:val="20"/>
                <w:szCs w:val="20"/>
              </w:rPr>
              <w:t>9</w:t>
            </w:r>
          </w:p>
        </w:tc>
      </w:tr>
      <w:tr w:rsidR="00000000">
        <w:trPr>
          <w:divId w:val="2083596288"/>
        </w:trPr>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c>
          <w:tcPr>
            <w:tcW w:w="0" w:type="auto"/>
            <w:gridSpan w:val="3"/>
            <w:vAlign w:val="center"/>
            <w:hideMark/>
          </w:tcPr>
          <w:p w:rsidR="00000000" w:rsidRDefault="0016787D">
            <w:pPr>
              <w:rPr>
                <w:rFonts w:eastAsia="Times New Roman"/>
                <w:sz w:val="20"/>
                <w:szCs w:val="20"/>
              </w:rPr>
            </w:pPr>
          </w:p>
        </w:tc>
      </w:tr>
    </w:tbl>
    <w:p w:rsidR="00000000" w:rsidRDefault="0016787D">
      <w:pPr>
        <w:divId w:val="769738810"/>
        <w:rPr>
          <w:rFonts w:eastAsia="Times New Roman"/>
        </w:rPr>
      </w:pPr>
    </w:p>
    <w:p w:rsidR="00000000" w:rsidRDefault="0016787D">
      <w:pPr>
        <w:jc w:val="both"/>
        <w:rPr>
          <w:rFonts w:eastAsia="Times New Roman"/>
        </w:rPr>
      </w:pPr>
      <w:r>
        <w:rPr>
          <w:rFonts w:eastAsia="Times New Roman"/>
          <w:color w:val="000000"/>
          <w:sz w:val="20"/>
          <w:szCs w:val="20"/>
        </w:rPr>
        <w:t>It is the present intention of the Board of Directors to continue to pay a quarterly cash dividend; however, the declaration and payment of future dividends will be determined by the Board of Directors in its sole discretion and will depend upon the earnin</w:t>
      </w:r>
      <w:r>
        <w:rPr>
          <w:rFonts w:eastAsia="Times New Roman"/>
          <w:color w:val="000000"/>
          <w:sz w:val="20"/>
          <w:szCs w:val="20"/>
        </w:rPr>
        <w:t>gs, financial condition and capital needs of the Company, along with any other factors that the Board of Directors deems relevant</w:t>
      </w:r>
      <w:r>
        <w:rPr>
          <w:rFonts w:eastAsia="Times New Roman"/>
          <w:color w:val="000000"/>
          <w:sz w:val="20"/>
          <w:szCs w:val="20"/>
        </w:rPr>
        <w:t>.</w:t>
      </w:r>
    </w:p>
    <w:p w:rsidR="00000000" w:rsidRDefault="0016787D">
      <w:pPr>
        <w:divId w:val="1706444671"/>
        <w:rPr>
          <w:rFonts w:eastAsia="Times New Roman"/>
        </w:rPr>
      </w:pPr>
    </w:p>
    <w:p w:rsidR="00000000" w:rsidRDefault="0016787D">
      <w:pPr>
        <w:jc w:val="both"/>
        <w:rPr>
          <w:rFonts w:eastAsia="Times New Roman"/>
        </w:rPr>
      </w:pPr>
      <w:r>
        <w:rPr>
          <w:rFonts w:eastAsia="Times New Roman"/>
          <w:color w:val="000000"/>
          <w:sz w:val="20"/>
          <w:szCs w:val="20"/>
        </w:rPr>
        <w:t xml:space="preserve">On August 5, 2020, the Company’s Board of Directors declared a quarterly cash dividend of $0.40 per share of the Company’s </w:t>
      </w:r>
      <w:r>
        <w:rPr>
          <w:rFonts w:eastAsia="Times New Roman"/>
          <w:color w:val="000000"/>
          <w:sz w:val="20"/>
          <w:szCs w:val="20"/>
        </w:rPr>
        <w:t>outstanding common stock.  The dividend will be paid on September 9, 2020, to stockholders of record as of the close of business on August 24, 2020</w:t>
      </w:r>
      <w:r>
        <w:rPr>
          <w:rFonts w:eastAsia="Times New Roman"/>
          <w:color w:val="000000"/>
          <w:sz w:val="20"/>
          <w:szCs w:val="20"/>
        </w:rPr>
        <w:t>.</w:t>
      </w:r>
    </w:p>
    <w:p w:rsidR="00000000" w:rsidRDefault="0016787D">
      <w:pPr>
        <w:jc w:val="center"/>
        <w:divId w:val="1790858145"/>
        <w:rPr>
          <w:rFonts w:eastAsia="Times New Roman"/>
        </w:rPr>
      </w:pPr>
      <w:r>
        <w:rPr>
          <w:rFonts w:eastAsia="Times New Roman"/>
          <w:color w:val="000000"/>
          <w:sz w:val="20"/>
          <w:szCs w:val="20"/>
        </w:rPr>
        <w:t>Page 2</w:t>
      </w:r>
      <w:r>
        <w:rPr>
          <w:rFonts w:eastAsia="Times New Roman"/>
          <w:color w:val="000000"/>
          <w:sz w:val="20"/>
          <w:szCs w:val="20"/>
        </w:rPr>
        <w:t>7</w:t>
      </w:r>
    </w:p>
    <w:p w:rsidR="00000000" w:rsidRDefault="0016787D">
      <w:pPr>
        <w:rPr>
          <w:rFonts w:eastAsia="Times New Roman"/>
        </w:rPr>
      </w:pPr>
      <w:r>
        <w:rPr>
          <w:rFonts w:eastAsia="Times New Roman"/>
        </w:rPr>
        <w:pict>
          <v:rect id="_x0000_i1052" style="width:0;height:1.5pt" o:hralign="center" o:hrstd="t" o:hr="t" fillcolor="#a0a0a0" stroked="f"/>
        </w:pict>
      </w:r>
    </w:p>
    <w:p w:rsidR="00000000" w:rsidRDefault="0016787D">
      <w:pPr>
        <w:divId w:val="81728408"/>
        <w:rPr>
          <w:rFonts w:eastAsia="Times New Roman"/>
        </w:rPr>
      </w:pPr>
      <w:hyperlink w:anchor="i4478e68e5dea442985a910e3b276f92d_7" w:history="1">
        <w:r>
          <w:rPr>
            <w:rStyle w:val="a3"/>
            <w:rFonts w:eastAsia="Times New Roman"/>
            <w:sz w:val="16"/>
            <w:szCs w:val="16"/>
          </w:rPr>
          <w:t>Inde</w:t>
        </w:r>
        <w:r>
          <w:rPr>
            <w:rStyle w:val="a3"/>
            <w:rFonts w:eastAsia="Times New Roman"/>
            <w:sz w:val="16"/>
            <w:szCs w:val="16"/>
          </w:rPr>
          <w:t>x</w:t>
        </w:r>
      </w:hyperlink>
    </w:p>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Share Repurchase Progra</w:t>
      </w:r>
      <w:r>
        <w:rPr>
          <w:rFonts w:eastAsia="Times New Roman"/>
          <w:b/>
          <w:bCs/>
          <w:color w:val="000000"/>
          <w:sz w:val="20"/>
          <w:szCs w:val="20"/>
        </w:rPr>
        <w:t>m</w:t>
      </w:r>
    </w:p>
    <w:p w:rsidR="00000000" w:rsidRDefault="0016787D">
      <w:pPr>
        <w:divId w:val="1802844125"/>
        <w:rPr>
          <w:rFonts w:eastAsia="Times New Roman"/>
        </w:rPr>
      </w:pPr>
    </w:p>
    <w:p w:rsidR="00000000" w:rsidRDefault="0016787D">
      <w:pPr>
        <w:jc w:val="both"/>
        <w:rPr>
          <w:rFonts w:eastAsia="Times New Roman"/>
        </w:rPr>
      </w:pPr>
      <w:r>
        <w:rPr>
          <w:rFonts w:eastAsia="Times New Roman"/>
          <w:color w:val="000000"/>
          <w:sz w:val="20"/>
          <w:szCs w:val="20"/>
        </w:rPr>
        <w:t xml:space="preserve">The Company’s Board of Directors has authorized common stock repurchases under a share repurchase program up to $4.5 billion, exclusive of any fees, commissions, or other expenses related to such repurchases. The repurchases </w:t>
      </w:r>
      <w:r>
        <w:rPr>
          <w:rFonts w:eastAsia="Times New Roman"/>
          <w:color w:val="000000"/>
          <w:sz w:val="20"/>
          <w:szCs w:val="20"/>
        </w:rPr>
        <w:t>may be made from time to time on the open market or in privately negotiated transactions.  The timing and amount of any shares repurchased under the program will depend on a variety of factors, including price, corporate and regulatory requirements, capita</w:t>
      </w:r>
      <w:r>
        <w:rPr>
          <w:rFonts w:eastAsia="Times New Roman"/>
          <w:color w:val="000000"/>
          <w:sz w:val="20"/>
          <w:szCs w:val="20"/>
        </w:rPr>
        <w:t>l availability, and other market conditions.  Repurchased shares are accounted for at cost and will be held in treasury for future issuance.  The program may be limited or terminated at any time without prior notice. As of June 27, 2020, the Company had re</w:t>
      </w:r>
      <w:r>
        <w:rPr>
          <w:rFonts w:eastAsia="Times New Roman"/>
          <w:color w:val="000000"/>
          <w:sz w:val="20"/>
          <w:szCs w:val="20"/>
        </w:rPr>
        <w:t>maining authorization under the share repurchase program of $1.22 billion, exclusive of any fees, commissions, or other expenses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 has suspended the share repurchase program effective March 12, 2020, in order to strengthen its liquidity and preserve cash while navigating the COVID-19 pandemic</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following table provides the number of shares repurchased, average price p</w:t>
      </w:r>
      <w:r>
        <w:rPr>
          <w:rFonts w:eastAsia="Times New Roman"/>
          <w:color w:val="000000"/>
          <w:sz w:val="20"/>
          <w:szCs w:val="20"/>
        </w:rPr>
        <w:t>aid per share, and total amount paid for share repurchases during the fiscal three and six months ended June 27, 2020 and June 29, 2019, respectively (in thousands, except per share amounts)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3186"/>
        <w:gridCol w:w="36"/>
        <w:gridCol w:w="135"/>
        <w:gridCol w:w="848"/>
        <w:gridCol w:w="85"/>
        <w:gridCol w:w="36"/>
        <w:gridCol w:w="36"/>
        <w:gridCol w:w="36"/>
        <w:gridCol w:w="135"/>
        <w:gridCol w:w="824"/>
        <w:gridCol w:w="85"/>
        <w:gridCol w:w="36"/>
        <w:gridCol w:w="36"/>
        <w:gridCol w:w="36"/>
        <w:gridCol w:w="135"/>
        <w:gridCol w:w="869"/>
        <w:gridCol w:w="85"/>
        <w:gridCol w:w="36"/>
        <w:gridCol w:w="36"/>
        <w:gridCol w:w="36"/>
        <w:gridCol w:w="135"/>
        <w:gridCol w:w="870"/>
        <w:gridCol w:w="85"/>
        <w:gridCol w:w="36"/>
        <w:gridCol w:w="36"/>
        <w:gridCol w:w="36"/>
        <w:gridCol w:w="36"/>
        <w:gridCol w:w="36"/>
        <w:gridCol w:w="36"/>
        <w:gridCol w:w="36"/>
        <w:gridCol w:w="36"/>
        <w:gridCol w:w="36"/>
        <w:gridCol w:w="36"/>
        <w:gridCol w:w="36"/>
        <w:gridCol w:w="36"/>
      </w:tblGrid>
      <w:tr w:rsidR="00000000">
        <w:trPr>
          <w:gridAfter w:val="12"/>
          <w:divId w:val="715083604"/>
          <w:jc w:val="center"/>
        </w:trPr>
        <w:tc>
          <w:tcPr>
            <w:tcW w:w="50" w:type="pct"/>
            <w:vAlign w:val="center"/>
            <w:hideMark/>
          </w:tcPr>
          <w:p w:rsidR="00000000" w:rsidRDefault="0016787D">
            <w:pPr>
              <w:jc w:val="both"/>
              <w:rPr>
                <w:rFonts w:eastAsia="Times New Roman"/>
              </w:rPr>
            </w:pPr>
          </w:p>
        </w:tc>
        <w:tc>
          <w:tcPr>
            <w:tcW w:w="204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6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7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0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60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715083604"/>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Three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Fiscal Six Months Ende</w:t>
            </w:r>
            <w:r>
              <w:rPr>
                <w:rFonts w:eastAsia="Times New Roman"/>
                <w:b/>
                <w:bCs/>
                <w:color w:val="000000"/>
                <w:sz w:val="20"/>
                <w:szCs w:val="20"/>
              </w:rPr>
              <w:t>d</w:t>
            </w:r>
          </w:p>
        </w:tc>
        <w:tc>
          <w:tcPr>
            <w:tcW w:w="0" w:type="auto"/>
            <w:gridSpan w:val="3"/>
            <w:vAlign w:val="center"/>
            <w:hideMark/>
          </w:tcPr>
          <w:p w:rsidR="00000000" w:rsidRDefault="0016787D">
            <w:pPr>
              <w:jc w:val="center"/>
              <w:rPr>
                <w:rFonts w:eastAsia="Times New Roman"/>
              </w:rPr>
            </w:pPr>
          </w:p>
        </w:tc>
        <w:tc>
          <w:tcPr>
            <w:tcW w:w="0" w:type="auto"/>
            <w:gridSpan w:val="3"/>
            <w:vAlign w:val="center"/>
            <w:hideMark/>
          </w:tcPr>
          <w:p w:rsidR="00000000" w:rsidRDefault="0016787D">
            <w:pPr>
              <w:rPr>
                <w:rFonts w:eastAsia="Times New Roman"/>
                <w:sz w:val="20"/>
                <w:szCs w:val="20"/>
              </w:rPr>
            </w:pPr>
          </w:p>
        </w:tc>
      </w:tr>
      <w:tr w:rsidR="00000000">
        <w:trPr>
          <w:divId w:val="715083604"/>
          <w:jc w:val="center"/>
        </w:trPr>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27,</w:t>
            </w:r>
            <w:r>
              <w:rPr>
                <w:rFonts w:eastAsia="Times New Roman"/>
                <w:b/>
                <w:bCs/>
                <w:color w:val="000000"/>
                <w:sz w:val="20"/>
                <w:szCs w:val="20"/>
              </w:rPr>
              <w:br/>
              <w:t>202</w:t>
            </w:r>
            <w:r>
              <w:rPr>
                <w:rFonts w:eastAsia="Times New Roman"/>
                <w:b/>
                <w:bCs/>
                <w:color w:val="000000"/>
                <w:sz w:val="20"/>
                <w:szCs w:val="20"/>
              </w:rPr>
              <w:t>0</w:t>
            </w:r>
          </w:p>
        </w:tc>
        <w:tc>
          <w:tcPr>
            <w:tcW w:w="0" w:type="auto"/>
            <w:gridSpan w:val="3"/>
            <w:tcBorders>
              <w:top w:val="single" w:sz="8" w:space="0" w:color="000000"/>
            </w:tcBorders>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June 29,</w:t>
            </w:r>
            <w:r>
              <w:rPr>
                <w:rFonts w:eastAsia="Times New Roman"/>
                <w:b/>
                <w:bCs/>
                <w:color w:val="000000"/>
                <w:sz w:val="20"/>
                <w:szCs w:val="20"/>
              </w:rPr>
              <w:br/>
              <w:t>201</w:t>
            </w:r>
            <w:r>
              <w:rPr>
                <w:rFonts w:eastAsia="Times New Roman"/>
                <w:b/>
                <w:bCs/>
                <w:color w:val="000000"/>
                <w:sz w:val="20"/>
                <w:szCs w:val="20"/>
              </w:rPr>
              <w:t>9</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15083604"/>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number of shares repurchase</w:t>
            </w:r>
            <w:r>
              <w:rPr>
                <w:rFonts w:eastAsia="Times New Roman"/>
                <w:color w:val="000000"/>
                <w:sz w:val="20"/>
                <w:szCs w:val="20"/>
              </w:rPr>
              <w:t>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1,732</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2,853</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3,456</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15083604"/>
          <w:jc w:val="center"/>
        </w:trPr>
        <w:tc>
          <w:tcPr>
            <w:tcW w:w="0" w:type="auto"/>
            <w:gridSpan w:val="3"/>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Average price paid per shar</w:t>
            </w:r>
            <w:r>
              <w:rPr>
                <w:rFonts w:eastAsia="Times New Roman"/>
                <w:color w:val="000000"/>
                <w:sz w:val="20"/>
                <w:szCs w:val="20"/>
              </w:rPr>
              <w:t>e</w:t>
            </w: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103.27</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92.28</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tcMar>
              <w:top w:w="15" w:type="dxa"/>
              <w:left w:w="20" w:type="dxa"/>
              <w:bottom w:w="15" w:type="dxa"/>
              <w:right w:w="20" w:type="dxa"/>
            </w:tcMar>
            <w:vAlign w:val="bottom"/>
            <w:hideMark/>
          </w:tcPr>
          <w:p w:rsidR="00000000" w:rsidRDefault="0016787D">
            <w:pPr>
              <w:jc w:val="right"/>
              <w:rPr>
                <w:rFonts w:eastAsia="Times New Roman"/>
              </w:rPr>
            </w:pPr>
          </w:p>
        </w:tc>
        <w:tc>
          <w:tcPr>
            <w:tcW w:w="0" w:type="auto"/>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96.69</w:t>
            </w:r>
            <w:r>
              <w:rPr>
                <w:rFonts w:eastAsia="Times New Roman"/>
                <w:color w:val="000000"/>
                <w:sz w:val="20"/>
                <w:szCs w:val="20"/>
              </w:rPr>
              <w:t> </w:t>
            </w:r>
          </w:p>
        </w:tc>
        <w:tc>
          <w:tcPr>
            <w:tcW w:w="0" w:type="auto"/>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r w:rsidR="00000000">
        <w:trPr>
          <w:divId w:val="715083604"/>
          <w:jc w:val="center"/>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Total cash paid for share repurchase</w:t>
            </w:r>
            <w:r>
              <w:rPr>
                <w:rFonts w:eastAsia="Times New Roman"/>
                <w:color w:val="000000"/>
                <w:sz w:val="20"/>
                <w:szCs w:val="20"/>
              </w:rPr>
              <w:t>s</w:t>
            </w: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178,916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263,219</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334,235</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c>
          <w:tcPr>
            <w:tcW w:w="0" w:type="auto"/>
            <w:vAlign w:val="center"/>
            <w:hideMark/>
          </w:tcPr>
          <w:p w:rsidR="00000000" w:rsidRDefault="0016787D">
            <w:pPr>
              <w:rPr>
                <w:rFonts w:eastAsia="Times New Roman"/>
                <w:sz w:val="20"/>
                <w:szCs w:val="20"/>
              </w:rPr>
            </w:pPr>
          </w:p>
        </w:tc>
      </w:tr>
    </w:tbl>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Off-Balance Sheet Arran</w:t>
      </w:r>
      <w:r>
        <w:rPr>
          <w:rFonts w:eastAsia="Times New Roman"/>
          <w:b/>
          <w:bCs/>
          <w:color w:val="000000"/>
          <w:sz w:val="20"/>
          <w:szCs w:val="20"/>
        </w:rPr>
        <w:t>gement</w:t>
      </w:r>
      <w:r>
        <w:rPr>
          <w:rFonts w:eastAsia="Times New Roman"/>
          <w:b/>
          <w:bCs/>
          <w:color w:val="000000"/>
          <w:sz w:val="20"/>
          <w:szCs w:val="20"/>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Company’s off-balance sheet arrangements are limited to outstanding letters of credit.  Letters of credit allow the Company to purchase inventory, primarily sourced overseas, in a timely manner and support certain risk management programs</w:t>
      </w:r>
      <w:r>
        <w:rPr>
          <w:rFonts w:eastAsia="Times New Roman"/>
          <w:color w:val="000000"/>
          <w:sz w:val="20"/>
          <w:szCs w:val="20"/>
        </w:rPr>
        <w:t>.</w:t>
      </w:r>
    </w:p>
    <w:p w:rsidR="00000000" w:rsidRDefault="0016787D">
      <w:pPr>
        <w:jc w:val="both"/>
        <w:rPr>
          <w:rFonts w:eastAsia="Times New Roman"/>
        </w:rPr>
      </w:pPr>
    </w:p>
    <w:p w:rsidR="00000000" w:rsidRDefault="0016787D">
      <w:pPr>
        <w:divId w:val="1642812109"/>
        <w:rPr>
          <w:rFonts w:eastAsia="Times New Roman"/>
        </w:rPr>
      </w:pPr>
      <w:r>
        <w:rPr>
          <w:rFonts w:eastAsia="Times New Roman"/>
          <w:b/>
          <w:bCs/>
          <w:color w:val="000000"/>
          <w:sz w:val="20"/>
          <w:szCs w:val="20"/>
        </w:rPr>
        <w:t>Significant Contractual Obligations and Commercial Commitment</w:t>
      </w:r>
      <w:r>
        <w:rPr>
          <w:rFonts w:eastAsia="Times New Roman"/>
          <w:b/>
          <w:bCs/>
          <w:color w:val="000000"/>
          <w:sz w:val="20"/>
          <w:szCs w:val="20"/>
        </w:rPr>
        <w:t>s</w:t>
      </w:r>
    </w:p>
    <w:p w:rsidR="00000000" w:rsidRDefault="0016787D">
      <w:pPr>
        <w:divId w:val="451091603"/>
        <w:rPr>
          <w:rFonts w:eastAsia="Times New Roman"/>
        </w:rPr>
      </w:pPr>
    </w:p>
    <w:p w:rsidR="00000000" w:rsidRDefault="0016787D">
      <w:pPr>
        <w:jc w:val="both"/>
        <w:rPr>
          <w:rFonts w:eastAsia="Times New Roman"/>
        </w:rPr>
      </w:pPr>
      <w:r>
        <w:rPr>
          <w:rFonts w:eastAsia="Times New Roman"/>
          <w:color w:val="000000"/>
          <w:sz w:val="20"/>
          <w:szCs w:val="20"/>
        </w:rPr>
        <w:t>At June 27, 2020, there were no material commitments related to real estate or construction projects extending greater than twelve months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At June 27, 2020, there were $52.4 million of outs</w:t>
      </w:r>
      <w:r>
        <w:rPr>
          <w:rFonts w:eastAsia="Times New Roman"/>
          <w:color w:val="000000"/>
          <w:sz w:val="20"/>
          <w:szCs w:val="20"/>
        </w:rPr>
        <w:t>tanding letters of credit under the 2016 Senior Credit Facility</w:t>
      </w:r>
      <w:r>
        <w:rPr>
          <w:rFonts w:eastAsia="Times New Roman"/>
          <w:color w:val="000000"/>
          <w:sz w:val="20"/>
          <w:szCs w:val="20"/>
        </w:rPr>
        <w:t>.</w:t>
      </w:r>
    </w:p>
    <w:p w:rsidR="00000000" w:rsidRDefault="0016787D">
      <w:pPr>
        <w:jc w:val="both"/>
        <w:rPr>
          <w:rFonts w:eastAsia="Times New Roman"/>
        </w:rPr>
      </w:pPr>
    </w:p>
    <w:p w:rsidR="00000000" w:rsidRDefault="0016787D">
      <w:pPr>
        <w:divId w:val="1340084124"/>
        <w:rPr>
          <w:rFonts w:eastAsia="Times New Roman"/>
        </w:rPr>
      </w:pPr>
      <w:r>
        <w:rPr>
          <w:rFonts w:eastAsia="Times New Roman"/>
          <w:b/>
          <w:bCs/>
          <w:color w:val="000000"/>
          <w:sz w:val="20"/>
          <w:szCs w:val="20"/>
        </w:rPr>
        <w:t>Significant Accounting Policies and Estimate</w:t>
      </w:r>
      <w:r>
        <w:rPr>
          <w:rFonts w:eastAsia="Times New Roman"/>
          <w:b/>
          <w:bCs/>
          <w:color w:val="000000"/>
          <w:sz w:val="20"/>
          <w:szCs w:val="20"/>
        </w:rPr>
        <w:t>s</w:t>
      </w:r>
    </w:p>
    <w:p w:rsidR="00000000" w:rsidRDefault="0016787D">
      <w:pPr>
        <w:divId w:val="1733849392"/>
        <w:rPr>
          <w:rFonts w:eastAsia="Times New Roman"/>
        </w:rPr>
      </w:pPr>
    </w:p>
    <w:p w:rsidR="00000000" w:rsidRDefault="0016787D">
      <w:pPr>
        <w:jc w:val="both"/>
        <w:rPr>
          <w:rFonts w:eastAsia="Times New Roman"/>
        </w:rPr>
      </w:pPr>
      <w:r>
        <w:rPr>
          <w:rFonts w:eastAsia="Times New Roman"/>
          <w:color w:val="000000"/>
          <w:sz w:val="20"/>
          <w:szCs w:val="20"/>
        </w:rPr>
        <w:t xml:space="preserve">Management’s discussion and analysis of the Company’s financial position and results of operations are based upon its Condensed Consolidated </w:t>
      </w:r>
      <w:r>
        <w:rPr>
          <w:rFonts w:eastAsia="Times New Roman"/>
          <w:color w:val="000000"/>
          <w:sz w:val="20"/>
          <w:szCs w:val="20"/>
        </w:rPr>
        <w:t>Financial Statements, which have been prepared in accordance with U.S. GAAP. The preparation of these financial statements requires management to make informed estimates and judgments that affect the reported amounts of assets, liabilities, revenues and ex</w:t>
      </w:r>
      <w:r>
        <w:rPr>
          <w:rFonts w:eastAsia="Times New Roman"/>
          <w:color w:val="000000"/>
          <w:sz w:val="20"/>
          <w:szCs w:val="20"/>
        </w:rPr>
        <w:t>penses, and related disclosure of contingent assets and liabilities.  The Company’s significant accounting policies, including areas of critical management judgments and estimates, have primary impact on the following financial statement areas</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82"/>
        <w:gridCol w:w="222"/>
        <w:gridCol w:w="83"/>
        <w:gridCol w:w="83"/>
        <w:gridCol w:w="2785"/>
        <w:gridCol w:w="83"/>
        <w:gridCol w:w="83"/>
        <w:gridCol w:w="161"/>
        <w:gridCol w:w="83"/>
        <w:gridCol w:w="83"/>
        <w:gridCol w:w="4462"/>
        <w:gridCol w:w="83"/>
      </w:tblGrid>
      <w:tr w:rsidR="00000000">
        <w:trPr>
          <w:divId w:val="327444094"/>
        </w:trPr>
        <w:tc>
          <w:tcPr>
            <w:tcW w:w="50" w:type="pct"/>
            <w:vAlign w:val="center"/>
            <w:hideMark/>
          </w:tcPr>
          <w:p w:rsidR="00000000" w:rsidRDefault="0016787D">
            <w:pPr>
              <w:jc w:val="both"/>
              <w:rPr>
                <w:rFonts w:eastAsia="Times New Roman"/>
              </w:rPr>
            </w:pPr>
          </w:p>
        </w:tc>
        <w:tc>
          <w:tcPr>
            <w:tcW w:w="134"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678"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9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268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327444094"/>
        </w:trPr>
        <w:tc>
          <w:tcPr>
            <w:tcW w:w="0" w:type="auto"/>
            <w:gridSpan w:val="3"/>
            <w:shd w:val="clear" w:color="auto" w:fill="CCEE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Inventory valuatio</w:t>
            </w:r>
            <w:r>
              <w:rPr>
                <w:rFonts w:eastAsia="Times New Roman"/>
                <w:color w:val="000000"/>
                <w:sz w:val="20"/>
                <w:szCs w:val="20"/>
              </w:rPr>
              <w:t>n</w:t>
            </w:r>
          </w:p>
        </w:tc>
        <w:tc>
          <w:tcPr>
            <w:tcW w:w="0" w:type="auto"/>
            <w:gridSpan w:val="3"/>
            <w:shd w:val="clear" w:color="auto" w:fill="CCEE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w:t>
            </w:r>
          </w:p>
        </w:tc>
        <w:tc>
          <w:tcPr>
            <w:tcW w:w="0" w:type="auto"/>
            <w:gridSpan w:val="3"/>
            <w:shd w:val="clear" w:color="auto" w:fill="CCEE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Impairment of long-lived asset</w:t>
            </w:r>
            <w:r>
              <w:rPr>
                <w:rFonts w:eastAsia="Times New Roman"/>
                <w:color w:val="000000"/>
                <w:sz w:val="20"/>
                <w:szCs w:val="20"/>
              </w:rPr>
              <w:t>s</w:t>
            </w:r>
          </w:p>
        </w:tc>
      </w:tr>
      <w:tr w:rsidR="00000000">
        <w:trPr>
          <w:divId w:val="327444094"/>
        </w:trPr>
        <w:tc>
          <w:tcPr>
            <w:tcW w:w="0" w:type="auto"/>
            <w:gridSpan w:val="3"/>
            <w:shd w:val="clear" w:color="auto" w:fill="FFFF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Self-insurance reserve</w:t>
            </w:r>
            <w:r>
              <w:rPr>
                <w:rFonts w:eastAsia="Times New Roman"/>
                <w:color w:val="000000"/>
                <w:sz w:val="20"/>
                <w:szCs w:val="20"/>
              </w:rPr>
              <w:t>s</w:t>
            </w:r>
          </w:p>
        </w:tc>
        <w:tc>
          <w:tcPr>
            <w:tcW w:w="0" w:type="auto"/>
            <w:gridSpan w:val="3"/>
            <w:shd w:val="clear" w:color="auto" w:fill="FFFF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w:t>
            </w:r>
          </w:p>
        </w:tc>
        <w:tc>
          <w:tcPr>
            <w:tcW w:w="0" w:type="auto"/>
            <w:gridSpan w:val="3"/>
            <w:shd w:val="clear" w:color="auto" w:fill="FFFFFF"/>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Impairment of goodwill and other indefinite-lived intangible asset</w:t>
            </w:r>
            <w:r>
              <w:rPr>
                <w:rFonts w:eastAsia="Times New Roman"/>
                <w:color w:val="000000"/>
                <w:sz w:val="20"/>
                <w:szCs w:val="20"/>
              </w:rPr>
              <w:t>s</w:t>
            </w:r>
          </w:p>
        </w:tc>
      </w:tr>
      <w:tr w:rsidR="00000000">
        <w:trPr>
          <w:divId w:val="327444094"/>
          <w:trHeight w:val="120"/>
        </w:trPr>
        <w:tc>
          <w:tcPr>
            <w:tcW w:w="0" w:type="auto"/>
            <w:gridSpan w:val="3"/>
            <w:tcMar>
              <w:top w:w="15" w:type="dxa"/>
              <w:left w:w="20" w:type="dxa"/>
              <w:bottom w:w="15" w:type="dxa"/>
              <w:right w:w="20" w:type="dxa"/>
            </w:tcMar>
            <w:vAlign w:val="bottom"/>
            <w:hideMark/>
          </w:tcPr>
          <w:p w:rsidR="00000000" w:rsidRDefault="0016787D">
            <w:pPr>
              <w:rPr>
                <w:rFonts w:eastAsia="Times New Roman"/>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c>
          <w:tcPr>
            <w:tcW w:w="0" w:type="auto"/>
            <w:gridSpan w:val="3"/>
            <w:tcMar>
              <w:top w:w="15" w:type="dxa"/>
              <w:left w:w="20" w:type="dxa"/>
              <w:bottom w:w="15" w:type="dxa"/>
              <w:right w:w="20" w:type="dxa"/>
            </w:tcMar>
            <w:vAlign w:val="bottom"/>
            <w:hideMark/>
          </w:tcPr>
          <w:p w:rsidR="00000000" w:rsidRDefault="0016787D">
            <w:pPr>
              <w:rPr>
                <w:rFonts w:eastAsia="Times New Roman"/>
                <w:sz w:val="20"/>
                <w:szCs w:val="20"/>
              </w:rPr>
            </w:pPr>
          </w:p>
        </w:tc>
      </w:tr>
    </w:tbl>
    <w:p w:rsidR="00000000" w:rsidRDefault="0016787D">
      <w:pPr>
        <w:jc w:val="both"/>
        <w:rPr>
          <w:rFonts w:eastAsia="Times New Roman"/>
        </w:rPr>
      </w:pPr>
      <w:r>
        <w:rPr>
          <w:rFonts w:eastAsia="Times New Roman"/>
          <w:color w:val="000000"/>
          <w:sz w:val="20"/>
          <w:szCs w:val="20"/>
        </w:rPr>
        <w:t>See the Notes to the Consolidated Financial Statements in our Annual Report on Form 10-K for the fiscal year ended December 28, 2019, for a discussion of the Company’s critical accounting policies.  The Company’s financial position and/or results of operat</w:t>
      </w:r>
      <w:r>
        <w:rPr>
          <w:rFonts w:eastAsia="Times New Roman"/>
          <w:color w:val="000000"/>
          <w:sz w:val="20"/>
          <w:szCs w:val="20"/>
        </w:rPr>
        <w:t>ions may be materially different when reported under different conditions or when using different assumptions in the application of such policies.  In the event estimates or assumptions prove to be different from actual amounts, adjustments are made in sub</w:t>
      </w:r>
      <w:r>
        <w:rPr>
          <w:rFonts w:eastAsia="Times New Roman"/>
          <w:color w:val="000000"/>
          <w:sz w:val="20"/>
          <w:szCs w:val="20"/>
        </w:rPr>
        <w:t>sequent periods to reflect more current information</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p>
    <w:p w:rsidR="00000000" w:rsidRDefault="0016787D">
      <w:pPr>
        <w:jc w:val="both"/>
        <w:rPr>
          <w:rFonts w:eastAsia="Times New Roman"/>
        </w:rPr>
      </w:pPr>
    </w:p>
    <w:p w:rsidR="00000000" w:rsidRDefault="0016787D">
      <w:pPr>
        <w:jc w:val="both"/>
        <w:rPr>
          <w:rFonts w:eastAsia="Times New Roman"/>
        </w:rPr>
      </w:pPr>
    </w:p>
    <w:p w:rsidR="00000000" w:rsidRDefault="0016787D">
      <w:pPr>
        <w:jc w:val="center"/>
        <w:divId w:val="436682691"/>
        <w:rPr>
          <w:rFonts w:eastAsia="Times New Roman"/>
        </w:rPr>
      </w:pPr>
      <w:r>
        <w:rPr>
          <w:rFonts w:eastAsia="Times New Roman"/>
          <w:color w:val="000000"/>
          <w:sz w:val="20"/>
          <w:szCs w:val="20"/>
        </w:rPr>
        <w:t>Page 2</w:t>
      </w:r>
      <w:r>
        <w:rPr>
          <w:rFonts w:eastAsia="Times New Roman"/>
          <w:color w:val="000000"/>
          <w:sz w:val="20"/>
          <w:szCs w:val="20"/>
        </w:rPr>
        <w:t>8</w:t>
      </w:r>
    </w:p>
    <w:p w:rsidR="00000000" w:rsidRDefault="0016787D">
      <w:pPr>
        <w:rPr>
          <w:rFonts w:eastAsia="Times New Roman"/>
        </w:rPr>
      </w:pPr>
      <w:r>
        <w:rPr>
          <w:rFonts w:eastAsia="Times New Roman"/>
        </w:rPr>
        <w:pict>
          <v:rect id="_x0000_i1053" style="width:0;height:1.5pt" o:hralign="center" o:hrstd="t" o:hr="t" fillcolor="#a0a0a0" stroked="f"/>
        </w:pict>
      </w:r>
    </w:p>
    <w:p w:rsidR="00000000" w:rsidRDefault="0016787D">
      <w:pPr>
        <w:divId w:val="1666544800"/>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color w:val="000000"/>
          <w:sz w:val="20"/>
          <w:szCs w:val="20"/>
        </w:rPr>
        <w:t>New Accounting Pronouncements</w:t>
      </w:r>
      <w:r>
        <w:rPr>
          <w:rFonts w:eastAsia="Times New Roman"/>
          <w:b/>
          <w:bCs/>
          <w:color w:val="000000"/>
          <w:sz w:val="20"/>
          <w:szCs w:val="20"/>
        </w:rPr>
        <w:t>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Refer to Note 12 to the Condensed Consolidated Financial Statements for recently adopted accounting pronouncements and recently issued accounting pronouncements not yet adopted as of June 27, 2020</w:t>
      </w:r>
      <w:r>
        <w:rPr>
          <w:rFonts w:eastAsia="Times New Roman"/>
          <w:color w:val="000000"/>
          <w:sz w:val="20"/>
          <w:szCs w:val="20"/>
        </w:rPr>
        <w:t>.</w:t>
      </w:r>
    </w:p>
    <w:p w:rsidR="00000000" w:rsidRDefault="0016787D">
      <w:pPr>
        <w:jc w:val="both"/>
        <w:rPr>
          <w:rFonts w:eastAsia="Times New Roman"/>
        </w:rPr>
      </w:pPr>
    </w:p>
    <w:p w:rsidR="00000000" w:rsidRDefault="0016787D">
      <w:pPr>
        <w:divId w:val="306010679"/>
        <w:rPr>
          <w:rFonts w:eastAsia="Times New Roman"/>
        </w:rPr>
      </w:pPr>
      <w:r>
        <w:rPr>
          <w:rFonts w:eastAsia="Times New Roman"/>
          <w:b/>
          <w:bCs/>
          <w:color w:val="000000"/>
          <w:sz w:val="20"/>
          <w:szCs w:val="20"/>
          <w:u w:val="single"/>
        </w:rPr>
        <w:t xml:space="preserve">Item 3.  Quantitative and Qualitative Disclosures About </w:t>
      </w:r>
      <w:r>
        <w:rPr>
          <w:rFonts w:eastAsia="Times New Roman"/>
          <w:b/>
          <w:bCs/>
          <w:color w:val="000000"/>
          <w:sz w:val="20"/>
          <w:szCs w:val="20"/>
          <w:u w:val="single"/>
        </w:rPr>
        <w:t>Market Ris</w:t>
      </w:r>
      <w:r>
        <w:rPr>
          <w:rFonts w:eastAsia="Times New Roman"/>
          <w:b/>
          <w:bCs/>
          <w:color w:val="000000"/>
          <w:sz w:val="20"/>
          <w:szCs w:val="20"/>
          <w:u w:val="single"/>
        </w:rPr>
        <w:t>k</w:t>
      </w:r>
    </w:p>
    <w:p w:rsidR="00000000" w:rsidRDefault="0016787D">
      <w:pPr>
        <w:divId w:val="616714932"/>
        <w:rPr>
          <w:rFonts w:eastAsia="Times New Roman"/>
        </w:rPr>
      </w:pPr>
    </w:p>
    <w:p w:rsidR="00000000" w:rsidRDefault="0016787D">
      <w:pPr>
        <w:jc w:val="both"/>
        <w:rPr>
          <w:rFonts w:eastAsia="Times New Roman"/>
        </w:rPr>
      </w:pPr>
      <w:r>
        <w:rPr>
          <w:rFonts w:eastAsia="Times New Roman"/>
          <w:b/>
          <w:bCs/>
          <w:color w:val="000000"/>
          <w:sz w:val="20"/>
          <w:szCs w:val="20"/>
        </w:rPr>
        <w:t>Interest Rate Ris</w:t>
      </w:r>
      <w:r>
        <w:rPr>
          <w:rFonts w:eastAsia="Times New Roman"/>
          <w:b/>
          <w:bCs/>
          <w:color w:val="000000"/>
          <w:sz w:val="20"/>
          <w:szCs w:val="20"/>
        </w:rPr>
        <w:t>k</w:t>
      </w:r>
    </w:p>
    <w:p w:rsidR="00000000" w:rsidRDefault="0016787D">
      <w:pPr>
        <w:divId w:val="1783911729"/>
        <w:rPr>
          <w:rFonts w:eastAsia="Times New Roman"/>
        </w:rPr>
      </w:pPr>
    </w:p>
    <w:p w:rsidR="00000000" w:rsidRDefault="0016787D">
      <w:pPr>
        <w:jc w:val="both"/>
        <w:rPr>
          <w:rFonts w:eastAsia="Times New Roman"/>
        </w:rPr>
      </w:pPr>
      <w:r>
        <w:rPr>
          <w:rFonts w:eastAsia="Times New Roman"/>
          <w:color w:val="000000"/>
          <w:sz w:val="20"/>
          <w:szCs w:val="20"/>
        </w:rPr>
        <w:t>We are exposed to interest rate changes, primarily as a result of borrowings under our 2016 Senior Credit Facility (as discussed in Note 5 to the Condensed Consolidated Financial Statements) which bear interest based on v</w:t>
      </w:r>
      <w:r>
        <w:rPr>
          <w:rFonts w:eastAsia="Times New Roman"/>
          <w:color w:val="000000"/>
          <w:sz w:val="20"/>
          <w:szCs w:val="20"/>
        </w:rPr>
        <w:t>ariable rates.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As discussed in Note 6 to the Condensed Consolidated Financial Statements, we entered into interest rate swap agreements which are intended to mitigate interest rate risk associated with future changes in interest rates for the term loan </w:t>
      </w:r>
      <w:r>
        <w:rPr>
          <w:rFonts w:eastAsia="Times New Roman"/>
          <w:color w:val="000000"/>
          <w:sz w:val="20"/>
          <w:szCs w:val="20"/>
        </w:rPr>
        <w:t>borrowings under the 2016 Senior Credit Facility. As a result of these interest rate swaps, our exposure to interest rate volatility is minimized. The interest rate swap agreements have been executed for risk management purposes and are not held for tradin</w:t>
      </w:r>
      <w:r>
        <w:rPr>
          <w:rFonts w:eastAsia="Times New Roman"/>
          <w:color w:val="000000"/>
          <w:sz w:val="20"/>
          <w:szCs w:val="20"/>
        </w:rPr>
        <w:t>g purposes.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 xml:space="preserve">A 1% change in interest rates on our variable rate debt in excess of that amount covered by the interest rate swaps would have affected interest expense by approximately $0.9 million and $0.5 million for the three months ended June 27, 2020 </w:t>
      </w:r>
      <w:r>
        <w:rPr>
          <w:rFonts w:eastAsia="Times New Roman"/>
          <w:color w:val="000000"/>
          <w:sz w:val="20"/>
          <w:szCs w:val="20"/>
        </w:rPr>
        <w:t>and June 29, 2019, respectively, and $1.4 million and $0.9 million for the six months ended June 27, 2020 and June 29, 2019, respectively</w:t>
      </w:r>
      <w:r>
        <w:rPr>
          <w:rFonts w:eastAsia="Times New Roman"/>
          <w:color w:val="000000"/>
          <w:sz w:val="20"/>
          <w:szCs w:val="20"/>
        </w:rPr>
        <w:t>.</w:t>
      </w:r>
    </w:p>
    <w:p w:rsidR="00000000" w:rsidRDefault="0016787D">
      <w:pPr>
        <w:divId w:val="1742212749"/>
        <w:rPr>
          <w:rFonts w:eastAsia="Times New Roman"/>
        </w:rPr>
      </w:pPr>
    </w:p>
    <w:p w:rsidR="00000000" w:rsidRDefault="0016787D">
      <w:pPr>
        <w:divId w:val="1028145639"/>
        <w:rPr>
          <w:rFonts w:eastAsia="Times New Roman"/>
        </w:rPr>
      </w:pPr>
      <w:r>
        <w:rPr>
          <w:rFonts w:eastAsia="Times New Roman"/>
          <w:b/>
          <w:bCs/>
          <w:color w:val="000000"/>
          <w:sz w:val="20"/>
          <w:szCs w:val="20"/>
        </w:rPr>
        <w:t>Purchase Price Volatilit</w:t>
      </w:r>
      <w:r>
        <w:rPr>
          <w:rFonts w:eastAsia="Times New Roman"/>
          <w:b/>
          <w:bCs/>
          <w:color w:val="000000"/>
          <w:sz w:val="20"/>
          <w:szCs w:val="20"/>
        </w:rPr>
        <w:t>y</w:t>
      </w:r>
    </w:p>
    <w:p w:rsidR="00000000" w:rsidRDefault="0016787D">
      <w:pPr>
        <w:divId w:val="1384910270"/>
        <w:rPr>
          <w:rFonts w:eastAsia="Times New Roman"/>
        </w:rPr>
      </w:pPr>
    </w:p>
    <w:p w:rsidR="00000000" w:rsidRDefault="0016787D">
      <w:pPr>
        <w:jc w:val="both"/>
        <w:rPr>
          <w:rFonts w:eastAsia="Times New Roman"/>
        </w:rPr>
      </w:pPr>
      <w:r>
        <w:rPr>
          <w:rFonts w:eastAsia="Times New Roman"/>
          <w:color w:val="000000"/>
          <w:sz w:val="20"/>
          <w:szCs w:val="20"/>
        </w:rPr>
        <w:t>Although we cannot determine the full effect of inflation and deflation on our operatio</w:t>
      </w:r>
      <w:r>
        <w:rPr>
          <w:rFonts w:eastAsia="Times New Roman"/>
          <w:color w:val="000000"/>
          <w:sz w:val="20"/>
          <w:szCs w:val="20"/>
        </w:rPr>
        <w:t>ns, we believe our sales and results of operations are affected by both.  We are subject to market risk with respect to the pricing of certain products and services, which include, among other items, grain, corn, steel, petroleum, cotton, and other commodi</w:t>
      </w:r>
      <w:r>
        <w:rPr>
          <w:rFonts w:eastAsia="Times New Roman"/>
          <w:color w:val="000000"/>
          <w:sz w:val="20"/>
          <w:szCs w:val="20"/>
        </w:rPr>
        <w:t>ties, as well as transportation services.  Therefore, we may experience both inflationary and deflationary pressure on product cost, which may impact consumer demand and, as a result, sales and gross margin. Our strategy is to reduce or mitigate the effect</w:t>
      </w:r>
      <w:r>
        <w:rPr>
          <w:rFonts w:eastAsia="Times New Roman"/>
          <w:color w:val="000000"/>
          <w:sz w:val="20"/>
          <w:szCs w:val="20"/>
        </w:rPr>
        <w:t>s of purchase price volatility principally by taking advantage of vendor incentive programs, growing economies of scale from increased volume of purchases, adjusting retail prices and selectively buying from the most competitive vendors without sacrificing</w:t>
      </w:r>
      <w:r>
        <w:rPr>
          <w:rFonts w:eastAsia="Times New Roman"/>
          <w:color w:val="000000"/>
          <w:sz w:val="20"/>
          <w:szCs w:val="20"/>
        </w:rPr>
        <w:t xml:space="preserve"> quality.</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u w:val="single"/>
        </w:rPr>
        <w:t>Item 4.  Controls and Procedure</w:t>
      </w:r>
      <w:r>
        <w:rPr>
          <w:rFonts w:eastAsia="Times New Roman"/>
          <w:b/>
          <w:bCs/>
          <w:color w:val="000000"/>
          <w:sz w:val="20"/>
          <w:szCs w:val="20"/>
          <w:u w:val="single"/>
        </w:rPr>
        <w:t>s</w:t>
      </w:r>
    </w:p>
    <w:p w:rsidR="00000000" w:rsidRDefault="0016787D">
      <w:pPr>
        <w:jc w:val="both"/>
        <w:rPr>
          <w:rFonts w:eastAsia="Times New Roman"/>
        </w:rPr>
      </w:pPr>
      <w:r>
        <w:rPr>
          <w:rFonts w:eastAsia="Times New Roman"/>
          <w:color w:val="000000"/>
          <w:sz w:val="20"/>
          <w:szCs w:val="20"/>
        </w:rPr>
        <w:t> </w:t>
      </w:r>
    </w:p>
    <w:p w:rsidR="00000000" w:rsidRDefault="0016787D">
      <w:pPr>
        <w:jc w:val="both"/>
        <w:rPr>
          <w:rFonts w:eastAsia="Times New Roman"/>
        </w:rPr>
      </w:pPr>
      <w:r>
        <w:rPr>
          <w:rFonts w:eastAsia="Times New Roman"/>
          <w:b/>
          <w:bCs/>
          <w:color w:val="000000"/>
          <w:sz w:val="20"/>
          <w:szCs w:val="20"/>
        </w:rPr>
        <w:t>Disclosure Controls and Procedure</w:t>
      </w:r>
      <w:r>
        <w:rPr>
          <w:rFonts w:eastAsia="Times New Roman"/>
          <w:b/>
          <w:bCs/>
          <w:color w:val="000000"/>
          <w:sz w:val="20"/>
          <w:szCs w:val="20"/>
        </w:rPr>
        <w:t>s</w:t>
      </w:r>
    </w:p>
    <w:p w:rsidR="00000000" w:rsidRDefault="0016787D">
      <w:pPr>
        <w:divId w:val="905527699"/>
        <w:rPr>
          <w:rFonts w:eastAsia="Times New Roman"/>
        </w:rPr>
      </w:pPr>
    </w:p>
    <w:p w:rsidR="00000000" w:rsidRDefault="0016787D">
      <w:pPr>
        <w:jc w:val="both"/>
        <w:rPr>
          <w:rFonts w:eastAsia="Times New Roman"/>
        </w:rPr>
      </w:pPr>
      <w:r>
        <w:rPr>
          <w:rFonts w:eastAsia="Times New Roman"/>
          <w:color w:val="000000"/>
          <w:sz w:val="20"/>
          <w:szCs w:val="20"/>
        </w:rPr>
        <w:t>We carried out an evaluation required by the Securities Exchange Act of 1934, as amended (the “1934 Act”), under the supervision and with the participation of our principa</w:t>
      </w:r>
      <w:r>
        <w:rPr>
          <w:rFonts w:eastAsia="Times New Roman"/>
          <w:color w:val="000000"/>
          <w:sz w:val="20"/>
          <w:szCs w:val="20"/>
        </w:rPr>
        <w:t xml:space="preserve">l executive officer and principal financial officer, of the effectiveness of the design and operation of our disclosure controls and procedures (as defined in Rule 13a-15(e) and 15d-15(e) under the 1934 Act) as of June 27, 2020.  Based on this evaluation, </w:t>
      </w:r>
      <w:r>
        <w:rPr>
          <w:rFonts w:eastAsia="Times New Roman"/>
          <w:color w:val="000000"/>
          <w:sz w:val="20"/>
          <w:szCs w:val="20"/>
        </w:rPr>
        <w:t>our principal executive officer and principal financial officer concluded that, as of June 27, 2020, our disclosure controls and procedures were effective</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b/>
          <w:bCs/>
          <w:color w:val="000000"/>
          <w:sz w:val="20"/>
          <w:szCs w:val="20"/>
        </w:rPr>
        <w:t>Internal Control over Financial Reportin</w:t>
      </w:r>
      <w:r>
        <w:rPr>
          <w:rFonts w:eastAsia="Times New Roman"/>
          <w:b/>
          <w:bCs/>
          <w:color w:val="000000"/>
          <w:sz w:val="20"/>
          <w:szCs w:val="20"/>
        </w:rPr>
        <w:t>g</w:t>
      </w:r>
    </w:p>
    <w:p w:rsidR="00000000" w:rsidRDefault="0016787D">
      <w:pPr>
        <w:divId w:val="952790267"/>
        <w:rPr>
          <w:rFonts w:eastAsia="Times New Roman"/>
        </w:rPr>
      </w:pPr>
    </w:p>
    <w:p w:rsidR="00000000" w:rsidRDefault="0016787D">
      <w:pPr>
        <w:jc w:val="both"/>
        <w:rPr>
          <w:rFonts w:eastAsia="Times New Roman"/>
        </w:rPr>
      </w:pPr>
      <w:r>
        <w:rPr>
          <w:rFonts w:eastAsia="Times New Roman"/>
          <w:color w:val="000000"/>
          <w:sz w:val="20"/>
          <w:szCs w:val="20"/>
        </w:rPr>
        <w:t>There were no changes in our internal control over fin</w:t>
      </w:r>
      <w:r>
        <w:rPr>
          <w:rFonts w:eastAsia="Times New Roman"/>
          <w:color w:val="000000"/>
          <w:sz w:val="20"/>
          <w:szCs w:val="20"/>
        </w:rPr>
        <w:t>ancial reporting that occurred during our last fiscal quarter that have materially affected, or are reasonably likely to materially affect, our internal control over financial reporting</w:t>
      </w:r>
      <w:r>
        <w:rPr>
          <w:rFonts w:eastAsia="Times New Roman"/>
          <w:color w:val="000000"/>
          <w:sz w:val="20"/>
          <w:szCs w:val="20"/>
        </w:rPr>
        <w:t>.</w:t>
      </w:r>
    </w:p>
    <w:p w:rsidR="00000000" w:rsidRDefault="0016787D">
      <w:pPr>
        <w:jc w:val="both"/>
        <w:rPr>
          <w:rFonts w:eastAsia="Times New Roman"/>
        </w:rPr>
      </w:pPr>
    </w:p>
    <w:p w:rsidR="00000000" w:rsidRDefault="0016787D">
      <w:pPr>
        <w:jc w:val="center"/>
        <w:rPr>
          <w:rFonts w:eastAsia="Times New Roman"/>
        </w:rPr>
      </w:pPr>
      <w:r>
        <w:rPr>
          <w:rFonts w:eastAsia="Times New Roman"/>
          <w:b/>
          <w:bCs/>
          <w:color w:val="000000"/>
          <w:sz w:val="20"/>
          <w:szCs w:val="20"/>
          <w:u w:val="single"/>
        </w:rPr>
        <w:t>PART II.  OTHER INFORMATIO</w:t>
      </w:r>
      <w:r>
        <w:rPr>
          <w:rFonts w:eastAsia="Times New Roman"/>
          <w:b/>
          <w:bCs/>
          <w:color w:val="000000"/>
          <w:sz w:val="20"/>
          <w:szCs w:val="20"/>
          <w:u w:val="single"/>
        </w:rPr>
        <w:t>N</w:t>
      </w:r>
    </w:p>
    <w:p w:rsidR="00000000" w:rsidRDefault="0016787D">
      <w:pPr>
        <w:divId w:val="2060517696"/>
        <w:rPr>
          <w:rFonts w:eastAsia="Times New Roman"/>
        </w:rPr>
      </w:pPr>
    </w:p>
    <w:p w:rsidR="00000000" w:rsidRDefault="0016787D">
      <w:pPr>
        <w:jc w:val="both"/>
        <w:rPr>
          <w:rFonts w:eastAsia="Times New Roman"/>
        </w:rPr>
      </w:pPr>
      <w:r>
        <w:rPr>
          <w:rFonts w:eastAsia="Times New Roman"/>
          <w:b/>
          <w:bCs/>
          <w:color w:val="000000"/>
          <w:sz w:val="20"/>
          <w:szCs w:val="20"/>
          <w:u w:val="single"/>
        </w:rPr>
        <w:t>Item 1.  </w:t>
      </w:r>
      <w:r>
        <w:rPr>
          <w:rFonts w:eastAsia="Times New Roman"/>
          <w:b/>
          <w:bCs/>
          <w:color w:val="000000"/>
          <w:sz w:val="20"/>
          <w:szCs w:val="20"/>
          <w:u w:val="single"/>
        </w:rPr>
        <w:t>Legal Proceeding</w:t>
      </w:r>
      <w:r>
        <w:rPr>
          <w:rFonts w:eastAsia="Times New Roman"/>
          <w:b/>
          <w:bCs/>
          <w:color w:val="000000"/>
          <w:sz w:val="20"/>
          <w:szCs w:val="20"/>
          <w:u w:val="single"/>
        </w:rPr>
        <w:t>s</w:t>
      </w:r>
    </w:p>
    <w:p w:rsidR="00000000" w:rsidRDefault="0016787D">
      <w:pPr>
        <w:divId w:val="2053187799"/>
        <w:rPr>
          <w:rFonts w:eastAsia="Times New Roman"/>
        </w:rPr>
      </w:pPr>
    </w:p>
    <w:p w:rsidR="00000000" w:rsidRDefault="0016787D">
      <w:pPr>
        <w:jc w:val="both"/>
        <w:rPr>
          <w:rFonts w:eastAsia="Times New Roman"/>
        </w:rPr>
      </w:pPr>
      <w:r>
        <w:rPr>
          <w:rFonts w:eastAsia="Times New Roman"/>
          <w:color w:val="000000"/>
          <w:sz w:val="20"/>
          <w:szCs w:val="20"/>
        </w:rPr>
        <w:t>The Company is involved in various litigation matters arising in the ordinary course of business. The Company believes that, based upon information currently available, any estimated loss related to such matters has been adequately prov</w:t>
      </w:r>
      <w:r>
        <w:rPr>
          <w:rFonts w:eastAsia="Times New Roman"/>
          <w:color w:val="000000"/>
          <w:sz w:val="20"/>
          <w:szCs w:val="20"/>
        </w:rPr>
        <w:t>ided for in accrued liabilities to the extent probable and reasonably estimable. Accordingly, the Company currently expects these matters will be resolved without material adverse effect on its consolidated financial position, results of operations, or cas</w:t>
      </w:r>
      <w:r>
        <w:rPr>
          <w:rFonts w:eastAsia="Times New Roman"/>
          <w:color w:val="000000"/>
          <w:sz w:val="20"/>
          <w:szCs w:val="20"/>
        </w:rPr>
        <w:t>h flows.  However, litigation and other legal matters involve an element of uncertainty. Future developments in such matters, including adverse decisions or settlements or resulting required changes to the Company's business operations, could affect our co</w:t>
      </w:r>
      <w:r>
        <w:rPr>
          <w:rFonts w:eastAsia="Times New Roman"/>
          <w:color w:val="000000"/>
          <w:sz w:val="20"/>
          <w:szCs w:val="20"/>
        </w:rPr>
        <w:t>nsolidated operating results when resolved in future periods or could result in liability or other amounts material to the Company's Condensed Consolidated Financial Statements</w:t>
      </w:r>
      <w:r>
        <w:rPr>
          <w:rFonts w:eastAsia="Times New Roman"/>
          <w:color w:val="000000"/>
          <w:sz w:val="20"/>
          <w:szCs w:val="20"/>
        </w:rPr>
        <w:t>.</w:t>
      </w:r>
    </w:p>
    <w:p w:rsidR="00000000" w:rsidRDefault="0016787D">
      <w:pPr>
        <w:jc w:val="center"/>
        <w:divId w:val="1702704634"/>
        <w:rPr>
          <w:rFonts w:eastAsia="Times New Roman"/>
        </w:rPr>
      </w:pPr>
      <w:r>
        <w:rPr>
          <w:rFonts w:eastAsia="Times New Roman"/>
          <w:color w:val="000000"/>
          <w:sz w:val="20"/>
          <w:szCs w:val="20"/>
        </w:rPr>
        <w:t>Page 2</w:t>
      </w:r>
      <w:r>
        <w:rPr>
          <w:rFonts w:eastAsia="Times New Roman"/>
          <w:color w:val="000000"/>
          <w:sz w:val="20"/>
          <w:szCs w:val="20"/>
        </w:rPr>
        <w:t>9</w:t>
      </w:r>
    </w:p>
    <w:p w:rsidR="00000000" w:rsidRDefault="0016787D">
      <w:pPr>
        <w:rPr>
          <w:rFonts w:eastAsia="Times New Roman"/>
        </w:rPr>
      </w:pPr>
      <w:r>
        <w:rPr>
          <w:rFonts w:eastAsia="Times New Roman"/>
        </w:rPr>
        <w:pict>
          <v:rect id="_x0000_i1054" style="width:0;height:1.5pt" o:hralign="center" o:hrstd="t" o:hr="t" fillcolor="#a0a0a0" stroked="f"/>
        </w:pict>
      </w:r>
    </w:p>
    <w:p w:rsidR="00000000" w:rsidRDefault="0016787D">
      <w:pPr>
        <w:divId w:val="585382798"/>
        <w:rPr>
          <w:rFonts w:eastAsia="Times New Roman"/>
        </w:rPr>
      </w:pPr>
      <w:hyperlink w:anchor="i4478e68e5dea442985a910e3b276f92d_7" w:history="1">
        <w:r>
          <w:rPr>
            <w:rStyle w:val="a3"/>
            <w:rFonts w:eastAsia="Times New Roman"/>
            <w:sz w:val="16"/>
            <w:szCs w:val="16"/>
          </w:rPr>
          <w:t>Index</w:t>
        </w:r>
      </w:hyperlink>
    </w:p>
    <w:p w:rsidR="00000000" w:rsidRDefault="0016787D">
      <w:pPr>
        <w:divId w:val="1559127176"/>
        <w:rPr>
          <w:rFonts w:eastAsia="Times New Roman"/>
        </w:rPr>
      </w:pPr>
    </w:p>
    <w:p w:rsidR="00000000" w:rsidRDefault="0016787D">
      <w:pPr>
        <w:jc w:val="both"/>
        <w:rPr>
          <w:rFonts w:eastAsia="Times New Roman"/>
        </w:rPr>
      </w:pPr>
      <w:r>
        <w:rPr>
          <w:rFonts w:eastAsia="Times New Roman"/>
          <w:b/>
          <w:bCs/>
          <w:color w:val="000000"/>
          <w:sz w:val="20"/>
          <w:szCs w:val="20"/>
          <w:u w:val="single"/>
        </w:rPr>
        <w:t>Item 1A.  Risk Factor</w:t>
      </w:r>
      <w:r>
        <w:rPr>
          <w:rFonts w:eastAsia="Times New Roman"/>
          <w:b/>
          <w:bCs/>
          <w:color w:val="000000"/>
          <w:sz w:val="20"/>
          <w:szCs w:val="20"/>
          <w:u w:val="single"/>
        </w:rPr>
        <w:t>s</w:t>
      </w:r>
    </w:p>
    <w:p w:rsidR="00000000" w:rsidRDefault="0016787D">
      <w:pPr>
        <w:divId w:val="1548031731"/>
        <w:rPr>
          <w:rFonts w:eastAsia="Times New Roman"/>
        </w:rPr>
      </w:pPr>
    </w:p>
    <w:p w:rsidR="00000000" w:rsidRDefault="0016787D">
      <w:pPr>
        <w:jc w:val="both"/>
        <w:rPr>
          <w:rFonts w:eastAsia="Times New Roman"/>
        </w:rPr>
      </w:pPr>
      <w:r>
        <w:rPr>
          <w:rFonts w:eastAsia="Times New Roman"/>
          <w:color w:val="000000"/>
          <w:sz w:val="20"/>
          <w:szCs w:val="20"/>
        </w:rPr>
        <w:t>The risk factors described in Part I, Item 1A. “Risk Factors” in our 2019 10-K and in our Quarterly Report on Form 10-Q for the quarter ended March 28, 2020, as revised below, should be carefully con</w:t>
      </w:r>
      <w:r>
        <w:rPr>
          <w:rFonts w:eastAsia="Times New Roman"/>
          <w:color w:val="000000"/>
          <w:sz w:val="20"/>
          <w:szCs w:val="20"/>
        </w:rPr>
        <w:t>sidered, together with the other information contained or incorporated by reference in this Quarterly Report on Form 10-Q and in our other filings with the SEC, in connection with evaluating the Company, our business, and the forward-looking statements con</w:t>
      </w:r>
      <w:r>
        <w:rPr>
          <w:rFonts w:eastAsia="Times New Roman"/>
          <w:color w:val="000000"/>
          <w:sz w:val="20"/>
          <w:szCs w:val="20"/>
        </w:rPr>
        <w:t>tained in this Quarterly Report on Form 10-Q. Other risks that we do not presently know about or that we presently believe are not material could also adversely affect us. The risk factors described below update the risk factors disclosed in Part I, Item 1</w:t>
      </w:r>
      <w:r>
        <w:rPr>
          <w:rFonts w:eastAsia="Times New Roman"/>
          <w:color w:val="000000"/>
          <w:sz w:val="20"/>
          <w:szCs w:val="20"/>
        </w:rPr>
        <w:t>A. “Risk Factors” in our 2019 10-K and in our Quarterly Report on Form 10-Q for the quarter ended March 28, 2020, to include additional information, and should be read in conjunction with the risk factors in our 2019 10-K and our Quarterly Report on Form 1</w:t>
      </w:r>
      <w:r>
        <w:rPr>
          <w:rFonts w:eastAsia="Times New Roman"/>
          <w:color w:val="000000"/>
          <w:sz w:val="20"/>
          <w:szCs w:val="20"/>
        </w:rPr>
        <w:t>0-Q for the quarter ended March 28, 2020</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b/>
          <w:bCs/>
          <w:i/>
          <w:iCs/>
          <w:color w:val="000000"/>
          <w:sz w:val="20"/>
          <w:szCs w:val="20"/>
        </w:rPr>
        <w:t>The COVID-19 coronavirus pandemic could have a material negative effect on our results of operations, cash flows, financial position, and business operations</w:t>
      </w:r>
      <w:r>
        <w:rPr>
          <w:rFonts w:eastAsia="Times New Roman"/>
          <w:b/>
          <w:bCs/>
          <w:i/>
          <w:i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COVID-19 pandemic has created significant publi</w:t>
      </w:r>
      <w:r>
        <w:rPr>
          <w:rFonts w:eastAsia="Times New Roman"/>
          <w:color w:val="000000"/>
          <w:sz w:val="20"/>
          <w:szCs w:val="20"/>
        </w:rPr>
        <w:t>c health concerns as well as economic disruption, uncertainty, and volatility which may negatively affect our business operations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We are unable to predict the impact that COVID-19 will have on our results of operations, cash flows, financial position, and business operations due to numerous uncertainties. These uncertainties include, but are not limited to: the severity of the virus;</w:t>
      </w:r>
      <w:r>
        <w:rPr>
          <w:rFonts w:eastAsia="Times New Roman"/>
          <w:color w:val="000000"/>
          <w:sz w:val="20"/>
          <w:szCs w:val="20"/>
        </w:rPr>
        <w:t xml:space="preserve"> the duration of the pandemic; governmental actions which include restrictions on our operations up to and including potential closure of our stores and distribution centers; the duration and degree of quarantine or shelter-in-place measures, including add</w:t>
      </w:r>
      <w:r>
        <w:rPr>
          <w:rFonts w:eastAsia="Times New Roman"/>
          <w:color w:val="000000"/>
          <w:sz w:val="20"/>
          <w:szCs w:val="20"/>
        </w:rPr>
        <w:t>itional measures that may still occur; impacts on our supply chain which include suppliers of our products and our transportation vendors; the health of our workforce and our ability to maintain staffing needs to operate our business; how macroeconomic fac</w:t>
      </w:r>
      <w:r>
        <w:rPr>
          <w:rFonts w:eastAsia="Times New Roman"/>
          <w:color w:val="000000"/>
          <w:sz w:val="20"/>
          <w:szCs w:val="20"/>
        </w:rPr>
        <w:t>tors evolve including unemployment rates and recessionary pressures; the impact of the crisis on consumer shopping patterns, both during and after the crisis; volatility in the economy as well as the credit and financial markets during and after the pandem</w:t>
      </w:r>
      <w:r>
        <w:rPr>
          <w:rFonts w:eastAsia="Times New Roman"/>
          <w:color w:val="000000"/>
          <w:sz w:val="20"/>
          <w:szCs w:val="20"/>
        </w:rPr>
        <w:t>ic; the incremental costs of doing business during the crisis as well as on a long-term basis; potential increases in insurance premiums, medical claims costs, and workers' compensation claim costs; unknown consequences on our business performance and init</w:t>
      </w:r>
      <w:r>
        <w:rPr>
          <w:rFonts w:eastAsia="Times New Roman"/>
          <w:color w:val="000000"/>
          <w:sz w:val="20"/>
          <w:szCs w:val="20"/>
        </w:rPr>
        <w:t>iatives stemming from the substantial investment of time and other resources to the pandemic response; potential delays in growth initiatives including the timing of new store openings; potential adverse effects on our internal control environment and info</w:t>
      </w:r>
      <w:r>
        <w:rPr>
          <w:rFonts w:eastAsia="Times New Roman"/>
          <w:color w:val="000000"/>
          <w:sz w:val="20"/>
          <w:szCs w:val="20"/>
        </w:rPr>
        <w:t>rmation security as a result of changes to a remote work environment; and the long-term impact of the crisis on our business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addition, we cannot predict the impact that the pandemic will have on our manufacturers and suppliers of our products and oth</w:t>
      </w:r>
      <w:r>
        <w:rPr>
          <w:rFonts w:eastAsia="Times New Roman"/>
          <w:color w:val="000000"/>
          <w:sz w:val="20"/>
          <w:szCs w:val="20"/>
        </w:rPr>
        <w:t>er business partners such as service vendors; however, any material effect on these parties could adversely impact our results of operations and our ability to operate our business effectively</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b/>
          <w:bCs/>
          <w:i/>
          <w:iCs/>
          <w:color w:val="000000"/>
          <w:sz w:val="20"/>
          <w:szCs w:val="20"/>
        </w:rPr>
        <w:t>The COVID-19 coronavirus pandemic could have a material nega</w:t>
      </w:r>
      <w:r>
        <w:rPr>
          <w:rFonts w:eastAsia="Times New Roman"/>
          <w:b/>
          <w:bCs/>
          <w:i/>
          <w:iCs/>
          <w:color w:val="000000"/>
          <w:sz w:val="20"/>
          <w:szCs w:val="20"/>
        </w:rPr>
        <w:t>tive effect on our supply chain</w:t>
      </w:r>
      <w:r>
        <w:rPr>
          <w:rFonts w:eastAsia="Times New Roman"/>
          <w:b/>
          <w:bCs/>
          <w:i/>
          <w:i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Circumstances surrounding and related to the COVID-19 pandemic have created unprecedented impacts on the global supply chain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Our business relies on an efficient and effective supply chain, including the manufacture and t</w:t>
      </w:r>
      <w:r>
        <w:rPr>
          <w:rFonts w:eastAsia="Times New Roman"/>
          <w:color w:val="000000"/>
          <w:sz w:val="20"/>
          <w:szCs w:val="20"/>
        </w:rPr>
        <w:t>ransportation of our products as well as the effective functioning of our distribution centers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Impacts related to the COVID-19 pandemic are placing strain on the domestic and international supply chain that could negatively affect the flow or availability</w:t>
      </w:r>
      <w:r>
        <w:rPr>
          <w:rFonts w:eastAsia="Times New Roman"/>
          <w:color w:val="000000"/>
          <w:sz w:val="20"/>
          <w:szCs w:val="20"/>
        </w:rPr>
        <w:t xml:space="preserve"> of our products and result in higher out-of-stock inventory positions due to difficulties in timely obtaining product from the manufacturers and suppliers of our products as well as transportation of those products to our distribution centers and stores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Further, we may have to source products from different manufacturers or geographic locations which could result in, among other things, higher product costs, increased transportation costs, delays in receiving products or lower quality of the products</w:t>
      </w:r>
      <w:r>
        <w:rPr>
          <w:rFonts w:eastAsia="Times New Roman"/>
          <w:color w:val="000000"/>
          <w:sz w:val="20"/>
          <w:szCs w:val="20"/>
        </w:rPr>
        <w:t>.</w:t>
      </w:r>
      <w:r>
        <w:rPr>
          <w:rFonts w:eastAsia="Times New Roman"/>
          <w:color w:val="00000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Additionally, the operation of our distribution centers is crucial to our business operations</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 xml:space="preserve">If our distribution centers experience closures or worker shortages, whether temporary or sustained, we could sustain significant adverse impacts related to the </w:t>
      </w:r>
      <w:r>
        <w:rPr>
          <w:rFonts w:eastAsia="Times New Roman"/>
          <w:color w:val="000000"/>
          <w:sz w:val="20"/>
          <w:szCs w:val="20"/>
        </w:rPr>
        <w:t>flow or availability of products to our stores and customers.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Any of these circumstances could adversely affect our ability to deliver inventory in a timely manner, which could impair our ability to meet customer demand for products and result in lost s</w:t>
      </w:r>
      <w:r>
        <w:rPr>
          <w:rFonts w:eastAsia="Times New Roman"/>
          <w:color w:val="000000"/>
          <w:sz w:val="20"/>
          <w:szCs w:val="20"/>
        </w:rPr>
        <w:t>ales, increased supply chain costs, or damage to our reputation</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p>
    <w:p w:rsidR="00000000" w:rsidRDefault="0016787D">
      <w:pPr>
        <w:jc w:val="both"/>
        <w:rPr>
          <w:rFonts w:eastAsia="Times New Roman"/>
        </w:rPr>
      </w:pPr>
    </w:p>
    <w:p w:rsidR="00000000" w:rsidRDefault="0016787D">
      <w:pPr>
        <w:jc w:val="both"/>
        <w:rPr>
          <w:rFonts w:eastAsia="Times New Roman"/>
        </w:rPr>
      </w:pPr>
    </w:p>
    <w:p w:rsidR="00000000" w:rsidRDefault="0016787D">
      <w:pPr>
        <w:jc w:val="center"/>
        <w:divId w:val="1814640234"/>
        <w:rPr>
          <w:rFonts w:eastAsia="Times New Roman"/>
        </w:rPr>
      </w:pPr>
      <w:r>
        <w:rPr>
          <w:rFonts w:eastAsia="Times New Roman"/>
          <w:color w:val="000000"/>
          <w:sz w:val="20"/>
          <w:szCs w:val="20"/>
        </w:rPr>
        <w:t>Page 3</w:t>
      </w:r>
      <w:r>
        <w:rPr>
          <w:rFonts w:eastAsia="Times New Roman"/>
          <w:color w:val="000000"/>
          <w:sz w:val="20"/>
          <w:szCs w:val="20"/>
        </w:rPr>
        <w:t>0</w:t>
      </w:r>
    </w:p>
    <w:p w:rsidR="00000000" w:rsidRDefault="0016787D">
      <w:pPr>
        <w:rPr>
          <w:rFonts w:eastAsia="Times New Roman"/>
        </w:rPr>
      </w:pPr>
      <w:r>
        <w:rPr>
          <w:rFonts w:eastAsia="Times New Roman"/>
        </w:rPr>
        <w:pict>
          <v:rect id="_x0000_i1055" style="width:0;height:1.5pt" o:hralign="center" o:hrstd="t" o:hr="t" fillcolor="#a0a0a0" stroked="f"/>
        </w:pict>
      </w:r>
    </w:p>
    <w:p w:rsidR="00000000" w:rsidRDefault="0016787D">
      <w:pPr>
        <w:divId w:val="807556934"/>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i/>
          <w:iCs/>
          <w:color w:val="000000"/>
          <w:sz w:val="20"/>
          <w:szCs w:val="20"/>
        </w:rPr>
        <w:t>Economic impacts stemming from the COVID-19 coronavirus pandemic could significantly impact our financial position, including liquidity, capital allocation,</w:t>
      </w:r>
      <w:r>
        <w:rPr>
          <w:rFonts w:eastAsia="Times New Roman"/>
          <w:b/>
          <w:bCs/>
          <w:i/>
          <w:iCs/>
          <w:color w:val="000000"/>
          <w:sz w:val="20"/>
          <w:szCs w:val="20"/>
        </w:rPr>
        <w:t xml:space="preserve"> and access to capital markets for additional funds to operate our business</w:t>
      </w:r>
      <w:r>
        <w:rPr>
          <w:rFonts w:eastAsia="Times New Roman"/>
          <w:b/>
          <w:bCs/>
          <w:i/>
          <w:i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an effort to strengthen our liquidity and preserve cash while navigating the COVID-19 pandemic, we have taken preemptive actions, including incremental borrowings under our d</w:t>
      </w:r>
      <w:r>
        <w:rPr>
          <w:rFonts w:eastAsia="Times New Roman"/>
          <w:color w:val="000000"/>
          <w:sz w:val="20"/>
          <w:szCs w:val="20"/>
        </w:rPr>
        <w:t>ebt facilities and suspension of our share repurchase program</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increased debt levels have increased our interest expense costs and could place us at higher risk of default or limit our future financial flexibility. Further, the financial and credit m</w:t>
      </w:r>
      <w:r>
        <w:rPr>
          <w:rFonts w:eastAsia="Times New Roman"/>
          <w:color w:val="000000"/>
          <w:sz w:val="20"/>
          <w:szCs w:val="20"/>
        </w:rPr>
        <w:t>arkets have and may continue to experience significant volatility and turmoil</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Whether due to our increased debt levels or to ongoing changes in the financial and credit markets, our ability to access capital on favorable terms and continue to meet our liq</w:t>
      </w:r>
      <w:r>
        <w:rPr>
          <w:rFonts w:eastAsia="Times New Roman"/>
          <w:color w:val="000000"/>
          <w:sz w:val="20"/>
          <w:szCs w:val="20"/>
        </w:rPr>
        <w:t>uidity needs could be adversely affected</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Additionally, changes in our capital allocation strategy could have significant adverse impacts, both short- and long-term, on our business, results of operations, and financial position</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 xml:space="preserve">Suspension of our share </w:t>
      </w:r>
      <w:r>
        <w:rPr>
          <w:rFonts w:eastAsia="Times New Roman"/>
          <w:color w:val="000000"/>
          <w:sz w:val="20"/>
          <w:szCs w:val="20"/>
        </w:rPr>
        <w:t>repurchase program, depending on duration, will negatively impact our earnings per share which in turn could adversely impact our common stock price</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While not contemplated at this time, any potential suspension or reduction in our dividend declaration cou</w:t>
      </w:r>
      <w:r>
        <w:rPr>
          <w:rFonts w:eastAsia="Times New Roman"/>
          <w:color w:val="000000"/>
          <w:sz w:val="20"/>
          <w:szCs w:val="20"/>
        </w:rPr>
        <w:t>ld have an adverse impact on investor perception and our common stock price.</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b/>
          <w:bCs/>
          <w:i/>
          <w:iCs/>
          <w:color w:val="000000"/>
          <w:sz w:val="20"/>
          <w:szCs w:val="20"/>
        </w:rPr>
        <w:t>Actions taken to protect the health and safety of our team members and customers during the COVID-19 coronavirus pandemic have increased our operating costs and may not be suff</w:t>
      </w:r>
      <w:r>
        <w:rPr>
          <w:rFonts w:eastAsia="Times New Roman"/>
          <w:b/>
          <w:bCs/>
          <w:i/>
          <w:iCs/>
          <w:color w:val="000000"/>
          <w:sz w:val="20"/>
          <w:szCs w:val="20"/>
        </w:rPr>
        <w:t>icient to protect against operational or reputational harm to our business</w:t>
      </w:r>
      <w:r>
        <w:rPr>
          <w:rFonts w:eastAsia="Times New Roman"/>
          <w:b/>
          <w:bCs/>
          <w:i/>
          <w:iCs/>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In response to the COVID-19 pandemic, we have taken a number of actions across our business to help protect our team members, customers, and others in the communities we serve.</w:t>
      </w:r>
      <w:r>
        <w:rPr>
          <w:rFonts w:eastAsia="Times New Roman"/>
          <w:color w:val="000000"/>
          <w:sz w:val="20"/>
          <w:szCs w:val="20"/>
        </w:rPr>
        <w:t xml:space="preserve"> </w:t>
      </w:r>
      <w:r>
        <w:rPr>
          <w:rFonts w:eastAsia="Times New Roman"/>
          <w:color w:val="000000"/>
          <w:sz w:val="20"/>
          <w:szCs w:val="20"/>
        </w:rPr>
        <w:t>T</w:t>
      </w:r>
      <w:r>
        <w:rPr>
          <w:rFonts w:eastAsia="Times New Roman"/>
          <w:color w:val="000000"/>
          <w:sz w:val="20"/>
          <w:szCs w:val="20"/>
        </w:rPr>
        <w:t>hese measures include personal protective equipment for our team members, a requirement to wear masks in our facilities, increased staffing in order to provide contact-free curbside pickup from stores, delivery to customer homes, increased cleaning and san</w:t>
      </w:r>
      <w:r>
        <w:rPr>
          <w:rFonts w:eastAsia="Times New Roman"/>
          <w:color w:val="000000"/>
          <w:sz w:val="20"/>
          <w:szCs w:val="20"/>
        </w:rPr>
        <w:t>itizing measures, and monitoring for "social distancing" directives, as well as additional cleaning materials in our facilities. Additionally, we have provided appreciation bonuses as well as permanent increases in compensation and benefits for our team me</w:t>
      </w:r>
      <w:r>
        <w:rPr>
          <w:rFonts w:eastAsia="Times New Roman"/>
          <w:color w:val="000000"/>
          <w:sz w:val="20"/>
          <w:szCs w:val="20"/>
        </w:rPr>
        <w:t>mbers in our stores and distribution centers to further support them during and after the COVID-19 pandemic. Actions such as these have resulted in significant incremental costs and we expect that we will continue to incur these costs for the foreseeable f</w:t>
      </w:r>
      <w:r>
        <w:rPr>
          <w:rFonts w:eastAsia="Times New Roman"/>
          <w:color w:val="000000"/>
          <w:sz w:val="20"/>
          <w:szCs w:val="20"/>
        </w:rPr>
        <w:t>uture, which in turn will have an adverse impact on our results of operations</w:t>
      </w:r>
      <w:r>
        <w:rPr>
          <w:rFonts w:eastAsia="Times New Roman"/>
          <w:color w:val="000000"/>
          <w:sz w:val="20"/>
          <w:szCs w:val="20"/>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The health and safety of our team members and customers are of primary concern to our management team</w:t>
      </w:r>
      <w:r>
        <w:rPr>
          <w:rFonts w:eastAsia="Times New Roman"/>
          <w:color w:val="000000"/>
          <w:sz w:val="20"/>
          <w:szCs w:val="20"/>
        </w:rPr>
        <w:t>.</w:t>
      </w:r>
      <w:r>
        <w:rPr>
          <w:rFonts w:eastAsia="Times New Roman"/>
          <w:color w:val="000000"/>
        </w:rPr>
        <w:t xml:space="preserve"> </w:t>
      </w:r>
      <w:r>
        <w:rPr>
          <w:rFonts w:eastAsia="Times New Roman"/>
          <w:color w:val="000000"/>
          <w:sz w:val="20"/>
          <w:szCs w:val="20"/>
        </w:rPr>
        <w:t>However, due to the unpredictable nature of this virus and the consequen</w:t>
      </w:r>
      <w:r>
        <w:rPr>
          <w:rFonts w:eastAsia="Times New Roman"/>
          <w:color w:val="000000"/>
          <w:sz w:val="20"/>
          <w:szCs w:val="20"/>
        </w:rPr>
        <w:t>ces of our actions, we may see unexpected outcomes notwithstanding our added safety measures.</w:t>
      </w:r>
      <w:r>
        <w:rPr>
          <w:rFonts w:eastAsia="Times New Roman"/>
          <w:color w:val="000000"/>
          <w:sz w:val="20"/>
          <w:szCs w:val="20"/>
        </w:rPr>
        <w:t xml:space="preserve"> </w:t>
      </w:r>
      <w:r>
        <w:rPr>
          <w:rFonts w:eastAsia="Times New Roman"/>
          <w:color w:val="000000"/>
          <w:sz w:val="20"/>
          <w:szCs w:val="20"/>
        </w:rPr>
        <w:t>For instance, if we do not respond appropriately to the pandemic, or if our customers do not participate in "social distancing" and other safety measures, the wel</w:t>
      </w:r>
      <w:r>
        <w:rPr>
          <w:rFonts w:eastAsia="Times New Roman"/>
          <w:color w:val="000000"/>
          <w:sz w:val="20"/>
          <w:szCs w:val="20"/>
        </w:rPr>
        <w:t>l-being of our team members and customers could be jeopardized. Furthermore, any failure to appropriately respond, or the perception of an inadequate response, could cause reputational harm to our brand and subject us to claims and litigation from team mem</w:t>
      </w:r>
      <w:r>
        <w:rPr>
          <w:rFonts w:eastAsia="Times New Roman"/>
          <w:color w:val="000000"/>
          <w:sz w:val="20"/>
          <w:szCs w:val="20"/>
        </w:rPr>
        <w:t>bers, customers and service providers.</w:t>
      </w:r>
      <w:r>
        <w:rPr>
          <w:rFonts w:eastAsia="Times New Roman"/>
          <w:color w:val="000000"/>
          <w:sz w:val="20"/>
          <w:szCs w:val="20"/>
        </w:rPr>
        <w:t xml:space="preserve"> </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Additionally, an outbreak of confirmed cases of COVID-19 in our stores or distribution centers could result in temporary or sustained workforce shortages or facility closures which would negatively impact our under</w:t>
      </w:r>
      <w:r>
        <w:rPr>
          <w:rFonts w:eastAsia="Times New Roman"/>
          <w:color w:val="000000"/>
          <w:sz w:val="20"/>
          <w:szCs w:val="20"/>
        </w:rPr>
        <w:t>lying business and results of operations</w:t>
      </w:r>
      <w:r>
        <w:rPr>
          <w:rFonts w:eastAsia="Times New Roman"/>
          <w:color w:val="000000"/>
          <w:sz w:val="20"/>
          <w:szCs w:val="20"/>
        </w:rPr>
        <w:t>.</w:t>
      </w:r>
    </w:p>
    <w:p w:rsidR="00000000" w:rsidRDefault="0016787D">
      <w:pPr>
        <w:divId w:val="1502163446"/>
        <w:rPr>
          <w:rFonts w:eastAsia="Times New Roman"/>
        </w:rPr>
      </w:pPr>
    </w:p>
    <w:p w:rsidR="00000000" w:rsidRDefault="0016787D">
      <w:pPr>
        <w:jc w:val="center"/>
        <w:divId w:val="885222787"/>
        <w:rPr>
          <w:rFonts w:eastAsia="Times New Roman"/>
        </w:rPr>
      </w:pPr>
      <w:r>
        <w:rPr>
          <w:rFonts w:eastAsia="Times New Roman"/>
          <w:color w:val="000000"/>
          <w:sz w:val="20"/>
          <w:szCs w:val="20"/>
        </w:rPr>
        <w:t>Page 3</w:t>
      </w:r>
      <w:r>
        <w:rPr>
          <w:rFonts w:eastAsia="Times New Roman"/>
          <w:color w:val="000000"/>
          <w:sz w:val="20"/>
          <w:szCs w:val="20"/>
        </w:rPr>
        <w:t>1</w:t>
      </w:r>
    </w:p>
    <w:p w:rsidR="00000000" w:rsidRDefault="0016787D">
      <w:pPr>
        <w:rPr>
          <w:rFonts w:eastAsia="Times New Roman"/>
        </w:rPr>
      </w:pPr>
      <w:r>
        <w:rPr>
          <w:rFonts w:eastAsia="Times New Roman"/>
        </w:rPr>
        <w:pict>
          <v:rect id="_x0000_i1056" style="width:0;height:1.5pt" o:hralign="center" o:hrstd="t" o:hr="t" fillcolor="#a0a0a0" stroked="f"/>
        </w:pict>
      </w:r>
    </w:p>
    <w:p w:rsidR="00000000" w:rsidRDefault="0016787D">
      <w:pPr>
        <w:divId w:val="326401164"/>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color w:val="000000"/>
          <w:sz w:val="20"/>
          <w:szCs w:val="20"/>
          <w:u w:val="single"/>
        </w:rPr>
        <w:t>Item 2.  </w:t>
      </w:r>
      <w:r>
        <w:rPr>
          <w:rFonts w:eastAsia="Times New Roman"/>
          <w:b/>
          <w:bCs/>
          <w:color w:val="000000"/>
          <w:sz w:val="20"/>
          <w:szCs w:val="20"/>
          <w:u w:val="single"/>
        </w:rPr>
        <w:t>Unregistered Sales of Equity Securities and Use of Proceed</w:t>
      </w:r>
      <w:r>
        <w:rPr>
          <w:rFonts w:eastAsia="Times New Roman"/>
          <w:b/>
          <w:bCs/>
          <w:color w:val="000000"/>
          <w:sz w:val="20"/>
          <w:szCs w:val="20"/>
          <w:u w:val="single"/>
        </w:rPr>
        <w:t>s</w:t>
      </w:r>
    </w:p>
    <w:p w:rsidR="00000000" w:rsidRDefault="0016787D">
      <w:pPr>
        <w:divId w:val="1586374371"/>
        <w:rPr>
          <w:rFonts w:eastAsia="Times New Roman"/>
        </w:rPr>
      </w:pPr>
    </w:p>
    <w:p w:rsidR="00000000" w:rsidRDefault="0016787D">
      <w:pPr>
        <w:jc w:val="both"/>
        <w:rPr>
          <w:rFonts w:eastAsia="Times New Roman"/>
        </w:rPr>
      </w:pPr>
      <w:r>
        <w:rPr>
          <w:rFonts w:eastAsia="Times New Roman"/>
          <w:b/>
          <w:bCs/>
          <w:color w:val="000000"/>
          <w:sz w:val="20"/>
          <w:szCs w:val="20"/>
        </w:rPr>
        <w:t>Issuer Purchases of Equity Securitie</w:t>
      </w:r>
      <w:r>
        <w:rPr>
          <w:rFonts w:eastAsia="Times New Roman"/>
          <w:b/>
          <w:bCs/>
          <w:color w:val="000000"/>
          <w:sz w:val="20"/>
          <w:szCs w:val="20"/>
        </w:rPr>
        <w:t>s</w:t>
      </w:r>
    </w:p>
    <w:p w:rsidR="00000000" w:rsidRDefault="0016787D">
      <w:pPr>
        <w:divId w:val="1647735693"/>
        <w:rPr>
          <w:rFonts w:eastAsia="Times New Roman"/>
        </w:rPr>
      </w:pPr>
    </w:p>
    <w:p w:rsidR="00000000" w:rsidRDefault="0016787D">
      <w:pPr>
        <w:jc w:val="both"/>
        <w:rPr>
          <w:rFonts w:eastAsia="Times New Roman"/>
        </w:rPr>
      </w:pPr>
      <w:r>
        <w:rPr>
          <w:rFonts w:eastAsia="Times New Roman"/>
          <w:color w:val="000000"/>
          <w:sz w:val="20"/>
          <w:szCs w:val="20"/>
        </w:rPr>
        <w:t>Stock repurchase activity during the second quarter of fiscal 2020 was as follows</w:t>
      </w:r>
      <w:r>
        <w:rPr>
          <w:rFonts w:eastAsia="Times New Roman"/>
          <w:color w:val="000000"/>
          <w:sz w:val="20"/>
          <w:szCs w:val="20"/>
        </w:rPr>
        <w:t>:</w:t>
      </w:r>
    </w:p>
    <w:tbl>
      <w:tblPr>
        <w:tblW w:w="4985" w:type="pct"/>
        <w:tblCellMar>
          <w:top w:w="15" w:type="dxa"/>
          <w:left w:w="15" w:type="dxa"/>
          <w:bottom w:w="15" w:type="dxa"/>
          <w:right w:w="15" w:type="dxa"/>
        </w:tblCellMar>
        <w:tblLook w:val="04A0" w:firstRow="1" w:lastRow="0" w:firstColumn="1" w:lastColumn="0" w:noHBand="0" w:noVBand="1"/>
      </w:tblPr>
      <w:tblGrid>
        <w:gridCol w:w="57"/>
        <w:gridCol w:w="2481"/>
        <w:gridCol w:w="57"/>
        <w:gridCol w:w="37"/>
        <w:gridCol w:w="188"/>
        <w:gridCol w:w="36"/>
        <w:gridCol w:w="81"/>
        <w:gridCol w:w="779"/>
        <w:gridCol w:w="85"/>
        <w:gridCol w:w="36"/>
        <w:gridCol w:w="36"/>
        <w:gridCol w:w="36"/>
        <w:gridCol w:w="136"/>
        <w:gridCol w:w="642"/>
        <w:gridCol w:w="85"/>
        <w:gridCol w:w="36"/>
        <w:gridCol w:w="36"/>
        <w:gridCol w:w="36"/>
        <w:gridCol w:w="54"/>
        <w:gridCol w:w="1359"/>
        <w:gridCol w:w="85"/>
        <w:gridCol w:w="36"/>
        <w:gridCol w:w="36"/>
        <w:gridCol w:w="36"/>
        <w:gridCol w:w="135"/>
        <w:gridCol w:w="1575"/>
        <w:gridCol w:w="85"/>
      </w:tblGrid>
      <w:tr w:rsidR="00000000">
        <w:trPr>
          <w:divId w:val="1807434285"/>
        </w:trPr>
        <w:tc>
          <w:tcPr>
            <w:tcW w:w="50" w:type="pct"/>
            <w:vAlign w:val="center"/>
            <w:hideMark/>
          </w:tcPr>
          <w:p w:rsidR="00000000" w:rsidRDefault="0016787D">
            <w:pPr>
              <w:jc w:val="both"/>
              <w:rPr>
                <w:rFonts w:eastAsia="Times New Roman"/>
              </w:rPr>
            </w:pPr>
          </w:p>
        </w:tc>
        <w:tc>
          <w:tcPr>
            <w:tcW w:w="1512"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129"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86"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42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84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26" w:type="pct"/>
            <w:vAlign w:val="center"/>
            <w:hideMark/>
          </w:tcPr>
          <w:p w:rsidR="00000000" w:rsidRDefault="0016787D">
            <w:pPr>
              <w:rPr>
                <w:rFonts w:eastAsia="Times New Roman"/>
                <w:sz w:val="20"/>
                <w:szCs w:val="20"/>
              </w:rPr>
            </w:pPr>
          </w:p>
        </w:tc>
        <w:tc>
          <w:tcPr>
            <w:tcW w:w="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977"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807434285"/>
        </w:trPr>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Perio</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Total Number of Shares Purchase</w:t>
            </w:r>
            <w:r>
              <w:rPr>
                <w:rFonts w:eastAsia="Times New Roman"/>
                <w:b/>
                <w:bCs/>
                <w:color w:val="000000"/>
                <w:sz w:val="20"/>
                <w:szCs w:val="20"/>
              </w:rPr>
              <w:t>d</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Averag</w:t>
            </w:r>
            <w:r>
              <w:rPr>
                <w:rFonts w:eastAsia="Times New Roman"/>
                <w:b/>
                <w:bCs/>
                <w:color w:val="000000"/>
                <w:sz w:val="20"/>
                <w:szCs w:val="20"/>
              </w:rPr>
              <w:t>e</w:t>
            </w:r>
          </w:p>
          <w:p w:rsidR="00000000" w:rsidRDefault="0016787D">
            <w:pPr>
              <w:jc w:val="center"/>
              <w:rPr>
                <w:rFonts w:eastAsia="Times New Roman"/>
              </w:rPr>
            </w:pPr>
            <w:r>
              <w:rPr>
                <w:rFonts w:eastAsia="Times New Roman"/>
                <w:b/>
                <w:bCs/>
                <w:color w:val="000000"/>
                <w:sz w:val="20"/>
                <w:szCs w:val="20"/>
              </w:rPr>
              <w:t>Price Pai</w:t>
            </w:r>
            <w:r>
              <w:rPr>
                <w:rFonts w:eastAsia="Times New Roman"/>
                <w:b/>
                <w:bCs/>
                <w:color w:val="000000"/>
                <w:sz w:val="20"/>
                <w:szCs w:val="20"/>
              </w:rPr>
              <w:t>d</w:t>
            </w:r>
          </w:p>
          <w:p w:rsidR="00000000" w:rsidRDefault="0016787D">
            <w:pPr>
              <w:jc w:val="center"/>
              <w:rPr>
                <w:rFonts w:eastAsia="Times New Roman"/>
              </w:rPr>
            </w:pPr>
            <w:r>
              <w:rPr>
                <w:rFonts w:eastAsia="Times New Roman"/>
                <w:b/>
                <w:bCs/>
                <w:color w:val="000000"/>
                <w:sz w:val="20"/>
                <w:szCs w:val="20"/>
              </w:rPr>
              <w:t>Per Shar</w:t>
            </w:r>
            <w:r>
              <w:rPr>
                <w:rFonts w:eastAsia="Times New Roman"/>
                <w:b/>
                <w:bCs/>
                <w:color w:val="000000"/>
                <w:sz w:val="20"/>
                <w:szCs w:val="20"/>
              </w:rPr>
              <w:t>e</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Total Number of Shares Purchased as Part of Publicly Announced Plans or Program</w:t>
            </w:r>
            <w:r>
              <w:rPr>
                <w:rFonts w:eastAsia="Times New Roman"/>
                <w:b/>
                <w:bCs/>
                <w:color w:val="000000"/>
                <w:sz w:val="20"/>
                <w:szCs w:val="20"/>
              </w:rPr>
              <w:t>s</w:t>
            </w:r>
          </w:p>
        </w:tc>
        <w:tc>
          <w:tcPr>
            <w:tcW w:w="0" w:type="auto"/>
            <w:gridSpan w:val="3"/>
            <w:tcMar>
              <w:top w:w="15" w:type="dxa"/>
              <w:left w:w="20" w:type="dxa"/>
              <w:bottom w:w="15" w:type="dxa"/>
              <w:right w:w="20" w:type="dxa"/>
            </w:tcMar>
            <w:vAlign w:val="bottom"/>
            <w:hideMark/>
          </w:tcPr>
          <w:p w:rsidR="00000000" w:rsidRDefault="0016787D">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6787D">
            <w:pPr>
              <w:jc w:val="center"/>
              <w:rPr>
                <w:rFonts w:eastAsia="Times New Roman"/>
              </w:rPr>
            </w:pPr>
            <w:r>
              <w:rPr>
                <w:rFonts w:eastAsia="Times New Roman"/>
                <w:b/>
                <w:bCs/>
                <w:color w:val="000000"/>
                <w:sz w:val="20"/>
                <w:szCs w:val="20"/>
              </w:rPr>
              <w:t>Maximum Dolla</w:t>
            </w:r>
            <w:r>
              <w:rPr>
                <w:rFonts w:eastAsia="Times New Roman"/>
                <w:b/>
                <w:bCs/>
                <w:color w:val="000000"/>
                <w:sz w:val="20"/>
                <w:szCs w:val="20"/>
              </w:rPr>
              <w:t>r</w:t>
            </w:r>
          </w:p>
          <w:p w:rsidR="00000000" w:rsidRDefault="0016787D">
            <w:pPr>
              <w:jc w:val="center"/>
              <w:rPr>
                <w:rFonts w:eastAsia="Times New Roman"/>
              </w:rPr>
            </w:pPr>
            <w:r>
              <w:rPr>
                <w:rFonts w:eastAsia="Times New Roman"/>
                <w:b/>
                <w:bCs/>
                <w:color w:val="000000"/>
                <w:sz w:val="20"/>
                <w:szCs w:val="20"/>
              </w:rPr>
              <w:t>Value of Shares That May Yet Be Purchased Under the Plans or Program</w:t>
            </w:r>
            <w:r>
              <w:rPr>
                <w:rFonts w:eastAsia="Times New Roman"/>
                <w:b/>
                <w:bCs/>
                <w:color w:val="000000"/>
                <w:sz w:val="20"/>
                <w:szCs w:val="20"/>
              </w:rPr>
              <w:t>s</w:t>
            </w:r>
          </w:p>
        </w:tc>
      </w:tr>
      <w:tr w:rsidR="00000000">
        <w:trPr>
          <w:divId w:val="180743428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March 29, 2020 - April 25, 202</w:t>
            </w:r>
            <w:r>
              <w:rPr>
                <w:rFonts w:eastAsia="Times New Roman"/>
                <w:color w:val="000000"/>
                <w:sz w:val="20"/>
                <w:szCs w:val="20"/>
              </w:rPr>
              <w:t>0</w:t>
            </w:r>
          </w:p>
        </w:tc>
        <w:tc>
          <w:tcPr>
            <w:tcW w:w="0" w:type="auto"/>
            <w:gridSpan w:val="3"/>
            <w:shd w:val="clear" w:color="auto" w:fill="CCEE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tcBorders>
              <w:top w:val="single" w:sz="8" w:space="0" w:color="000000"/>
            </w:tcBorders>
            <w:shd w:val="clear" w:color="auto" w:fill="CCEE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tcBorders>
              <w:top w:val="single" w:sz="8" w:space="0" w:color="000000"/>
            </w:tcBorders>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807434285"/>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April 26, 2020 - May 23, 202</w:t>
            </w:r>
            <w:r>
              <w:rPr>
                <w:rFonts w:eastAsia="Times New Roman"/>
                <w:color w:val="000000"/>
                <w:sz w:val="20"/>
                <w:szCs w:val="20"/>
              </w:rPr>
              <w:t>0</w:t>
            </w:r>
          </w:p>
        </w:tc>
        <w:tc>
          <w:tcPr>
            <w:tcW w:w="0" w:type="auto"/>
            <w:gridSpan w:val="3"/>
            <w:shd w:val="clear" w:color="auto" w:fill="FFFFFF"/>
            <w:tcMar>
              <w:top w:w="30" w:type="dxa"/>
              <w:left w:w="20" w:type="dxa"/>
              <w:bottom w:w="30" w:type="dxa"/>
              <w:right w:w="20" w:type="dxa"/>
            </w:tcMar>
            <w:vAlign w:val="bottom"/>
            <w:hideMark/>
          </w:tcPr>
          <w:p w:rsidR="00000000" w:rsidRDefault="0016787D">
            <w:pPr>
              <w:divId w:val="388847438"/>
              <w:rPr>
                <w:rFonts w:eastAsia="Times New Roman"/>
              </w:rPr>
            </w:pPr>
            <w:r>
              <w:rPr>
                <w:rFonts w:eastAsia="Times New Roman"/>
                <w:color w:val="000000"/>
                <w:sz w:val="13"/>
                <w:szCs w:val="13"/>
                <w:vertAlign w:val="superscript"/>
              </w:rPr>
              <w:t>(a)</w:t>
            </w: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1,606</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106.37</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807434285"/>
        </w:trPr>
        <w:tc>
          <w:tcPr>
            <w:tcW w:w="0" w:type="auto"/>
            <w:gridSpan w:val="3"/>
            <w:shd w:val="clear" w:color="auto" w:fill="CCEE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May 24, 2020 - June 27, 2020</w:t>
            </w:r>
            <w:r>
              <w:rPr>
                <w:rFonts w:eastAsia="Times New Roman"/>
                <w:color w:val="000000"/>
                <w:sz w:val="20"/>
                <w:szCs w:val="20"/>
              </w:rPr>
              <w:t xml:space="preserve"> </w:t>
            </w:r>
          </w:p>
        </w:tc>
        <w:tc>
          <w:tcPr>
            <w:tcW w:w="0" w:type="auto"/>
            <w:gridSpan w:val="3"/>
            <w:shd w:val="clear" w:color="auto" w:fill="CCEEFF"/>
            <w:tcMar>
              <w:top w:w="30" w:type="dxa"/>
              <w:left w:w="20" w:type="dxa"/>
              <w:bottom w:w="30" w:type="dxa"/>
              <w:right w:w="20" w:type="dxa"/>
            </w:tcMar>
            <w:vAlign w:val="bottom"/>
            <w:hideMark/>
          </w:tcPr>
          <w:p w:rsidR="00000000" w:rsidRDefault="0016787D">
            <w:pPr>
              <w:divId w:val="2020933842"/>
              <w:rPr>
                <w:rFonts w:eastAsia="Times New Roman"/>
              </w:rPr>
            </w:pPr>
            <w:r>
              <w:rPr>
                <w:rFonts w:eastAsia="Times New Roman"/>
                <w:color w:val="000000"/>
                <w:sz w:val="13"/>
                <w:szCs w:val="13"/>
                <w:vertAlign w:val="superscript"/>
              </w:rPr>
              <w:t>(a)</w:t>
            </w: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20,496</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88.44</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CCEE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CCEE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r w:rsidR="00000000">
        <w:trPr>
          <w:divId w:val="1807434285"/>
        </w:trPr>
        <w:tc>
          <w:tcPr>
            <w:tcW w:w="0" w:type="auto"/>
            <w:gridSpan w:val="3"/>
            <w:shd w:val="clear" w:color="auto" w:fill="FFFFFF"/>
            <w:tcMar>
              <w:top w:w="30" w:type="dxa"/>
              <w:left w:w="20" w:type="dxa"/>
              <w:bottom w:w="30" w:type="dxa"/>
              <w:right w:w="20" w:type="dxa"/>
            </w:tcMar>
            <w:vAlign w:val="bottom"/>
            <w:hideMark/>
          </w:tcPr>
          <w:p w:rsidR="00000000" w:rsidRDefault="0016787D">
            <w:pPr>
              <w:rPr>
                <w:rFonts w:eastAsia="Times New Roman"/>
              </w:rPr>
            </w:pPr>
            <w:r>
              <w:rPr>
                <w:rFonts w:eastAsia="Times New Roman"/>
                <w:color w:val="000000"/>
                <w:sz w:val="20"/>
                <w:szCs w:val="20"/>
              </w:rPr>
              <w:t>Tota</w:t>
            </w:r>
            <w:r>
              <w:rPr>
                <w:rFonts w:eastAsia="Times New Roman"/>
                <w:color w:val="000000"/>
                <w:sz w:val="20"/>
                <w:szCs w:val="20"/>
              </w:rPr>
              <w:t>l</w:t>
            </w:r>
          </w:p>
        </w:tc>
        <w:tc>
          <w:tcPr>
            <w:tcW w:w="0" w:type="auto"/>
            <w:gridSpan w:val="3"/>
            <w:shd w:val="clear" w:color="auto" w:fill="FFFFFF"/>
            <w:tcMar>
              <w:top w:w="15" w:type="dxa"/>
              <w:left w:w="20" w:type="dxa"/>
              <w:bottom w:w="15" w:type="dxa"/>
              <w:right w:w="20" w:type="dxa"/>
            </w:tcMar>
            <w:vAlign w:val="bottom"/>
            <w:hideMark/>
          </w:tcPr>
          <w:p w:rsidR="00000000" w:rsidRDefault="0016787D">
            <w:pPr>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22,102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89.74</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c>
          <w:tcPr>
            <w:tcW w:w="0" w:type="auto"/>
            <w:gridSpan w:val="3"/>
            <w:shd w:val="clear" w:color="auto" w:fill="FFFFFF"/>
            <w:tcMar>
              <w:top w:w="15" w:type="dxa"/>
              <w:left w:w="20" w:type="dxa"/>
              <w:bottom w:w="15" w:type="dxa"/>
              <w:right w:w="20" w:type="dxa"/>
            </w:tcMar>
            <w:vAlign w:val="bottom"/>
            <w:hideMark/>
          </w:tcPr>
          <w:p w:rsidR="00000000" w:rsidRDefault="0016787D">
            <w:pPr>
              <w:jc w:val="right"/>
              <w:rPr>
                <w:rFonts w:eastAsia="Times New Roman"/>
              </w:rPr>
            </w:pPr>
          </w:p>
        </w:tc>
        <w:tc>
          <w:tcPr>
            <w:tcW w:w="0" w:type="auto"/>
            <w:shd w:val="clear" w:color="auto" w:fill="FFFFFF"/>
            <w:tcMar>
              <w:top w:w="30" w:type="dxa"/>
              <w:left w:w="20" w:type="dxa"/>
              <w:bottom w:w="30" w:type="dxa"/>
              <w:right w:w="15" w:type="dxa"/>
            </w:tcMar>
            <w:vAlign w:val="bottom"/>
            <w:hideMark/>
          </w:tcPr>
          <w:p w:rsidR="00000000" w:rsidRDefault="0016787D">
            <w:pPr>
              <w:rPr>
                <w:rFonts w:eastAsia="Times New Roman"/>
              </w:rPr>
            </w:pPr>
            <w:r>
              <w:rPr>
                <w:rFonts w:eastAsia="Times New Roman"/>
                <w:color w:val="000000"/>
                <w:sz w:val="20"/>
                <w:szCs w:val="20"/>
              </w:rPr>
              <w:t>$</w:t>
            </w:r>
          </w:p>
        </w:tc>
        <w:tc>
          <w:tcPr>
            <w:tcW w:w="0" w:type="auto"/>
            <w:shd w:val="clear" w:color="auto" w:fill="FFFFFF"/>
            <w:tcMar>
              <w:top w:w="30" w:type="dxa"/>
              <w:left w:w="15" w:type="dxa"/>
              <w:bottom w:w="30" w:type="dxa"/>
              <w:right w:w="0" w:type="dxa"/>
            </w:tcMar>
            <w:vAlign w:val="bottom"/>
            <w:hideMark/>
          </w:tcPr>
          <w:p w:rsidR="00000000" w:rsidRDefault="0016787D">
            <w:pPr>
              <w:jc w:val="right"/>
              <w:rPr>
                <w:rFonts w:eastAsia="Times New Roman"/>
              </w:rPr>
            </w:pPr>
            <w:r>
              <w:rPr>
                <w:rFonts w:eastAsia="Times New Roman"/>
                <w:color w:val="000000"/>
                <w:sz w:val="20"/>
                <w:szCs w:val="20"/>
              </w:rPr>
              <w:t>1,223,586,890</w:t>
            </w:r>
            <w:r>
              <w:rPr>
                <w:rFonts w:eastAsia="Times New Roman"/>
                <w:color w:val="000000"/>
                <w:sz w:val="20"/>
                <w:szCs w:val="20"/>
              </w:rPr>
              <w:t> </w:t>
            </w:r>
          </w:p>
        </w:tc>
        <w:tc>
          <w:tcPr>
            <w:tcW w:w="0" w:type="auto"/>
            <w:shd w:val="clear" w:color="auto" w:fill="FFFFFF"/>
            <w:tcMar>
              <w:top w:w="30" w:type="dxa"/>
              <w:left w:w="15" w:type="dxa"/>
              <w:bottom w:w="30" w:type="dxa"/>
              <w:right w:w="20" w:type="dxa"/>
            </w:tcMar>
            <w:vAlign w:val="bottom"/>
            <w:hideMark/>
          </w:tcPr>
          <w:p w:rsidR="00000000" w:rsidRDefault="0016787D">
            <w:pPr>
              <w:jc w:val="right"/>
              <w:rPr>
                <w:rFonts w:eastAsia="Times New Roman"/>
              </w:rPr>
            </w:pPr>
            <w:r>
              <w:rPr>
                <w:rFonts w:eastAsia="Times New Roman"/>
                <w:color w:val="000000"/>
                <w:sz w:val="20"/>
                <w:szCs w:val="20"/>
              </w:rPr>
              <w:t> </w:t>
            </w:r>
          </w:p>
        </w:tc>
      </w:tr>
    </w:tbl>
    <w:p w:rsidR="00000000" w:rsidRDefault="0016787D">
      <w:pPr>
        <w:ind w:hanging="270"/>
        <w:jc w:val="both"/>
        <w:rPr>
          <w:rFonts w:eastAsia="Times New Roman"/>
        </w:rPr>
      </w:pPr>
      <w:r>
        <w:rPr>
          <w:rFonts w:eastAsia="Times New Roman"/>
          <w:color w:val="000000"/>
          <w:sz w:val="16"/>
          <w:szCs w:val="16"/>
        </w:rPr>
        <w:t>(a) The number of shares purchased and average price paid per share includes 22,102 shares withheld from vested stock awards to satisfy employees’ minimum statutory tax withholding requirements for the peri</w:t>
      </w:r>
      <w:r>
        <w:rPr>
          <w:rFonts w:eastAsia="Times New Roman"/>
          <w:color w:val="000000"/>
          <w:sz w:val="16"/>
          <w:szCs w:val="16"/>
        </w:rPr>
        <w:t>od of April 26, 2020 - June 27, 2020</w:t>
      </w:r>
      <w:r>
        <w:rPr>
          <w:rFonts w:eastAsia="Times New Roman"/>
          <w:color w:val="000000"/>
          <w:sz w:val="16"/>
          <w:szCs w:val="16"/>
        </w:rPr>
        <w:t>.</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rPr>
        <w:t>Share repurchases were made pursuant to the share repurchase program described under Part I Item 2. Management’s Discussion and Analysis of Financial Conditions and Results of Operations. We expect to implement the b</w:t>
      </w:r>
      <w:r>
        <w:rPr>
          <w:rFonts w:eastAsia="Times New Roman"/>
          <w:color w:val="000000"/>
          <w:sz w:val="20"/>
          <w:szCs w:val="20"/>
        </w:rPr>
        <w:t>alance of the repurchase program through purchases made from time to time either in the open market or through private transactions, in accordance with regulations of the SEC and other applicable legal requirements</w:t>
      </w:r>
      <w:r>
        <w:rPr>
          <w:rFonts w:eastAsia="Times New Roman"/>
          <w:color w:val="000000"/>
          <w:sz w:val="20"/>
          <w:szCs w:val="20"/>
        </w:rPr>
        <w:t>.</w:t>
      </w:r>
    </w:p>
    <w:p w:rsidR="00000000" w:rsidRDefault="0016787D">
      <w:pPr>
        <w:divId w:val="1122380026"/>
        <w:rPr>
          <w:rFonts w:eastAsia="Times New Roman"/>
        </w:rPr>
      </w:pPr>
    </w:p>
    <w:p w:rsidR="00000000" w:rsidRDefault="0016787D">
      <w:pPr>
        <w:jc w:val="both"/>
        <w:rPr>
          <w:rFonts w:eastAsia="Times New Roman"/>
        </w:rPr>
      </w:pPr>
      <w:r>
        <w:rPr>
          <w:rFonts w:eastAsia="Times New Roman"/>
          <w:b/>
          <w:bCs/>
          <w:color w:val="000000"/>
          <w:sz w:val="20"/>
          <w:szCs w:val="20"/>
          <w:u w:val="single"/>
        </w:rPr>
        <w:t>Item 3.  </w:t>
      </w:r>
      <w:r>
        <w:rPr>
          <w:rFonts w:eastAsia="Times New Roman"/>
          <w:b/>
          <w:bCs/>
          <w:color w:val="000000"/>
          <w:sz w:val="20"/>
          <w:szCs w:val="20"/>
          <w:u w:val="single"/>
        </w:rPr>
        <w:t>Defaults Upon Senior Securitie</w:t>
      </w:r>
      <w:r>
        <w:rPr>
          <w:rFonts w:eastAsia="Times New Roman"/>
          <w:b/>
          <w:bCs/>
          <w:color w:val="000000"/>
          <w:sz w:val="20"/>
          <w:szCs w:val="20"/>
          <w:u w:val="single"/>
        </w:rPr>
        <w:t>s</w:t>
      </w:r>
    </w:p>
    <w:p w:rsidR="00000000" w:rsidRDefault="0016787D">
      <w:pPr>
        <w:divId w:val="74059832"/>
        <w:rPr>
          <w:rFonts w:eastAsia="Times New Roman"/>
        </w:rPr>
      </w:pPr>
    </w:p>
    <w:p w:rsidR="00000000" w:rsidRDefault="0016787D">
      <w:pPr>
        <w:divId w:val="930241170"/>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16787D">
      <w:pPr>
        <w:divId w:val="1140541396"/>
        <w:rPr>
          <w:rFonts w:eastAsia="Times New Roman"/>
        </w:rPr>
      </w:pPr>
    </w:p>
    <w:p w:rsidR="00000000" w:rsidRDefault="0016787D">
      <w:pPr>
        <w:jc w:val="both"/>
        <w:rPr>
          <w:rFonts w:eastAsia="Times New Roman"/>
        </w:rPr>
      </w:pPr>
      <w:r>
        <w:rPr>
          <w:rFonts w:eastAsia="Times New Roman"/>
          <w:b/>
          <w:bCs/>
          <w:color w:val="000000"/>
          <w:sz w:val="20"/>
          <w:szCs w:val="20"/>
          <w:u w:val="single"/>
        </w:rPr>
        <w:t>Item 4.  Mine Safety Disclosure</w:t>
      </w:r>
      <w:r>
        <w:rPr>
          <w:rFonts w:eastAsia="Times New Roman"/>
          <w:b/>
          <w:bCs/>
          <w:color w:val="000000"/>
          <w:sz w:val="20"/>
          <w:szCs w:val="20"/>
          <w:u w:val="single"/>
        </w:rPr>
        <w:t>s</w:t>
      </w:r>
    </w:p>
    <w:p w:rsidR="00000000" w:rsidRDefault="0016787D">
      <w:pPr>
        <w:divId w:val="940574270"/>
        <w:rPr>
          <w:rFonts w:eastAsia="Times New Roman"/>
        </w:rPr>
      </w:pPr>
    </w:p>
    <w:p w:rsidR="00000000" w:rsidRDefault="0016787D">
      <w:pPr>
        <w:divId w:val="125585976"/>
        <w:rPr>
          <w:rFonts w:eastAsia="Times New Roman"/>
        </w:rPr>
      </w:pPr>
      <w:r>
        <w:rPr>
          <w:rFonts w:eastAsia="Times New Roman"/>
          <w:color w:val="000000"/>
          <w:sz w:val="20"/>
          <w:szCs w:val="20"/>
        </w:rPr>
        <w:t>Not applicable</w:t>
      </w:r>
      <w:r>
        <w:rPr>
          <w:rFonts w:eastAsia="Times New Roman"/>
          <w:color w:val="000000"/>
          <w:sz w:val="20"/>
          <w:szCs w:val="20"/>
        </w:rPr>
        <w:t>.</w:t>
      </w:r>
    </w:p>
    <w:p w:rsidR="00000000" w:rsidRDefault="0016787D">
      <w:pPr>
        <w:divId w:val="1722821721"/>
        <w:rPr>
          <w:rFonts w:eastAsia="Times New Roman"/>
        </w:rPr>
      </w:pPr>
    </w:p>
    <w:p w:rsidR="00000000" w:rsidRDefault="0016787D">
      <w:pPr>
        <w:jc w:val="both"/>
        <w:rPr>
          <w:rFonts w:eastAsia="Times New Roman"/>
        </w:rPr>
      </w:pPr>
      <w:r>
        <w:rPr>
          <w:rFonts w:eastAsia="Times New Roman"/>
          <w:b/>
          <w:bCs/>
          <w:color w:val="000000"/>
          <w:sz w:val="20"/>
          <w:szCs w:val="20"/>
          <w:u w:val="single"/>
        </w:rPr>
        <w:t>Item 5.  Other Informatio</w:t>
      </w:r>
      <w:r>
        <w:rPr>
          <w:rFonts w:eastAsia="Times New Roman"/>
          <w:b/>
          <w:bCs/>
          <w:color w:val="000000"/>
          <w:sz w:val="20"/>
          <w:szCs w:val="20"/>
          <w:u w:val="single"/>
        </w:rPr>
        <w:t>n</w:t>
      </w:r>
    </w:p>
    <w:p w:rsidR="00000000" w:rsidRDefault="0016787D">
      <w:pPr>
        <w:divId w:val="2027124884"/>
        <w:rPr>
          <w:rFonts w:eastAsia="Times New Roman"/>
        </w:rPr>
      </w:pPr>
    </w:p>
    <w:p w:rsidR="00000000" w:rsidRDefault="0016787D">
      <w:pPr>
        <w:divId w:val="1735933535"/>
        <w:rPr>
          <w:rFonts w:eastAsia="Times New Roman"/>
        </w:rPr>
      </w:pPr>
      <w:r>
        <w:rPr>
          <w:rFonts w:eastAsia="Times New Roman"/>
          <w:color w:val="000000"/>
          <w:sz w:val="20"/>
          <w:szCs w:val="20"/>
        </w:rPr>
        <w:t>None</w:t>
      </w:r>
      <w:r>
        <w:rPr>
          <w:rFonts w:eastAsia="Times New Roman"/>
          <w:color w:val="000000"/>
          <w:sz w:val="20"/>
          <w:szCs w:val="20"/>
        </w:rPr>
        <w:t>.</w:t>
      </w:r>
    </w:p>
    <w:p w:rsidR="00000000" w:rsidRDefault="0016787D">
      <w:pPr>
        <w:divId w:val="1576743419"/>
        <w:rPr>
          <w:rFonts w:eastAsia="Times New Roman"/>
        </w:rPr>
      </w:pPr>
    </w:p>
    <w:p w:rsidR="00000000" w:rsidRDefault="0016787D">
      <w:pPr>
        <w:jc w:val="center"/>
        <w:divId w:val="321549625"/>
        <w:rPr>
          <w:rFonts w:eastAsia="Times New Roman"/>
        </w:rPr>
      </w:pPr>
      <w:r>
        <w:rPr>
          <w:rFonts w:eastAsia="Times New Roman"/>
          <w:color w:val="000000"/>
          <w:sz w:val="20"/>
          <w:szCs w:val="20"/>
        </w:rPr>
        <w:t>Page 3</w:t>
      </w:r>
      <w:r>
        <w:rPr>
          <w:rFonts w:eastAsia="Times New Roman"/>
          <w:color w:val="000000"/>
          <w:sz w:val="20"/>
          <w:szCs w:val="20"/>
        </w:rPr>
        <w:t>2</w:t>
      </w:r>
    </w:p>
    <w:p w:rsidR="00000000" w:rsidRDefault="0016787D">
      <w:pPr>
        <w:rPr>
          <w:rFonts w:eastAsia="Times New Roman"/>
        </w:rPr>
      </w:pPr>
      <w:r>
        <w:rPr>
          <w:rFonts w:eastAsia="Times New Roman"/>
        </w:rPr>
        <w:pict>
          <v:rect id="_x0000_i1057" style="width:0;height:1.5pt" o:hralign="center" o:hrstd="t" o:hr="t" fillcolor="#a0a0a0" stroked="f"/>
        </w:pict>
      </w:r>
    </w:p>
    <w:p w:rsidR="00000000" w:rsidRDefault="0016787D">
      <w:pPr>
        <w:divId w:val="323896609"/>
        <w:rPr>
          <w:rFonts w:eastAsia="Times New Roman"/>
        </w:rPr>
      </w:pPr>
      <w:hyperlink w:anchor="i4478e68e5dea442985a910e3b276f92d_7" w:history="1">
        <w:r>
          <w:rPr>
            <w:rStyle w:val="a3"/>
            <w:rFonts w:eastAsia="Times New Roman"/>
            <w:sz w:val="16"/>
            <w:szCs w:val="16"/>
          </w:rPr>
          <w:t>Index</w:t>
        </w:r>
      </w:hyperlink>
    </w:p>
    <w:p w:rsidR="00000000" w:rsidRDefault="0016787D">
      <w:pPr>
        <w:jc w:val="both"/>
        <w:rPr>
          <w:rFonts w:eastAsia="Times New Roman"/>
        </w:rPr>
      </w:pPr>
      <w:r>
        <w:rPr>
          <w:rFonts w:eastAsia="Times New Roman"/>
          <w:b/>
          <w:bCs/>
          <w:color w:val="000000"/>
          <w:sz w:val="20"/>
          <w:szCs w:val="20"/>
          <w:u w:val="single"/>
        </w:rPr>
        <w:t>Item 6.  Exhibit</w:t>
      </w:r>
      <w:r>
        <w:rPr>
          <w:rFonts w:eastAsia="Times New Roman"/>
          <w:b/>
          <w:bCs/>
          <w:color w:val="000000"/>
          <w:sz w:val="20"/>
          <w:szCs w:val="20"/>
          <w:u w:val="single"/>
        </w:rPr>
        <w:t>s</w:t>
      </w:r>
    </w:p>
    <w:p w:rsidR="00000000" w:rsidRDefault="0016787D">
      <w:pPr>
        <w:jc w:val="both"/>
        <w:rPr>
          <w:rFonts w:eastAsia="Times New Roman"/>
        </w:rPr>
      </w:pPr>
    </w:p>
    <w:p w:rsidR="00000000" w:rsidRDefault="0016787D">
      <w:pPr>
        <w:jc w:val="both"/>
        <w:rPr>
          <w:rFonts w:eastAsia="Times New Roman"/>
        </w:rPr>
      </w:pPr>
      <w:r>
        <w:rPr>
          <w:rFonts w:eastAsia="Times New Roman"/>
          <w:color w:val="000000"/>
          <w:sz w:val="20"/>
          <w:szCs w:val="20"/>
          <w:u w:val="single"/>
        </w:rPr>
        <w:t>Exhibi</w:t>
      </w:r>
      <w:r>
        <w:rPr>
          <w:rFonts w:eastAsia="Times New Roman"/>
          <w:color w:val="000000"/>
          <w:sz w:val="20"/>
          <w:szCs w:val="20"/>
          <w:u w:val="single"/>
        </w:rPr>
        <w:t>t</w:t>
      </w:r>
    </w:p>
    <w:p w:rsidR="00000000" w:rsidRDefault="0016787D">
      <w:pPr>
        <w:ind w:hanging="1440"/>
        <w:jc w:val="both"/>
        <w:rPr>
          <w:rFonts w:eastAsia="Times New Roman"/>
        </w:rPr>
      </w:pPr>
      <w:r>
        <w:rPr>
          <w:rFonts w:eastAsia="Times New Roman"/>
          <w:color w:val="000000"/>
          <w:sz w:val="20"/>
          <w:szCs w:val="20"/>
        </w:rPr>
        <w:t>10.1 </w:t>
      </w:r>
      <w:r>
        <w:rPr>
          <w:rFonts w:eastAsia="Times New Roman"/>
          <w:color w:val="000000"/>
          <w:sz w:val="20"/>
          <w:szCs w:val="20"/>
        </w:rPr>
        <w:t> </w:t>
      </w:r>
      <w:hyperlink r:id="rId5" w:history="1">
        <w:r>
          <w:rPr>
            <w:rStyle w:val="a3"/>
            <w:rFonts w:eastAsia="Times New Roman"/>
            <w:sz w:val="20"/>
            <w:szCs w:val="20"/>
          </w:rPr>
          <w:t>Second Amendme</w:t>
        </w:r>
        <w:r>
          <w:rPr>
            <w:rStyle w:val="a3"/>
            <w:rFonts w:eastAsia="Times New Roman"/>
            <w:sz w:val="20"/>
            <w:szCs w:val="20"/>
          </w:rPr>
          <w:t xml:space="preserve">nt to Credit Agreement, dated April 22, 2020, by and among the Company, as Borrower, certain subsidiaries </w:t>
        </w:r>
      </w:hyperlink>
      <w:hyperlink r:id="rId6" w:history="1">
        <w:r>
          <w:rPr>
            <w:rStyle w:val="a3"/>
            <w:rFonts w:eastAsia="Times New Roman"/>
            <w:sz w:val="20"/>
            <w:szCs w:val="20"/>
          </w:rPr>
          <w:t xml:space="preserve">of the Company, certain lenders, and </w:t>
        </w:r>
      </w:hyperlink>
      <w:hyperlink r:id="rId7" w:history="1">
        <w:r>
          <w:rPr>
            <w:rStyle w:val="a3"/>
            <w:rFonts w:eastAsia="Times New Roman"/>
            <w:sz w:val="20"/>
            <w:szCs w:val="20"/>
          </w:rPr>
          <w:t>Wells Fargo Bank, National Association, as Administrative Agent and Lender (</w:t>
        </w:r>
      </w:hyperlink>
      <w:hyperlink r:id="rId8" w:history="1">
        <w:r>
          <w:rPr>
            <w:rStyle w:val="a3"/>
            <w:rFonts w:eastAsia="Times New Roman"/>
            <w:sz w:val="20"/>
            <w:szCs w:val="20"/>
          </w:rPr>
          <w:t>filed as Exh</w:t>
        </w:r>
      </w:hyperlink>
      <w:hyperlink r:id="rId9" w:history="1">
        <w:r>
          <w:rPr>
            <w:rStyle w:val="a3"/>
            <w:rFonts w:eastAsia="Times New Roman"/>
            <w:sz w:val="20"/>
            <w:szCs w:val="20"/>
          </w:rPr>
          <w:t>ibit 10.1 to Current R</w:t>
        </w:r>
      </w:hyperlink>
      <w:hyperlink r:id="rId10" w:history="1">
        <w:r>
          <w:rPr>
            <w:rStyle w:val="a3"/>
            <w:rFonts w:eastAsia="Times New Roman"/>
            <w:sz w:val="20"/>
            <w:szCs w:val="20"/>
          </w:rPr>
          <w:t>eport on Form 8-K, filed with the Commission on April 23, 2020, Commission File No. 000-23314, and inc</w:t>
        </w:r>
      </w:hyperlink>
      <w:hyperlink r:id="rId11" w:history="1">
        <w:r>
          <w:rPr>
            <w:rStyle w:val="a3"/>
            <w:rFonts w:eastAsia="Times New Roman"/>
            <w:sz w:val="20"/>
            <w:szCs w:val="20"/>
          </w:rPr>
          <w:t>o</w:t>
        </w:r>
      </w:hyperlink>
      <w:hyperlink r:id="rId12" w:history="1">
        <w:r>
          <w:rPr>
            <w:rStyle w:val="a3"/>
            <w:rFonts w:eastAsia="Times New Roman"/>
            <w:sz w:val="20"/>
            <w:szCs w:val="20"/>
          </w:rPr>
          <w:t>rporated her</w:t>
        </w:r>
      </w:hyperlink>
      <w:hyperlink r:id="rId13" w:history="1">
        <w:r>
          <w:rPr>
            <w:rStyle w:val="a3"/>
            <w:rFonts w:eastAsia="Times New Roman"/>
            <w:sz w:val="20"/>
            <w:szCs w:val="20"/>
          </w:rPr>
          <w:t>ein by reference)</w:t>
        </w:r>
      </w:hyperlink>
      <w:hyperlink r:id="rId14" w:history="1">
        <w:r>
          <w:rPr>
            <w:rStyle w:val="a3"/>
            <w:rFonts w:eastAsia="Times New Roman"/>
            <w:sz w:val="20"/>
            <w:szCs w:val="20"/>
          </w:rPr>
          <w:t>.</w:t>
        </w:r>
      </w:hyperlink>
    </w:p>
    <w:p w:rsidR="00000000" w:rsidRDefault="0016787D">
      <w:pPr>
        <w:ind w:hanging="1440"/>
        <w:jc w:val="both"/>
        <w:rPr>
          <w:rFonts w:eastAsia="Times New Roman"/>
        </w:rPr>
      </w:pPr>
    </w:p>
    <w:p w:rsidR="00000000" w:rsidRDefault="0016787D">
      <w:pPr>
        <w:ind w:hanging="1440"/>
        <w:jc w:val="both"/>
        <w:rPr>
          <w:rFonts w:eastAsia="Times New Roman"/>
        </w:rPr>
      </w:pPr>
      <w:r>
        <w:rPr>
          <w:rFonts w:eastAsia="Times New Roman"/>
          <w:color w:val="000000"/>
          <w:sz w:val="20"/>
          <w:szCs w:val="20"/>
        </w:rPr>
        <w:t>10.2 </w:t>
      </w:r>
      <w:r>
        <w:rPr>
          <w:rFonts w:eastAsia="Times New Roman"/>
          <w:color w:val="000000"/>
          <w:sz w:val="20"/>
          <w:szCs w:val="20"/>
        </w:rPr>
        <w:t> </w:t>
      </w:r>
      <w:hyperlink r:id="rId15" w:history="1">
        <w:r>
          <w:rPr>
            <w:rStyle w:val="a3"/>
            <w:rFonts w:eastAsia="Times New Roman"/>
            <w:sz w:val="20"/>
            <w:szCs w:val="20"/>
          </w:rPr>
          <w:t xml:space="preserve">Incremental Term Loan Agreement, dated as of April 22, 2020, by and among the Company, as Borrower, certain subsidiaries of the Company, and Wells Fargo Bank, National Association, as Administrative Agent and Lender (filed as Exhibit </w:t>
        </w:r>
        <w:r>
          <w:rPr>
            <w:rStyle w:val="a3"/>
            <w:rFonts w:eastAsia="Times New Roman"/>
            <w:sz w:val="20"/>
            <w:szCs w:val="20"/>
          </w:rPr>
          <w:t>10.2 to Current Report on Form 8-K, filed with the Commission on April 23, 2020, Commission File No. 000-23314, and incorporated herein by reference).</w:t>
        </w:r>
      </w:hyperlink>
    </w:p>
    <w:p w:rsidR="00000000" w:rsidRDefault="0016787D">
      <w:pPr>
        <w:ind w:hanging="1440"/>
        <w:jc w:val="both"/>
        <w:rPr>
          <w:rFonts w:eastAsia="Times New Roman"/>
        </w:rPr>
      </w:pPr>
    </w:p>
    <w:p w:rsidR="00000000" w:rsidRDefault="0016787D">
      <w:pPr>
        <w:ind w:hanging="1440"/>
        <w:jc w:val="both"/>
        <w:rPr>
          <w:rFonts w:eastAsia="Times New Roman"/>
        </w:rPr>
      </w:pPr>
      <w:r>
        <w:rPr>
          <w:rFonts w:eastAsia="Times New Roman"/>
          <w:color w:val="000000"/>
          <w:sz w:val="20"/>
          <w:szCs w:val="20"/>
        </w:rPr>
        <w:t>31.1* </w:t>
      </w:r>
      <w:r>
        <w:rPr>
          <w:rFonts w:eastAsia="Times New Roman"/>
          <w:color w:val="000000"/>
          <w:sz w:val="20"/>
          <w:szCs w:val="20"/>
        </w:rPr>
        <w:t> </w:t>
      </w:r>
      <w:hyperlink r:id="rId16" w:history="1">
        <w:r>
          <w:rPr>
            <w:rStyle w:val="a3"/>
            <w:rFonts w:eastAsia="Times New Roman"/>
            <w:sz w:val="20"/>
            <w:szCs w:val="20"/>
          </w:rPr>
          <w:t>Certification of Chief Executive Officer under Section 302 of</w:t>
        </w:r>
        <w:r>
          <w:rPr>
            <w:rStyle w:val="a3"/>
            <w:rFonts w:eastAsia="Times New Roman"/>
            <w:sz w:val="20"/>
            <w:szCs w:val="20"/>
          </w:rPr>
          <w:t xml:space="preserve"> the Sarbanes-Oxley Act of 2002.</w:t>
        </w:r>
      </w:hyperlink>
    </w:p>
    <w:p w:rsidR="00000000" w:rsidRDefault="0016787D">
      <w:pPr>
        <w:ind w:hanging="1440"/>
        <w:jc w:val="both"/>
        <w:rPr>
          <w:rFonts w:eastAsia="Times New Roman"/>
        </w:rPr>
      </w:pPr>
    </w:p>
    <w:p w:rsidR="00000000" w:rsidRDefault="0016787D">
      <w:pPr>
        <w:ind w:hanging="1440"/>
        <w:jc w:val="both"/>
        <w:rPr>
          <w:rFonts w:eastAsia="Times New Roman"/>
        </w:rPr>
      </w:pPr>
      <w:r>
        <w:rPr>
          <w:rFonts w:eastAsia="Times New Roman"/>
          <w:color w:val="000000"/>
          <w:sz w:val="20"/>
          <w:szCs w:val="20"/>
        </w:rPr>
        <w:t>31.2* </w:t>
      </w:r>
      <w:r>
        <w:rPr>
          <w:rFonts w:eastAsia="Times New Roman"/>
          <w:color w:val="000000"/>
          <w:sz w:val="20"/>
          <w:szCs w:val="20"/>
        </w:rPr>
        <w:t> </w:t>
      </w:r>
      <w:hyperlink r:id="rId17" w:history="1">
        <w:r>
          <w:rPr>
            <w:rStyle w:val="a3"/>
            <w:rFonts w:eastAsia="Times New Roman"/>
            <w:sz w:val="20"/>
            <w:szCs w:val="20"/>
          </w:rPr>
          <w:t>Certification of Chief Financial Officer under Section 302 of the Sarbanes-Oxley Act of 2002.</w:t>
        </w:r>
      </w:hyperlink>
    </w:p>
    <w:p w:rsidR="00000000" w:rsidRDefault="0016787D">
      <w:pPr>
        <w:ind w:hanging="1440"/>
        <w:jc w:val="both"/>
        <w:rPr>
          <w:rFonts w:eastAsia="Times New Roman"/>
        </w:rPr>
      </w:pPr>
    </w:p>
    <w:p w:rsidR="00000000" w:rsidRDefault="0016787D">
      <w:pPr>
        <w:ind w:hanging="1440"/>
        <w:jc w:val="both"/>
        <w:rPr>
          <w:rFonts w:eastAsia="Times New Roman"/>
        </w:rPr>
      </w:pPr>
      <w:r>
        <w:rPr>
          <w:rFonts w:eastAsia="Times New Roman"/>
          <w:color w:val="000000"/>
          <w:sz w:val="20"/>
          <w:szCs w:val="20"/>
        </w:rPr>
        <w:t>32.1* </w:t>
      </w:r>
      <w:r>
        <w:rPr>
          <w:rFonts w:eastAsia="Times New Roman"/>
          <w:color w:val="000000"/>
          <w:sz w:val="20"/>
          <w:szCs w:val="20"/>
        </w:rPr>
        <w:t> </w:t>
      </w:r>
      <w:hyperlink r:id="rId18" w:history="1">
        <w:r>
          <w:rPr>
            <w:rStyle w:val="a3"/>
            <w:rFonts w:eastAsia="Times New Roman"/>
            <w:sz w:val="20"/>
            <w:szCs w:val="20"/>
          </w:rPr>
          <w:t xml:space="preserve">Certification of Chief Executive Officer </w:t>
        </w:r>
        <w:r>
          <w:rPr>
            <w:rStyle w:val="a3"/>
            <w:rFonts w:eastAsia="Times New Roman"/>
            <w:sz w:val="20"/>
            <w:szCs w:val="20"/>
          </w:rPr>
          <w:t>and Chief Financial Officer under Section 906 of the Sarbanes-Oxley Act of 2002.</w:t>
        </w:r>
      </w:hyperlink>
    </w:p>
    <w:p w:rsidR="00000000" w:rsidRDefault="0016787D">
      <w:pPr>
        <w:ind w:hanging="1440"/>
        <w:jc w:val="both"/>
        <w:rPr>
          <w:rFonts w:eastAsia="Times New Roman"/>
        </w:rPr>
      </w:pPr>
    </w:p>
    <w:p w:rsidR="00000000" w:rsidRDefault="0016787D">
      <w:pPr>
        <w:ind w:hanging="1440"/>
        <w:jc w:val="both"/>
        <w:rPr>
          <w:rFonts w:eastAsia="Times New Roman"/>
        </w:rPr>
      </w:pPr>
      <w:r>
        <w:rPr>
          <w:rFonts w:eastAsia="Times New Roman"/>
          <w:color w:val="000000"/>
          <w:sz w:val="20"/>
          <w:szCs w:val="20"/>
        </w:rPr>
        <w:t>101*  The following financial information from the Company’</w:t>
      </w:r>
      <w:r>
        <w:rPr>
          <w:rFonts w:eastAsia="Times New Roman"/>
          <w:color w:val="000000"/>
          <w:sz w:val="20"/>
          <w:szCs w:val="20"/>
        </w:rPr>
        <w:t xml:space="preserve">s Quarterly Report on Form 10-Q for the quarter ended June 27, 2020, formatted in Inline XBRL (Extensible Business Reporting Language) includes: (i) the Condensed Consolidated Balance Sheets, (ii) the Condensed Consolidated Statements of Income, (iii) the </w:t>
      </w:r>
      <w:r>
        <w:rPr>
          <w:rFonts w:eastAsia="Times New Roman"/>
          <w:color w:val="000000"/>
          <w:sz w:val="20"/>
          <w:szCs w:val="20"/>
        </w:rPr>
        <w:t>Condensed Consolidated Statements of Comprehensive Income, (iv) the Condensed Consolidated Statements of Stockholders' Equity, (v) the Condensed Consolidated Statements of Cash Flows, and (vi) the Notes to Consolidated Financial Statements. The instance do</w:t>
      </w:r>
      <w:r>
        <w:rPr>
          <w:rFonts w:eastAsia="Times New Roman"/>
          <w:color w:val="000000"/>
          <w:sz w:val="20"/>
          <w:szCs w:val="20"/>
        </w:rPr>
        <w:t>cument does not appear in the interactive data file because its XBRL tags are embedded within the Inline XBRL document</w:t>
      </w:r>
      <w:r>
        <w:rPr>
          <w:rFonts w:eastAsia="Times New Roman"/>
          <w:color w:val="000000"/>
          <w:sz w:val="20"/>
          <w:szCs w:val="20"/>
        </w:rPr>
        <w:t>.</w:t>
      </w:r>
    </w:p>
    <w:p w:rsidR="00000000" w:rsidRDefault="0016787D">
      <w:pPr>
        <w:ind w:hanging="720"/>
        <w:jc w:val="both"/>
        <w:rPr>
          <w:rFonts w:eastAsia="Times New Roman"/>
        </w:rPr>
      </w:pPr>
    </w:p>
    <w:p w:rsidR="00000000" w:rsidRDefault="0016787D">
      <w:pPr>
        <w:ind w:hanging="1440"/>
        <w:jc w:val="both"/>
        <w:rPr>
          <w:rFonts w:eastAsia="Times New Roman"/>
        </w:rPr>
      </w:pPr>
      <w:r>
        <w:rPr>
          <w:rFonts w:eastAsia="Times New Roman"/>
          <w:color w:val="000000"/>
          <w:sz w:val="20"/>
          <w:szCs w:val="20"/>
        </w:rPr>
        <w:t>104*  The cover page from the Company’s Quarterly Report on Form 10-Q for the quarter ended June 27, 2020, formatted in Inline XBRL (i</w:t>
      </w:r>
      <w:r>
        <w:rPr>
          <w:rFonts w:eastAsia="Times New Roman"/>
          <w:color w:val="000000"/>
          <w:sz w:val="20"/>
          <w:szCs w:val="20"/>
        </w:rPr>
        <w:t>ncluded in Exhibit 101)</w:t>
      </w:r>
      <w:r>
        <w:rPr>
          <w:rFonts w:eastAsia="Times New Roman"/>
          <w:color w:val="000000"/>
          <w:sz w:val="20"/>
          <w:szCs w:val="20"/>
        </w:rPr>
        <w:t>.</w:t>
      </w:r>
    </w:p>
    <w:p w:rsidR="00000000" w:rsidRDefault="0016787D">
      <w:pPr>
        <w:jc w:val="both"/>
        <w:rPr>
          <w:rFonts w:eastAsia="Times New Roman"/>
        </w:rPr>
      </w:pPr>
    </w:p>
    <w:p w:rsidR="00000000" w:rsidRDefault="0016787D">
      <w:pPr>
        <w:ind w:hanging="1440"/>
        <w:divId w:val="1509252232"/>
        <w:rPr>
          <w:rFonts w:eastAsia="Times New Roman"/>
        </w:rPr>
      </w:pPr>
      <w:r>
        <w:rPr>
          <w:rFonts w:eastAsia="Times New Roman"/>
          <w:color w:val="000000"/>
          <w:sz w:val="20"/>
          <w:szCs w:val="20"/>
        </w:rPr>
        <w:t>*  Filed herewit</w:t>
      </w:r>
      <w:r>
        <w:rPr>
          <w:rFonts w:eastAsia="Times New Roman"/>
          <w:color w:val="000000"/>
          <w:sz w:val="20"/>
          <w:szCs w:val="20"/>
        </w:rPr>
        <w:t>h</w:t>
      </w:r>
    </w:p>
    <w:p w:rsidR="00000000" w:rsidRDefault="0016787D">
      <w:pPr>
        <w:ind w:hanging="1440"/>
        <w:divId w:val="2125735584"/>
        <w:rPr>
          <w:rFonts w:eastAsia="Times New Roman"/>
        </w:rPr>
      </w:pPr>
      <w:r>
        <w:rPr>
          <w:rFonts w:eastAsia="Times New Roman"/>
          <w:color w:val="000000"/>
          <w:sz w:val="20"/>
          <w:szCs w:val="20"/>
        </w:rPr>
        <w:t>+ Management contract or compensatory plan or arrangemen</w:t>
      </w:r>
      <w:r>
        <w:rPr>
          <w:rFonts w:eastAsia="Times New Roman"/>
          <w:color w:val="000000"/>
          <w:sz w:val="20"/>
          <w:szCs w:val="20"/>
        </w:rPr>
        <w:t>t</w:t>
      </w:r>
    </w:p>
    <w:p w:rsidR="00000000" w:rsidRDefault="0016787D">
      <w:pPr>
        <w:divId w:val="1352997163"/>
        <w:rPr>
          <w:rFonts w:eastAsia="Times New Roman"/>
        </w:rPr>
      </w:pPr>
    </w:p>
    <w:p w:rsidR="00000000" w:rsidRDefault="0016787D">
      <w:pPr>
        <w:divId w:val="492335925"/>
        <w:rPr>
          <w:rFonts w:eastAsia="Times New Roman"/>
        </w:rPr>
      </w:pPr>
    </w:p>
    <w:p w:rsidR="00000000" w:rsidRDefault="0016787D">
      <w:pPr>
        <w:jc w:val="center"/>
        <w:divId w:val="1952591375"/>
        <w:rPr>
          <w:rFonts w:eastAsia="Times New Roman"/>
        </w:rPr>
      </w:pPr>
      <w:r>
        <w:rPr>
          <w:rFonts w:eastAsia="Times New Roman"/>
          <w:color w:val="000000"/>
          <w:sz w:val="20"/>
          <w:szCs w:val="20"/>
        </w:rPr>
        <w:t>Page 3</w:t>
      </w:r>
      <w:r>
        <w:rPr>
          <w:rFonts w:eastAsia="Times New Roman"/>
          <w:color w:val="000000"/>
          <w:sz w:val="20"/>
          <w:szCs w:val="20"/>
        </w:rPr>
        <w:t>3</w:t>
      </w:r>
    </w:p>
    <w:p w:rsidR="00000000" w:rsidRDefault="0016787D">
      <w:pPr>
        <w:rPr>
          <w:rFonts w:eastAsia="Times New Roman"/>
        </w:rPr>
      </w:pPr>
      <w:r>
        <w:rPr>
          <w:rFonts w:eastAsia="Times New Roman"/>
        </w:rPr>
        <w:pict>
          <v:rect id="_x0000_i1058" style="width:0;height:1.5pt" o:hralign="center" o:hrstd="t" o:hr="t" fillcolor="#a0a0a0" stroked="f"/>
        </w:pict>
      </w:r>
    </w:p>
    <w:p w:rsidR="00000000" w:rsidRDefault="0016787D">
      <w:pPr>
        <w:divId w:val="475227190"/>
        <w:rPr>
          <w:rFonts w:eastAsia="Times New Roman"/>
        </w:rPr>
      </w:pPr>
      <w:hyperlink w:anchor="i4478e68e5dea442985a910e3b276f92d_7" w:history="1">
        <w:r>
          <w:rPr>
            <w:rStyle w:val="a3"/>
            <w:rFonts w:eastAsia="Times New Roman"/>
            <w:sz w:val="16"/>
            <w:szCs w:val="16"/>
          </w:rPr>
          <w:t>Index</w:t>
        </w:r>
      </w:hyperlink>
    </w:p>
    <w:p w:rsidR="00000000" w:rsidRDefault="0016787D">
      <w:pPr>
        <w:jc w:val="center"/>
        <w:rPr>
          <w:rFonts w:eastAsia="Times New Roman"/>
        </w:rPr>
      </w:pPr>
      <w:r>
        <w:rPr>
          <w:rFonts w:eastAsia="Times New Roman"/>
          <w:b/>
          <w:bCs/>
          <w:color w:val="000000"/>
          <w:sz w:val="20"/>
          <w:szCs w:val="20"/>
          <w:u w:val="single"/>
        </w:rPr>
        <w:t>SIGNATUR</w:t>
      </w:r>
      <w:r>
        <w:rPr>
          <w:rFonts w:eastAsia="Times New Roman"/>
          <w:b/>
          <w:bCs/>
          <w:color w:val="000000"/>
          <w:sz w:val="20"/>
          <w:szCs w:val="20"/>
          <w:u w:val="single"/>
        </w:rPr>
        <w:t>E</w:t>
      </w:r>
    </w:p>
    <w:p w:rsidR="00000000" w:rsidRDefault="0016787D">
      <w:pPr>
        <w:divId w:val="2039693614"/>
        <w:rPr>
          <w:rFonts w:eastAsia="Times New Roman"/>
        </w:rPr>
      </w:pPr>
    </w:p>
    <w:p w:rsidR="00000000" w:rsidRDefault="0016787D">
      <w:pPr>
        <w:jc w:val="both"/>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r>
        <w:rPr>
          <w:rFonts w:eastAsia="Times New Roman"/>
          <w:color w:val="000000"/>
          <w:sz w:val="20"/>
          <w:szCs w:val="20"/>
        </w:rPr>
        <w:t>.</w:t>
      </w:r>
    </w:p>
    <w:p w:rsidR="00000000" w:rsidRDefault="0016787D">
      <w:pPr>
        <w:divId w:val="560605301"/>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82"/>
        <w:gridCol w:w="319"/>
        <w:gridCol w:w="83"/>
        <w:gridCol w:w="83"/>
        <w:gridCol w:w="2312"/>
        <w:gridCol w:w="83"/>
        <w:gridCol w:w="83"/>
        <w:gridCol w:w="234"/>
        <w:gridCol w:w="83"/>
        <w:gridCol w:w="83"/>
        <w:gridCol w:w="4753"/>
        <w:gridCol w:w="83"/>
      </w:tblGrid>
      <w:tr w:rsidR="00000000">
        <w:trPr>
          <w:divId w:val="1801993023"/>
        </w:trPr>
        <w:tc>
          <w:tcPr>
            <w:tcW w:w="50" w:type="pct"/>
            <w:vAlign w:val="center"/>
            <w:hideMark/>
          </w:tcPr>
          <w:p w:rsidR="00000000" w:rsidRDefault="0016787D">
            <w:pPr>
              <w:rPr>
                <w:rFonts w:eastAsia="Times New Roman"/>
              </w:rPr>
            </w:pPr>
          </w:p>
        </w:tc>
        <w:tc>
          <w:tcPr>
            <w:tcW w:w="193"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395"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141"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c>
          <w:tcPr>
            <w:tcW w:w="2869" w:type="pct"/>
            <w:vAlign w:val="center"/>
            <w:hideMark/>
          </w:tcPr>
          <w:p w:rsidR="00000000" w:rsidRDefault="0016787D">
            <w:pPr>
              <w:rPr>
                <w:rFonts w:eastAsia="Times New Roman"/>
                <w:sz w:val="20"/>
                <w:szCs w:val="20"/>
              </w:rPr>
            </w:pPr>
          </w:p>
        </w:tc>
        <w:tc>
          <w:tcPr>
            <w:tcW w:w="50" w:type="pct"/>
            <w:vAlign w:val="center"/>
            <w:hideMark/>
          </w:tcPr>
          <w:p w:rsidR="00000000" w:rsidRDefault="0016787D">
            <w:pPr>
              <w:rPr>
                <w:rFonts w:eastAsia="Times New Roman"/>
                <w:sz w:val="20"/>
                <w:szCs w:val="20"/>
              </w:rPr>
            </w:pPr>
          </w:p>
        </w:tc>
      </w:tr>
      <w:tr w:rsidR="00000000">
        <w:trPr>
          <w:divId w:val="180199302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TRACTOR SUPPLY COMPAN</w:t>
            </w:r>
            <w:r>
              <w:rPr>
                <w:rFonts w:eastAsia="Times New Roman"/>
                <w:color w:val="000000"/>
                <w:sz w:val="20"/>
                <w:szCs w:val="20"/>
              </w:rPr>
              <w:t>Y</w:t>
            </w:r>
          </w:p>
        </w:tc>
      </w:tr>
      <w:tr w:rsidR="00000000">
        <w:trPr>
          <w:divId w:val="180199302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r>
      <w:tr w:rsidR="00000000">
        <w:trPr>
          <w:divId w:val="180199302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Date</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u w:val="single"/>
              </w:rPr>
              <w:t>August 6, 202</w:t>
            </w:r>
            <w:r>
              <w:rPr>
                <w:rFonts w:eastAsia="Times New Roman"/>
                <w:color w:val="000000"/>
                <w:sz w:val="20"/>
                <w:szCs w:val="20"/>
                <w:u w:val="single"/>
              </w:rPr>
              <w:t>0</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By</w:t>
            </w: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i/>
                <w:iCs/>
                <w:color w:val="000000"/>
                <w:sz w:val="20"/>
                <w:szCs w:val="20"/>
                <w:u w:val="single"/>
              </w:rPr>
              <w:t>/s/ Kurt D. Barto</w:t>
            </w:r>
            <w:r>
              <w:rPr>
                <w:rFonts w:eastAsia="Times New Roman"/>
                <w:i/>
                <w:iCs/>
                <w:color w:val="000000"/>
                <w:sz w:val="20"/>
                <w:szCs w:val="20"/>
                <w:u w:val="single"/>
              </w:rPr>
              <w:t>n</w:t>
            </w:r>
          </w:p>
        </w:tc>
      </w:tr>
      <w:tr w:rsidR="00000000">
        <w:trPr>
          <w:divId w:val="180199302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Kurt D. Barto</w:t>
            </w:r>
            <w:r>
              <w:rPr>
                <w:rFonts w:eastAsia="Times New Roman"/>
                <w:color w:val="000000"/>
                <w:sz w:val="20"/>
                <w:szCs w:val="20"/>
              </w:rPr>
              <w:t>n</w:t>
            </w:r>
          </w:p>
        </w:tc>
      </w:tr>
      <w:tr w:rsidR="00000000">
        <w:trPr>
          <w:divId w:val="180199302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Executive Vice President - Chief Financial Officer and Treasure</w:t>
            </w:r>
            <w:r>
              <w:rPr>
                <w:rFonts w:eastAsia="Times New Roman"/>
                <w:color w:val="000000"/>
                <w:sz w:val="20"/>
                <w:szCs w:val="20"/>
              </w:rPr>
              <w:t>r</w:t>
            </w:r>
          </w:p>
        </w:tc>
      </w:tr>
      <w:tr w:rsidR="00000000">
        <w:trPr>
          <w:divId w:val="1801993023"/>
        </w:trPr>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16787D">
            <w:pPr>
              <w:rPr>
                <w:rFonts w:eastAsia="Times New Roman"/>
              </w:rPr>
            </w:pPr>
            <w:r>
              <w:rPr>
                <w:rFonts w:eastAsia="Times New Roman"/>
                <w:color w:val="000000"/>
                <w:sz w:val="20"/>
                <w:szCs w:val="20"/>
              </w:rPr>
              <w:t>(Duly Authorized Officer and Principal Financial Officer</w:t>
            </w:r>
            <w:r>
              <w:rPr>
                <w:rFonts w:eastAsia="Times New Roman"/>
                <w:color w:val="000000"/>
                <w:sz w:val="20"/>
                <w:szCs w:val="20"/>
              </w:rPr>
              <w:t>)</w:t>
            </w:r>
          </w:p>
        </w:tc>
      </w:tr>
    </w:tbl>
    <w:p w:rsidR="00000000" w:rsidRDefault="0016787D">
      <w:pPr>
        <w:divId w:val="2042779009"/>
        <w:rPr>
          <w:rFonts w:eastAsia="Times New Roman"/>
        </w:rPr>
      </w:pPr>
    </w:p>
    <w:p w:rsidR="00000000" w:rsidRDefault="0016787D">
      <w:pPr>
        <w:divId w:val="1402486314"/>
        <w:rPr>
          <w:rFonts w:eastAsia="Times New Roman"/>
        </w:rPr>
      </w:pPr>
      <w:r>
        <w:rPr>
          <w:rFonts w:eastAsia="Times New Roman"/>
          <w:color w:val="000000"/>
          <w:sz w:val="20"/>
          <w:szCs w:val="20"/>
        </w:rPr>
        <w:t> </w:t>
      </w:r>
    </w:p>
    <w:p w:rsidR="00000000" w:rsidRDefault="0016787D">
      <w:pPr>
        <w:divId w:val="1945991577"/>
        <w:rPr>
          <w:rFonts w:eastAsia="Times New Roman"/>
        </w:rPr>
      </w:pPr>
      <w:r>
        <w:rPr>
          <w:rFonts w:eastAsia="Times New Roman"/>
          <w:color w:val="000000"/>
          <w:sz w:val="20"/>
          <w:szCs w:val="20"/>
        </w:rPr>
        <w:t> </w:t>
      </w:r>
    </w:p>
    <w:p w:rsidR="00000000" w:rsidRDefault="0016787D">
      <w:pPr>
        <w:divId w:val="2109539320"/>
        <w:rPr>
          <w:rFonts w:eastAsia="Times New Roman"/>
        </w:rPr>
      </w:pPr>
      <w:r>
        <w:rPr>
          <w:rFonts w:eastAsia="Times New Roman"/>
          <w:color w:val="000000"/>
          <w:sz w:val="20"/>
          <w:szCs w:val="20"/>
        </w:rPr>
        <w:t> </w:t>
      </w:r>
    </w:p>
    <w:p w:rsidR="00000000" w:rsidRDefault="0016787D">
      <w:pPr>
        <w:jc w:val="center"/>
        <w:rPr>
          <w:rFonts w:eastAsia="Times New Roman"/>
        </w:rPr>
      </w:pPr>
    </w:p>
    <w:p w:rsidR="0016787D" w:rsidRDefault="0016787D">
      <w:pPr>
        <w:jc w:val="center"/>
        <w:divId w:val="1208105832"/>
        <w:rPr>
          <w:rFonts w:eastAsia="Times New Roman"/>
        </w:rPr>
      </w:pPr>
      <w:r>
        <w:rPr>
          <w:rFonts w:eastAsia="Times New Roman"/>
          <w:color w:val="000000"/>
          <w:sz w:val="20"/>
          <w:szCs w:val="20"/>
        </w:rPr>
        <w:t>Page 3</w:t>
      </w:r>
      <w:r>
        <w:rPr>
          <w:rFonts w:eastAsia="Times New Roman"/>
          <w:color w:val="000000"/>
          <w:sz w:val="20"/>
          <w:szCs w:val="20"/>
        </w:rPr>
        <w:t>4</w:t>
      </w:r>
    </w:p>
    <w:sectPr w:rsidR="0016787D">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787D"/>
    <w:rsid w:val="0016787D"/>
  </w:rsids>
  <m:mathPr>
    <m:mathFont m:val="Cambria Math"/>
    <m:brkBin m:val="before"/>
    <m:brkBinSub m:val="--"/>
    <m:smallFrac m:val="0"/>
    <m:dispDef/>
    <m:lMargin m:val="0"/>
    <m:rMargin m:val="0"/>
    <m:defJc m:val="centerGroup"/>
    <m:wrapIndent m:val="1440"/>
    <m:intLim m:val="subSup"/>
    <m:naryLim m:val="undOvr"/>
  </m:mathPr>
  <w:attachedSchema w:val="http://xbrl.org/2006/xbrldi"/>
  <w:attachedSchema w:val="http://www.xbrl.org/2003/linkbase"/>
  <w:attachedSchema w:val="http://xbrl.sec.gov/dei/2019-01-31"/>
  <w:attachedSchema w:val="http://www.xbrl.org/inlineXBRL/transformation/2015-02-26"/>
  <w:attachedSchema w:val="http://www.xbrl.org/2003/instance"/>
  <w:attachedSchema w:val="http://fasb.org/us-gaap/2020-01-31"/>
  <w:attachedSchema w:val="http://fasb.org/srt/2020-01-31"/>
  <w:attachedSchema w:val="http://www.tractorsupply.com/20200627"/>
  <w:attachedSchema w:val="http://www.sec.gov/inlineXBRL/transformation/2015-08-31"/>
  <w:attachedSchema w:val="http://www.xbrl.org/2003/iso4217"/>
  <w:attachedSchema w:val="http://www.w3.org/1999/xlink"/>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6830">
      <w:marLeft w:val="0"/>
      <w:marRight w:val="0"/>
      <w:marTop w:val="0"/>
      <w:marBottom w:val="0"/>
      <w:divBdr>
        <w:top w:val="none" w:sz="0" w:space="0" w:color="auto"/>
        <w:left w:val="none" w:sz="0" w:space="0" w:color="auto"/>
        <w:bottom w:val="none" w:sz="0" w:space="0" w:color="auto"/>
        <w:right w:val="none" w:sz="0" w:space="0" w:color="auto"/>
      </w:divBdr>
      <w:divsChild>
        <w:div w:id="473982913">
          <w:marLeft w:val="0"/>
          <w:marRight w:val="0"/>
          <w:marTop w:val="0"/>
          <w:marBottom w:val="0"/>
          <w:divBdr>
            <w:top w:val="none" w:sz="0" w:space="0" w:color="auto"/>
            <w:left w:val="none" w:sz="0" w:space="0" w:color="auto"/>
            <w:bottom w:val="none" w:sz="0" w:space="0" w:color="auto"/>
            <w:right w:val="none" w:sz="0" w:space="0" w:color="auto"/>
          </w:divBdr>
        </w:div>
      </w:divsChild>
    </w:div>
    <w:div w:id="17465171">
      <w:marLeft w:val="0"/>
      <w:marRight w:val="0"/>
      <w:marTop w:val="0"/>
      <w:marBottom w:val="0"/>
      <w:divBdr>
        <w:top w:val="none" w:sz="0" w:space="0" w:color="auto"/>
        <w:left w:val="none" w:sz="0" w:space="0" w:color="auto"/>
        <w:bottom w:val="none" w:sz="0" w:space="0" w:color="auto"/>
        <w:right w:val="none" w:sz="0" w:space="0" w:color="auto"/>
      </w:divBdr>
    </w:div>
    <w:div w:id="26561970">
      <w:marLeft w:val="0"/>
      <w:marRight w:val="0"/>
      <w:marTop w:val="0"/>
      <w:marBottom w:val="120"/>
      <w:divBdr>
        <w:top w:val="none" w:sz="0" w:space="0" w:color="auto"/>
        <w:left w:val="none" w:sz="0" w:space="0" w:color="auto"/>
        <w:bottom w:val="none" w:sz="0" w:space="0" w:color="auto"/>
        <w:right w:val="none" w:sz="0" w:space="0" w:color="auto"/>
      </w:divBdr>
    </w:div>
    <w:div w:id="45183744">
      <w:marLeft w:val="0"/>
      <w:marRight w:val="0"/>
      <w:marTop w:val="0"/>
      <w:marBottom w:val="0"/>
      <w:divBdr>
        <w:top w:val="none" w:sz="0" w:space="0" w:color="auto"/>
        <w:left w:val="none" w:sz="0" w:space="0" w:color="auto"/>
        <w:bottom w:val="none" w:sz="0" w:space="0" w:color="auto"/>
        <w:right w:val="none" w:sz="0" w:space="0" w:color="auto"/>
      </w:divBdr>
    </w:div>
    <w:div w:id="48967199">
      <w:marLeft w:val="0"/>
      <w:marRight w:val="0"/>
      <w:marTop w:val="0"/>
      <w:marBottom w:val="120"/>
      <w:divBdr>
        <w:top w:val="none" w:sz="0" w:space="0" w:color="auto"/>
        <w:left w:val="none" w:sz="0" w:space="0" w:color="auto"/>
        <w:bottom w:val="none" w:sz="0" w:space="0" w:color="auto"/>
        <w:right w:val="none" w:sz="0" w:space="0" w:color="auto"/>
      </w:divBdr>
    </w:div>
    <w:div w:id="62877691">
      <w:marLeft w:val="0"/>
      <w:marRight w:val="0"/>
      <w:marTop w:val="0"/>
      <w:marBottom w:val="0"/>
      <w:divBdr>
        <w:top w:val="none" w:sz="0" w:space="0" w:color="auto"/>
        <w:left w:val="none" w:sz="0" w:space="0" w:color="auto"/>
        <w:bottom w:val="none" w:sz="0" w:space="0" w:color="auto"/>
        <w:right w:val="none" w:sz="0" w:space="0" w:color="auto"/>
      </w:divBdr>
    </w:div>
    <w:div w:id="69356482">
      <w:marLeft w:val="0"/>
      <w:marRight w:val="0"/>
      <w:marTop w:val="0"/>
      <w:marBottom w:val="120"/>
      <w:divBdr>
        <w:top w:val="none" w:sz="0" w:space="0" w:color="auto"/>
        <w:left w:val="none" w:sz="0" w:space="0" w:color="auto"/>
        <w:bottom w:val="none" w:sz="0" w:space="0" w:color="auto"/>
        <w:right w:val="none" w:sz="0" w:space="0" w:color="auto"/>
      </w:divBdr>
    </w:div>
    <w:div w:id="74059832">
      <w:marLeft w:val="0"/>
      <w:marRight w:val="0"/>
      <w:marTop w:val="0"/>
      <w:marBottom w:val="0"/>
      <w:divBdr>
        <w:top w:val="none" w:sz="0" w:space="0" w:color="auto"/>
        <w:left w:val="none" w:sz="0" w:space="0" w:color="auto"/>
        <w:bottom w:val="none" w:sz="0" w:space="0" w:color="auto"/>
        <w:right w:val="none" w:sz="0" w:space="0" w:color="auto"/>
      </w:divBdr>
    </w:div>
    <w:div w:id="95515954">
      <w:marLeft w:val="0"/>
      <w:marRight w:val="0"/>
      <w:marTop w:val="0"/>
      <w:marBottom w:val="0"/>
      <w:divBdr>
        <w:top w:val="none" w:sz="0" w:space="0" w:color="auto"/>
        <w:left w:val="none" w:sz="0" w:space="0" w:color="auto"/>
        <w:bottom w:val="none" w:sz="0" w:space="0" w:color="auto"/>
        <w:right w:val="none" w:sz="0" w:space="0" w:color="auto"/>
      </w:divBdr>
    </w:div>
    <w:div w:id="97331252">
      <w:marLeft w:val="0"/>
      <w:marRight w:val="0"/>
      <w:marTop w:val="0"/>
      <w:marBottom w:val="0"/>
      <w:divBdr>
        <w:top w:val="none" w:sz="0" w:space="0" w:color="auto"/>
        <w:left w:val="none" w:sz="0" w:space="0" w:color="auto"/>
        <w:bottom w:val="none" w:sz="0" w:space="0" w:color="auto"/>
        <w:right w:val="none" w:sz="0" w:space="0" w:color="auto"/>
      </w:divBdr>
      <w:divsChild>
        <w:div w:id="856845983">
          <w:marLeft w:val="0"/>
          <w:marRight w:val="0"/>
          <w:marTop w:val="0"/>
          <w:marBottom w:val="0"/>
          <w:divBdr>
            <w:top w:val="none" w:sz="0" w:space="0" w:color="auto"/>
            <w:left w:val="none" w:sz="0" w:space="0" w:color="auto"/>
            <w:bottom w:val="none" w:sz="0" w:space="0" w:color="auto"/>
            <w:right w:val="none" w:sz="0" w:space="0" w:color="auto"/>
          </w:divBdr>
        </w:div>
      </w:divsChild>
    </w:div>
    <w:div w:id="110057809">
      <w:marLeft w:val="0"/>
      <w:marRight w:val="0"/>
      <w:marTop w:val="0"/>
      <w:marBottom w:val="120"/>
      <w:divBdr>
        <w:top w:val="none" w:sz="0" w:space="0" w:color="auto"/>
        <w:left w:val="none" w:sz="0" w:space="0" w:color="auto"/>
        <w:bottom w:val="none" w:sz="0" w:space="0" w:color="auto"/>
        <w:right w:val="none" w:sz="0" w:space="0" w:color="auto"/>
      </w:divBdr>
    </w:div>
    <w:div w:id="119614168">
      <w:marLeft w:val="0"/>
      <w:marRight w:val="0"/>
      <w:marTop w:val="0"/>
      <w:marBottom w:val="0"/>
      <w:divBdr>
        <w:top w:val="none" w:sz="0" w:space="0" w:color="auto"/>
        <w:left w:val="none" w:sz="0" w:space="0" w:color="auto"/>
        <w:bottom w:val="none" w:sz="0" w:space="0" w:color="auto"/>
        <w:right w:val="none" w:sz="0" w:space="0" w:color="auto"/>
      </w:divBdr>
    </w:div>
    <w:div w:id="122237493">
      <w:marLeft w:val="0"/>
      <w:marRight w:val="0"/>
      <w:marTop w:val="0"/>
      <w:marBottom w:val="0"/>
      <w:divBdr>
        <w:top w:val="none" w:sz="0" w:space="0" w:color="auto"/>
        <w:left w:val="none" w:sz="0" w:space="0" w:color="auto"/>
        <w:bottom w:val="none" w:sz="0" w:space="0" w:color="auto"/>
        <w:right w:val="none" w:sz="0" w:space="0" w:color="auto"/>
      </w:divBdr>
      <w:divsChild>
        <w:div w:id="1099258820">
          <w:marLeft w:val="0"/>
          <w:marRight w:val="0"/>
          <w:marTop w:val="0"/>
          <w:marBottom w:val="0"/>
          <w:divBdr>
            <w:top w:val="none" w:sz="0" w:space="0" w:color="auto"/>
            <w:left w:val="none" w:sz="0" w:space="0" w:color="auto"/>
            <w:bottom w:val="none" w:sz="0" w:space="0" w:color="auto"/>
            <w:right w:val="none" w:sz="0" w:space="0" w:color="auto"/>
          </w:divBdr>
        </w:div>
      </w:divsChild>
    </w:div>
    <w:div w:id="125585976">
      <w:marLeft w:val="0"/>
      <w:marRight w:val="0"/>
      <w:marTop w:val="0"/>
      <w:marBottom w:val="0"/>
      <w:divBdr>
        <w:top w:val="none" w:sz="0" w:space="0" w:color="auto"/>
        <w:left w:val="none" w:sz="0" w:space="0" w:color="auto"/>
        <w:bottom w:val="none" w:sz="0" w:space="0" w:color="auto"/>
        <w:right w:val="none" w:sz="0" w:space="0" w:color="auto"/>
      </w:divBdr>
    </w:div>
    <w:div w:id="126123371">
      <w:marLeft w:val="0"/>
      <w:marRight w:val="0"/>
      <w:marTop w:val="0"/>
      <w:marBottom w:val="0"/>
      <w:divBdr>
        <w:top w:val="none" w:sz="0" w:space="0" w:color="auto"/>
        <w:left w:val="none" w:sz="0" w:space="0" w:color="auto"/>
        <w:bottom w:val="none" w:sz="0" w:space="0" w:color="auto"/>
        <w:right w:val="none" w:sz="0" w:space="0" w:color="auto"/>
      </w:divBdr>
      <w:divsChild>
        <w:div w:id="2088266966">
          <w:marLeft w:val="0"/>
          <w:marRight w:val="0"/>
          <w:marTop w:val="0"/>
          <w:marBottom w:val="0"/>
          <w:divBdr>
            <w:top w:val="none" w:sz="0" w:space="0" w:color="auto"/>
            <w:left w:val="none" w:sz="0" w:space="0" w:color="auto"/>
            <w:bottom w:val="none" w:sz="0" w:space="0" w:color="auto"/>
            <w:right w:val="none" w:sz="0" w:space="0" w:color="auto"/>
          </w:divBdr>
        </w:div>
      </w:divsChild>
    </w:div>
    <w:div w:id="141314976">
      <w:marLeft w:val="0"/>
      <w:marRight w:val="0"/>
      <w:marTop w:val="0"/>
      <w:marBottom w:val="0"/>
      <w:divBdr>
        <w:top w:val="none" w:sz="0" w:space="0" w:color="auto"/>
        <w:left w:val="none" w:sz="0" w:space="0" w:color="auto"/>
        <w:bottom w:val="none" w:sz="0" w:space="0" w:color="auto"/>
        <w:right w:val="none" w:sz="0" w:space="0" w:color="auto"/>
      </w:divBdr>
      <w:divsChild>
        <w:div w:id="1359504631">
          <w:marLeft w:val="0"/>
          <w:marRight w:val="0"/>
          <w:marTop w:val="0"/>
          <w:marBottom w:val="0"/>
          <w:divBdr>
            <w:top w:val="none" w:sz="0" w:space="0" w:color="auto"/>
            <w:left w:val="none" w:sz="0" w:space="0" w:color="auto"/>
            <w:bottom w:val="none" w:sz="0" w:space="0" w:color="auto"/>
            <w:right w:val="none" w:sz="0" w:space="0" w:color="auto"/>
          </w:divBdr>
        </w:div>
      </w:divsChild>
    </w:div>
    <w:div w:id="151803235">
      <w:marLeft w:val="0"/>
      <w:marRight w:val="0"/>
      <w:marTop w:val="0"/>
      <w:marBottom w:val="0"/>
      <w:divBdr>
        <w:top w:val="none" w:sz="0" w:space="0" w:color="auto"/>
        <w:left w:val="none" w:sz="0" w:space="0" w:color="auto"/>
        <w:bottom w:val="none" w:sz="0" w:space="0" w:color="auto"/>
        <w:right w:val="none" w:sz="0" w:space="0" w:color="auto"/>
      </w:divBdr>
      <w:divsChild>
        <w:div w:id="624888473">
          <w:marLeft w:val="0"/>
          <w:marRight w:val="0"/>
          <w:marTop w:val="0"/>
          <w:marBottom w:val="0"/>
          <w:divBdr>
            <w:top w:val="none" w:sz="0" w:space="0" w:color="auto"/>
            <w:left w:val="none" w:sz="0" w:space="0" w:color="auto"/>
            <w:bottom w:val="none" w:sz="0" w:space="0" w:color="auto"/>
            <w:right w:val="none" w:sz="0" w:space="0" w:color="auto"/>
          </w:divBdr>
        </w:div>
      </w:divsChild>
    </w:div>
    <w:div w:id="170219425">
      <w:marLeft w:val="0"/>
      <w:marRight w:val="0"/>
      <w:marTop w:val="120"/>
      <w:marBottom w:val="120"/>
      <w:divBdr>
        <w:top w:val="none" w:sz="0" w:space="0" w:color="auto"/>
        <w:left w:val="none" w:sz="0" w:space="0" w:color="auto"/>
        <w:bottom w:val="none" w:sz="0" w:space="0" w:color="auto"/>
        <w:right w:val="none" w:sz="0" w:space="0" w:color="auto"/>
      </w:divBdr>
    </w:div>
    <w:div w:id="198398003">
      <w:marLeft w:val="0"/>
      <w:marRight w:val="0"/>
      <w:marTop w:val="0"/>
      <w:marBottom w:val="0"/>
      <w:divBdr>
        <w:top w:val="none" w:sz="0" w:space="0" w:color="auto"/>
        <w:left w:val="none" w:sz="0" w:space="0" w:color="auto"/>
        <w:bottom w:val="none" w:sz="0" w:space="0" w:color="auto"/>
        <w:right w:val="none" w:sz="0" w:space="0" w:color="auto"/>
      </w:divBdr>
    </w:div>
    <w:div w:id="204027563">
      <w:marLeft w:val="0"/>
      <w:marRight w:val="0"/>
      <w:marTop w:val="0"/>
      <w:marBottom w:val="0"/>
      <w:divBdr>
        <w:top w:val="none" w:sz="0" w:space="0" w:color="auto"/>
        <w:left w:val="none" w:sz="0" w:space="0" w:color="auto"/>
        <w:bottom w:val="none" w:sz="0" w:space="0" w:color="auto"/>
        <w:right w:val="none" w:sz="0" w:space="0" w:color="auto"/>
      </w:divBdr>
    </w:div>
    <w:div w:id="220868315">
      <w:marLeft w:val="0"/>
      <w:marRight w:val="0"/>
      <w:marTop w:val="0"/>
      <w:marBottom w:val="0"/>
      <w:divBdr>
        <w:top w:val="none" w:sz="0" w:space="0" w:color="auto"/>
        <w:left w:val="none" w:sz="0" w:space="0" w:color="auto"/>
        <w:bottom w:val="none" w:sz="0" w:space="0" w:color="auto"/>
        <w:right w:val="none" w:sz="0" w:space="0" w:color="auto"/>
      </w:divBdr>
    </w:div>
    <w:div w:id="225263750">
      <w:marLeft w:val="0"/>
      <w:marRight w:val="0"/>
      <w:marTop w:val="0"/>
      <w:marBottom w:val="0"/>
      <w:divBdr>
        <w:top w:val="none" w:sz="0" w:space="0" w:color="auto"/>
        <w:left w:val="none" w:sz="0" w:space="0" w:color="auto"/>
        <w:bottom w:val="none" w:sz="0" w:space="0" w:color="auto"/>
        <w:right w:val="none" w:sz="0" w:space="0" w:color="auto"/>
      </w:divBdr>
      <w:divsChild>
        <w:div w:id="2098138080">
          <w:marLeft w:val="0"/>
          <w:marRight w:val="0"/>
          <w:marTop w:val="0"/>
          <w:marBottom w:val="0"/>
          <w:divBdr>
            <w:top w:val="none" w:sz="0" w:space="0" w:color="auto"/>
            <w:left w:val="none" w:sz="0" w:space="0" w:color="auto"/>
            <w:bottom w:val="none" w:sz="0" w:space="0" w:color="auto"/>
            <w:right w:val="none" w:sz="0" w:space="0" w:color="auto"/>
          </w:divBdr>
        </w:div>
      </w:divsChild>
    </w:div>
    <w:div w:id="229536833">
      <w:marLeft w:val="0"/>
      <w:marRight w:val="0"/>
      <w:marTop w:val="0"/>
      <w:marBottom w:val="0"/>
      <w:divBdr>
        <w:top w:val="none" w:sz="0" w:space="0" w:color="auto"/>
        <w:left w:val="none" w:sz="0" w:space="0" w:color="auto"/>
        <w:bottom w:val="none" w:sz="0" w:space="0" w:color="auto"/>
        <w:right w:val="none" w:sz="0" w:space="0" w:color="auto"/>
      </w:divBdr>
    </w:div>
    <w:div w:id="230432235">
      <w:marLeft w:val="0"/>
      <w:marRight w:val="0"/>
      <w:marTop w:val="0"/>
      <w:marBottom w:val="0"/>
      <w:divBdr>
        <w:top w:val="none" w:sz="0" w:space="0" w:color="auto"/>
        <w:left w:val="none" w:sz="0" w:space="0" w:color="auto"/>
        <w:bottom w:val="none" w:sz="0" w:space="0" w:color="auto"/>
        <w:right w:val="none" w:sz="0" w:space="0" w:color="auto"/>
      </w:divBdr>
      <w:divsChild>
        <w:div w:id="323896609">
          <w:marLeft w:val="0"/>
          <w:marRight w:val="0"/>
          <w:marTop w:val="0"/>
          <w:marBottom w:val="0"/>
          <w:divBdr>
            <w:top w:val="none" w:sz="0" w:space="0" w:color="auto"/>
            <w:left w:val="none" w:sz="0" w:space="0" w:color="auto"/>
            <w:bottom w:val="none" w:sz="0" w:space="0" w:color="auto"/>
            <w:right w:val="none" w:sz="0" w:space="0" w:color="auto"/>
          </w:divBdr>
        </w:div>
      </w:divsChild>
    </w:div>
    <w:div w:id="235867337">
      <w:marLeft w:val="0"/>
      <w:marRight w:val="0"/>
      <w:marTop w:val="0"/>
      <w:marBottom w:val="0"/>
      <w:divBdr>
        <w:top w:val="none" w:sz="0" w:space="0" w:color="auto"/>
        <w:left w:val="none" w:sz="0" w:space="0" w:color="auto"/>
        <w:bottom w:val="none" w:sz="0" w:space="0" w:color="auto"/>
        <w:right w:val="none" w:sz="0" w:space="0" w:color="auto"/>
      </w:divBdr>
      <w:divsChild>
        <w:div w:id="475227190">
          <w:marLeft w:val="0"/>
          <w:marRight w:val="0"/>
          <w:marTop w:val="0"/>
          <w:marBottom w:val="0"/>
          <w:divBdr>
            <w:top w:val="none" w:sz="0" w:space="0" w:color="auto"/>
            <w:left w:val="none" w:sz="0" w:space="0" w:color="auto"/>
            <w:bottom w:val="none" w:sz="0" w:space="0" w:color="auto"/>
            <w:right w:val="none" w:sz="0" w:space="0" w:color="auto"/>
          </w:divBdr>
        </w:div>
      </w:divsChild>
    </w:div>
    <w:div w:id="248973011">
      <w:marLeft w:val="0"/>
      <w:marRight w:val="0"/>
      <w:marTop w:val="0"/>
      <w:marBottom w:val="0"/>
      <w:divBdr>
        <w:top w:val="none" w:sz="0" w:space="0" w:color="auto"/>
        <w:left w:val="none" w:sz="0" w:space="0" w:color="auto"/>
        <w:bottom w:val="none" w:sz="0" w:space="0" w:color="auto"/>
        <w:right w:val="none" w:sz="0" w:space="0" w:color="auto"/>
      </w:divBdr>
    </w:div>
    <w:div w:id="274756915">
      <w:marLeft w:val="0"/>
      <w:marRight w:val="0"/>
      <w:marTop w:val="0"/>
      <w:marBottom w:val="0"/>
      <w:divBdr>
        <w:top w:val="none" w:sz="0" w:space="0" w:color="auto"/>
        <w:left w:val="none" w:sz="0" w:space="0" w:color="auto"/>
        <w:bottom w:val="none" w:sz="0" w:space="0" w:color="auto"/>
        <w:right w:val="none" w:sz="0" w:space="0" w:color="auto"/>
      </w:divBdr>
    </w:div>
    <w:div w:id="292562741">
      <w:marLeft w:val="0"/>
      <w:marRight w:val="0"/>
      <w:marTop w:val="0"/>
      <w:marBottom w:val="0"/>
      <w:divBdr>
        <w:top w:val="none" w:sz="0" w:space="0" w:color="auto"/>
        <w:left w:val="none" w:sz="0" w:space="0" w:color="auto"/>
        <w:bottom w:val="none" w:sz="0" w:space="0" w:color="auto"/>
        <w:right w:val="none" w:sz="0" w:space="0" w:color="auto"/>
      </w:divBdr>
    </w:div>
    <w:div w:id="297494759">
      <w:marLeft w:val="0"/>
      <w:marRight w:val="0"/>
      <w:marTop w:val="0"/>
      <w:marBottom w:val="0"/>
      <w:divBdr>
        <w:top w:val="none" w:sz="0" w:space="0" w:color="auto"/>
        <w:left w:val="none" w:sz="0" w:space="0" w:color="auto"/>
        <w:bottom w:val="none" w:sz="0" w:space="0" w:color="auto"/>
        <w:right w:val="none" w:sz="0" w:space="0" w:color="auto"/>
      </w:divBdr>
      <w:divsChild>
        <w:div w:id="1952591375">
          <w:marLeft w:val="0"/>
          <w:marRight w:val="0"/>
          <w:marTop w:val="0"/>
          <w:marBottom w:val="0"/>
          <w:divBdr>
            <w:top w:val="none" w:sz="0" w:space="0" w:color="auto"/>
            <w:left w:val="none" w:sz="0" w:space="0" w:color="auto"/>
            <w:bottom w:val="none" w:sz="0" w:space="0" w:color="auto"/>
            <w:right w:val="none" w:sz="0" w:space="0" w:color="auto"/>
          </w:divBdr>
        </w:div>
      </w:divsChild>
    </w:div>
    <w:div w:id="300963020">
      <w:marLeft w:val="0"/>
      <w:marRight w:val="0"/>
      <w:marTop w:val="0"/>
      <w:marBottom w:val="0"/>
      <w:divBdr>
        <w:top w:val="none" w:sz="0" w:space="0" w:color="auto"/>
        <w:left w:val="none" w:sz="0" w:space="0" w:color="auto"/>
        <w:bottom w:val="none" w:sz="0" w:space="0" w:color="auto"/>
        <w:right w:val="none" w:sz="0" w:space="0" w:color="auto"/>
      </w:divBdr>
      <w:divsChild>
        <w:div w:id="1744794759">
          <w:marLeft w:val="0"/>
          <w:marRight w:val="0"/>
          <w:marTop w:val="0"/>
          <w:marBottom w:val="0"/>
          <w:divBdr>
            <w:top w:val="none" w:sz="0" w:space="0" w:color="auto"/>
            <w:left w:val="none" w:sz="0" w:space="0" w:color="auto"/>
            <w:bottom w:val="none" w:sz="0" w:space="0" w:color="auto"/>
            <w:right w:val="none" w:sz="0" w:space="0" w:color="auto"/>
          </w:divBdr>
        </w:div>
      </w:divsChild>
    </w:div>
    <w:div w:id="306010679">
      <w:marLeft w:val="0"/>
      <w:marRight w:val="0"/>
      <w:marTop w:val="0"/>
      <w:marBottom w:val="0"/>
      <w:divBdr>
        <w:top w:val="none" w:sz="0" w:space="0" w:color="auto"/>
        <w:left w:val="none" w:sz="0" w:space="0" w:color="auto"/>
        <w:bottom w:val="none" w:sz="0" w:space="0" w:color="auto"/>
        <w:right w:val="none" w:sz="0" w:space="0" w:color="auto"/>
      </w:divBdr>
    </w:div>
    <w:div w:id="312565763">
      <w:marLeft w:val="0"/>
      <w:marRight w:val="0"/>
      <w:marTop w:val="0"/>
      <w:marBottom w:val="0"/>
      <w:divBdr>
        <w:top w:val="none" w:sz="0" w:space="0" w:color="auto"/>
        <w:left w:val="none" w:sz="0" w:space="0" w:color="auto"/>
        <w:bottom w:val="none" w:sz="0" w:space="0" w:color="auto"/>
        <w:right w:val="none" w:sz="0" w:space="0" w:color="auto"/>
      </w:divBdr>
      <w:divsChild>
        <w:div w:id="1208105832">
          <w:marLeft w:val="0"/>
          <w:marRight w:val="0"/>
          <w:marTop w:val="0"/>
          <w:marBottom w:val="0"/>
          <w:divBdr>
            <w:top w:val="none" w:sz="0" w:space="0" w:color="auto"/>
            <w:left w:val="none" w:sz="0" w:space="0" w:color="auto"/>
            <w:bottom w:val="none" w:sz="0" w:space="0" w:color="auto"/>
            <w:right w:val="none" w:sz="0" w:space="0" w:color="auto"/>
          </w:divBdr>
        </w:div>
      </w:divsChild>
    </w:div>
    <w:div w:id="317730502">
      <w:marLeft w:val="0"/>
      <w:marRight w:val="0"/>
      <w:marTop w:val="0"/>
      <w:marBottom w:val="120"/>
      <w:divBdr>
        <w:top w:val="none" w:sz="0" w:space="0" w:color="auto"/>
        <w:left w:val="none" w:sz="0" w:space="0" w:color="auto"/>
        <w:bottom w:val="none" w:sz="0" w:space="0" w:color="auto"/>
        <w:right w:val="none" w:sz="0" w:space="0" w:color="auto"/>
      </w:divBdr>
    </w:div>
    <w:div w:id="323360116">
      <w:marLeft w:val="0"/>
      <w:marRight w:val="0"/>
      <w:marTop w:val="0"/>
      <w:marBottom w:val="120"/>
      <w:divBdr>
        <w:top w:val="none" w:sz="0" w:space="0" w:color="auto"/>
        <w:left w:val="none" w:sz="0" w:space="0" w:color="auto"/>
        <w:bottom w:val="none" w:sz="0" w:space="0" w:color="auto"/>
        <w:right w:val="none" w:sz="0" w:space="0" w:color="auto"/>
      </w:divBdr>
    </w:div>
    <w:div w:id="327444094">
      <w:marLeft w:val="0"/>
      <w:marRight w:val="0"/>
      <w:marTop w:val="0"/>
      <w:marBottom w:val="120"/>
      <w:divBdr>
        <w:top w:val="none" w:sz="0" w:space="0" w:color="auto"/>
        <w:left w:val="none" w:sz="0" w:space="0" w:color="auto"/>
        <w:bottom w:val="none" w:sz="0" w:space="0" w:color="auto"/>
        <w:right w:val="none" w:sz="0" w:space="0" w:color="auto"/>
      </w:divBdr>
    </w:div>
    <w:div w:id="336271846">
      <w:marLeft w:val="0"/>
      <w:marRight w:val="0"/>
      <w:marTop w:val="0"/>
      <w:marBottom w:val="0"/>
      <w:divBdr>
        <w:top w:val="none" w:sz="0" w:space="0" w:color="auto"/>
        <w:left w:val="none" w:sz="0" w:space="0" w:color="auto"/>
        <w:bottom w:val="none" w:sz="0" w:space="0" w:color="auto"/>
        <w:right w:val="none" w:sz="0" w:space="0" w:color="auto"/>
      </w:divBdr>
      <w:divsChild>
        <w:div w:id="1646163740">
          <w:marLeft w:val="0"/>
          <w:marRight w:val="0"/>
          <w:marTop w:val="0"/>
          <w:marBottom w:val="0"/>
          <w:divBdr>
            <w:top w:val="none" w:sz="0" w:space="0" w:color="auto"/>
            <w:left w:val="none" w:sz="0" w:space="0" w:color="auto"/>
            <w:bottom w:val="none" w:sz="0" w:space="0" w:color="auto"/>
            <w:right w:val="none" w:sz="0" w:space="0" w:color="auto"/>
          </w:divBdr>
        </w:div>
      </w:divsChild>
    </w:div>
    <w:div w:id="345909683">
      <w:marLeft w:val="0"/>
      <w:marRight w:val="0"/>
      <w:marTop w:val="0"/>
      <w:marBottom w:val="0"/>
      <w:divBdr>
        <w:top w:val="none" w:sz="0" w:space="0" w:color="auto"/>
        <w:left w:val="none" w:sz="0" w:space="0" w:color="auto"/>
        <w:bottom w:val="none" w:sz="0" w:space="0" w:color="auto"/>
        <w:right w:val="none" w:sz="0" w:space="0" w:color="auto"/>
      </w:divBdr>
    </w:div>
    <w:div w:id="363099700">
      <w:marLeft w:val="0"/>
      <w:marRight w:val="0"/>
      <w:marTop w:val="0"/>
      <w:marBottom w:val="0"/>
      <w:divBdr>
        <w:top w:val="none" w:sz="0" w:space="0" w:color="auto"/>
        <w:left w:val="none" w:sz="0" w:space="0" w:color="auto"/>
        <w:bottom w:val="none" w:sz="0" w:space="0" w:color="auto"/>
        <w:right w:val="none" w:sz="0" w:space="0" w:color="auto"/>
      </w:divBdr>
    </w:div>
    <w:div w:id="374500511">
      <w:marLeft w:val="0"/>
      <w:marRight w:val="0"/>
      <w:marTop w:val="0"/>
      <w:marBottom w:val="0"/>
      <w:divBdr>
        <w:top w:val="none" w:sz="0" w:space="0" w:color="auto"/>
        <w:left w:val="none" w:sz="0" w:space="0" w:color="auto"/>
        <w:bottom w:val="none" w:sz="0" w:space="0" w:color="auto"/>
        <w:right w:val="none" w:sz="0" w:space="0" w:color="auto"/>
      </w:divBdr>
      <w:divsChild>
        <w:div w:id="854728019">
          <w:marLeft w:val="0"/>
          <w:marRight w:val="0"/>
          <w:marTop w:val="0"/>
          <w:marBottom w:val="0"/>
          <w:divBdr>
            <w:top w:val="none" w:sz="0" w:space="0" w:color="auto"/>
            <w:left w:val="none" w:sz="0" w:space="0" w:color="auto"/>
            <w:bottom w:val="none" w:sz="0" w:space="0" w:color="auto"/>
            <w:right w:val="none" w:sz="0" w:space="0" w:color="auto"/>
          </w:divBdr>
        </w:div>
      </w:divsChild>
    </w:div>
    <w:div w:id="388116245">
      <w:marLeft w:val="0"/>
      <w:marRight w:val="0"/>
      <w:marTop w:val="0"/>
      <w:marBottom w:val="120"/>
      <w:divBdr>
        <w:top w:val="none" w:sz="0" w:space="0" w:color="auto"/>
        <w:left w:val="none" w:sz="0" w:space="0" w:color="auto"/>
        <w:bottom w:val="none" w:sz="0" w:space="0" w:color="auto"/>
        <w:right w:val="none" w:sz="0" w:space="0" w:color="auto"/>
      </w:divBdr>
      <w:divsChild>
        <w:div w:id="1241716212">
          <w:marLeft w:val="0"/>
          <w:marRight w:val="0"/>
          <w:marTop w:val="0"/>
          <w:marBottom w:val="0"/>
          <w:divBdr>
            <w:top w:val="none" w:sz="0" w:space="0" w:color="auto"/>
            <w:left w:val="none" w:sz="0" w:space="0" w:color="auto"/>
            <w:bottom w:val="none" w:sz="0" w:space="0" w:color="auto"/>
            <w:right w:val="none" w:sz="0" w:space="0" w:color="auto"/>
          </w:divBdr>
        </w:div>
        <w:div w:id="850217672">
          <w:marLeft w:val="0"/>
          <w:marRight w:val="0"/>
          <w:marTop w:val="0"/>
          <w:marBottom w:val="0"/>
          <w:divBdr>
            <w:top w:val="none" w:sz="0" w:space="0" w:color="auto"/>
            <w:left w:val="none" w:sz="0" w:space="0" w:color="auto"/>
            <w:bottom w:val="none" w:sz="0" w:space="0" w:color="auto"/>
            <w:right w:val="none" w:sz="0" w:space="0" w:color="auto"/>
          </w:divBdr>
        </w:div>
        <w:div w:id="1812020986">
          <w:marLeft w:val="0"/>
          <w:marRight w:val="0"/>
          <w:marTop w:val="0"/>
          <w:marBottom w:val="0"/>
          <w:divBdr>
            <w:top w:val="none" w:sz="0" w:space="0" w:color="auto"/>
            <w:left w:val="none" w:sz="0" w:space="0" w:color="auto"/>
            <w:bottom w:val="none" w:sz="0" w:space="0" w:color="auto"/>
            <w:right w:val="none" w:sz="0" w:space="0" w:color="auto"/>
          </w:divBdr>
        </w:div>
        <w:div w:id="342901028">
          <w:marLeft w:val="0"/>
          <w:marRight w:val="0"/>
          <w:marTop w:val="0"/>
          <w:marBottom w:val="0"/>
          <w:divBdr>
            <w:top w:val="none" w:sz="0" w:space="0" w:color="auto"/>
            <w:left w:val="none" w:sz="0" w:space="0" w:color="auto"/>
            <w:bottom w:val="none" w:sz="0" w:space="0" w:color="auto"/>
            <w:right w:val="none" w:sz="0" w:space="0" w:color="auto"/>
          </w:divBdr>
        </w:div>
        <w:div w:id="565839445">
          <w:marLeft w:val="0"/>
          <w:marRight w:val="0"/>
          <w:marTop w:val="0"/>
          <w:marBottom w:val="0"/>
          <w:divBdr>
            <w:top w:val="none" w:sz="0" w:space="0" w:color="auto"/>
            <w:left w:val="none" w:sz="0" w:space="0" w:color="auto"/>
            <w:bottom w:val="none" w:sz="0" w:space="0" w:color="auto"/>
            <w:right w:val="none" w:sz="0" w:space="0" w:color="auto"/>
          </w:divBdr>
        </w:div>
        <w:div w:id="2056738502">
          <w:marLeft w:val="0"/>
          <w:marRight w:val="0"/>
          <w:marTop w:val="0"/>
          <w:marBottom w:val="0"/>
          <w:divBdr>
            <w:top w:val="none" w:sz="0" w:space="0" w:color="auto"/>
            <w:left w:val="none" w:sz="0" w:space="0" w:color="auto"/>
            <w:bottom w:val="none" w:sz="0" w:space="0" w:color="auto"/>
            <w:right w:val="none" w:sz="0" w:space="0" w:color="auto"/>
          </w:divBdr>
        </w:div>
        <w:div w:id="18511924">
          <w:marLeft w:val="0"/>
          <w:marRight w:val="0"/>
          <w:marTop w:val="0"/>
          <w:marBottom w:val="0"/>
          <w:divBdr>
            <w:top w:val="none" w:sz="0" w:space="0" w:color="auto"/>
            <w:left w:val="none" w:sz="0" w:space="0" w:color="auto"/>
            <w:bottom w:val="none" w:sz="0" w:space="0" w:color="auto"/>
            <w:right w:val="none" w:sz="0" w:space="0" w:color="auto"/>
          </w:divBdr>
        </w:div>
        <w:div w:id="496115549">
          <w:marLeft w:val="0"/>
          <w:marRight w:val="0"/>
          <w:marTop w:val="0"/>
          <w:marBottom w:val="0"/>
          <w:divBdr>
            <w:top w:val="none" w:sz="0" w:space="0" w:color="auto"/>
            <w:left w:val="none" w:sz="0" w:space="0" w:color="auto"/>
            <w:bottom w:val="none" w:sz="0" w:space="0" w:color="auto"/>
            <w:right w:val="none" w:sz="0" w:space="0" w:color="auto"/>
          </w:divBdr>
        </w:div>
      </w:divsChild>
    </w:div>
    <w:div w:id="402218427">
      <w:marLeft w:val="0"/>
      <w:marRight w:val="0"/>
      <w:marTop w:val="0"/>
      <w:marBottom w:val="120"/>
      <w:divBdr>
        <w:top w:val="none" w:sz="0" w:space="0" w:color="auto"/>
        <w:left w:val="none" w:sz="0" w:space="0" w:color="auto"/>
        <w:bottom w:val="none" w:sz="0" w:space="0" w:color="auto"/>
        <w:right w:val="none" w:sz="0" w:space="0" w:color="auto"/>
      </w:divBdr>
      <w:divsChild>
        <w:div w:id="738135001">
          <w:marLeft w:val="0"/>
          <w:marRight w:val="0"/>
          <w:marTop w:val="0"/>
          <w:marBottom w:val="0"/>
          <w:divBdr>
            <w:top w:val="none" w:sz="0" w:space="0" w:color="auto"/>
            <w:left w:val="none" w:sz="0" w:space="0" w:color="auto"/>
            <w:bottom w:val="none" w:sz="0" w:space="0" w:color="auto"/>
            <w:right w:val="none" w:sz="0" w:space="0" w:color="auto"/>
          </w:divBdr>
        </w:div>
        <w:div w:id="548690003">
          <w:marLeft w:val="0"/>
          <w:marRight w:val="0"/>
          <w:marTop w:val="0"/>
          <w:marBottom w:val="0"/>
          <w:divBdr>
            <w:top w:val="none" w:sz="0" w:space="0" w:color="auto"/>
            <w:left w:val="none" w:sz="0" w:space="0" w:color="auto"/>
            <w:bottom w:val="none" w:sz="0" w:space="0" w:color="auto"/>
            <w:right w:val="none" w:sz="0" w:space="0" w:color="auto"/>
          </w:divBdr>
        </w:div>
        <w:div w:id="413862980">
          <w:marLeft w:val="0"/>
          <w:marRight w:val="0"/>
          <w:marTop w:val="0"/>
          <w:marBottom w:val="0"/>
          <w:divBdr>
            <w:top w:val="none" w:sz="0" w:space="0" w:color="auto"/>
            <w:left w:val="none" w:sz="0" w:space="0" w:color="auto"/>
            <w:bottom w:val="none" w:sz="0" w:space="0" w:color="auto"/>
            <w:right w:val="none" w:sz="0" w:space="0" w:color="auto"/>
          </w:divBdr>
        </w:div>
        <w:div w:id="515465131">
          <w:marLeft w:val="0"/>
          <w:marRight w:val="0"/>
          <w:marTop w:val="0"/>
          <w:marBottom w:val="0"/>
          <w:divBdr>
            <w:top w:val="none" w:sz="0" w:space="0" w:color="auto"/>
            <w:left w:val="none" w:sz="0" w:space="0" w:color="auto"/>
            <w:bottom w:val="none" w:sz="0" w:space="0" w:color="auto"/>
            <w:right w:val="none" w:sz="0" w:space="0" w:color="auto"/>
          </w:divBdr>
        </w:div>
        <w:div w:id="918171464">
          <w:marLeft w:val="0"/>
          <w:marRight w:val="0"/>
          <w:marTop w:val="0"/>
          <w:marBottom w:val="0"/>
          <w:divBdr>
            <w:top w:val="none" w:sz="0" w:space="0" w:color="auto"/>
            <w:left w:val="none" w:sz="0" w:space="0" w:color="auto"/>
            <w:bottom w:val="none" w:sz="0" w:space="0" w:color="auto"/>
            <w:right w:val="none" w:sz="0" w:space="0" w:color="auto"/>
          </w:divBdr>
        </w:div>
        <w:div w:id="1672681071">
          <w:marLeft w:val="0"/>
          <w:marRight w:val="0"/>
          <w:marTop w:val="0"/>
          <w:marBottom w:val="0"/>
          <w:divBdr>
            <w:top w:val="none" w:sz="0" w:space="0" w:color="auto"/>
            <w:left w:val="none" w:sz="0" w:space="0" w:color="auto"/>
            <w:bottom w:val="none" w:sz="0" w:space="0" w:color="auto"/>
            <w:right w:val="none" w:sz="0" w:space="0" w:color="auto"/>
          </w:divBdr>
        </w:div>
        <w:div w:id="830564184">
          <w:marLeft w:val="0"/>
          <w:marRight w:val="0"/>
          <w:marTop w:val="0"/>
          <w:marBottom w:val="0"/>
          <w:divBdr>
            <w:top w:val="none" w:sz="0" w:space="0" w:color="auto"/>
            <w:left w:val="none" w:sz="0" w:space="0" w:color="auto"/>
            <w:bottom w:val="none" w:sz="0" w:space="0" w:color="auto"/>
            <w:right w:val="none" w:sz="0" w:space="0" w:color="auto"/>
          </w:divBdr>
        </w:div>
        <w:div w:id="854225535">
          <w:marLeft w:val="0"/>
          <w:marRight w:val="0"/>
          <w:marTop w:val="0"/>
          <w:marBottom w:val="0"/>
          <w:divBdr>
            <w:top w:val="none" w:sz="0" w:space="0" w:color="auto"/>
            <w:left w:val="none" w:sz="0" w:space="0" w:color="auto"/>
            <w:bottom w:val="none" w:sz="0" w:space="0" w:color="auto"/>
            <w:right w:val="none" w:sz="0" w:space="0" w:color="auto"/>
          </w:divBdr>
        </w:div>
        <w:div w:id="784085357">
          <w:marLeft w:val="0"/>
          <w:marRight w:val="0"/>
          <w:marTop w:val="0"/>
          <w:marBottom w:val="0"/>
          <w:divBdr>
            <w:top w:val="none" w:sz="0" w:space="0" w:color="auto"/>
            <w:left w:val="none" w:sz="0" w:space="0" w:color="auto"/>
            <w:bottom w:val="none" w:sz="0" w:space="0" w:color="auto"/>
            <w:right w:val="none" w:sz="0" w:space="0" w:color="auto"/>
          </w:divBdr>
        </w:div>
        <w:div w:id="743181037">
          <w:marLeft w:val="0"/>
          <w:marRight w:val="0"/>
          <w:marTop w:val="0"/>
          <w:marBottom w:val="0"/>
          <w:divBdr>
            <w:top w:val="none" w:sz="0" w:space="0" w:color="auto"/>
            <w:left w:val="none" w:sz="0" w:space="0" w:color="auto"/>
            <w:bottom w:val="none" w:sz="0" w:space="0" w:color="auto"/>
            <w:right w:val="none" w:sz="0" w:space="0" w:color="auto"/>
          </w:divBdr>
        </w:div>
        <w:div w:id="692263288">
          <w:marLeft w:val="0"/>
          <w:marRight w:val="0"/>
          <w:marTop w:val="0"/>
          <w:marBottom w:val="0"/>
          <w:divBdr>
            <w:top w:val="none" w:sz="0" w:space="0" w:color="auto"/>
            <w:left w:val="none" w:sz="0" w:space="0" w:color="auto"/>
            <w:bottom w:val="none" w:sz="0" w:space="0" w:color="auto"/>
            <w:right w:val="none" w:sz="0" w:space="0" w:color="auto"/>
          </w:divBdr>
        </w:div>
        <w:div w:id="584731902">
          <w:marLeft w:val="0"/>
          <w:marRight w:val="0"/>
          <w:marTop w:val="0"/>
          <w:marBottom w:val="0"/>
          <w:divBdr>
            <w:top w:val="none" w:sz="0" w:space="0" w:color="auto"/>
            <w:left w:val="none" w:sz="0" w:space="0" w:color="auto"/>
            <w:bottom w:val="none" w:sz="0" w:space="0" w:color="auto"/>
            <w:right w:val="none" w:sz="0" w:space="0" w:color="auto"/>
          </w:divBdr>
        </w:div>
        <w:div w:id="1158107918">
          <w:marLeft w:val="0"/>
          <w:marRight w:val="0"/>
          <w:marTop w:val="0"/>
          <w:marBottom w:val="0"/>
          <w:divBdr>
            <w:top w:val="none" w:sz="0" w:space="0" w:color="auto"/>
            <w:left w:val="none" w:sz="0" w:space="0" w:color="auto"/>
            <w:bottom w:val="none" w:sz="0" w:space="0" w:color="auto"/>
            <w:right w:val="none" w:sz="0" w:space="0" w:color="auto"/>
          </w:divBdr>
        </w:div>
        <w:div w:id="1646471599">
          <w:marLeft w:val="0"/>
          <w:marRight w:val="0"/>
          <w:marTop w:val="0"/>
          <w:marBottom w:val="0"/>
          <w:divBdr>
            <w:top w:val="none" w:sz="0" w:space="0" w:color="auto"/>
            <w:left w:val="none" w:sz="0" w:space="0" w:color="auto"/>
            <w:bottom w:val="none" w:sz="0" w:space="0" w:color="auto"/>
            <w:right w:val="none" w:sz="0" w:space="0" w:color="auto"/>
          </w:divBdr>
        </w:div>
        <w:div w:id="856384678">
          <w:marLeft w:val="0"/>
          <w:marRight w:val="0"/>
          <w:marTop w:val="0"/>
          <w:marBottom w:val="0"/>
          <w:divBdr>
            <w:top w:val="none" w:sz="0" w:space="0" w:color="auto"/>
            <w:left w:val="none" w:sz="0" w:space="0" w:color="auto"/>
            <w:bottom w:val="none" w:sz="0" w:space="0" w:color="auto"/>
            <w:right w:val="none" w:sz="0" w:space="0" w:color="auto"/>
          </w:divBdr>
        </w:div>
        <w:div w:id="1333339278">
          <w:marLeft w:val="0"/>
          <w:marRight w:val="0"/>
          <w:marTop w:val="0"/>
          <w:marBottom w:val="0"/>
          <w:divBdr>
            <w:top w:val="none" w:sz="0" w:space="0" w:color="auto"/>
            <w:left w:val="none" w:sz="0" w:space="0" w:color="auto"/>
            <w:bottom w:val="none" w:sz="0" w:space="0" w:color="auto"/>
            <w:right w:val="none" w:sz="0" w:space="0" w:color="auto"/>
          </w:divBdr>
        </w:div>
        <w:div w:id="1728993206">
          <w:marLeft w:val="0"/>
          <w:marRight w:val="0"/>
          <w:marTop w:val="0"/>
          <w:marBottom w:val="0"/>
          <w:divBdr>
            <w:top w:val="none" w:sz="0" w:space="0" w:color="auto"/>
            <w:left w:val="none" w:sz="0" w:space="0" w:color="auto"/>
            <w:bottom w:val="none" w:sz="0" w:space="0" w:color="auto"/>
            <w:right w:val="none" w:sz="0" w:space="0" w:color="auto"/>
          </w:divBdr>
        </w:div>
        <w:div w:id="2043163662">
          <w:marLeft w:val="0"/>
          <w:marRight w:val="0"/>
          <w:marTop w:val="0"/>
          <w:marBottom w:val="0"/>
          <w:divBdr>
            <w:top w:val="none" w:sz="0" w:space="0" w:color="auto"/>
            <w:left w:val="none" w:sz="0" w:space="0" w:color="auto"/>
            <w:bottom w:val="none" w:sz="0" w:space="0" w:color="auto"/>
            <w:right w:val="none" w:sz="0" w:space="0" w:color="auto"/>
          </w:divBdr>
        </w:div>
        <w:div w:id="321810189">
          <w:marLeft w:val="0"/>
          <w:marRight w:val="0"/>
          <w:marTop w:val="0"/>
          <w:marBottom w:val="0"/>
          <w:divBdr>
            <w:top w:val="none" w:sz="0" w:space="0" w:color="auto"/>
            <w:left w:val="none" w:sz="0" w:space="0" w:color="auto"/>
            <w:bottom w:val="none" w:sz="0" w:space="0" w:color="auto"/>
            <w:right w:val="none" w:sz="0" w:space="0" w:color="auto"/>
          </w:divBdr>
        </w:div>
        <w:div w:id="2124185205">
          <w:marLeft w:val="0"/>
          <w:marRight w:val="0"/>
          <w:marTop w:val="0"/>
          <w:marBottom w:val="0"/>
          <w:divBdr>
            <w:top w:val="none" w:sz="0" w:space="0" w:color="auto"/>
            <w:left w:val="none" w:sz="0" w:space="0" w:color="auto"/>
            <w:bottom w:val="none" w:sz="0" w:space="0" w:color="auto"/>
            <w:right w:val="none" w:sz="0" w:space="0" w:color="auto"/>
          </w:divBdr>
        </w:div>
        <w:div w:id="92239690">
          <w:marLeft w:val="0"/>
          <w:marRight w:val="0"/>
          <w:marTop w:val="0"/>
          <w:marBottom w:val="0"/>
          <w:divBdr>
            <w:top w:val="none" w:sz="0" w:space="0" w:color="auto"/>
            <w:left w:val="none" w:sz="0" w:space="0" w:color="auto"/>
            <w:bottom w:val="none" w:sz="0" w:space="0" w:color="auto"/>
            <w:right w:val="none" w:sz="0" w:space="0" w:color="auto"/>
          </w:divBdr>
        </w:div>
        <w:div w:id="2103649315">
          <w:marLeft w:val="0"/>
          <w:marRight w:val="0"/>
          <w:marTop w:val="0"/>
          <w:marBottom w:val="0"/>
          <w:divBdr>
            <w:top w:val="none" w:sz="0" w:space="0" w:color="auto"/>
            <w:left w:val="none" w:sz="0" w:space="0" w:color="auto"/>
            <w:bottom w:val="none" w:sz="0" w:space="0" w:color="auto"/>
            <w:right w:val="none" w:sz="0" w:space="0" w:color="auto"/>
          </w:divBdr>
        </w:div>
        <w:div w:id="1527065318">
          <w:marLeft w:val="0"/>
          <w:marRight w:val="0"/>
          <w:marTop w:val="0"/>
          <w:marBottom w:val="0"/>
          <w:divBdr>
            <w:top w:val="none" w:sz="0" w:space="0" w:color="auto"/>
            <w:left w:val="none" w:sz="0" w:space="0" w:color="auto"/>
            <w:bottom w:val="none" w:sz="0" w:space="0" w:color="auto"/>
            <w:right w:val="none" w:sz="0" w:space="0" w:color="auto"/>
          </w:divBdr>
        </w:div>
        <w:div w:id="1572959448">
          <w:marLeft w:val="0"/>
          <w:marRight w:val="0"/>
          <w:marTop w:val="0"/>
          <w:marBottom w:val="0"/>
          <w:divBdr>
            <w:top w:val="none" w:sz="0" w:space="0" w:color="auto"/>
            <w:left w:val="none" w:sz="0" w:space="0" w:color="auto"/>
            <w:bottom w:val="none" w:sz="0" w:space="0" w:color="auto"/>
            <w:right w:val="none" w:sz="0" w:space="0" w:color="auto"/>
          </w:divBdr>
        </w:div>
        <w:div w:id="451244493">
          <w:marLeft w:val="0"/>
          <w:marRight w:val="0"/>
          <w:marTop w:val="0"/>
          <w:marBottom w:val="0"/>
          <w:divBdr>
            <w:top w:val="none" w:sz="0" w:space="0" w:color="auto"/>
            <w:left w:val="none" w:sz="0" w:space="0" w:color="auto"/>
            <w:bottom w:val="none" w:sz="0" w:space="0" w:color="auto"/>
            <w:right w:val="none" w:sz="0" w:space="0" w:color="auto"/>
          </w:divBdr>
        </w:div>
        <w:div w:id="2006778890">
          <w:marLeft w:val="0"/>
          <w:marRight w:val="0"/>
          <w:marTop w:val="0"/>
          <w:marBottom w:val="0"/>
          <w:divBdr>
            <w:top w:val="none" w:sz="0" w:space="0" w:color="auto"/>
            <w:left w:val="none" w:sz="0" w:space="0" w:color="auto"/>
            <w:bottom w:val="none" w:sz="0" w:space="0" w:color="auto"/>
            <w:right w:val="none" w:sz="0" w:space="0" w:color="auto"/>
          </w:divBdr>
        </w:div>
        <w:div w:id="6716491">
          <w:marLeft w:val="0"/>
          <w:marRight w:val="0"/>
          <w:marTop w:val="0"/>
          <w:marBottom w:val="0"/>
          <w:divBdr>
            <w:top w:val="none" w:sz="0" w:space="0" w:color="auto"/>
            <w:left w:val="none" w:sz="0" w:space="0" w:color="auto"/>
            <w:bottom w:val="none" w:sz="0" w:space="0" w:color="auto"/>
            <w:right w:val="none" w:sz="0" w:space="0" w:color="auto"/>
          </w:divBdr>
        </w:div>
        <w:div w:id="1675915857">
          <w:marLeft w:val="0"/>
          <w:marRight w:val="0"/>
          <w:marTop w:val="0"/>
          <w:marBottom w:val="0"/>
          <w:divBdr>
            <w:top w:val="none" w:sz="0" w:space="0" w:color="auto"/>
            <w:left w:val="none" w:sz="0" w:space="0" w:color="auto"/>
            <w:bottom w:val="none" w:sz="0" w:space="0" w:color="auto"/>
            <w:right w:val="none" w:sz="0" w:space="0" w:color="auto"/>
          </w:divBdr>
        </w:div>
        <w:div w:id="691106628">
          <w:marLeft w:val="0"/>
          <w:marRight w:val="0"/>
          <w:marTop w:val="0"/>
          <w:marBottom w:val="0"/>
          <w:divBdr>
            <w:top w:val="none" w:sz="0" w:space="0" w:color="auto"/>
            <w:left w:val="none" w:sz="0" w:space="0" w:color="auto"/>
            <w:bottom w:val="none" w:sz="0" w:space="0" w:color="auto"/>
            <w:right w:val="none" w:sz="0" w:space="0" w:color="auto"/>
          </w:divBdr>
        </w:div>
        <w:div w:id="892078167">
          <w:marLeft w:val="0"/>
          <w:marRight w:val="0"/>
          <w:marTop w:val="0"/>
          <w:marBottom w:val="0"/>
          <w:divBdr>
            <w:top w:val="none" w:sz="0" w:space="0" w:color="auto"/>
            <w:left w:val="none" w:sz="0" w:space="0" w:color="auto"/>
            <w:bottom w:val="none" w:sz="0" w:space="0" w:color="auto"/>
            <w:right w:val="none" w:sz="0" w:space="0" w:color="auto"/>
          </w:divBdr>
        </w:div>
        <w:div w:id="1767847221">
          <w:marLeft w:val="0"/>
          <w:marRight w:val="0"/>
          <w:marTop w:val="0"/>
          <w:marBottom w:val="0"/>
          <w:divBdr>
            <w:top w:val="none" w:sz="0" w:space="0" w:color="auto"/>
            <w:left w:val="none" w:sz="0" w:space="0" w:color="auto"/>
            <w:bottom w:val="none" w:sz="0" w:space="0" w:color="auto"/>
            <w:right w:val="none" w:sz="0" w:space="0" w:color="auto"/>
          </w:divBdr>
        </w:div>
        <w:div w:id="1042755175">
          <w:marLeft w:val="0"/>
          <w:marRight w:val="0"/>
          <w:marTop w:val="0"/>
          <w:marBottom w:val="0"/>
          <w:divBdr>
            <w:top w:val="none" w:sz="0" w:space="0" w:color="auto"/>
            <w:left w:val="none" w:sz="0" w:space="0" w:color="auto"/>
            <w:bottom w:val="none" w:sz="0" w:space="0" w:color="auto"/>
            <w:right w:val="none" w:sz="0" w:space="0" w:color="auto"/>
          </w:divBdr>
        </w:div>
        <w:div w:id="908423333">
          <w:marLeft w:val="0"/>
          <w:marRight w:val="0"/>
          <w:marTop w:val="0"/>
          <w:marBottom w:val="0"/>
          <w:divBdr>
            <w:top w:val="none" w:sz="0" w:space="0" w:color="auto"/>
            <w:left w:val="none" w:sz="0" w:space="0" w:color="auto"/>
            <w:bottom w:val="none" w:sz="0" w:space="0" w:color="auto"/>
            <w:right w:val="none" w:sz="0" w:space="0" w:color="auto"/>
          </w:divBdr>
        </w:div>
      </w:divsChild>
    </w:div>
    <w:div w:id="412701694">
      <w:marLeft w:val="0"/>
      <w:marRight w:val="0"/>
      <w:marTop w:val="0"/>
      <w:marBottom w:val="0"/>
      <w:divBdr>
        <w:top w:val="none" w:sz="0" w:space="0" w:color="auto"/>
        <w:left w:val="none" w:sz="0" w:space="0" w:color="auto"/>
        <w:bottom w:val="none" w:sz="0" w:space="0" w:color="auto"/>
        <w:right w:val="none" w:sz="0" w:space="0" w:color="auto"/>
      </w:divBdr>
    </w:div>
    <w:div w:id="415247720">
      <w:marLeft w:val="0"/>
      <w:marRight w:val="0"/>
      <w:marTop w:val="0"/>
      <w:marBottom w:val="0"/>
      <w:divBdr>
        <w:top w:val="none" w:sz="0" w:space="0" w:color="auto"/>
        <w:left w:val="none" w:sz="0" w:space="0" w:color="auto"/>
        <w:bottom w:val="none" w:sz="0" w:space="0" w:color="auto"/>
        <w:right w:val="none" w:sz="0" w:space="0" w:color="auto"/>
      </w:divBdr>
      <w:divsChild>
        <w:div w:id="1353798242">
          <w:marLeft w:val="0"/>
          <w:marRight w:val="0"/>
          <w:marTop w:val="0"/>
          <w:marBottom w:val="0"/>
          <w:divBdr>
            <w:top w:val="none" w:sz="0" w:space="0" w:color="auto"/>
            <w:left w:val="none" w:sz="0" w:space="0" w:color="auto"/>
            <w:bottom w:val="none" w:sz="0" w:space="0" w:color="auto"/>
            <w:right w:val="none" w:sz="0" w:space="0" w:color="auto"/>
          </w:divBdr>
        </w:div>
      </w:divsChild>
    </w:div>
    <w:div w:id="416557646">
      <w:marLeft w:val="0"/>
      <w:marRight w:val="0"/>
      <w:marTop w:val="0"/>
      <w:marBottom w:val="120"/>
      <w:divBdr>
        <w:top w:val="none" w:sz="0" w:space="0" w:color="auto"/>
        <w:left w:val="none" w:sz="0" w:space="0" w:color="auto"/>
        <w:bottom w:val="none" w:sz="0" w:space="0" w:color="auto"/>
        <w:right w:val="none" w:sz="0" w:space="0" w:color="auto"/>
      </w:divBdr>
    </w:div>
    <w:div w:id="446243491">
      <w:marLeft w:val="0"/>
      <w:marRight w:val="0"/>
      <w:marTop w:val="0"/>
      <w:marBottom w:val="0"/>
      <w:divBdr>
        <w:top w:val="none" w:sz="0" w:space="0" w:color="auto"/>
        <w:left w:val="none" w:sz="0" w:space="0" w:color="auto"/>
        <w:bottom w:val="none" w:sz="0" w:space="0" w:color="auto"/>
        <w:right w:val="none" w:sz="0" w:space="0" w:color="auto"/>
      </w:divBdr>
    </w:div>
    <w:div w:id="451091603">
      <w:marLeft w:val="0"/>
      <w:marRight w:val="0"/>
      <w:marTop w:val="0"/>
      <w:marBottom w:val="0"/>
      <w:divBdr>
        <w:top w:val="none" w:sz="0" w:space="0" w:color="auto"/>
        <w:left w:val="none" w:sz="0" w:space="0" w:color="auto"/>
        <w:bottom w:val="none" w:sz="0" w:space="0" w:color="auto"/>
        <w:right w:val="none" w:sz="0" w:space="0" w:color="auto"/>
      </w:divBdr>
    </w:div>
    <w:div w:id="456606489">
      <w:marLeft w:val="0"/>
      <w:marRight w:val="0"/>
      <w:marTop w:val="0"/>
      <w:marBottom w:val="0"/>
      <w:divBdr>
        <w:top w:val="none" w:sz="0" w:space="0" w:color="auto"/>
        <w:left w:val="none" w:sz="0" w:space="0" w:color="auto"/>
        <w:bottom w:val="none" w:sz="0" w:space="0" w:color="auto"/>
        <w:right w:val="none" w:sz="0" w:space="0" w:color="auto"/>
      </w:divBdr>
      <w:divsChild>
        <w:div w:id="1115324255">
          <w:marLeft w:val="0"/>
          <w:marRight w:val="0"/>
          <w:marTop w:val="0"/>
          <w:marBottom w:val="0"/>
          <w:divBdr>
            <w:top w:val="none" w:sz="0" w:space="0" w:color="auto"/>
            <w:left w:val="none" w:sz="0" w:space="0" w:color="auto"/>
            <w:bottom w:val="none" w:sz="0" w:space="0" w:color="auto"/>
            <w:right w:val="none" w:sz="0" w:space="0" w:color="auto"/>
          </w:divBdr>
        </w:div>
      </w:divsChild>
    </w:div>
    <w:div w:id="468941657">
      <w:marLeft w:val="0"/>
      <w:marRight w:val="0"/>
      <w:marTop w:val="0"/>
      <w:marBottom w:val="0"/>
      <w:divBdr>
        <w:top w:val="none" w:sz="0" w:space="0" w:color="auto"/>
        <w:left w:val="none" w:sz="0" w:space="0" w:color="auto"/>
        <w:bottom w:val="none" w:sz="0" w:space="0" w:color="auto"/>
        <w:right w:val="none" w:sz="0" w:space="0" w:color="auto"/>
      </w:divBdr>
    </w:div>
    <w:div w:id="481122845">
      <w:marLeft w:val="0"/>
      <w:marRight w:val="0"/>
      <w:marTop w:val="0"/>
      <w:marBottom w:val="0"/>
      <w:divBdr>
        <w:top w:val="none" w:sz="0" w:space="0" w:color="auto"/>
        <w:left w:val="none" w:sz="0" w:space="0" w:color="auto"/>
        <w:bottom w:val="none" w:sz="0" w:space="0" w:color="auto"/>
        <w:right w:val="none" w:sz="0" w:space="0" w:color="auto"/>
      </w:divBdr>
      <w:divsChild>
        <w:div w:id="1377124430">
          <w:marLeft w:val="0"/>
          <w:marRight w:val="0"/>
          <w:marTop w:val="0"/>
          <w:marBottom w:val="0"/>
          <w:divBdr>
            <w:top w:val="none" w:sz="0" w:space="0" w:color="auto"/>
            <w:left w:val="none" w:sz="0" w:space="0" w:color="auto"/>
            <w:bottom w:val="none" w:sz="0" w:space="0" w:color="auto"/>
            <w:right w:val="none" w:sz="0" w:space="0" w:color="auto"/>
          </w:divBdr>
        </w:div>
      </w:divsChild>
    </w:div>
    <w:div w:id="483205168">
      <w:marLeft w:val="0"/>
      <w:marRight w:val="0"/>
      <w:marTop w:val="0"/>
      <w:marBottom w:val="0"/>
      <w:divBdr>
        <w:top w:val="none" w:sz="0" w:space="0" w:color="auto"/>
        <w:left w:val="none" w:sz="0" w:space="0" w:color="auto"/>
        <w:bottom w:val="none" w:sz="0" w:space="0" w:color="auto"/>
        <w:right w:val="none" w:sz="0" w:space="0" w:color="auto"/>
      </w:divBdr>
    </w:div>
    <w:div w:id="490609907">
      <w:marLeft w:val="0"/>
      <w:marRight w:val="0"/>
      <w:marTop w:val="0"/>
      <w:marBottom w:val="0"/>
      <w:divBdr>
        <w:top w:val="none" w:sz="0" w:space="0" w:color="auto"/>
        <w:left w:val="none" w:sz="0" w:space="0" w:color="auto"/>
        <w:bottom w:val="none" w:sz="0" w:space="0" w:color="auto"/>
        <w:right w:val="none" w:sz="0" w:space="0" w:color="auto"/>
      </w:divBdr>
    </w:div>
    <w:div w:id="492335925">
      <w:marLeft w:val="0"/>
      <w:marRight w:val="0"/>
      <w:marTop w:val="0"/>
      <w:marBottom w:val="0"/>
      <w:divBdr>
        <w:top w:val="none" w:sz="0" w:space="0" w:color="auto"/>
        <w:left w:val="none" w:sz="0" w:space="0" w:color="auto"/>
        <w:bottom w:val="none" w:sz="0" w:space="0" w:color="auto"/>
        <w:right w:val="none" w:sz="0" w:space="0" w:color="auto"/>
      </w:divBdr>
    </w:div>
    <w:div w:id="501899932">
      <w:marLeft w:val="0"/>
      <w:marRight w:val="0"/>
      <w:marTop w:val="0"/>
      <w:marBottom w:val="120"/>
      <w:divBdr>
        <w:top w:val="none" w:sz="0" w:space="0" w:color="auto"/>
        <w:left w:val="none" w:sz="0" w:space="0" w:color="auto"/>
        <w:bottom w:val="none" w:sz="0" w:space="0" w:color="auto"/>
        <w:right w:val="none" w:sz="0" w:space="0" w:color="auto"/>
      </w:divBdr>
    </w:div>
    <w:div w:id="523982702">
      <w:marLeft w:val="0"/>
      <w:marRight w:val="0"/>
      <w:marTop w:val="0"/>
      <w:marBottom w:val="120"/>
      <w:divBdr>
        <w:top w:val="none" w:sz="0" w:space="0" w:color="auto"/>
        <w:left w:val="none" w:sz="0" w:space="0" w:color="auto"/>
        <w:bottom w:val="none" w:sz="0" w:space="0" w:color="auto"/>
        <w:right w:val="none" w:sz="0" w:space="0" w:color="auto"/>
      </w:divBdr>
    </w:div>
    <w:div w:id="526527738">
      <w:marLeft w:val="0"/>
      <w:marRight w:val="0"/>
      <w:marTop w:val="0"/>
      <w:marBottom w:val="0"/>
      <w:divBdr>
        <w:top w:val="none" w:sz="0" w:space="0" w:color="auto"/>
        <w:left w:val="none" w:sz="0" w:space="0" w:color="auto"/>
        <w:bottom w:val="none" w:sz="0" w:space="0" w:color="auto"/>
        <w:right w:val="none" w:sz="0" w:space="0" w:color="auto"/>
      </w:divBdr>
      <w:divsChild>
        <w:div w:id="1520655741">
          <w:marLeft w:val="0"/>
          <w:marRight w:val="0"/>
          <w:marTop w:val="0"/>
          <w:marBottom w:val="0"/>
          <w:divBdr>
            <w:top w:val="none" w:sz="0" w:space="0" w:color="auto"/>
            <w:left w:val="none" w:sz="0" w:space="0" w:color="auto"/>
            <w:bottom w:val="none" w:sz="0" w:space="0" w:color="auto"/>
            <w:right w:val="none" w:sz="0" w:space="0" w:color="auto"/>
          </w:divBdr>
        </w:div>
      </w:divsChild>
    </w:div>
    <w:div w:id="538784723">
      <w:marLeft w:val="0"/>
      <w:marRight w:val="0"/>
      <w:marTop w:val="0"/>
      <w:marBottom w:val="0"/>
      <w:divBdr>
        <w:top w:val="none" w:sz="0" w:space="0" w:color="auto"/>
        <w:left w:val="none" w:sz="0" w:space="0" w:color="auto"/>
        <w:bottom w:val="none" w:sz="0" w:space="0" w:color="auto"/>
        <w:right w:val="none" w:sz="0" w:space="0" w:color="auto"/>
      </w:divBdr>
    </w:div>
    <w:div w:id="540243075">
      <w:marLeft w:val="0"/>
      <w:marRight w:val="0"/>
      <w:marTop w:val="0"/>
      <w:marBottom w:val="120"/>
      <w:divBdr>
        <w:top w:val="none" w:sz="0" w:space="0" w:color="auto"/>
        <w:left w:val="none" w:sz="0" w:space="0" w:color="auto"/>
        <w:bottom w:val="none" w:sz="0" w:space="0" w:color="auto"/>
        <w:right w:val="none" w:sz="0" w:space="0" w:color="auto"/>
      </w:divBdr>
    </w:div>
    <w:div w:id="560605301">
      <w:marLeft w:val="0"/>
      <w:marRight w:val="0"/>
      <w:marTop w:val="0"/>
      <w:marBottom w:val="0"/>
      <w:divBdr>
        <w:top w:val="none" w:sz="0" w:space="0" w:color="auto"/>
        <w:left w:val="none" w:sz="0" w:space="0" w:color="auto"/>
        <w:bottom w:val="none" w:sz="0" w:space="0" w:color="auto"/>
        <w:right w:val="none" w:sz="0" w:space="0" w:color="auto"/>
      </w:divBdr>
    </w:div>
    <w:div w:id="597719361">
      <w:marLeft w:val="0"/>
      <w:marRight w:val="0"/>
      <w:marTop w:val="0"/>
      <w:marBottom w:val="0"/>
      <w:divBdr>
        <w:top w:val="none" w:sz="0" w:space="0" w:color="auto"/>
        <w:left w:val="none" w:sz="0" w:space="0" w:color="auto"/>
        <w:bottom w:val="none" w:sz="0" w:space="0" w:color="auto"/>
        <w:right w:val="none" w:sz="0" w:space="0" w:color="auto"/>
      </w:divBdr>
      <w:divsChild>
        <w:div w:id="1307971472">
          <w:marLeft w:val="0"/>
          <w:marRight w:val="0"/>
          <w:marTop w:val="0"/>
          <w:marBottom w:val="0"/>
          <w:divBdr>
            <w:top w:val="none" w:sz="0" w:space="0" w:color="auto"/>
            <w:left w:val="none" w:sz="0" w:space="0" w:color="auto"/>
            <w:bottom w:val="none" w:sz="0" w:space="0" w:color="auto"/>
            <w:right w:val="none" w:sz="0" w:space="0" w:color="auto"/>
          </w:divBdr>
        </w:div>
      </w:divsChild>
    </w:div>
    <w:div w:id="616714932">
      <w:marLeft w:val="0"/>
      <w:marRight w:val="0"/>
      <w:marTop w:val="0"/>
      <w:marBottom w:val="0"/>
      <w:divBdr>
        <w:top w:val="none" w:sz="0" w:space="0" w:color="auto"/>
        <w:left w:val="none" w:sz="0" w:space="0" w:color="auto"/>
        <w:bottom w:val="none" w:sz="0" w:space="0" w:color="auto"/>
        <w:right w:val="none" w:sz="0" w:space="0" w:color="auto"/>
      </w:divBdr>
    </w:div>
    <w:div w:id="638531755">
      <w:marLeft w:val="0"/>
      <w:marRight w:val="0"/>
      <w:marTop w:val="0"/>
      <w:marBottom w:val="0"/>
      <w:divBdr>
        <w:top w:val="none" w:sz="0" w:space="0" w:color="auto"/>
        <w:left w:val="none" w:sz="0" w:space="0" w:color="auto"/>
        <w:bottom w:val="none" w:sz="0" w:space="0" w:color="auto"/>
        <w:right w:val="none" w:sz="0" w:space="0" w:color="auto"/>
      </w:divBdr>
    </w:div>
    <w:div w:id="642394326">
      <w:marLeft w:val="0"/>
      <w:marRight w:val="0"/>
      <w:marTop w:val="0"/>
      <w:marBottom w:val="0"/>
      <w:divBdr>
        <w:top w:val="none" w:sz="0" w:space="0" w:color="auto"/>
        <w:left w:val="none" w:sz="0" w:space="0" w:color="auto"/>
        <w:bottom w:val="none" w:sz="0" w:space="0" w:color="auto"/>
        <w:right w:val="none" w:sz="0" w:space="0" w:color="auto"/>
      </w:divBdr>
    </w:div>
    <w:div w:id="647245172">
      <w:marLeft w:val="0"/>
      <w:marRight w:val="0"/>
      <w:marTop w:val="0"/>
      <w:marBottom w:val="120"/>
      <w:divBdr>
        <w:top w:val="none" w:sz="0" w:space="0" w:color="auto"/>
        <w:left w:val="none" w:sz="0" w:space="0" w:color="auto"/>
        <w:bottom w:val="none" w:sz="0" w:space="0" w:color="auto"/>
        <w:right w:val="none" w:sz="0" w:space="0" w:color="auto"/>
      </w:divBdr>
    </w:div>
    <w:div w:id="649797482">
      <w:marLeft w:val="0"/>
      <w:marRight w:val="0"/>
      <w:marTop w:val="0"/>
      <w:marBottom w:val="0"/>
      <w:divBdr>
        <w:top w:val="none" w:sz="0" w:space="0" w:color="auto"/>
        <w:left w:val="none" w:sz="0" w:space="0" w:color="auto"/>
        <w:bottom w:val="none" w:sz="0" w:space="0" w:color="auto"/>
        <w:right w:val="none" w:sz="0" w:space="0" w:color="auto"/>
      </w:divBdr>
    </w:div>
    <w:div w:id="666245648">
      <w:marLeft w:val="0"/>
      <w:marRight w:val="0"/>
      <w:marTop w:val="0"/>
      <w:marBottom w:val="0"/>
      <w:divBdr>
        <w:top w:val="none" w:sz="0" w:space="0" w:color="auto"/>
        <w:left w:val="none" w:sz="0" w:space="0" w:color="auto"/>
        <w:bottom w:val="none" w:sz="0" w:space="0" w:color="auto"/>
        <w:right w:val="none" w:sz="0" w:space="0" w:color="auto"/>
      </w:divBdr>
      <w:divsChild>
        <w:div w:id="535050128">
          <w:marLeft w:val="0"/>
          <w:marRight w:val="0"/>
          <w:marTop w:val="0"/>
          <w:marBottom w:val="0"/>
          <w:divBdr>
            <w:top w:val="none" w:sz="0" w:space="0" w:color="auto"/>
            <w:left w:val="none" w:sz="0" w:space="0" w:color="auto"/>
            <w:bottom w:val="none" w:sz="0" w:space="0" w:color="auto"/>
            <w:right w:val="none" w:sz="0" w:space="0" w:color="auto"/>
          </w:divBdr>
        </w:div>
      </w:divsChild>
    </w:div>
    <w:div w:id="666401555">
      <w:marLeft w:val="0"/>
      <w:marRight w:val="0"/>
      <w:marTop w:val="0"/>
      <w:marBottom w:val="0"/>
      <w:divBdr>
        <w:top w:val="none" w:sz="0" w:space="0" w:color="auto"/>
        <w:left w:val="none" w:sz="0" w:space="0" w:color="auto"/>
        <w:bottom w:val="none" w:sz="0" w:space="0" w:color="auto"/>
        <w:right w:val="none" w:sz="0" w:space="0" w:color="auto"/>
      </w:divBdr>
      <w:divsChild>
        <w:div w:id="1426222145">
          <w:marLeft w:val="0"/>
          <w:marRight w:val="0"/>
          <w:marTop w:val="0"/>
          <w:marBottom w:val="0"/>
          <w:divBdr>
            <w:top w:val="none" w:sz="0" w:space="0" w:color="auto"/>
            <w:left w:val="none" w:sz="0" w:space="0" w:color="auto"/>
            <w:bottom w:val="none" w:sz="0" w:space="0" w:color="auto"/>
            <w:right w:val="none" w:sz="0" w:space="0" w:color="auto"/>
          </w:divBdr>
        </w:div>
      </w:divsChild>
    </w:div>
    <w:div w:id="670108191">
      <w:marLeft w:val="0"/>
      <w:marRight w:val="0"/>
      <w:marTop w:val="0"/>
      <w:marBottom w:val="0"/>
      <w:divBdr>
        <w:top w:val="none" w:sz="0" w:space="0" w:color="auto"/>
        <w:left w:val="none" w:sz="0" w:space="0" w:color="auto"/>
        <w:bottom w:val="none" w:sz="0" w:space="0" w:color="auto"/>
        <w:right w:val="none" w:sz="0" w:space="0" w:color="auto"/>
      </w:divBdr>
      <w:divsChild>
        <w:div w:id="353961048">
          <w:marLeft w:val="0"/>
          <w:marRight w:val="0"/>
          <w:marTop w:val="0"/>
          <w:marBottom w:val="0"/>
          <w:divBdr>
            <w:top w:val="none" w:sz="0" w:space="0" w:color="auto"/>
            <w:left w:val="none" w:sz="0" w:space="0" w:color="auto"/>
            <w:bottom w:val="none" w:sz="0" w:space="0" w:color="auto"/>
            <w:right w:val="none" w:sz="0" w:space="0" w:color="auto"/>
          </w:divBdr>
        </w:div>
      </w:divsChild>
    </w:div>
    <w:div w:id="681204503">
      <w:marLeft w:val="0"/>
      <w:marRight w:val="0"/>
      <w:marTop w:val="0"/>
      <w:marBottom w:val="0"/>
      <w:divBdr>
        <w:top w:val="none" w:sz="0" w:space="0" w:color="auto"/>
        <w:left w:val="none" w:sz="0" w:space="0" w:color="auto"/>
        <w:bottom w:val="none" w:sz="0" w:space="0" w:color="auto"/>
        <w:right w:val="none" w:sz="0" w:space="0" w:color="auto"/>
      </w:divBdr>
    </w:div>
    <w:div w:id="688026080">
      <w:marLeft w:val="0"/>
      <w:marRight w:val="0"/>
      <w:marTop w:val="0"/>
      <w:marBottom w:val="0"/>
      <w:divBdr>
        <w:top w:val="none" w:sz="0" w:space="0" w:color="auto"/>
        <w:left w:val="none" w:sz="0" w:space="0" w:color="auto"/>
        <w:bottom w:val="none" w:sz="0" w:space="0" w:color="auto"/>
        <w:right w:val="none" w:sz="0" w:space="0" w:color="auto"/>
      </w:divBdr>
      <w:divsChild>
        <w:div w:id="807556934">
          <w:marLeft w:val="0"/>
          <w:marRight w:val="0"/>
          <w:marTop w:val="0"/>
          <w:marBottom w:val="0"/>
          <w:divBdr>
            <w:top w:val="none" w:sz="0" w:space="0" w:color="auto"/>
            <w:left w:val="none" w:sz="0" w:space="0" w:color="auto"/>
            <w:bottom w:val="none" w:sz="0" w:space="0" w:color="auto"/>
            <w:right w:val="none" w:sz="0" w:space="0" w:color="auto"/>
          </w:divBdr>
        </w:div>
      </w:divsChild>
    </w:div>
    <w:div w:id="689649351">
      <w:marLeft w:val="0"/>
      <w:marRight w:val="0"/>
      <w:marTop w:val="0"/>
      <w:marBottom w:val="0"/>
      <w:divBdr>
        <w:top w:val="none" w:sz="0" w:space="0" w:color="auto"/>
        <w:left w:val="none" w:sz="0" w:space="0" w:color="auto"/>
        <w:bottom w:val="none" w:sz="0" w:space="0" w:color="auto"/>
        <w:right w:val="none" w:sz="0" w:space="0" w:color="auto"/>
      </w:divBdr>
    </w:div>
    <w:div w:id="694380049">
      <w:marLeft w:val="0"/>
      <w:marRight w:val="0"/>
      <w:marTop w:val="0"/>
      <w:marBottom w:val="0"/>
      <w:divBdr>
        <w:top w:val="none" w:sz="0" w:space="0" w:color="auto"/>
        <w:left w:val="none" w:sz="0" w:space="0" w:color="auto"/>
        <w:bottom w:val="none" w:sz="0" w:space="0" w:color="auto"/>
        <w:right w:val="none" w:sz="0" w:space="0" w:color="auto"/>
      </w:divBdr>
      <w:divsChild>
        <w:div w:id="1814640234">
          <w:marLeft w:val="0"/>
          <w:marRight w:val="0"/>
          <w:marTop w:val="0"/>
          <w:marBottom w:val="0"/>
          <w:divBdr>
            <w:top w:val="none" w:sz="0" w:space="0" w:color="auto"/>
            <w:left w:val="none" w:sz="0" w:space="0" w:color="auto"/>
            <w:bottom w:val="none" w:sz="0" w:space="0" w:color="auto"/>
            <w:right w:val="none" w:sz="0" w:space="0" w:color="auto"/>
          </w:divBdr>
        </w:div>
      </w:divsChild>
    </w:div>
    <w:div w:id="697047500">
      <w:marLeft w:val="0"/>
      <w:marRight w:val="0"/>
      <w:marTop w:val="0"/>
      <w:marBottom w:val="0"/>
      <w:divBdr>
        <w:top w:val="none" w:sz="0" w:space="0" w:color="auto"/>
        <w:left w:val="none" w:sz="0" w:space="0" w:color="auto"/>
        <w:bottom w:val="none" w:sz="0" w:space="0" w:color="auto"/>
        <w:right w:val="none" w:sz="0" w:space="0" w:color="auto"/>
      </w:divBdr>
      <w:divsChild>
        <w:div w:id="1271234193">
          <w:marLeft w:val="0"/>
          <w:marRight w:val="0"/>
          <w:marTop w:val="0"/>
          <w:marBottom w:val="0"/>
          <w:divBdr>
            <w:top w:val="none" w:sz="0" w:space="0" w:color="auto"/>
            <w:left w:val="none" w:sz="0" w:space="0" w:color="auto"/>
            <w:bottom w:val="none" w:sz="0" w:space="0" w:color="auto"/>
            <w:right w:val="none" w:sz="0" w:space="0" w:color="auto"/>
          </w:divBdr>
        </w:div>
      </w:divsChild>
    </w:div>
    <w:div w:id="700519114">
      <w:marLeft w:val="0"/>
      <w:marRight w:val="0"/>
      <w:marTop w:val="0"/>
      <w:marBottom w:val="0"/>
      <w:divBdr>
        <w:top w:val="none" w:sz="0" w:space="0" w:color="auto"/>
        <w:left w:val="none" w:sz="0" w:space="0" w:color="auto"/>
        <w:bottom w:val="none" w:sz="0" w:space="0" w:color="auto"/>
        <w:right w:val="none" w:sz="0" w:space="0" w:color="auto"/>
      </w:divBdr>
      <w:divsChild>
        <w:div w:id="193007988">
          <w:marLeft w:val="0"/>
          <w:marRight w:val="0"/>
          <w:marTop w:val="0"/>
          <w:marBottom w:val="0"/>
          <w:divBdr>
            <w:top w:val="none" w:sz="0" w:space="0" w:color="auto"/>
            <w:left w:val="none" w:sz="0" w:space="0" w:color="auto"/>
            <w:bottom w:val="none" w:sz="0" w:space="0" w:color="auto"/>
            <w:right w:val="none" w:sz="0" w:space="0" w:color="auto"/>
          </w:divBdr>
        </w:div>
      </w:divsChild>
    </w:div>
    <w:div w:id="715083604">
      <w:marLeft w:val="0"/>
      <w:marRight w:val="0"/>
      <w:marTop w:val="0"/>
      <w:marBottom w:val="120"/>
      <w:divBdr>
        <w:top w:val="none" w:sz="0" w:space="0" w:color="auto"/>
        <w:left w:val="none" w:sz="0" w:space="0" w:color="auto"/>
        <w:bottom w:val="none" w:sz="0" w:space="0" w:color="auto"/>
        <w:right w:val="none" w:sz="0" w:space="0" w:color="auto"/>
      </w:divBdr>
    </w:div>
    <w:div w:id="717585415">
      <w:marLeft w:val="0"/>
      <w:marRight w:val="0"/>
      <w:marTop w:val="0"/>
      <w:marBottom w:val="0"/>
      <w:divBdr>
        <w:top w:val="none" w:sz="0" w:space="0" w:color="auto"/>
        <w:left w:val="none" w:sz="0" w:space="0" w:color="auto"/>
        <w:bottom w:val="none" w:sz="0" w:space="0" w:color="auto"/>
        <w:right w:val="none" w:sz="0" w:space="0" w:color="auto"/>
      </w:divBdr>
    </w:div>
    <w:div w:id="725837897">
      <w:marLeft w:val="0"/>
      <w:marRight w:val="0"/>
      <w:marTop w:val="0"/>
      <w:marBottom w:val="0"/>
      <w:divBdr>
        <w:top w:val="none" w:sz="0" w:space="0" w:color="auto"/>
        <w:left w:val="none" w:sz="0" w:space="0" w:color="auto"/>
        <w:bottom w:val="none" w:sz="0" w:space="0" w:color="auto"/>
        <w:right w:val="none" w:sz="0" w:space="0" w:color="auto"/>
      </w:divBdr>
      <w:divsChild>
        <w:div w:id="436682691">
          <w:marLeft w:val="0"/>
          <w:marRight w:val="0"/>
          <w:marTop w:val="0"/>
          <w:marBottom w:val="0"/>
          <w:divBdr>
            <w:top w:val="none" w:sz="0" w:space="0" w:color="auto"/>
            <w:left w:val="none" w:sz="0" w:space="0" w:color="auto"/>
            <w:bottom w:val="none" w:sz="0" w:space="0" w:color="auto"/>
            <w:right w:val="none" w:sz="0" w:space="0" w:color="auto"/>
          </w:divBdr>
        </w:div>
      </w:divsChild>
    </w:div>
    <w:div w:id="733967039">
      <w:marLeft w:val="0"/>
      <w:marRight w:val="0"/>
      <w:marTop w:val="0"/>
      <w:marBottom w:val="0"/>
      <w:divBdr>
        <w:top w:val="none" w:sz="0" w:space="0" w:color="auto"/>
        <w:left w:val="none" w:sz="0" w:space="0" w:color="auto"/>
        <w:bottom w:val="none" w:sz="0" w:space="0" w:color="auto"/>
        <w:right w:val="none" w:sz="0" w:space="0" w:color="auto"/>
      </w:divBdr>
      <w:divsChild>
        <w:div w:id="1615482249">
          <w:marLeft w:val="0"/>
          <w:marRight w:val="0"/>
          <w:marTop w:val="0"/>
          <w:marBottom w:val="0"/>
          <w:divBdr>
            <w:top w:val="none" w:sz="0" w:space="0" w:color="auto"/>
            <w:left w:val="none" w:sz="0" w:space="0" w:color="auto"/>
            <w:bottom w:val="none" w:sz="0" w:space="0" w:color="auto"/>
            <w:right w:val="none" w:sz="0" w:space="0" w:color="auto"/>
          </w:divBdr>
        </w:div>
      </w:divsChild>
    </w:div>
    <w:div w:id="750857320">
      <w:marLeft w:val="0"/>
      <w:marRight w:val="0"/>
      <w:marTop w:val="0"/>
      <w:marBottom w:val="120"/>
      <w:divBdr>
        <w:top w:val="none" w:sz="0" w:space="0" w:color="auto"/>
        <w:left w:val="none" w:sz="0" w:space="0" w:color="auto"/>
        <w:bottom w:val="none" w:sz="0" w:space="0" w:color="auto"/>
        <w:right w:val="none" w:sz="0" w:space="0" w:color="auto"/>
      </w:divBdr>
    </w:div>
    <w:div w:id="755131387">
      <w:marLeft w:val="0"/>
      <w:marRight w:val="0"/>
      <w:marTop w:val="0"/>
      <w:marBottom w:val="0"/>
      <w:divBdr>
        <w:top w:val="none" w:sz="0" w:space="0" w:color="auto"/>
        <w:left w:val="none" w:sz="0" w:space="0" w:color="auto"/>
        <w:bottom w:val="none" w:sz="0" w:space="0" w:color="auto"/>
        <w:right w:val="none" w:sz="0" w:space="0" w:color="auto"/>
      </w:divBdr>
    </w:div>
    <w:div w:id="756289933">
      <w:marLeft w:val="0"/>
      <w:marRight w:val="0"/>
      <w:marTop w:val="0"/>
      <w:marBottom w:val="120"/>
      <w:divBdr>
        <w:top w:val="none" w:sz="0" w:space="0" w:color="auto"/>
        <w:left w:val="none" w:sz="0" w:space="0" w:color="auto"/>
        <w:bottom w:val="none" w:sz="0" w:space="0" w:color="auto"/>
        <w:right w:val="none" w:sz="0" w:space="0" w:color="auto"/>
      </w:divBdr>
    </w:div>
    <w:div w:id="769738810">
      <w:marLeft w:val="0"/>
      <w:marRight w:val="0"/>
      <w:marTop w:val="0"/>
      <w:marBottom w:val="0"/>
      <w:divBdr>
        <w:top w:val="none" w:sz="0" w:space="0" w:color="auto"/>
        <w:left w:val="none" w:sz="0" w:space="0" w:color="auto"/>
        <w:bottom w:val="none" w:sz="0" w:space="0" w:color="auto"/>
        <w:right w:val="none" w:sz="0" w:space="0" w:color="auto"/>
      </w:divBdr>
    </w:div>
    <w:div w:id="781613981">
      <w:marLeft w:val="0"/>
      <w:marRight w:val="0"/>
      <w:marTop w:val="0"/>
      <w:marBottom w:val="0"/>
      <w:divBdr>
        <w:top w:val="none" w:sz="0" w:space="0" w:color="auto"/>
        <w:left w:val="none" w:sz="0" w:space="0" w:color="auto"/>
        <w:bottom w:val="none" w:sz="0" w:space="0" w:color="auto"/>
        <w:right w:val="none" w:sz="0" w:space="0" w:color="auto"/>
      </w:divBdr>
    </w:div>
    <w:div w:id="800997436">
      <w:marLeft w:val="0"/>
      <w:marRight w:val="0"/>
      <w:marTop w:val="0"/>
      <w:marBottom w:val="0"/>
      <w:divBdr>
        <w:top w:val="none" w:sz="0" w:space="0" w:color="auto"/>
        <w:left w:val="none" w:sz="0" w:space="0" w:color="auto"/>
        <w:bottom w:val="none" w:sz="0" w:space="0" w:color="auto"/>
        <w:right w:val="none" w:sz="0" w:space="0" w:color="auto"/>
      </w:divBdr>
      <w:divsChild>
        <w:div w:id="81728408">
          <w:marLeft w:val="0"/>
          <w:marRight w:val="0"/>
          <w:marTop w:val="0"/>
          <w:marBottom w:val="0"/>
          <w:divBdr>
            <w:top w:val="none" w:sz="0" w:space="0" w:color="auto"/>
            <w:left w:val="none" w:sz="0" w:space="0" w:color="auto"/>
            <w:bottom w:val="none" w:sz="0" w:space="0" w:color="auto"/>
            <w:right w:val="none" w:sz="0" w:space="0" w:color="auto"/>
          </w:divBdr>
        </w:div>
      </w:divsChild>
    </w:div>
    <w:div w:id="828637715">
      <w:marLeft w:val="0"/>
      <w:marRight w:val="0"/>
      <w:marTop w:val="0"/>
      <w:marBottom w:val="120"/>
      <w:divBdr>
        <w:top w:val="none" w:sz="0" w:space="0" w:color="auto"/>
        <w:left w:val="none" w:sz="0" w:space="0" w:color="auto"/>
        <w:bottom w:val="none" w:sz="0" w:space="0" w:color="auto"/>
        <w:right w:val="none" w:sz="0" w:space="0" w:color="auto"/>
      </w:divBdr>
    </w:div>
    <w:div w:id="837312084">
      <w:marLeft w:val="0"/>
      <w:marRight w:val="0"/>
      <w:marTop w:val="0"/>
      <w:marBottom w:val="120"/>
      <w:divBdr>
        <w:top w:val="none" w:sz="0" w:space="0" w:color="auto"/>
        <w:left w:val="none" w:sz="0" w:space="0" w:color="auto"/>
        <w:bottom w:val="none" w:sz="0" w:space="0" w:color="auto"/>
        <w:right w:val="none" w:sz="0" w:space="0" w:color="auto"/>
      </w:divBdr>
      <w:divsChild>
        <w:div w:id="985012478">
          <w:marLeft w:val="0"/>
          <w:marRight w:val="0"/>
          <w:marTop w:val="0"/>
          <w:marBottom w:val="0"/>
          <w:divBdr>
            <w:top w:val="none" w:sz="0" w:space="0" w:color="auto"/>
            <w:left w:val="none" w:sz="0" w:space="0" w:color="auto"/>
            <w:bottom w:val="none" w:sz="0" w:space="0" w:color="auto"/>
            <w:right w:val="none" w:sz="0" w:space="0" w:color="auto"/>
          </w:divBdr>
        </w:div>
      </w:divsChild>
    </w:div>
    <w:div w:id="838623443">
      <w:marLeft w:val="0"/>
      <w:marRight w:val="0"/>
      <w:marTop w:val="0"/>
      <w:marBottom w:val="0"/>
      <w:divBdr>
        <w:top w:val="none" w:sz="0" w:space="0" w:color="auto"/>
        <w:left w:val="none" w:sz="0" w:space="0" w:color="auto"/>
        <w:bottom w:val="none" w:sz="0" w:space="0" w:color="auto"/>
        <w:right w:val="none" w:sz="0" w:space="0" w:color="auto"/>
      </w:divBdr>
      <w:divsChild>
        <w:div w:id="321549625">
          <w:marLeft w:val="0"/>
          <w:marRight w:val="0"/>
          <w:marTop w:val="0"/>
          <w:marBottom w:val="0"/>
          <w:divBdr>
            <w:top w:val="none" w:sz="0" w:space="0" w:color="auto"/>
            <w:left w:val="none" w:sz="0" w:space="0" w:color="auto"/>
            <w:bottom w:val="none" w:sz="0" w:space="0" w:color="auto"/>
            <w:right w:val="none" w:sz="0" w:space="0" w:color="auto"/>
          </w:divBdr>
        </w:div>
      </w:divsChild>
    </w:div>
    <w:div w:id="839656384">
      <w:marLeft w:val="0"/>
      <w:marRight w:val="0"/>
      <w:marTop w:val="0"/>
      <w:marBottom w:val="0"/>
      <w:divBdr>
        <w:top w:val="none" w:sz="0" w:space="0" w:color="auto"/>
        <w:left w:val="none" w:sz="0" w:space="0" w:color="auto"/>
        <w:bottom w:val="none" w:sz="0" w:space="0" w:color="auto"/>
        <w:right w:val="none" w:sz="0" w:space="0" w:color="auto"/>
      </w:divBdr>
    </w:div>
    <w:div w:id="840780243">
      <w:marLeft w:val="0"/>
      <w:marRight w:val="0"/>
      <w:marTop w:val="0"/>
      <w:marBottom w:val="0"/>
      <w:divBdr>
        <w:top w:val="none" w:sz="0" w:space="0" w:color="auto"/>
        <w:left w:val="none" w:sz="0" w:space="0" w:color="auto"/>
        <w:bottom w:val="none" w:sz="0" w:space="0" w:color="auto"/>
        <w:right w:val="none" w:sz="0" w:space="0" w:color="auto"/>
      </w:divBdr>
    </w:div>
    <w:div w:id="864101278">
      <w:marLeft w:val="0"/>
      <w:marRight w:val="0"/>
      <w:marTop w:val="0"/>
      <w:marBottom w:val="0"/>
      <w:divBdr>
        <w:top w:val="none" w:sz="0" w:space="0" w:color="auto"/>
        <w:left w:val="none" w:sz="0" w:space="0" w:color="auto"/>
        <w:bottom w:val="none" w:sz="0" w:space="0" w:color="auto"/>
        <w:right w:val="none" w:sz="0" w:space="0" w:color="auto"/>
      </w:divBdr>
      <w:divsChild>
        <w:div w:id="1385641705">
          <w:marLeft w:val="0"/>
          <w:marRight w:val="0"/>
          <w:marTop w:val="0"/>
          <w:marBottom w:val="0"/>
          <w:divBdr>
            <w:top w:val="none" w:sz="0" w:space="0" w:color="auto"/>
            <w:left w:val="none" w:sz="0" w:space="0" w:color="auto"/>
            <w:bottom w:val="none" w:sz="0" w:space="0" w:color="auto"/>
            <w:right w:val="none" w:sz="0" w:space="0" w:color="auto"/>
          </w:divBdr>
        </w:div>
      </w:divsChild>
    </w:div>
    <w:div w:id="872964088">
      <w:marLeft w:val="0"/>
      <w:marRight w:val="0"/>
      <w:marTop w:val="0"/>
      <w:marBottom w:val="0"/>
      <w:divBdr>
        <w:top w:val="none" w:sz="0" w:space="0" w:color="auto"/>
        <w:left w:val="none" w:sz="0" w:space="0" w:color="auto"/>
        <w:bottom w:val="none" w:sz="0" w:space="0" w:color="auto"/>
        <w:right w:val="none" w:sz="0" w:space="0" w:color="auto"/>
      </w:divBdr>
    </w:div>
    <w:div w:id="880437789">
      <w:marLeft w:val="0"/>
      <w:marRight w:val="0"/>
      <w:marTop w:val="0"/>
      <w:marBottom w:val="0"/>
      <w:divBdr>
        <w:top w:val="none" w:sz="0" w:space="0" w:color="auto"/>
        <w:left w:val="none" w:sz="0" w:space="0" w:color="auto"/>
        <w:bottom w:val="none" w:sz="0" w:space="0" w:color="auto"/>
        <w:right w:val="none" w:sz="0" w:space="0" w:color="auto"/>
      </w:divBdr>
    </w:div>
    <w:div w:id="905527699">
      <w:marLeft w:val="0"/>
      <w:marRight w:val="0"/>
      <w:marTop w:val="0"/>
      <w:marBottom w:val="0"/>
      <w:divBdr>
        <w:top w:val="none" w:sz="0" w:space="0" w:color="auto"/>
        <w:left w:val="none" w:sz="0" w:space="0" w:color="auto"/>
        <w:bottom w:val="none" w:sz="0" w:space="0" w:color="auto"/>
        <w:right w:val="none" w:sz="0" w:space="0" w:color="auto"/>
      </w:divBdr>
    </w:div>
    <w:div w:id="926428824">
      <w:marLeft w:val="0"/>
      <w:marRight w:val="0"/>
      <w:marTop w:val="0"/>
      <w:marBottom w:val="0"/>
      <w:divBdr>
        <w:top w:val="none" w:sz="0" w:space="0" w:color="auto"/>
        <w:left w:val="none" w:sz="0" w:space="0" w:color="auto"/>
        <w:bottom w:val="none" w:sz="0" w:space="0" w:color="auto"/>
        <w:right w:val="none" w:sz="0" w:space="0" w:color="auto"/>
      </w:divBdr>
      <w:divsChild>
        <w:div w:id="135221405">
          <w:marLeft w:val="0"/>
          <w:marRight w:val="0"/>
          <w:marTop w:val="0"/>
          <w:marBottom w:val="0"/>
          <w:divBdr>
            <w:top w:val="none" w:sz="0" w:space="0" w:color="auto"/>
            <w:left w:val="none" w:sz="0" w:space="0" w:color="auto"/>
            <w:bottom w:val="none" w:sz="0" w:space="0" w:color="auto"/>
            <w:right w:val="none" w:sz="0" w:space="0" w:color="auto"/>
          </w:divBdr>
        </w:div>
      </w:divsChild>
    </w:div>
    <w:div w:id="930241170">
      <w:marLeft w:val="0"/>
      <w:marRight w:val="0"/>
      <w:marTop w:val="0"/>
      <w:marBottom w:val="0"/>
      <w:divBdr>
        <w:top w:val="none" w:sz="0" w:space="0" w:color="auto"/>
        <w:left w:val="none" w:sz="0" w:space="0" w:color="auto"/>
        <w:bottom w:val="none" w:sz="0" w:space="0" w:color="auto"/>
        <w:right w:val="none" w:sz="0" w:space="0" w:color="auto"/>
      </w:divBdr>
    </w:div>
    <w:div w:id="936984630">
      <w:marLeft w:val="0"/>
      <w:marRight w:val="0"/>
      <w:marTop w:val="0"/>
      <w:marBottom w:val="0"/>
      <w:divBdr>
        <w:top w:val="none" w:sz="0" w:space="0" w:color="auto"/>
        <w:left w:val="none" w:sz="0" w:space="0" w:color="auto"/>
        <w:bottom w:val="none" w:sz="0" w:space="0" w:color="auto"/>
        <w:right w:val="none" w:sz="0" w:space="0" w:color="auto"/>
      </w:divBdr>
      <w:divsChild>
        <w:div w:id="533274174">
          <w:marLeft w:val="0"/>
          <w:marRight w:val="0"/>
          <w:marTop w:val="0"/>
          <w:marBottom w:val="0"/>
          <w:divBdr>
            <w:top w:val="none" w:sz="0" w:space="0" w:color="auto"/>
            <w:left w:val="none" w:sz="0" w:space="0" w:color="auto"/>
            <w:bottom w:val="none" w:sz="0" w:space="0" w:color="auto"/>
            <w:right w:val="none" w:sz="0" w:space="0" w:color="auto"/>
          </w:divBdr>
        </w:div>
      </w:divsChild>
    </w:div>
    <w:div w:id="940574270">
      <w:marLeft w:val="0"/>
      <w:marRight w:val="0"/>
      <w:marTop w:val="0"/>
      <w:marBottom w:val="0"/>
      <w:divBdr>
        <w:top w:val="none" w:sz="0" w:space="0" w:color="auto"/>
        <w:left w:val="none" w:sz="0" w:space="0" w:color="auto"/>
        <w:bottom w:val="none" w:sz="0" w:space="0" w:color="auto"/>
        <w:right w:val="none" w:sz="0" w:space="0" w:color="auto"/>
      </w:divBdr>
    </w:div>
    <w:div w:id="952709403">
      <w:marLeft w:val="0"/>
      <w:marRight w:val="0"/>
      <w:marTop w:val="0"/>
      <w:marBottom w:val="0"/>
      <w:divBdr>
        <w:top w:val="none" w:sz="0" w:space="0" w:color="auto"/>
        <w:left w:val="none" w:sz="0" w:space="0" w:color="auto"/>
        <w:bottom w:val="none" w:sz="0" w:space="0" w:color="auto"/>
        <w:right w:val="none" w:sz="0" w:space="0" w:color="auto"/>
      </w:divBdr>
      <w:divsChild>
        <w:div w:id="326401164">
          <w:marLeft w:val="0"/>
          <w:marRight w:val="0"/>
          <w:marTop w:val="0"/>
          <w:marBottom w:val="0"/>
          <w:divBdr>
            <w:top w:val="none" w:sz="0" w:space="0" w:color="auto"/>
            <w:left w:val="none" w:sz="0" w:space="0" w:color="auto"/>
            <w:bottom w:val="none" w:sz="0" w:space="0" w:color="auto"/>
            <w:right w:val="none" w:sz="0" w:space="0" w:color="auto"/>
          </w:divBdr>
        </w:div>
      </w:divsChild>
    </w:div>
    <w:div w:id="952790267">
      <w:marLeft w:val="0"/>
      <w:marRight w:val="0"/>
      <w:marTop w:val="0"/>
      <w:marBottom w:val="0"/>
      <w:divBdr>
        <w:top w:val="none" w:sz="0" w:space="0" w:color="auto"/>
        <w:left w:val="none" w:sz="0" w:space="0" w:color="auto"/>
        <w:bottom w:val="none" w:sz="0" w:space="0" w:color="auto"/>
        <w:right w:val="none" w:sz="0" w:space="0" w:color="auto"/>
      </w:divBdr>
    </w:div>
    <w:div w:id="972100503">
      <w:marLeft w:val="0"/>
      <w:marRight w:val="0"/>
      <w:marTop w:val="0"/>
      <w:marBottom w:val="0"/>
      <w:divBdr>
        <w:top w:val="none" w:sz="0" w:space="0" w:color="auto"/>
        <w:left w:val="none" w:sz="0" w:space="0" w:color="auto"/>
        <w:bottom w:val="none" w:sz="0" w:space="0" w:color="auto"/>
        <w:right w:val="none" w:sz="0" w:space="0" w:color="auto"/>
      </w:divBdr>
      <w:divsChild>
        <w:div w:id="1608929724">
          <w:marLeft w:val="0"/>
          <w:marRight w:val="0"/>
          <w:marTop w:val="0"/>
          <w:marBottom w:val="0"/>
          <w:divBdr>
            <w:top w:val="none" w:sz="0" w:space="0" w:color="auto"/>
            <w:left w:val="none" w:sz="0" w:space="0" w:color="auto"/>
            <w:bottom w:val="none" w:sz="0" w:space="0" w:color="auto"/>
            <w:right w:val="none" w:sz="0" w:space="0" w:color="auto"/>
          </w:divBdr>
        </w:div>
      </w:divsChild>
    </w:div>
    <w:div w:id="994725339">
      <w:marLeft w:val="0"/>
      <w:marRight w:val="0"/>
      <w:marTop w:val="0"/>
      <w:marBottom w:val="0"/>
      <w:divBdr>
        <w:top w:val="none" w:sz="0" w:space="0" w:color="auto"/>
        <w:left w:val="none" w:sz="0" w:space="0" w:color="auto"/>
        <w:bottom w:val="none" w:sz="0" w:space="0" w:color="auto"/>
        <w:right w:val="none" w:sz="0" w:space="0" w:color="auto"/>
      </w:divBdr>
    </w:div>
    <w:div w:id="997853695">
      <w:marLeft w:val="0"/>
      <w:marRight w:val="0"/>
      <w:marTop w:val="0"/>
      <w:marBottom w:val="0"/>
      <w:divBdr>
        <w:top w:val="none" w:sz="0" w:space="0" w:color="auto"/>
        <w:left w:val="none" w:sz="0" w:space="0" w:color="auto"/>
        <w:bottom w:val="none" w:sz="0" w:space="0" w:color="auto"/>
        <w:right w:val="none" w:sz="0" w:space="0" w:color="auto"/>
      </w:divBdr>
      <w:divsChild>
        <w:div w:id="1968582250">
          <w:marLeft w:val="0"/>
          <w:marRight w:val="0"/>
          <w:marTop w:val="0"/>
          <w:marBottom w:val="0"/>
          <w:divBdr>
            <w:top w:val="none" w:sz="0" w:space="0" w:color="auto"/>
            <w:left w:val="none" w:sz="0" w:space="0" w:color="auto"/>
            <w:bottom w:val="none" w:sz="0" w:space="0" w:color="auto"/>
            <w:right w:val="none" w:sz="0" w:space="0" w:color="auto"/>
          </w:divBdr>
        </w:div>
      </w:divsChild>
    </w:div>
    <w:div w:id="1028145639">
      <w:marLeft w:val="0"/>
      <w:marRight w:val="0"/>
      <w:marTop w:val="0"/>
      <w:marBottom w:val="0"/>
      <w:divBdr>
        <w:top w:val="none" w:sz="0" w:space="0" w:color="auto"/>
        <w:left w:val="none" w:sz="0" w:space="0" w:color="auto"/>
        <w:bottom w:val="none" w:sz="0" w:space="0" w:color="auto"/>
        <w:right w:val="none" w:sz="0" w:space="0" w:color="auto"/>
      </w:divBdr>
    </w:div>
    <w:div w:id="1036082589">
      <w:marLeft w:val="0"/>
      <w:marRight w:val="0"/>
      <w:marTop w:val="0"/>
      <w:marBottom w:val="0"/>
      <w:divBdr>
        <w:top w:val="none" w:sz="0" w:space="0" w:color="auto"/>
        <w:left w:val="none" w:sz="0" w:space="0" w:color="auto"/>
        <w:bottom w:val="none" w:sz="0" w:space="0" w:color="auto"/>
        <w:right w:val="none" w:sz="0" w:space="0" w:color="auto"/>
      </w:divBdr>
    </w:div>
    <w:div w:id="1069841136">
      <w:marLeft w:val="0"/>
      <w:marRight w:val="0"/>
      <w:marTop w:val="0"/>
      <w:marBottom w:val="120"/>
      <w:divBdr>
        <w:top w:val="none" w:sz="0" w:space="0" w:color="auto"/>
        <w:left w:val="none" w:sz="0" w:space="0" w:color="auto"/>
        <w:bottom w:val="none" w:sz="0" w:space="0" w:color="auto"/>
        <w:right w:val="none" w:sz="0" w:space="0" w:color="auto"/>
      </w:divBdr>
    </w:div>
    <w:div w:id="1074621280">
      <w:marLeft w:val="0"/>
      <w:marRight w:val="0"/>
      <w:marTop w:val="0"/>
      <w:marBottom w:val="0"/>
      <w:divBdr>
        <w:top w:val="none" w:sz="0" w:space="0" w:color="auto"/>
        <w:left w:val="none" w:sz="0" w:space="0" w:color="auto"/>
        <w:bottom w:val="none" w:sz="0" w:space="0" w:color="auto"/>
        <w:right w:val="none" w:sz="0" w:space="0" w:color="auto"/>
      </w:divBdr>
    </w:div>
    <w:div w:id="1089235158">
      <w:marLeft w:val="0"/>
      <w:marRight w:val="0"/>
      <w:marTop w:val="0"/>
      <w:marBottom w:val="0"/>
      <w:divBdr>
        <w:top w:val="none" w:sz="0" w:space="0" w:color="auto"/>
        <w:left w:val="none" w:sz="0" w:space="0" w:color="auto"/>
        <w:bottom w:val="none" w:sz="0" w:space="0" w:color="auto"/>
        <w:right w:val="none" w:sz="0" w:space="0" w:color="auto"/>
      </w:divBdr>
      <w:divsChild>
        <w:div w:id="1285848571">
          <w:marLeft w:val="0"/>
          <w:marRight w:val="0"/>
          <w:marTop w:val="0"/>
          <w:marBottom w:val="0"/>
          <w:divBdr>
            <w:top w:val="none" w:sz="0" w:space="0" w:color="auto"/>
            <w:left w:val="none" w:sz="0" w:space="0" w:color="auto"/>
            <w:bottom w:val="none" w:sz="0" w:space="0" w:color="auto"/>
            <w:right w:val="none" w:sz="0" w:space="0" w:color="auto"/>
          </w:divBdr>
        </w:div>
      </w:divsChild>
    </w:div>
    <w:div w:id="1089739934">
      <w:marLeft w:val="0"/>
      <w:marRight w:val="0"/>
      <w:marTop w:val="0"/>
      <w:marBottom w:val="120"/>
      <w:divBdr>
        <w:top w:val="none" w:sz="0" w:space="0" w:color="auto"/>
        <w:left w:val="none" w:sz="0" w:space="0" w:color="auto"/>
        <w:bottom w:val="none" w:sz="0" w:space="0" w:color="auto"/>
        <w:right w:val="none" w:sz="0" w:space="0" w:color="auto"/>
      </w:divBdr>
    </w:div>
    <w:div w:id="1112748515">
      <w:marLeft w:val="0"/>
      <w:marRight w:val="0"/>
      <w:marTop w:val="0"/>
      <w:marBottom w:val="0"/>
      <w:divBdr>
        <w:top w:val="none" w:sz="0" w:space="0" w:color="auto"/>
        <w:left w:val="none" w:sz="0" w:space="0" w:color="auto"/>
        <w:bottom w:val="none" w:sz="0" w:space="0" w:color="auto"/>
        <w:right w:val="none" w:sz="0" w:space="0" w:color="auto"/>
      </w:divBdr>
      <w:divsChild>
        <w:div w:id="1655721574">
          <w:marLeft w:val="0"/>
          <w:marRight w:val="0"/>
          <w:marTop w:val="0"/>
          <w:marBottom w:val="0"/>
          <w:divBdr>
            <w:top w:val="none" w:sz="0" w:space="0" w:color="auto"/>
            <w:left w:val="none" w:sz="0" w:space="0" w:color="auto"/>
            <w:bottom w:val="none" w:sz="0" w:space="0" w:color="auto"/>
            <w:right w:val="none" w:sz="0" w:space="0" w:color="auto"/>
          </w:divBdr>
        </w:div>
      </w:divsChild>
    </w:div>
    <w:div w:id="1122380026">
      <w:marLeft w:val="0"/>
      <w:marRight w:val="0"/>
      <w:marTop w:val="0"/>
      <w:marBottom w:val="0"/>
      <w:divBdr>
        <w:top w:val="none" w:sz="0" w:space="0" w:color="auto"/>
        <w:left w:val="none" w:sz="0" w:space="0" w:color="auto"/>
        <w:bottom w:val="none" w:sz="0" w:space="0" w:color="auto"/>
        <w:right w:val="none" w:sz="0" w:space="0" w:color="auto"/>
      </w:divBdr>
    </w:div>
    <w:div w:id="1126045831">
      <w:marLeft w:val="0"/>
      <w:marRight w:val="0"/>
      <w:marTop w:val="0"/>
      <w:marBottom w:val="0"/>
      <w:divBdr>
        <w:top w:val="none" w:sz="0" w:space="0" w:color="auto"/>
        <w:left w:val="none" w:sz="0" w:space="0" w:color="auto"/>
        <w:bottom w:val="none" w:sz="0" w:space="0" w:color="auto"/>
        <w:right w:val="none" w:sz="0" w:space="0" w:color="auto"/>
      </w:divBdr>
    </w:div>
    <w:div w:id="1129981818">
      <w:marLeft w:val="0"/>
      <w:marRight w:val="0"/>
      <w:marTop w:val="0"/>
      <w:marBottom w:val="0"/>
      <w:divBdr>
        <w:top w:val="none" w:sz="0" w:space="0" w:color="auto"/>
        <w:left w:val="none" w:sz="0" w:space="0" w:color="auto"/>
        <w:bottom w:val="none" w:sz="0" w:space="0" w:color="auto"/>
        <w:right w:val="none" w:sz="0" w:space="0" w:color="auto"/>
      </w:divBdr>
    </w:div>
    <w:div w:id="1132357687">
      <w:marLeft w:val="0"/>
      <w:marRight w:val="0"/>
      <w:marTop w:val="0"/>
      <w:marBottom w:val="0"/>
      <w:divBdr>
        <w:top w:val="none" w:sz="0" w:space="0" w:color="auto"/>
        <w:left w:val="none" w:sz="0" w:space="0" w:color="auto"/>
        <w:bottom w:val="none" w:sz="0" w:space="0" w:color="auto"/>
        <w:right w:val="none" w:sz="0" w:space="0" w:color="auto"/>
      </w:divBdr>
    </w:div>
    <w:div w:id="1137798252">
      <w:marLeft w:val="0"/>
      <w:marRight w:val="0"/>
      <w:marTop w:val="0"/>
      <w:marBottom w:val="120"/>
      <w:divBdr>
        <w:top w:val="none" w:sz="0" w:space="0" w:color="auto"/>
        <w:left w:val="none" w:sz="0" w:space="0" w:color="auto"/>
        <w:bottom w:val="none" w:sz="0" w:space="0" w:color="auto"/>
        <w:right w:val="none" w:sz="0" w:space="0" w:color="auto"/>
      </w:divBdr>
    </w:div>
    <w:div w:id="1140541396">
      <w:marLeft w:val="0"/>
      <w:marRight w:val="0"/>
      <w:marTop w:val="0"/>
      <w:marBottom w:val="0"/>
      <w:divBdr>
        <w:top w:val="none" w:sz="0" w:space="0" w:color="auto"/>
        <w:left w:val="none" w:sz="0" w:space="0" w:color="auto"/>
        <w:bottom w:val="none" w:sz="0" w:space="0" w:color="auto"/>
        <w:right w:val="none" w:sz="0" w:space="0" w:color="auto"/>
      </w:divBdr>
    </w:div>
    <w:div w:id="1140608576">
      <w:marLeft w:val="0"/>
      <w:marRight w:val="0"/>
      <w:marTop w:val="0"/>
      <w:marBottom w:val="0"/>
      <w:divBdr>
        <w:top w:val="none" w:sz="0" w:space="0" w:color="auto"/>
        <w:left w:val="none" w:sz="0" w:space="0" w:color="auto"/>
        <w:bottom w:val="none" w:sz="0" w:space="0" w:color="auto"/>
        <w:right w:val="none" w:sz="0" w:space="0" w:color="auto"/>
      </w:divBdr>
    </w:div>
    <w:div w:id="1162744623">
      <w:marLeft w:val="0"/>
      <w:marRight w:val="0"/>
      <w:marTop w:val="0"/>
      <w:marBottom w:val="0"/>
      <w:divBdr>
        <w:top w:val="none" w:sz="0" w:space="0" w:color="auto"/>
        <w:left w:val="none" w:sz="0" w:space="0" w:color="auto"/>
        <w:bottom w:val="none" w:sz="0" w:space="0" w:color="auto"/>
        <w:right w:val="none" w:sz="0" w:space="0" w:color="auto"/>
      </w:divBdr>
    </w:div>
    <w:div w:id="1167012634">
      <w:marLeft w:val="0"/>
      <w:marRight w:val="0"/>
      <w:marTop w:val="0"/>
      <w:marBottom w:val="0"/>
      <w:divBdr>
        <w:top w:val="none" w:sz="0" w:space="0" w:color="auto"/>
        <w:left w:val="none" w:sz="0" w:space="0" w:color="auto"/>
        <w:bottom w:val="none" w:sz="0" w:space="0" w:color="auto"/>
        <w:right w:val="none" w:sz="0" w:space="0" w:color="auto"/>
      </w:divBdr>
    </w:div>
    <w:div w:id="1171675857">
      <w:marLeft w:val="0"/>
      <w:marRight w:val="0"/>
      <w:marTop w:val="0"/>
      <w:marBottom w:val="0"/>
      <w:divBdr>
        <w:top w:val="none" w:sz="0" w:space="0" w:color="auto"/>
        <w:left w:val="none" w:sz="0" w:space="0" w:color="auto"/>
        <w:bottom w:val="none" w:sz="0" w:space="0" w:color="auto"/>
        <w:right w:val="none" w:sz="0" w:space="0" w:color="auto"/>
      </w:divBdr>
    </w:div>
    <w:div w:id="1186286104">
      <w:marLeft w:val="0"/>
      <w:marRight w:val="0"/>
      <w:marTop w:val="0"/>
      <w:marBottom w:val="0"/>
      <w:divBdr>
        <w:top w:val="none" w:sz="0" w:space="0" w:color="auto"/>
        <w:left w:val="none" w:sz="0" w:space="0" w:color="auto"/>
        <w:bottom w:val="none" w:sz="0" w:space="0" w:color="auto"/>
        <w:right w:val="none" w:sz="0" w:space="0" w:color="auto"/>
      </w:divBdr>
      <w:divsChild>
        <w:div w:id="763765811">
          <w:marLeft w:val="0"/>
          <w:marRight w:val="0"/>
          <w:marTop w:val="0"/>
          <w:marBottom w:val="0"/>
          <w:divBdr>
            <w:top w:val="none" w:sz="0" w:space="0" w:color="auto"/>
            <w:left w:val="none" w:sz="0" w:space="0" w:color="auto"/>
            <w:bottom w:val="none" w:sz="0" w:space="0" w:color="auto"/>
            <w:right w:val="none" w:sz="0" w:space="0" w:color="auto"/>
          </w:divBdr>
        </w:div>
      </w:divsChild>
    </w:div>
    <w:div w:id="1190148339">
      <w:marLeft w:val="0"/>
      <w:marRight w:val="0"/>
      <w:marTop w:val="0"/>
      <w:marBottom w:val="0"/>
      <w:divBdr>
        <w:top w:val="none" w:sz="0" w:space="0" w:color="auto"/>
        <w:left w:val="none" w:sz="0" w:space="0" w:color="auto"/>
        <w:bottom w:val="none" w:sz="0" w:space="0" w:color="auto"/>
        <w:right w:val="none" w:sz="0" w:space="0" w:color="auto"/>
      </w:divBdr>
      <w:divsChild>
        <w:div w:id="7684886">
          <w:marLeft w:val="0"/>
          <w:marRight w:val="0"/>
          <w:marTop w:val="0"/>
          <w:marBottom w:val="0"/>
          <w:divBdr>
            <w:top w:val="none" w:sz="0" w:space="0" w:color="auto"/>
            <w:left w:val="none" w:sz="0" w:space="0" w:color="auto"/>
            <w:bottom w:val="none" w:sz="0" w:space="0" w:color="auto"/>
            <w:right w:val="none" w:sz="0" w:space="0" w:color="auto"/>
          </w:divBdr>
        </w:div>
      </w:divsChild>
    </w:div>
    <w:div w:id="1192691952">
      <w:marLeft w:val="0"/>
      <w:marRight w:val="0"/>
      <w:marTop w:val="0"/>
      <w:marBottom w:val="0"/>
      <w:divBdr>
        <w:top w:val="none" w:sz="0" w:space="0" w:color="auto"/>
        <w:left w:val="none" w:sz="0" w:space="0" w:color="auto"/>
        <w:bottom w:val="none" w:sz="0" w:space="0" w:color="auto"/>
        <w:right w:val="none" w:sz="0" w:space="0" w:color="auto"/>
      </w:divBdr>
    </w:div>
    <w:div w:id="1217160913">
      <w:marLeft w:val="0"/>
      <w:marRight w:val="0"/>
      <w:marTop w:val="0"/>
      <w:marBottom w:val="0"/>
      <w:divBdr>
        <w:top w:val="none" w:sz="0" w:space="0" w:color="auto"/>
        <w:left w:val="none" w:sz="0" w:space="0" w:color="auto"/>
        <w:bottom w:val="none" w:sz="0" w:space="0" w:color="auto"/>
        <w:right w:val="none" w:sz="0" w:space="0" w:color="auto"/>
      </w:divBdr>
      <w:divsChild>
        <w:div w:id="1666544800">
          <w:marLeft w:val="0"/>
          <w:marRight w:val="0"/>
          <w:marTop w:val="0"/>
          <w:marBottom w:val="0"/>
          <w:divBdr>
            <w:top w:val="none" w:sz="0" w:space="0" w:color="auto"/>
            <w:left w:val="none" w:sz="0" w:space="0" w:color="auto"/>
            <w:bottom w:val="none" w:sz="0" w:space="0" w:color="auto"/>
            <w:right w:val="none" w:sz="0" w:space="0" w:color="auto"/>
          </w:divBdr>
        </w:div>
      </w:divsChild>
    </w:div>
    <w:div w:id="1219821792">
      <w:marLeft w:val="0"/>
      <w:marRight w:val="0"/>
      <w:marTop w:val="0"/>
      <w:marBottom w:val="0"/>
      <w:divBdr>
        <w:top w:val="none" w:sz="0" w:space="0" w:color="auto"/>
        <w:left w:val="none" w:sz="0" w:space="0" w:color="auto"/>
        <w:bottom w:val="none" w:sz="0" w:space="0" w:color="auto"/>
        <w:right w:val="none" w:sz="0" w:space="0" w:color="auto"/>
      </w:divBdr>
      <w:divsChild>
        <w:div w:id="495728465">
          <w:marLeft w:val="0"/>
          <w:marRight w:val="0"/>
          <w:marTop w:val="0"/>
          <w:marBottom w:val="0"/>
          <w:divBdr>
            <w:top w:val="none" w:sz="0" w:space="0" w:color="auto"/>
            <w:left w:val="none" w:sz="0" w:space="0" w:color="auto"/>
            <w:bottom w:val="none" w:sz="0" w:space="0" w:color="auto"/>
            <w:right w:val="none" w:sz="0" w:space="0" w:color="auto"/>
          </w:divBdr>
        </w:div>
      </w:divsChild>
    </w:div>
    <w:div w:id="1234199490">
      <w:marLeft w:val="0"/>
      <w:marRight w:val="0"/>
      <w:marTop w:val="0"/>
      <w:marBottom w:val="0"/>
      <w:divBdr>
        <w:top w:val="none" w:sz="0" w:space="0" w:color="auto"/>
        <w:left w:val="none" w:sz="0" w:space="0" w:color="auto"/>
        <w:bottom w:val="none" w:sz="0" w:space="0" w:color="auto"/>
        <w:right w:val="none" w:sz="0" w:space="0" w:color="auto"/>
      </w:divBdr>
    </w:div>
    <w:div w:id="1256792463">
      <w:marLeft w:val="0"/>
      <w:marRight w:val="0"/>
      <w:marTop w:val="0"/>
      <w:marBottom w:val="0"/>
      <w:divBdr>
        <w:top w:val="none" w:sz="0" w:space="0" w:color="auto"/>
        <w:left w:val="none" w:sz="0" w:space="0" w:color="auto"/>
        <w:bottom w:val="none" w:sz="0" w:space="0" w:color="auto"/>
        <w:right w:val="none" w:sz="0" w:space="0" w:color="auto"/>
      </w:divBdr>
      <w:divsChild>
        <w:div w:id="328481221">
          <w:marLeft w:val="0"/>
          <w:marRight w:val="0"/>
          <w:marTop w:val="0"/>
          <w:marBottom w:val="0"/>
          <w:divBdr>
            <w:top w:val="none" w:sz="0" w:space="0" w:color="auto"/>
            <w:left w:val="none" w:sz="0" w:space="0" w:color="auto"/>
            <w:bottom w:val="none" w:sz="0" w:space="0" w:color="auto"/>
            <w:right w:val="none" w:sz="0" w:space="0" w:color="auto"/>
          </w:divBdr>
        </w:div>
      </w:divsChild>
    </w:div>
    <w:div w:id="1274820169">
      <w:marLeft w:val="0"/>
      <w:marRight w:val="0"/>
      <w:marTop w:val="0"/>
      <w:marBottom w:val="0"/>
      <w:divBdr>
        <w:top w:val="none" w:sz="0" w:space="0" w:color="auto"/>
        <w:left w:val="none" w:sz="0" w:space="0" w:color="auto"/>
        <w:bottom w:val="none" w:sz="0" w:space="0" w:color="auto"/>
        <w:right w:val="none" w:sz="0" w:space="0" w:color="auto"/>
      </w:divBdr>
      <w:divsChild>
        <w:div w:id="997079479">
          <w:marLeft w:val="0"/>
          <w:marRight w:val="0"/>
          <w:marTop w:val="0"/>
          <w:marBottom w:val="0"/>
          <w:divBdr>
            <w:top w:val="none" w:sz="0" w:space="0" w:color="auto"/>
            <w:left w:val="none" w:sz="0" w:space="0" w:color="auto"/>
            <w:bottom w:val="none" w:sz="0" w:space="0" w:color="auto"/>
            <w:right w:val="none" w:sz="0" w:space="0" w:color="auto"/>
          </w:divBdr>
        </w:div>
      </w:divsChild>
    </w:div>
    <w:div w:id="1279027613">
      <w:marLeft w:val="0"/>
      <w:marRight w:val="0"/>
      <w:marTop w:val="0"/>
      <w:marBottom w:val="0"/>
      <w:divBdr>
        <w:top w:val="none" w:sz="0" w:space="0" w:color="auto"/>
        <w:left w:val="none" w:sz="0" w:space="0" w:color="auto"/>
        <w:bottom w:val="none" w:sz="0" w:space="0" w:color="auto"/>
        <w:right w:val="none" w:sz="0" w:space="0" w:color="auto"/>
      </w:divBdr>
    </w:div>
    <w:div w:id="1284650483">
      <w:marLeft w:val="0"/>
      <w:marRight w:val="0"/>
      <w:marTop w:val="0"/>
      <w:marBottom w:val="0"/>
      <w:divBdr>
        <w:top w:val="none" w:sz="0" w:space="0" w:color="auto"/>
        <w:left w:val="none" w:sz="0" w:space="0" w:color="auto"/>
        <w:bottom w:val="none" w:sz="0" w:space="0" w:color="auto"/>
        <w:right w:val="none" w:sz="0" w:space="0" w:color="auto"/>
      </w:divBdr>
      <w:divsChild>
        <w:div w:id="42406882">
          <w:marLeft w:val="0"/>
          <w:marRight w:val="0"/>
          <w:marTop w:val="0"/>
          <w:marBottom w:val="0"/>
          <w:divBdr>
            <w:top w:val="none" w:sz="0" w:space="0" w:color="auto"/>
            <w:left w:val="none" w:sz="0" w:space="0" w:color="auto"/>
            <w:bottom w:val="none" w:sz="0" w:space="0" w:color="auto"/>
            <w:right w:val="none" w:sz="0" w:space="0" w:color="auto"/>
          </w:divBdr>
        </w:div>
      </w:divsChild>
    </w:div>
    <w:div w:id="1289697812">
      <w:marLeft w:val="0"/>
      <w:marRight w:val="0"/>
      <w:marTop w:val="0"/>
      <w:marBottom w:val="0"/>
      <w:divBdr>
        <w:top w:val="none" w:sz="0" w:space="0" w:color="auto"/>
        <w:left w:val="none" w:sz="0" w:space="0" w:color="auto"/>
        <w:bottom w:val="none" w:sz="0" w:space="0" w:color="auto"/>
        <w:right w:val="none" w:sz="0" w:space="0" w:color="auto"/>
      </w:divBdr>
    </w:div>
    <w:div w:id="1301956997">
      <w:marLeft w:val="0"/>
      <w:marRight w:val="0"/>
      <w:marTop w:val="0"/>
      <w:marBottom w:val="0"/>
      <w:divBdr>
        <w:top w:val="none" w:sz="0" w:space="0" w:color="auto"/>
        <w:left w:val="none" w:sz="0" w:space="0" w:color="auto"/>
        <w:bottom w:val="none" w:sz="0" w:space="0" w:color="auto"/>
        <w:right w:val="none" w:sz="0" w:space="0" w:color="auto"/>
      </w:divBdr>
    </w:div>
    <w:div w:id="1308514729">
      <w:marLeft w:val="0"/>
      <w:marRight w:val="0"/>
      <w:marTop w:val="0"/>
      <w:marBottom w:val="0"/>
      <w:divBdr>
        <w:top w:val="none" w:sz="0" w:space="0" w:color="auto"/>
        <w:left w:val="none" w:sz="0" w:space="0" w:color="auto"/>
        <w:bottom w:val="none" w:sz="0" w:space="0" w:color="auto"/>
        <w:right w:val="none" w:sz="0" w:space="0" w:color="auto"/>
      </w:divBdr>
    </w:div>
    <w:div w:id="1317611231">
      <w:marLeft w:val="0"/>
      <w:marRight w:val="0"/>
      <w:marTop w:val="0"/>
      <w:marBottom w:val="0"/>
      <w:divBdr>
        <w:top w:val="none" w:sz="0" w:space="0" w:color="auto"/>
        <w:left w:val="none" w:sz="0" w:space="0" w:color="auto"/>
        <w:bottom w:val="none" w:sz="0" w:space="0" w:color="auto"/>
        <w:right w:val="none" w:sz="0" w:space="0" w:color="auto"/>
      </w:divBdr>
      <w:divsChild>
        <w:div w:id="585382798">
          <w:marLeft w:val="0"/>
          <w:marRight w:val="0"/>
          <w:marTop w:val="0"/>
          <w:marBottom w:val="0"/>
          <w:divBdr>
            <w:top w:val="none" w:sz="0" w:space="0" w:color="auto"/>
            <w:left w:val="none" w:sz="0" w:space="0" w:color="auto"/>
            <w:bottom w:val="none" w:sz="0" w:space="0" w:color="auto"/>
            <w:right w:val="none" w:sz="0" w:space="0" w:color="auto"/>
          </w:divBdr>
        </w:div>
      </w:divsChild>
    </w:div>
    <w:div w:id="1325357309">
      <w:marLeft w:val="0"/>
      <w:marRight w:val="0"/>
      <w:marTop w:val="0"/>
      <w:marBottom w:val="120"/>
      <w:divBdr>
        <w:top w:val="none" w:sz="0" w:space="0" w:color="auto"/>
        <w:left w:val="none" w:sz="0" w:space="0" w:color="auto"/>
        <w:bottom w:val="none" w:sz="0" w:space="0" w:color="auto"/>
        <w:right w:val="none" w:sz="0" w:space="0" w:color="auto"/>
      </w:divBdr>
    </w:div>
    <w:div w:id="1340084124">
      <w:marLeft w:val="0"/>
      <w:marRight w:val="0"/>
      <w:marTop w:val="0"/>
      <w:marBottom w:val="0"/>
      <w:divBdr>
        <w:top w:val="none" w:sz="0" w:space="0" w:color="auto"/>
        <w:left w:val="none" w:sz="0" w:space="0" w:color="auto"/>
        <w:bottom w:val="none" w:sz="0" w:space="0" w:color="auto"/>
        <w:right w:val="none" w:sz="0" w:space="0" w:color="auto"/>
      </w:divBdr>
    </w:div>
    <w:div w:id="1352997163">
      <w:marLeft w:val="0"/>
      <w:marRight w:val="0"/>
      <w:marTop w:val="0"/>
      <w:marBottom w:val="0"/>
      <w:divBdr>
        <w:top w:val="none" w:sz="0" w:space="0" w:color="auto"/>
        <w:left w:val="none" w:sz="0" w:space="0" w:color="auto"/>
        <w:bottom w:val="none" w:sz="0" w:space="0" w:color="auto"/>
        <w:right w:val="none" w:sz="0" w:space="0" w:color="auto"/>
      </w:divBdr>
    </w:div>
    <w:div w:id="1371413652">
      <w:marLeft w:val="0"/>
      <w:marRight w:val="0"/>
      <w:marTop w:val="0"/>
      <w:marBottom w:val="120"/>
      <w:divBdr>
        <w:top w:val="none" w:sz="0" w:space="0" w:color="auto"/>
        <w:left w:val="none" w:sz="0" w:space="0" w:color="auto"/>
        <w:bottom w:val="none" w:sz="0" w:space="0" w:color="auto"/>
        <w:right w:val="none" w:sz="0" w:space="0" w:color="auto"/>
      </w:divBdr>
    </w:div>
    <w:div w:id="1384910270">
      <w:marLeft w:val="0"/>
      <w:marRight w:val="0"/>
      <w:marTop w:val="0"/>
      <w:marBottom w:val="0"/>
      <w:divBdr>
        <w:top w:val="none" w:sz="0" w:space="0" w:color="auto"/>
        <w:left w:val="none" w:sz="0" w:space="0" w:color="auto"/>
        <w:bottom w:val="none" w:sz="0" w:space="0" w:color="auto"/>
        <w:right w:val="none" w:sz="0" w:space="0" w:color="auto"/>
      </w:divBdr>
    </w:div>
    <w:div w:id="1390611157">
      <w:marLeft w:val="0"/>
      <w:marRight w:val="0"/>
      <w:marTop w:val="0"/>
      <w:marBottom w:val="0"/>
      <w:divBdr>
        <w:top w:val="none" w:sz="0" w:space="0" w:color="auto"/>
        <w:left w:val="none" w:sz="0" w:space="0" w:color="auto"/>
        <w:bottom w:val="none" w:sz="0" w:space="0" w:color="auto"/>
        <w:right w:val="none" w:sz="0" w:space="0" w:color="auto"/>
      </w:divBdr>
    </w:div>
    <w:div w:id="1391150025">
      <w:marLeft w:val="0"/>
      <w:marRight w:val="0"/>
      <w:marTop w:val="0"/>
      <w:marBottom w:val="120"/>
      <w:divBdr>
        <w:top w:val="none" w:sz="0" w:space="0" w:color="auto"/>
        <w:left w:val="none" w:sz="0" w:space="0" w:color="auto"/>
        <w:bottom w:val="none" w:sz="0" w:space="0" w:color="auto"/>
        <w:right w:val="none" w:sz="0" w:space="0" w:color="auto"/>
      </w:divBdr>
    </w:div>
    <w:div w:id="1402486314">
      <w:marLeft w:val="0"/>
      <w:marRight w:val="0"/>
      <w:marTop w:val="0"/>
      <w:marBottom w:val="0"/>
      <w:divBdr>
        <w:top w:val="none" w:sz="0" w:space="0" w:color="auto"/>
        <w:left w:val="none" w:sz="0" w:space="0" w:color="auto"/>
        <w:bottom w:val="none" w:sz="0" w:space="0" w:color="auto"/>
        <w:right w:val="none" w:sz="0" w:space="0" w:color="auto"/>
      </w:divBdr>
    </w:div>
    <w:div w:id="1429816149">
      <w:marLeft w:val="0"/>
      <w:marRight w:val="0"/>
      <w:marTop w:val="0"/>
      <w:marBottom w:val="0"/>
      <w:divBdr>
        <w:top w:val="none" w:sz="0" w:space="0" w:color="auto"/>
        <w:left w:val="none" w:sz="0" w:space="0" w:color="auto"/>
        <w:bottom w:val="none" w:sz="0" w:space="0" w:color="auto"/>
        <w:right w:val="none" w:sz="0" w:space="0" w:color="auto"/>
      </w:divBdr>
    </w:div>
    <w:div w:id="1450734184">
      <w:marLeft w:val="0"/>
      <w:marRight w:val="0"/>
      <w:marTop w:val="0"/>
      <w:marBottom w:val="0"/>
      <w:divBdr>
        <w:top w:val="none" w:sz="0" w:space="0" w:color="auto"/>
        <w:left w:val="none" w:sz="0" w:space="0" w:color="auto"/>
        <w:bottom w:val="none" w:sz="0" w:space="0" w:color="auto"/>
        <w:right w:val="none" w:sz="0" w:space="0" w:color="auto"/>
      </w:divBdr>
      <w:divsChild>
        <w:div w:id="1874147251">
          <w:marLeft w:val="0"/>
          <w:marRight w:val="0"/>
          <w:marTop w:val="0"/>
          <w:marBottom w:val="0"/>
          <w:divBdr>
            <w:top w:val="none" w:sz="0" w:space="0" w:color="auto"/>
            <w:left w:val="none" w:sz="0" w:space="0" w:color="auto"/>
            <w:bottom w:val="none" w:sz="0" w:space="0" w:color="auto"/>
            <w:right w:val="none" w:sz="0" w:space="0" w:color="auto"/>
          </w:divBdr>
        </w:div>
      </w:divsChild>
    </w:div>
    <w:div w:id="1464881443">
      <w:marLeft w:val="0"/>
      <w:marRight w:val="0"/>
      <w:marTop w:val="0"/>
      <w:marBottom w:val="0"/>
      <w:divBdr>
        <w:top w:val="none" w:sz="0" w:space="0" w:color="auto"/>
        <w:left w:val="none" w:sz="0" w:space="0" w:color="auto"/>
        <w:bottom w:val="none" w:sz="0" w:space="0" w:color="auto"/>
        <w:right w:val="none" w:sz="0" w:space="0" w:color="auto"/>
      </w:divBdr>
    </w:div>
    <w:div w:id="1495608037">
      <w:marLeft w:val="0"/>
      <w:marRight w:val="0"/>
      <w:marTop w:val="0"/>
      <w:marBottom w:val="0"/>
      <w:divBdr>
        <w:top w:val="none" w:sz="0" w:space="0" w:color="auto"/>
        <w:left w:val="none" w:sz="0" w:space="0" w:color="auto"/>
        <w:bottom w:val="none" w:sz="0" w:space="0" w:color="auto"/>
        <w:right w:val="none" w:sz="0" w:space="0" w:color="auto"/>
      </w:divBdr>
      <w:divsChild>
        <w:div w:id="2035308325">
          <w:marLeft w:val="0"/>
          <w:marRight w:val="0"/>
          <w:marTop w:val="0"/>
          <w:marBottom w:val="0"/>
          <w:divBdr>
            <w:top w:val="none" w:sz="0" w:space="0" w:color="auto"/>
            <w:left w:val="none" w:sz="0" w:space="0" w:color="auto"/>
            <w:bottom w:val="none" w:sz="0" w:space="0" w:color="auto"/>
            <w:right w:val="none" w:sz="0" w:space="0" w:color="auto"/>
          </w:divBdr>
        </w:div>
      </w:divsChild>
    </w:div>
    <w:div w:id="1497260563">
      <w:marLeft w:val="0"/>
      <w:marRight w:val="0"/>
      <w:marTop w:val="0"/>
      <w:marBottom w:val="120"/>
      <w:divBdr>
        <w:top w:val="none" w:sz="0" w:space="0" w:color="auto"/>
        <w:left w:val="none" w:sz="0" w:space="0" w:color="auto"/>
        <w:bottom w:val="none" w:sz="0" w:space="0" w:color="auto"/>
        <w:right w:val="none" w:sz="0" w:space="0" w:color="auto"/>
      </w:divBdr>
      <w:divsChild>
        <w:div w:id="197281673">
          <w:marLeft w:val="0"/>
          <w:marRight w:val="0"/>
          <w:marTop w:val="0"/>
          <w:marBottom w:val="20"/>
          <w:divBdr>
            <w:top w:val="none" w:sz="0" w:space="0" w:color="auto"/>
            <w:left w:val="none" w:sz="0" w:space="0" w:color="auto"/>
            <w:bottom w:val="none" w:sz="0" w:space="0" w:color="auto"/>
            <w:right w:val="none" w:sz="0" w:space="0" w:color="auto"/>
          </w:divBdr>
        </w:div>
        <w:div w:id="1574314721">
          <w:marLeft w:val="0"/>
          <w:marRight w:val="0"/>
          <w:marTop w:val="0"/>
          <w:marBottom w:val="20"/>
          <w:divBdr>
            <w:top w:val="none" w:sz="0" w:space="0" w:color="auto"/>
            <w:left w:val="none" w:sz="0" w:space="0" w:color="auto"/>
            <w:bottom w:val="none" w:sz="0" w:space="0" w:color="auto"/>
            <w:right w:val="none" w:sz="0" w:space="0" w:color="auto"/>
          </w:divBdr>
        </w:div>
        <w:div w:id="659576850">
          <w:marLeft w:val="0"/>
          <w:marRight w:val="0"/>
          <w:marTop w:val="0"/>
          <w:marBottom w:val="20"/>
          <w:divBdr>
            <w:top w:val="none" w:sz="0" w:space="0" w:color="auto"/>
            <w:left w:val="none" w:sz="0" w:space="0" w:color="auto"/>
            <w:bottom w:val="none" w:sz="0" w:space="0" w:color="auto"/>
            <w:right w:val="none" w:sz="0" w:space="0" w:color="auto"/>
          </w:divBdr>
        </w:div>
        <w:div w:id="1016540032">
          <w:marLeft w:val="0"/>
          <w:marRight w:val="0"/>
          <w:marTop w:val="0"/>
          <w:marBottom w:val="20"/>
          <w:divBdr>
            <w:top w:val="none" w:sz="0" w:space="0" w:color="auto"/>
            <w:left w:val="none" w:sz="0" w:space="0" w:color="auto"/>
            <w:bottom w:val="none" w:sz="0" w:space="0" w:color="auto"/>
            <w:right w:val="none" w:sz="0" w:space="0" w:color="auto"/>
          </w:divBdr>
        </w:div>
        <w:div w:id="1563951386">
          <w:marLeft w:val="0"/>
          <w:marRight w:val="0"/>
          <w:marTop w:val="0"/>
          <w:marBottom w:val="20"/>
          <w:divBdr>
            <w:top w:val="none" w:sz="0" w:space="0" w:color="auto"/>
            <w:left w:val="none" w:sz="0" w:space="0" w:color="auto"/>
            <w:bottom w:val="none" w:sz="0" w:space="0" w:color="auto"/>
            <w:right w:val="none" w:sz="0" w:space="0" w:color="auto"/>
          </w:divBdr>
        </w:div>
        <w:div w:id="1519655740">
          <w:marLeft w:val="0"/>
          <w:marRight w:val="0"/>
          <w:marTop w:val="0"/>
          <w:marBottom w:val="20"/>
          <w:divBdr>
            <w:top w:val="none" w:sz="0" w:space="0" w:color="auto"/>
            <w:left w:val="none" w:sz="0" w:space="0" w:color="auto"/>
            <w:bottom w:val="none" w:sz="0" w:space="0" w:color="auto"/>
            <w:right w:val="none" w:sz="0" w:space="0" w:color="auto"/>
          </w:divBdr>
        </w:div>
      </w:divsChild>
    </w:div>
    <w:div w:id="1502163446">
      <w:marLeft w:val="0"/>
      <w:marRight w:val="0"/>
      <w:marTop w:val="0"/>
      <w:marBottom w:val="0"/>
      <w:divBdr>
        <w:top w:val="none" w:sz="0" w:space="0" w:color="auto"/>
        <w:left w:val="none" w:sz="0" w:space="0" w:color="auto"/>
        <w:bottom w:val="none" w:sz="0" w:space="0" w:color="auto"/>
        <w:right w:val="none" w:sz="0" w:space="0" w:color="auto"/>
      </w:divBdr>
    </w:div>
    <w:div w:id="1509252232">
      <w:marLeft w:val="0"/>
      <w:marRight w:val="0"/>
      <w:marTop w:val="0"/>
      <w:marBottom w:val="0"/>
      <w:divBdr>
        <w:top w:val="none" w:sz="0" w:space="0" w:color="auto"/>
        <w:left w:val="none" w:sz="0" w:space="0" w:color="auto"/>
        <w:bottom w:val="none" w:sz="0" w:space="0" w:color="auto"/>
        <w:right w:val="none" w:sz="0" w:space="0" w:color="auto"/>
      </w:divBdr>
    </w:div>
    <w:div w:id="1515920504">
      <w:marLeft w:val="0"/>
      <w:marRight w:val="0"/>
      <w:marTop w:val="0"/>
      <w:marBottom w:val="0"/>
      <w:divBdr>
        <w:top w:val="none" w:sz="0" w:space="0" w:color="auto"/>
        <w:left w:val="none" w:sz="0" w:space="0" w:color="auto"/>
        <w:bottom w:val="none" w:sz="0" w:space="0" w:color="auto"/>
        <w:right w:val="none" w:sz="0" w:space="0" w:color="auto"/>
      </w:divBdr>
    </w:div>
    <w:div w:id="1521384894">
      <w:marLeft w:val="0"/>
      <w:marRight w:val="0"/>
      <w:marTop w:val="0"/>
      <w:marBottom w:val="120"/>
      <w:divBdr>
        <w:top w:val="none" w:sz="0" w:space="0" w:color="auto"/>
        <w:left w:val="none" w:sz="0" w:space="0" w:color="auto"/>
        <w:bottom w:val="none" w:sz="0" w:space="0" w:color="auto"/>
        <w:right w:val="none" w:sz="0" w:space="0" w:color="auto"/>
      </w:divBdr>
    </w:div>
    <w:div w:id="1525826445">
      <w:marLeft w:val="0"/>
      <w:marRight w:val="0"/>
      <w:marTop w:val="0"/>
      <w:marBottom w:val="0"/>
      <w:divBdr>
        <w:top w:val="none" w:sz="0" w:space="0" w:color="auto"/>
        <w:left w:val="none" w:sz="0" w:space="0" w:color="auto"/>
        <w:bottom w:val="none" w:sz="0" w:space="0" w:color="auto"/>
        <w:right w:val="none" w:sz="0" w:space="0" w:color="auto"/>
      </w:divBdr>
      <w:divsChild>
        <w:div w:id="1646857699">
          <w:marLeft w:val="0"/>
          <w:marRight w:val="0"/>
          <w:marTop w:val="0"/>
          <w:marBottom w:val="0"/>
          <w:divBdr>
            <w:top w:val="none" w:sz="0" w:space="0" w:color="auto"/>
            <w:left w:val="none" w:sz="0" w:space="0" w:color="auto"/>
            <w:bottom w:val="none" w:sz="0" w:space="0" w:color="auto"/>
            <w:right w:val="none" w:sz="0" w:space="0" w:color="auto"/>
          </w:divBdr>
        </w:div>
      </w:divsChild>
    </w:div>
    <w:div w:id="1529290161">
      <w:marLeft w:val="0"/>
      <w:marRight w:val="0"/>
      <w:marTop w:val="0"/>
      <w:marBottom w:val="0"/>
      <w:divBdr>
        <w:top w:val="none" w:sz="0" w:space="0" w:color="auto"/>
        <w:left w:val="none" w:sz="0" w:space="0" w:color="auto"/>
        <w:bottom w:val="none" w:sz="0" w:space="0" w:color="auto"/>
        <w:right w:val="none" w:sz="0" w:space="0" w:color="auto"/>
      </w:divBdr>
      <w:divsChild>
        <w:div w:id="665477036">
          <w:marLeft w:val="0"/>
          <w:marRight w:val="0"/>
          <w:marTop w:val="0"/>
          <w:marBottom w:val="0"/>
          <w:divBdr>
            <w:top w:val="none" w:sz="0" w:space="0" w:color="auto"/>
            <w:left w:val="none" w:sz="0" w:space="0" w:color="auto"/>
            <w:bottom w:val="none" w:sz="0" w:space="0" w:color="auto"/>
            <w:right w:val="none" w:sz="0" w:space="0" w:color="auto"/>
          </w:divBdr>
        </w:div>
      </w:divsChild>
    </w:div>
    <w:div w:id="1538155297">
      <w:marLeft w:val="0"/>
      <w:marRight w:val="0"/>
      <w:marTop w:val="0"/>
      <w:marBottom w:val="0"/>
      <w:divBdr>
        <w:top w:val="none" w:sz="0" w:space="0" w:color="auto"/>
        <w:left w:val="none" w:sz="0" w:space="0" w:color="auto"/>
        <w:bottom w:val="none" w:sz="0" w:space="0" w:color="auto"/>
        <w:right w:val="none" w:sz="0" w:space="0" w:color="auto"/>
      </w:divBdr>
    </w:div>
    <w:div w:id="1540584452">
      <w:marLeft w:val="0"/>
      <w:marRight w:val="0"/>
      <w:marTop w:val="0"/>
      <w:marBottom w:val="0"/>
      <w:divBdr>
        <w:top w:val="none" w:sz="0" w:space="0" w:color="auto"/>
        <w:left w:val="none" w:sz="0" w:space="0" w:color="auto"/>
        <w:bottom w:val="none" w:sz="0" w:space="0" w:color="auto"/>
        <w:right w:val="none" w:sz="0" w:space="0" w:color="auto"/>
      </w:divBdr>
    </w:div>
    <w:div w:id="1541016912">
      <w:marLeft w:val="0"/>
      <w:marRight w:val="0"/>
      <w:marTop w:val="0"/>
      <w:marBottom w:val="0"/>
      <w:divBdr>
        <w:top w:val="none" w:sz="0" w:space="0" w:color="auto"/>
        <w:left w:val="none" w:sz="0" w:space="0" w:color="auto"/>
        <w:bottom w:val="none" w:sz="0" w:space="0" w:color="auto"/>
        <w:right w:val="none" w:sz="0" w:space="0" w:color="auto"/>
      </w:divBdr>
    </w:div>
    <w:div w:id="1542210863">
      <w:marLeft w:val="0"/>
      <w:marRight w:val="0"/>
      <w:marTop w:val="0"/>
      <w:marBottom w:val="0"/>
      <w:divBdr>
        <w:top w:val="none" w:sz="0" w:space="0" w:color="auto"/>
        <w:left w:val="none" w:sz="0" w:space="0" w:color="auto"/>
        <w:bottom w:val="none" w:sz="0" w:space="0" w:color="auto"/>
        <w:right w:val="none" w:sz="0" w:space="0" w:color="auto"/>
      </w:divBdr>
    </w:div>
    <w:div w:id="1544294917">
      <w:marLeft w:val="0"/>
      <w:marRight w:val="0"/>
      <w:marTop w:val="0"/>
      <w:marBottom w:val="0"/>
      <w:divBdr>
        <w:top w:val="none" w:sz="0" w:space="0" w:color="auto"/>
        <w:left w:val="none" w:sz="0" w:space="0" w:color="auto"/>
        <w:bottom w:val="none" w:sz="0" w:space="0" w:color="auto"/>
        <w:right w:val="none" w:sz="0" w:space="0" w:color="auto"/>
      </w:divBdr>
      <w:divsChild>
        <w:div w:id="1114789566">
          <w:marLeft w:val="0"/>
          <w:marRight w:val="0"/>
          <w:marTop w:val="0"/>
          <w:marBottom w:val="0"/>
          <w:divBdr>
            <w:top w:val="none" w:sz="0" w:space="0" w:color="auto"/>
            <w:left w:val="none" w:sz="0" w:space="0" w:color="auto"/>
            <w:bottom w:val="none" w:sz="0" w:space="0" w:color="auto"/>
            <w:right w:val="none" w:sz="0" w:space="0" w:color="auto"/>
          </w:divBdr>
        </w:div>
      </w:divsChild>
    </w:div>
    <w:div w:id="1547060999">
      <w:marLeft w:val="0"/>
      <w:marRight w:val="0"/>
      <w:marTop w:val="0"/>
      <w:marBottom w:val="0"/>
      <w:divBdr>
        <w:top w:val="none" w:sz="0" w:space="0" w:color="auto"/>
        <w:left w:val="none" w:sz="0" w:space="0" w:color="auto"/>
        <w:bottom w:val="none" w:sz="0" w:space="0" w:color="auto"/>
        <w:right w:val="none" w:sz="0" w:space="0" w:color="auto"/>
      </w:divBdr>
    </w:div>
    <w:div w:id="1548031731">
      <w:marLeft w:val="0"/>
      <w:marRight w:val="0"/>
      <w:marTop w:val="0"/>
      <w:marBottom w:val="0"/>
      <w:divBdr>
        <w:top w:val="none" w:sz="0" w:space="0" w:color="auto"/>
        <w:left w:val="none" w:sz="0" w:space="0" w:color="auto"/>
        <w:bottom w:val="none" w:sz="0" w:space="0" w:color="auto"/>
        <w:right w:val="none" w:sz="0" w:space="0" w:color="auto"/>
      </w:divBdr>
    </w:div>
    <w:div w:id="1559127176">
      <w:marLeft w:val="0"/>
      <w:marRight w:val="0"/>
      <w:marTop w:val="0"/>
      <w:marBottom w:val="0"/>
      <w:divBdr>
        <w:top w:val="none" w:sz="0" w:space="0" w:color="auto"/>
        <w:left w:val="none" w:sz="0" w:space="0" w:color="auto"/>
        <w:bottom w:val="none" w:sz="0" w:space="0" w:color="auto"/>
        <w:right w:val="none" w:sz="0" w:space="0" w:color="auto"/>
      </w:divBdr>
    </w:div>
    <w:div w:id="1559172739">
      <w:marLeft w:val="0"/>
      <w:marRight w:val="0"/>
      <w:marTop w:val="0"/>
      <w:marBottom w:val="0"/>
      <w:divBdr>
        <w:top w:val="none" w:sz="0" w:space="0" w:color="auto"/>
        <w:left w:val="none" w:sz="0" w:space="0" w:color="auto"/>
        <w:bottom w:val="none" w:sz="0" w:space="0" w:color="auto"/>
        <w:right w:val="none" w:sz="0" w:space="0" w:color="auto"/>
      </w:divBdr>
      <w:divsChild>
        <w:div w:id="1702704634">
          <w:marLeft w:val="0"/>
          <w:marRight w:val="0"/>
          <w:marTop w:val="0"/>
          <w:marBottom w:val="0"/>
          <w:divBdr>
            <w:top w:val="none" w:sz="0" w:space="0" w:color="auto"/>
            <w:left w:val="none" w:sz="0" w:space="0" w:color="auto"/>
            <w:bottom w:val="none" w:sz="0" w:space="0" w:color="auto"/>
            <w:right w:val="none" w:sz="0" w:space="0" w:color="auto"/>
          </w:divBdr>
        </w:div>
      </w:divsChild>
    </w:div>
    <w:div w:id="1576547196">
      <w:marLeft w:val="0"/>
      <w:marRight w:val="0"/>
      <w:marTop w:val="0"/>
      <w:marBottom w:val="0"/>
      <w:divBdr>
        <w:top w:val="none" w:sz="0" w:space="0" w:color="auto"/>
        <w:left w:val="none" w:sz="0" w:space="0" w:color="auto"/>
        <w:bottom w:val="none" w:sz="0" w:space="0" w:color="auto"/>
        <w:right w:val="none" w:sz="0" w:space="0" w:color="auto"/>
      </w:divBdr>
    </w:div>
    <w:div w:id="1576743419">
      <w:marLeft w:val="0"/>
      <w:marRight w:val="0"/>
      <w:marTop w:val="0"/>
      <w:marBottom w:val="0"/>
      <w:divBdr>
        <w:top w:val="none" w:sz="0" w:space="0" w:color="auto"/>
        <w:left w:val="none" w:sz="0" w:space="0" w:color="auto"/>
        <w:bottom w:val="none" w:sz="0" w:space="0" w:color="auto"/>
        <w:right w:val="none" w:sz="0" w:space="0" w:color="auto"/>
      </w:divBdr>
    </w:div>
    <w:div w:id="1577975902">
      <w:marLeft w:val="0"/>
      <w:marRight w:val="0"/>
      <w:marTop w:val="0"/>
      <w:marBottom w:val="0"/>
      <w:divBdr>
        <w:top w:val="none" w:sz="0" w:space="0" w:color="auto"/>
        <w:left w:val="none" w:sz="0" w:space="0" w:color="auto"/>
        <w:bottom w:val="none" w:sz="0" w:space="0" w:color="auto"/>
        <w:right w:val="none" w:sz="0" w:space="0" w:color="auto"/>
      </w:divBdr>
      <w:divsChild>
        <w:div w:id="885222787">
          <w:marLeft w:val="0"/>
          <w:marRight w:val="0"/>
          <w:marTop w:val="0"/>
          <w:marBottom w:val="0"/>
          <w:divBdr>
            <w:top w:val="none" w:sz="0" w:space="0" w:color="auto"/>
            <w:left w:val="none" w:sz="0" w:space="0" w:color="auto"/>
            <w:bottom w:val="none" w:sz="0" w:space="0" w:color="auto"/>
            <w:right w:val="none" w:sz="0" w:space="0" w:color="auto"/>
          </w:divBdr>
        </w:div>
      </w:divsChild>
    </w:div>
    <w:div w:id="1586374371">
      <w:marLeft w:val="0"/>
      <w:marRight w:val="0"/>
      <w:marTop w:val="0"/>
      <w:marBottom w:val="0"/>
      <w:divBdr>
        <w:top w:val="none" w:sz="0" w:space="0" w:color="auto"/>
        <w:left w:val="none" w:sz="0" w:space="0" w:color="auto"/>
        <w:bottom w:val="none" w:sz="0" w:space="0" w:color="auto"/>
        <w:right w:val="none" w:sz="0" w:space="0" w:color="auto"/>
      </w:divBdr>
    </w:div>
    <w:div w:id="1589919664">
      <w:marLeft w:val="0"/>
      <w:marRight w:val="0"/>
      <w:marTop w:val="0"/>
      <w:marBottom w:val="120"/>
      <w:divBdr>
        <w:top w:val="none" w:sz="0" w:space="0" w:color="auto"/>
        <w:left w:val="none" w:sz="0" w:space="0" w:color="auto"/>
        <w:bottom w:val="none" w:sz="0" w:space="0" w:color="auto"/>
        <w:right w:val="none" w:sz="0" w:space="0" w:color="auto"/>
      </w:divBdr>
    </w:div>
    <w:div w:id="1593583882">
      <w:marLeft w:val="0"/>
      <w:marRight w:val="0"/>
      <w:marTop w:val="0"/>
      <w:marBottom w:val="0"/>
      <w:divBdr>
        <w:top w:val="none" w:sz="0" w:space="0" w:color="auto"/>
        <w:left w:val="none" w:sz="0" w:space="0" w:color="auto"/>
        <w:bottom w:val="none" w:sz="0" w:space="0" w:color="auto"/>
        <w:right w:val="none" w:sz="0" w:space="0" w:color="auto"/>
      </w:divBdr>
      <w:divsChild>
        <w:div w:id="952830655">
          <w:marLeft w:val="0"/>
          <w:marRight w:val="0"/>
          <w:marTop w:val="0"/>
          <w:marBottom w:val="0"/>
          <w:divBdr>
            <w:top w:val="none" w:sz="0" w:space="0" w:color="auto"/>
            <w:left w:val="none" w:sz="0" w:space="0" w:color="auto"/>
            <w:bottom w:val="none" w:sz="0" w:space="0" w:color="auto"/>
            <w:right w:val="none" w:sz="0" w:space="0" w:color="auto"/>
          </w:divBdr>
        </w:div>
      </w:divsChild>
    </w:div>
    <w:div w:id="1609697050">
      <w:marLeft w:val="0"/>
      <w:marRight w:val="0"/>
      <w:marTop w:val="0"/>
      <w:marBottom w:val="120"/>
      <w:divBdr>
        <w:top w:val="none" w:sz="0" w:space="0" w:color="auto"/>
        <w:left w:val="none" w:sz="0" w:space="0" w:color="auto"/>
        <w:bottom w:val="none" w:sz="0" w:space="0" w:color="auto"/>
        <w:right w:val="none" w:sz="0" w:space="0" w:color="auto"/>
      </w:divBdr>
    </w:div>
    <w:div w:id="1630823685">
      <w:marLeft w:val="0"/>
      <w:marRight w:val="0"/>
      <w:marTop w:val="0"/>
      <w:marBottom w:val="0"/>
      <w:divBdr>
        <w:top w:val="none" w:sz="0" w:space="0" w:color="auto"/>
        <w:left w:val="none" w:sz="0" w:space="0" w:color="auto"/>
        <w:bottom w:val="none" w:sz="0" w:space="0" w:color="auto"/>
        <w:right w:val="none" w:sz="0" w:space="0" w:color="auto"/>
      </w:divBdr>
    </w:div>
    <w:div w:id="1641374486">
      <w:marLeft w:val="0"/>
      <w:marRight w:val="0"/>
      <w:marTop w:val="0"/>
      <w:marBottom w:val="0"/>
      <w:divBdr>
        <w:top w:val="none" w:sz="0" w:space="0" w:color="auto"/>
        <w:left w:val="none" w:sz="0" w:space="0" w:color="auto"/>
        <w:bottom w:val="none" w:sz="0" w:space="0" w:color="auto"/>
        <w:right w:val="none" w:sz="0" w:space="0" w:color="auto"/>
      </w:divBdr>
    </w:div>
    <w:div w:id="1642812109">
      <w:marLeft w:val="0"/>
      <w:marRight w:val="0"/>
      <w:marTop w:val="0"/>
      <w:marBottom w:val="0"/>
      <w:divBdr>
        <w:top w:val="none" w:sz="0" w:space="0" w:color="auto"/>
        <w:left w:val="none" w:sz="0" w:space="0" w:color="auto"/>
        <w:bottom w:val="none" w:sz="0" w:space="0" w:color="auto"/>
        <w:right w:val="none" w:sz="0" w:space="0" w:color="auto"/>
      </w:divBdr>
    </w:div>
    <w:div w:id="1647735693">
      <w:marLeft w:val="0"/>
      <w:marRight w:val="0"/>
      <w:marTop w:val="0"/>
      <w:marBottom w:val="0"/>
      <w:divBdr>
        <w:top w:val="none" w:sz="0" w:space="0" w:color="auto"/>
        <w:left w:val="none" w:sz="0" w:space="0" w:color="auto"/>
        <w:bottom w:val="none" w:sz="0" w:space="0" w:color="auto"/>
        <w:right w:val="none" w:sz="0" w:space="0" w:color="auto"/>
      </w:divBdr>
    </w:div>
    <w:div w:id="1650860243">
      <w:marLeft w:val="0"/>
      <w:marRight w:val="0"/>
      <w:marTop w:val="0"/>
      <w:marBottom w:val="120"/>
      <w:divBdr>
        <w:top w:val="none" w:sz="0" w:space="0" w:color="auto"/>
        <w:left w:val="none" w:sz="0" w:space="0" w:color="auto"/>
        <w:bottom w:val="none" w:sz="0" w:space="0" w:color="auto"/>
        <w:right w:val="none" w:sz="0" w:space="0" w:color="auto"/>
      </w:divBdr>
    </w:div>
    <w:div w:id="1665741038">
      <w:marLeft w:val="0"/>
      <w:marRight w:val="0"/>
      <w:marTop w:val="0"/>
      <w:marBottom w:val="120"/>
      <w:divBdr>
        <w:top w:val="none" w:sz="0" w:space="0" w:color="auto"/>
        <w:left w:val="none" w:sz="0" w:space="0" w:color="auto"/>
        <w:bottom w:val="none" w:sz="0" w:space="0" w:color="auto"/>
        <w:right w:val="none" w:sz="0" w:space="0" w:color="auto"/>
      </w:divBdr>
    </w:div>
    <w:div w:id="1671254001">
      <w:marLeft w:val="0"/>
      <w:marRight w:val="0"/>
      <w:marTop w:val="0"/>
      <w:marBottom w:val="0"/>
      <w:divBdr>
        <w:top w:val="none" w:sz="0" w:space="0" w:color="auto"/>
        <w:left w:val="none" w:sz="0" w:space="0" w:color="auto"/>
        <w:bottom w:val="none" w:sz="0" w:space="0" w:color="auto"/>
        <w:right w:val="none" w:sz="0" w:space="0" w:color="auto"/>
      </w:divBdr>
      <w:divsChild>
        <w:div w:id="1607620346">
          <w:marLeft w:val="0"/>
          <w:marRight w:val="0"/>
          <w:marTop w:val="0"/>
          <w:marBottom w:val="0"/>
          <w:divBdr>
            <w:top w:val="none" w:sz="0" w:space="0" w:color="auto"/>
            <w:left w:val="none" w:sz="0" w:space="0" w:color="auto"/>
            <w:bottom w:val="none" w:sz="0" w:space="0" w:color="auto"/>
            <w:right w:val="none" w:sz="0" w:space="0" w:color="auto"/>
          </w:divBdr>
        </w:div>
      </w:divsChild>
    </w:div>
    <w:div w:id="1674601612">
      <w:marLeft w:val="0"/>
      <w:marRight w:val="0"/>
      <w:marTop w:val="0"/>
      <w:marBottom w:val="0"/>
      <w:divBdr>
        <w:top w:val="none" w:sz="0" w:space="0" w:color="auto"/>
        <w:left w:val="none" w:sz="0" w:space="0" w:color="auto"/>
        <w:bottom w:val="none" w:sz="0" w:space="0" w:color="auto"/>
        <w:right w:val="none" w:sz="0" w:space="0" w:color="auto"/>
      </w:divBdr>
    </w:div>
    <w:div w:id="1685014755">
      <w:marLeft w:val="0"/>
      <w:marRight w:val="0"/>
      <w:marTop w:val="0"/>
      <w:marBottom w:val="0"/>
      <w:divBdr>
        <w:top w:val="none" w:sz="0" w:space="0" w:color="auto"/>
        <w:left w:val="none" w:sz="0" w:space="0" w:color="auto"/>
        <w:bottom w:val="none" w:sz="0" w:space="0" w:color="auto"/>
        <w:right w:val="none" w:sz="0" w:space="0" w:color="auto"/>
      </w:divBdr>
    </w:div>
    <w:div w:id="1691486929">
      <w:marLeft w:val="0"/>
      <w:marRight w:val="0"/>
      <w:marTop w:val="0"/>
      <w:marBottom w:val="0"/>
      <w:divBdr>
        <w:top w:val="none" w:sz="0" w:space="0" w:color="auto"/>
        <w:left w:val="none" w:sz="0" w:space="0" w:color="auto"/>
        <w:bottom w:val="none" w:sz="0" w:space="0" w:color="auto"/>
        <w:right w:val="none" w:sz="0" w:space="0" w:color="auto"/>
      </w:divBdr>
      <w:divsChild>
        <w:div w:id="70279908">
          <w:marLeft w:val="0"/>
          <w:marRight w:val="0"/>
          <w:marTop w:val="0"/>
          <w:marBottom w:val="0"/>
          <w:divBdr>
            <w:top w:val="none" w:sz="0" w:space="0" w:color="auto"/>
            <w:left w:val="none" w:sz="0" w:space="0" w:color="auto"/>
            <w:bottom w:val="none" w:sz="0" w:space="0" w:color="auto"/>
            <w:right w:val="none" w:sz="0" w:space="0" w:color="auto"/>
          </w:divBdr>
        </w:div>
      </w:divsChild>
    </w:div>
    <w:div w:id="1699502720">
      <w:marLeft w:val="0"/>
      <w:marRight w:val="0"/>
      <w:marTop w:val="0"/>
      <w:marBottom w:val="0"/>
      <w:divBdr>
        <w:top w:val="none" w:sz="0" w:space="0" w:color="auto"/>
        <w:left w:val="none" w:sz="0" w:space="0" w:color="auto"/>
        <w:bottom w:val="none" w:sz="0" w:space="0" w:color="auto"/>
        <w:right w:val="none" w:sz="0" w:space="0" w:color="auto"/>
      </w:divBdr>
      <w:divsChild>
        <w:div w:id="886070084">
          <w:marLeft w:val="0"/>
          <w:marRight w:val="0"/>
          <w:marTop w:val="0"/>
          <w:marBottom w:val="0"/>
          <w:divBdr>
            <w:top w:val="none" w:sz="0" w:space="0" w:color="auto"/>
            <w:left w:val="none" w:sz="0" w:space="0" w:color="auto"/>
            <w:bottom w:val="none" w:sz="0" w:space="0" w:color="auto"/>
            <w:right w:val="none" w:sz="0" w:space="0" w:color="auto"/>
          </w:divBdr>
        </w:div>
      </w:divsChild>
    </w:div>
    <w:div w:id="1703435754">
      <w:marLeft w:val="0"/>
      <w:marRight w:val="0"/>
      <w:marTop w:val="0"/>
      <w:marBottom w:val="0"/>
      <w:divBdr>
        <w:top w:val="none" w:sz="0" w:space="0" w:color="auto"/>
        <w:left w:val="none" w:sz="0" w:space="0" w:color="auto"/>
        <w:bottom w:val="none" w:sz="0" w:space="0" w:color="auto"/>
        <w:right w:val="none" w:sz="0" w:space="0" w:color="auto"/>
      </w:divBdr>
    </w:div>
    <w:div w:id="1705400525">
      <w:marLeft w:val="0"/>
      <w:marRight w:val="0"/>
      <w:marTop w:val="0"/>
      <w:marBottom w:val="0"/>
      <w:divBdr>
        <w:top w:val="none" w:sz="0" w:space="0" w:color="auto"/>
        <w:left w:val="none" w:sz="0" w:space="0" w:color="auto"/>
        <w:bottom w:val="none" w:sz="0" w:space="0" w:color="auto"/>
        <w:right w:val="none" w:sz="0" w:space="0" w:color="auto"/>
      </w:divBdr>
      <w:divsChild>
        <w:div w:id="1231042166">
          <w:marLeft w:val="0"/>
          <w:marRight w:val="0"/>
          <w:marTop w:val="0"/>
          <w:marBottom w:val="0"/>
          <w:divBdr>
            <w:top w:val="none" w:sz="0" w:space="0" w:color="auto"/>
            <w:left w:val="none" w:sz="0" w:space="0" w:color="auto"/>
            <w:bottom w:val="none" w:sz="0" w:space="0" w:color="auto"/>
            <w:right w:val="none" w:sz="0" w:space="0" w:color="auto"/>
          </w:divBdr>
        </w:div>
      </w:divsChild>
    </w:div>
    <w:div w:id="1706444671">
      <w:marLeft w:val="0"/>
      <w:marRight w:val="0"/>
      <w:marTop w:val="0"/>
      <w:marBottom w:val="0"/>
      <w:divBdr>
        <w:top w:val="none" w:sz="0" w:space="0" w:color="auto"/>
        <w:left w:val="none" w:sz="0" w:space="0" w:color="auto"/>
        <w:bottom w:val="none" w:sz="0" w:space="0" w:color="auto"/>
        <w:right w:val="none" w:sz="0" w:space="0" w:color="auto"/>
      </w:divBdr>
    </w:div>
    <w:div w:id="1722821721">
      <w:marLeft w:val="0"/>
      <w:marRight w:val="0"/>
      <w:marTop w:val="0"/>
      <w:marBottom w:val="0"/>
      <w:divBdr>
        <w:top w:val="none" w:sz="0" w:space="0" w:color="auto"/>
        <w:left w:val="none" w:sz="0" w:space="0" w:color="auto"/>
        <w:bottom w:val="none" w:sz="0" w:space="0" w:color="auto"/>
        <w:right w:val="none" w:sz="0" w:space="0" w:color="auto"/>
      </w:divBdr>
    </w:div>
    <w:div w:id="1723677433">
      <w:marLeft w:val="0"/>
      <w:marRight w:val="0"/>
      <w:marTop w:val="0"/>
      <w:marBottom w:val="0"/>
      <w:divBdr>
        <w:top w:val="none" w:sz="0" w:space="0" w:color="auto"/>
        <w:left w:val="none" w:sz="0" w:space="0" w:color="auto"/>
        <w:bottom w:val="none" w:sz="0" w:space="0" w:color="auto"/>
        <w:right w:val="none" w:sz="0" w:space="0" w:color="auto"/>
      </w:divBdr>
    </w:div>
    <w:div w:id="1733849392">
      <w:marLeft w:val="0"/>
      <w:marRight w:val="0"/>
      <w:marTop w:val="0"/>
      <w:marBottom w:val="0"/>
      <w:divBdr>
        <w:top w:val="none" w:sz="0" w:space="0" w:color="auto"/>
        <w:left w:val="none" w:sz="0" w:space="0" w:color="auto"/>
        <w:bottom w:val="none" w:sz="0" w:space="0" w:color="auto"/>
        <w:right w:val="none" w:sz="0" w:space="0" w:color="auto"/>
      </w:divBdr>
    </w:div>
    <w:div w:id="1735933535">
      <w:marLeft w:val="0"/>
      <w:marRight w:val="0"/>
      <w:marTop w:val="0"/>
      <w:marBottom w:val="0"/>
      <w:divBdr>
        <w:top w:val="none" w:sz="0" w:space="0" w:color="auto"/>
        <w:left w:val="none" w:sz="0" w:space="0" w:color="auto"/>
        <w:bottom w:val="none" w:sz="0" w:space="0" w:color="auto"/>
        <w:right w:val="none" w:sz="0" w:space="0" w:color="auto"/>
      </w:divBdr>
    </w:div>
    <w:div w:id="1739550682">
      <w:marLeft w:val="0"/>
      <w:marRight w:val="0"/>
      <w:marTop w:val="0"/>
      <w:marBottom w:val="0"/>
      <w:divBdr>
        <w:top w:val="none" w:sz="0" w:space="0" w:color="auto"/>
        <w:left w:val="none" w:sz="0" w:space="0" w:color="auto"/>
        <w:bottom w:val="none" w:sz="0" w:space="0" w:color="auto"/>
        <w:right w:val="none" w:sz="0" w:space="0" w:color="auto"/>
      </w:divBdr>
    </w:div>
    <w:div w:id="1741906090">
      <w:marLeft w:val="0"/>
      <w:marRight w:val="0"/>
      <w:marTop w:val="0"/>
      <w:marBottom w:val="120"/>
      <w:divBdr>
        <w:top w:val="none" w:sz="0" w:space="0" w:color="auto"/>
        <w:left w:val="none" w:sz="0" w:space="0" w:color="auto"/>
        <w:bottom w:val="none" w:sz="0" w:space="0" w:color="auto"/>
        <w:right w:val="none" w:sz="0" w:space="0" w:color="auto"/>
      </w:divBdr>
    </w:div>
    <w:div w:id="1742212749">
      <w:marLeft w:val="0"/>
      <w:marRight w:val="0"/>
      <w:marTop w:val="0"/>
      <w:marBottom w:val="0"/>
      <w:divBdr>
        <w:top w:val="none" w:sz="0" w:space="0" w:color="auto"/>
        <w:left w:val="none" w:sz="0" w:space="0" w:color="auto"/>
        <w:bottom w:val="none" w:sz="0" w:space="0" w:color="auto"/>
        <w:right w:val="none" w:sz="0" w:space="0" w:color="auto"/>
      </w:divBdr>
    </w:div>
    <w:div w:id="1743678918">
      <w:marLeft w:val="0"/>
      <w:marRight w:val="0"/>
      <w:marTop w:val="0"/>
      <w:marBottom w:val="0"/>
      <w:divBdr>
        <w:top w:val="none" w:sz="0" w:space="0" w:color="auto"/>
        <w:left w:val="none" w:sz="0" w:space="0" w:color="auto"/>
        <w:bottom w:val="none" w:sz="0" w:space="0" w:color="auto"/>
        <w:right w:val="none" w:sz="0" w:space="0" w:color="auto"/>
      </w:divBdr>
    </w:div>
    <w:div w:id="1744640117">
      <w:marLeft w:val="0"/>
      <w:marRight w:val="0"/>
      <w:marTop w:val="0"/>
      <w:marBottom w:val="0"/>
      <w:divBdr>
        <w:top w:val="none" w:sz="0" w:space="0" w:color="auto"/>
        <w:left w:val="none" w:sz="0" w:space="0" w:color="auto"/>
        <w:bottom w:val="none" w:sz="0" w:space="0" w:color="auto"/>
        <w:right w:val="none" w:sz="0" w:space="0" w:color="auto"/>
      </w:divBdr>
      <w:divsChild>
        <w:div w:id="121308246">
          <w:marLeft w:val="0"/>
          <w:marRight w:val="0"/>
          <w:marTop w:val="0"/>
          <w:marBottom w:val="0"/>
          <w:divBdr>
            <w:top w:val="none" w:sz="0" w:space="0" w:color="auto"/>
            <w:left w:val="none" w:sz="0" w:space="0" w:color="auto"/>
            <w:bottom w:val="none" w:sz="0" w:space="0" w:color="auto"/>
            <w:right w:val="none" w:sz="0" w:space="0" w:color="auto"/>
          </w:divBdr>
        </w:div>
      </w:divsChild>
    </w:div>
    <w:div w:id="1777673267">
      <w:marLeft w:val="0"/>
      <w:marRight w:val="0"/>
      <w:marTop w:val="0"/>
      <w:marBottom w:val="120"/>
      <w:divBdr>
        <w:top w:val="none" w:sz="0" w:space="0" w:color="auto"/>
        <w:left w:val="none" w:sz="0" w:space="0" w:color="auto"/>
        <w:bottom w:val="none" w:sz="0" w:space="0" w:color="auto"/>
        <w:right w:val="none" w:sz="0" w:space="0" w:color="auto"/>
      </w:divBdr>
    </w:div>
    <w:div w:id="1783911729">
      <w:marLeft w:val="0"/>
      <w:marRight w:val="0"/>
      <w:marTop w:val="0"/>
      <w:marBottom w:val="0"/>
      <w:divBdr>
        <w:top w:val="none" w:sz="0" w:space="0" w:color="auto"/>
        <w:left w:val="none" w:sz="0" w:space="0" w:color="auto"/>
        <w:bottom w:val="none" w:sz="0" w:space="0" w:color="auto"/>
        <w:right w:val="none" w:sz="0" w:space="0" w:color="auto"/>
      </w:divBdr>
    </w:div>
    <w:div w:id="1787574696">
      <w:marLeft w:val="0"/>
      <w:marRight w:val="0"/>
      <w:marTop w:val="120"/>
      <w:marBottom w:val="120"/>
      <w:divBdr>
        <w:top w:val="none" w:sz="0" w:space="0" w:color="auto"/>
        <w:left w:val="none" w:sz="0" w:space="0" w:color="auto"/>
        <w:bottom w:val="none" w:sz="0" w:space="0" w:color="auto"/>
        <w:right w:val="none" w:sz="0" w:space="0" w:color="auto"/>
      </w:divBdr>
    </w:div>
    <w:div w:id="1801993023">
      <w:marLeft w:val="0"/>
      <w:marRight w:val="0"/>
      <w:marTop w:val="0"/>
      <w:marBottom w:val="120"/>
      <w:divBdr>
        <w:top w:val="none" w:sz="0" w:space="0" w:color="auto"/>
        <w:left w:val="none" w:sz="0" w:space="0" w:color="auto"/>
        <w:bottom w:val="none" w:sz="0" w:space="0" w:color="auto"/>
        <w:right w:val="none" w:sz="0" w:space="0" w:color="auto"/>
      </w:divBdr>
    </w:div>
    <w:div w:id="1802844125">
      <w:marLeft w:val="0"/>
      <w:marRight w:val="0"/>
      <w:marTop w:val="0"/>
      <w:marBottom w:val="0"/>
      <w:divBdr>
        <w:top w:val="none" w:sz="0" w:space="0" w:color="auto"/>
        <w:left w:val="none" w:sz="0" w:space="0" w:color="auto"/>
        <w:bottom w:val="none" w:sz="0" w:space="0" w:color="auto"/>
        <w:right w:val="none" w:sz="0" w:space="0" w:color="auto"/>
      </w:divBdr>
    </w:div>
    <w:div w:id="1804617002">
      <w:marLeft w:val="0"/>
      <w:marRight w:val="0"/>
      <w:marTop w:val="0"/>
      <w:marBottom w:val="0"/>
      <w:divBdr>
        <w:top w:val="none" w:sz="0" w:space="0" w:color="auto"/>
        <w:left w:val="none" w:sz="0" w:space="0" w:color="auto"/>
        <w:bottom w:val="none" w:sz="0" w:space="0" w:color="auto"/>
        <w:right w:val="none" w:sz="0" w:space="0" w:color="auto"/>
      </w:divBdr>
      <w:divsChild>
        <w:div w:id="982008099">
          <w:marLeft w:val="0"/>
          <w:marRight w:val="0"/>
          <w:marTop w:val="0"/>
          <w:marBottom w:val="0"/>
          <w:divBdr>
            <w:top w:val="none" w:sz="0" w:space="0" w:color="auto"/>
            <w:left w:val="none" w:sz="0" w:space="0" w:color="auto"/>
            <w:bottom w:val="none" w:sz="0" w:space="0" w:color="auto"/>
            <w:right w:val="none" w:sz="0" w:space="0" w:color="auto"/>
          </w:divBdr>
          <w:divsChild>
            <w:div w:id="182065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34285">
      <w:marLeft w:val="0"/>
      <w:marRight w:val="0"/>
      <w:marTop w:val="0"/>
      <w:marBottom w:val="120"/>
      <w:divBdr>
        <w:top w:val="none" w:sz="0" w:space="0" w:color="auto"/>
        <w:left w:val="none" w:sz="0" w:space="0" w:color="auto"/>
        <w:bottom w:val="none" w:sz="0" w:space="0" w:color="auto"/>
        <w:right w:val="none" w:sz="0" w:space="0" w:color="auto"/>
      </w:divBdr>
      <w:divsChild>
        <w:div w:id="388847438">
          <w:marLeft w:val="0"/>
          <w:marRight w:val="0"/>
          <w:marTop w:val="0"/>
          <w:marBottom w:val="0"/>
          <w:divBdr>
            <w:top w:val="none" w:sz="0" w:space="0" w:color="auto"/>
            <w:left w:val="none" w:sz="0" w:space="0" w:color="auto"/>
            <w:bottom w:val="none" w:sz="0" w:space="0" w:color="auto"/>
            <w:right w:val="none" w:sz="0" w:space="0" w:color="auto"/>
          </w:divBdr>
        </w:div>
        <w:div w:id="2020933842">
          <w:marLeft w:val="0"/>
          <w:marRight w:val="0"/>
          <w:marTop w:val="0"/>
          <w:marBottom w:val="0"/>
          <w:divBdr>
            <w:top w:val="none" w:sz="0" w:space="0" w:color="auto"/>
            <w:left w:val="none" w:sz="0" w:space="0" w:color="auto"/>
            <w:bottom w:val="none" w:sz="0" w:space="0" w:color="auto"/>
            <w:right w:val="none" w:sz="0" w:space="0" w:color="auto"/>
          </w:divBdr>
        </w:div>
      </w:divsChild>
    </w:div>
    <w:div w:id="1815491638">
      <w:marLeft w:val="0"/>
      <w:marRight w:val="0"/>
      <w:marTop w:val="0"/>
      <w:marBottom w:val="0"/>
      <w:divBdr>
        <w:top w:val="none" w:sz="0" w:space="0" w:color="auto"/>
        <w:left w:val="none" w:sz="0" w:space="0" w:color="auto"/>
        <w:bottom w:val="none" w:sz="0" w:space="0" w:color="auto"/>
        <w:right w:val="none" w:sz="0" w:space="0" w:color="auto"/>
      </w:divBdr>
    </w:div>
    <w:div w:id="1830244629">
      <w:marLeft w:val="0"/>
      <w:marRight w:val="0"/>
      <w:marTop w:val="0"/>
      <w:marBottom w:val="0"/>
      <w:divBdr>
        <w:top w:val="none" w:sz="0" w:space="0" w:color="auto"/>
        <w:left w:val="none" w:sz="0" w:space="0" w:color="auto"/>
        <w:bottom w:val="none" w:sz="0" w:space="0" w:color="auto"/>
        <w:right w:val="none" w:sz="0" w:space="0" w:color="auto"/>
      </w:divBdr>
      <w:divsChild>
        <w:div w:id="1828783324">
          <w:marLeft w:val="0"/>
          <w:marRight w:val="0"/>
          <w:marTop w:val="0"/>
          <w:marBottom w:val="0"/>
          <w:divBdr>
            <w:top w:val="none" w:sz="0" w:space="0" w:color="auto"/>
            <w:left w:val="none" w:sz="0" w:space="0" w:color="auto"/>
            <w:bottom w:val="none" w:sz="0" w:space="0" w:color="auto"/>
            <w:right w:val="none" w:sz="0" w:space="0" w:color="auto"/>
          </w:divBdr>
        </w:div>
      </w:divsChild>
    </w:div>
    <w:div w:id="1831561904">
      <w:marLeft w:val="0"/>
      <w:marRight w:val="0"/>
      <w:marTop w:val="0"/>
      <w:marBottom w:val="0"/>
      <w:divBdr>
        <w:top w:val="none" w:sz="0" w:space="0" w:color="auto"/>
        <w:left w:val="none" w:sz="0" w:space="0" w:color="auto"/>
        <w:bottom w:val="none" w:sz="0" w:space="0" w:color="auto"/>
        <w:right w:val="none" w:sz="0" w:space="0" w:color="auto"/>
      </w:divBdr>
      <w:divsChild>
        <w:div w:id="516969507">
          <w:marLeft w:val="0"/>
          <w:marRight w:val="0"/>
          <w:marTop w:val="0"/>
          <w:marBottom w:val="0"/>
          <w:divBdr>
            <w:top w:val="none" w:sz="0" w:space="0" w:color="auto"/>
            <w:left w:val="none" w:sz="0" w:space="0" w:color="auto"/>
            <w:bottom w:val="none" w:sz="0" w:space="0" w:color="auto"/>
            <w:right w:val="none" w:sz="0" w:space="0" w:color="auto"/>
          </w:divBdr>
        </w:div>
      </w:divsChild>
    </w:div>
    <w:div w:id="1851989998">
      <w:marLeft w:val="0"/>
      <w:marRight w:val="0"/>
      <w:marTop w:val="0"/>
      <w:marBottom w:val="0"/>
      <w:divBdr>
        <w:top w:val="none" w:sz="0" w:space="0" w:color="auto"/>
        <w:left w:val="none" w:sz="0" w:space="0" w:color="auto"/>
        <w:bottom w:val="none" w:sz="0" w:space="0" w:color="auto"/>
        <w:right w:val="none" w:sz="0" w:space="0" w:color="auto"/>
      </w:divBdr>
    </w:div>
    <w:div w:id="1855340209">
      <w:marLeft w:val="0"/>
      <w:marRight w:val="0"/>
      <w:marTop w:val="0"/>
      <w:marBottom w:val="0"/>
      <w:divBdr>
        <w:top w:val="none" w:sz="0" w:space="0" w:color="auto"/>
        <w:left w:val="none" w:sz="0" w:space="0" w:color="auto"/>
        <w:bottom w:val="none" w:sz="0" w:space="0" w:color="auto"/>
        <w:right w:val="none" w:sz="0" w:space="0" w:color="auto"/>
      </w:divBdr>
      <w:divsChild>
        <w:div w:id="652759432">
          <w:marLeft w:val="0"/>
          <w:marRight w:val="0"/>
          <w:marTop w:val="0"/>
          <w:marBottom w:val="0"/>
          <w:divBdr>
            <w:top w:val="none" w:sz="0" w:space="0" w:color="auto"/>
            <w:left w:val="none" w:sz="0" w:space="0" w:color="auto"/>
            <w:bottom w:val="none" w:sz="0" w:space="0" w:color="auto"/>
            <w:right w:val="none" w:sz="0" w:space="0" w:color="auto"/>
          </w:divBdr>
        </w:div>
      </w:divsChild>
    </w:div>
    <w:div w:id="1871795436">
      <w:marLeft w:val="0"/>
      <w:marRight w:val="0"/>
      <w:marTop w:val="0"/>
      <w:marBottom w:val="0"/>
      <w:divBdr>
        <w:top w:val="none" w:sz="0" w:space="0" w:color="auto"/>
        <w:left w:val="none" w:sz="0" w:space="0" w:color="auto"/>
        <w:bottom w:val="none" w:sz="0" w:space="0" w:color="auto"/>
        <w:right w:val="none" w:sz="0" w:space="0" w:color="auto"/>
      </w:divBdr>
    </w:div>
    <w:div w:id="1890263171">
      <w:marLeft w:val="0"/>
      <w:marRight w:val="0"/>
      <w:marTop w:val="0"/>
      <w:marBottom w:val="0"/>
      <w:divBdr>
        <w:top w:val="none" w:sz="0" w:space="0" w:color="auto"/>
        <w:left w:val="none" w:sz="0" w:space="0" w:color="auto"/>
        <w:bottom w:val="none" w:sz="0" w:space="0" w:color="auto"/>
        <w:right w:val="none" w:sz="0" w:space="0" w:color="auto"/>
      </w:divBdr>
    </w:div>
    <w:div w:id="1904214391">
      <w:marLeft w:val="0"/>
      <w:marRight w:val="0"/>
      <w:marTop w:val="0"/>
      <w:marBottom w:val="0"/>
      <w:divBdr>
        <w:top w:val="none" w:sz="0" w:space="0" w:color="auto"/>
        <w:left w:val="none" w:sz="0" w:space="0" w:color="auto"/>
        <w:bottom w:val="none" w:sz="0" w:space="0" w:color="auto"/>
        <w:right w:val="none" w:sz="0" w:space="0" w:color="auto"/>
      </w:divBdr>
    </w:div>
    <w:div w:id="1904489794">
      <w:marLeft w:val="0"/>
      <w:marRight w:val="0"/>
      <w:marTop w:val="0"/>
      <w:marBottom w:val="0"/>
      <w:divBdr>
        <w:top w:val="none" w:sz="0" w:space="0" w:color="auto"/>
        <w:left w:val="none" w:sz="0" w:space="0" w:color="auto"/>
        <w:bottom w:val="none" w:sz="0" w:space="0" w:color="auto"/>
        <w:right w:val="none" w:sz="0" w:space="0" w:color="auto"/>
      </w:divBdr>
    </w:div>
    <w:div w:id="1923219954">
      <w:marLeft w:val="0"/>
      <w:marRight w:val="0"/>
      <w:marTop w:val="0"/>
      <w:marBottom w:val="0"/>
      <w:divBdr>
        <w:top w:val="none" w:sz="0" w:space="0" w:color="auto"/>
        <w:left w:val="none" w:sz="0" w:space="0" w:color="auto"/>
        <w:bottom w:val="none" w:sz="0" w:space="0" w:color="auto"/>
        <w:right w:val="none" w:sz="0" w:space="0" w:color="auto"/>
      </w:divBdr>
    </w:div>
    <w:div w:id="1924295751">
      <w:marLeft w:val="0"/>
      <w:marRight w:val="0"/>
      <w:marTop w:val="0"/>
      <w:marBottom w:val="0"/>
      <w:divBdr>
        <w:top w:val="none" w:sz="0" w:space="0" w:color="auto"/>
        <w:left w:val="none" w:sz="0" w:space="0" w:color="auto"/>
        <w:bottom w:val="none" w:sz="0" w:space="0" w:color="auto"/>
        <w:right w:val="none" w:sz="0" w:space="0" w:color="auto"/>
      </w:divBdr>
      <w:divsChild>
        <w:div w:id="1790858145">
          <w:marLeft w:val="0"/>
          <w:marRight w:val="0"/>
          <w:marTop w:val="0"/>
          <w:marBottom w:val="0"/>
          <w:divBdr>
            <w:top w:val="none" w:sz="0" w:space="0" w:color="auto"/>
            <w:left w:val="none" w:sz="0" w:space="0" w:color="auto"/>
            <w:bottom w:val="none" w:sz="0" w:space="0" w:color="auto"/>
            <w:right w:val="none" w:sz="0" w:space="0" w:color="auto"/>
          </w:divBdr>
        </w:div>
      </w:divsChild>
    </w:div>
    <w:div w:id="1931741103">
      <w:marLeft w:val="0"/>
      <w:marRight w:val="0"/>
      <w:marTop w:val="0"/>
      <w:marBottom w:val="0"/>
      <w:divBdr>
        <w:top w:val="none" w:sz="0" w:space="0" w:color="auto"/>
        <w:left w:val="none" w:sz="0" w:space="0" w:color="auto"/>
        <w:bottom w:val="none" w:sz="0" w:space="0" w:color="auto"/>
        <w:right w:val="none" w:sz="0" w:space="0" w:color="auto"/>
      </w:divBdr>
    </w:div>
    <w:div w:id="1940796697">
      <w:marLeft w:val="0"/>
      <w:marRight w:val="0"/>
      <w:marTop w:val="0"/>
      <w:marBottom w:val="120"/>
      <w:divBdr>
        <w:top w:val="none" w:sz="0" w:space="0" w:color="auto"/>
        <w:left w:val="none" w:sz="0" w:space="0" w:color="auto"/>
        <w:bottom w:val="none" w:sz="0" w:space="0" w:color="auto"/>
        <w:right w:val="none" w:sz="0" w:space="0" w:color="auto"/>
      </w:divBdr>
      <w:divsChild>
        <w:div w:id="1840541796">
          <w:marLeft w:val="0"/>
          <w:marRight w:val="0"/>
          <w:marTop w:val="0"/>
          <w:marBottom w:val="0"/>
          <w:divBdr>
            <w:top w:val="none" w:sz="0" w:space="0" w:color="auto"/>
            <w:left w:val="none" w:sz="0" w:space="0" w:color="auto"/>
            <w:bottom w:val="none" w:sz="0" w:space="0" w:color="auto"/>
            <w:right w:val="none" w:sz="0" w:space="0" w:color="auto"/>
          </w:divBdr>
        </w:div>
        <w:div w:id="1119566873">
          <w:marLeft w:val="0"/>
          <w:marRight w:val="0"/>
          <w:marTop w:val="0"/>
          <w:marBottom w:val="0"/>
          <w:divBdr>
            <w:top w:val="none" w:sz="0" w:space="0" w:color="auto"/>
            <w:left w:val="none" w:sz="0" w:space="0" w:color="auto"/>
            <w:bottom w:val="none" w:sz="0" w:space="0" w:color="auto"/>
            <w:right w:val="none" w:sz="0" w:space="0" w:color="auto"/>
          </w:divBdr>
        </w:div>
        <w:div w:id="676927024">
          <w:marLeft w:val="0"/>
          <w:marRight w:val="0"/>
          <w:marTop w:val="0"/>
          <w:marBottom w:val="0"/>
          <w:divBdr>
            <w:top w:val="none" w:sz="0" w:space="0" w:color="auto"/>
            <w:left w:val="none" w:sz="0" w:space="0" w:color="auto"/>
            <w:bottom w:val="none" w:sz="0" w:space="0" w:color="auto"/>
            <w:right w:val="none" w:sz="0" w:space="0" w:color="auto"/>
          </w:divBdr>
        </w:div>
        <w:div w:id="1122648436">
          <w:marLeft w:val="0"/>
          <w:marRight w:val="0"/>
          <w:marTop w:val="0"/>
          <w:marBottom w:val="0"/>
          <w:divBdr>
            <w:top w:val="none" w:sz="0" w:space="0" w:color="auto"/>
            <w:left w:val="none" w:sz="0" w:space="0" w:color="auto"/>
            <w:bottom w:val="none" w:sz="0" w:space="0" w:color="auto"/>
            <w:right w:val="none" w:sz="0" w:space="0" w:color="auto"/>
          </w:divBdr>
        </w:div>
        <w:div w:id="413892036">
          <w:marLeft w:val="0"/>
          <w:marRight w:val="0"/>
          <w:marTop w:val="0"/>
          <w:marBottom w:val="0"/>
          <w:divBdr>
            <w:top w:val="none" w:sz="0" w:space="0" w:color="auto"/>
            <w:left w:val="none" w:sz="0" w:space="0" w:color="auto"/>
            <w:bottom w:val="none" w:sz="0" w:space="0" w:color="auto"/>
            <w:right w:val="none" w:sz="0" w:space="0" w:color="auto"/>
          </w:divBdr>
        </w:div>
        <w:div w:id="96490692">
          <w:marLeft w:val="0"/>
          <w:marRight w:val="0"/>
          <w:marTop w:val="0"/>
          <w:marBottom w:val="0"/>
          <w:divBdr>
            <w:top w:val="none" w:sz="0" w:space="0" w:color="auto"/>
            <w:left w:val="none" w:sz="0" w:space="0" w:color="auto"/>
            <w:bottom w:val="none" w:sz="0" w:space="0" w:color="auto"/>
            <w:right w:val="none" w:sz="0" w:space="0" w:color="auto"/>
          </w:divBdr>
        </w:div>
        <w:div w:id="67310633">
          <w:marLeft w:val="0"/>
          <w:marRight w:val="0"/>
          <w:marTop w:val="0"/>
          <w:marBottom w:val="0"/>
          <w:divBdr>
            <w:top w:val="none" w:sz="0" w:space="0" w:color="auto"/>
            <w:left w:val="none" w:sz="0" w:space="0" w:color="auto"/>
            <w:bottom w:val="none" w:sz="0" w:space="0" w:color="auto"/>
            <w:right w:val="none" w:sz="0" w:space="0" w:color="auto"/>
          </w:divBdr>
        </w:div>
        <w:div w:id="2091385122">
          <w:marLeft w:val="0"/>
          <w:marRight w:val="0"/>
          <w:marTop w:val="0"/>
          <w:marBottom w:val="0"/>
          <w:divBdr>
            <w:top w:val="none" w:sz="0" w:space="0" w:color="auto"/>
            <w:left w:val="none" w:sz="0" w:space="0" w:color="auto"/>
            <w:bottom w:val="none" w:sz="0" w:space="0" w:color="auto"/>
            <w:right w:val="none" w:sz="0" w:space="0" w:color="auto"/>
          </w:divBdr>
        </w:div>
      </w:divsChild>
    </w:div>
    <w:div w:id="1945991577">
      <w:marLeft w:val="0"/>
      <w:marRight w:val="0"/>
      <w:marTop w:val="0"/>
      <w:marBottom w:val="0"/>
      <w:divBdr>
        <w:top w:val="none" w:sz="0" w:space="0" w:color="auto"/>
        <w:left w:val="none" w:sz="0" w:space="0" w:color="auto"/>
        <w:bottom w:val="none" w:sz="0" w:space="0" w:color="auto"/>
        <w:right w:val="none" w:sz="0" w:space="0" w:color="auto"/>
      </w:divBdr>
    </w:div>
    <w:div w:id="1975059818">
      <w:marLeft w:val="0"/>
      <w:marRight w:val="0"/>
      <w:marTop w:val="0"/>
      <w:marBottom w:val="120"/>
      <w:divBdr>
        <w:top w:val="none" w:sz="0" w:space="0" w:color="auto"/>
        <w:left w:val="none" w:sz="0" w:space="0" w:color="auto"/>
        <w:bottom w:val="none" w:sz="0" w:space="0" w:color="auto"/>
        <w:right w:val="none" w:sz="0" w:space="0" w:color="auto"/>
      </w:divBdr>
    </w:div>
    <w:div w:id="1975912083">
      <w:marLeft w:val="0"/>
      <w:marRight w:val="0"/>
      <w:marTop w:val="0"/>
      <w:marBottom w:val="120"/>
      <w:divBdr>
        <w:top w:val="none" w:sz="0" w:space="0" w:color="auto"/>
        <w:left w:val="none" w:sz="0" w:space="0" w:color="auto"/>
        <w:bottom w:val="none" w:sz="0" w:space="0" w:color="auto"/>
        <w:right w:val="none" w:sz="0" w:space="0" w:color="auto"/>
      </w:divBdr>
    </w:div>
    <w:div w:id="1982032302">
      <w:marLeft w:val="0"/>
      <w:marRight w:val="0"/>
      <w:marTop w:val="0"/>
      <w:marBottom w:val="0"/>
      <w:divBdr>
        <w:top w:val="none" w:sz="0" w:space="0" w:color="auto"/>
        <w:left w:val="none" w:sz="0" w:space="0" w:color="auto"/>
        <w:bottom w:val="none" w:sz="0" w:space="0" w:color="auto"/>
        <w:right w:val="none" w:sz="0" w:space="0" w:color="auto"/>
      </w:divBdr>
      <w:divsChild>
        <w:div w:id="1711029152">
          <w:marLeft w:val="0"/>
          <w:marRight w:val="0"/>
          <w:marTop w:val="0"/>
          <w:marBottom w:val="0"/>
          <w:divBdr>
            <w:top w:val="none" w:sz="0" w:space="0" w:color="auto"/>
            <w:left w:val="none" w:sz="0" w:space="0" w:color="auto"/>
            <w:bottom w:val="none" w:sz="0" w:space="0" w:color="auto"/>
            <w:right w:val="none" w:sz="0" w:space="0" w:color="auto"/>
          </w:divBdr>
        </w:div>
      </w:divsChild>
    </w:div>
    <w:div w:id="1988587590">
      <w:marLeft w:val="0"/>
      <w:marRight w:val="0"/>
      <w:marTop w:val="0"/>
      <w:marBottom w:val="0"/>
      <w:divBdr>
        <w:top w:val="none" w:sz="0" w:space="0" w:color="auto"/>
        <w:left w:val="none" w:sz="0" w:space="0" w:color="auto"/>
        <w:bottom w:val="none" w:sz="0" w:space="0" w:color="auto"/>
        <w:right w:val="none" w:sz="0" w:space="0" w:color="auto"/>
      </w:divBdr>
      <w:divsChild>
        <w:div w:id="2021005377">
          <w:marLeft w:val="0"/>
          <w:marRight w:val="0"/>
          <w:marTop w:val="0"/>
          <w:marBottom w:val="0"/>
          <w:divBdr>
            <w:top w:val="none" w:sz="0" w:space="0" w:color="auto"/>
            <w:left w:val="none" w:sz="0" w:space="0" w:color="auto"/>
            <w:bottom w:val="none" w:sz="0" w:space="0" w:color="auto"/>
            <w:right w:val="none" w:sz="0" w:space="0" w:color="auto"/>
          </w:divBdr>
        </w:div>
      </w:divsChild>
    </w:div>
    <w:div w:id="1995330316">
      <w:marLeft w:val="0"/>
      <w:marRight w:val="0"/>
      <w:marTop w:val="0"/>
      <w:marBottom w:val="0"/>
      <w:divBdr>
        <w:top w:val="none" w:sz="0" w:space="0" w:color="auto"/>
        <w:left w:val="none" w:sz="0" w:space="0" w:color="auto"/>
        <w:bottom w:val="none" w:sz="0" w:space="0" w:color="auto"/>
        <w:right w:val="none" w:sz="0" w:space="0" w:color="auto"/>
      </w:divBdr>
    </w:div>
    <w:div w:id="2020348140">
      <w:marLeft w:val="0"/>
      <w:marRight w:val="0"/>
      <w:marTop w:val="0"/>
      <w:marBottom w:val="0"/>
      <w:divBdr>
        <w:top w:val="none" w:sz="0" w:space="0" w:color="auto"/>
        <w:left w:val="none" w:sz="0" w:space="0" w:color="auto"/>
        <w:bottom w:val="none" w:sz="0" w:space="0" w:color="auto"/>
        <w:right w:val="none" w:sz="0" w:space="0" w:color="auto"/>
      </w:divBdr>
    </w:div>
    <w:div w:id="2023701389">
      <w:marLeft w:val="0"/>
      <w:marRight w:val="0"/>
      <w:marTop w:val="0"/>
      <w:marBottom w:val="0"/>
      <w:divBdr>
        <w:top w:val="none" w:sz="0" w:space="0" w:color="auto"/>
        <w:left w:val="none" w:sz="0" w:space="0" w:color="auto"/>
        <w:bottom w:val="none" w:sz="0" w:space="0" w:color="auto"/>
        <w:right w:val="none" w:sz="0" w:space="0" w:color="auto"/>
      </w:divBdr>
    </w:div>
    <w:div w:id="2025277514">
      <w:marLeft w:val="0"/>
      <w:marRight w:val="0"/>
      <w:marTop w:val="0"/>
      <w:marBottom w:val="120"/>
      <w:divBdr>
        <w:top w:val="none" w:sz="0" w:space="0" w:color="auto"/>
        <w:left w:val="none" w:sz="0" w:space="0" w:color="auto"/>
        <w:bottom w:val="none" w:sz="0" w:space="0" w:color="auto"/>
        <w:right w:val="none" w:sz="0" w:space="0" w:color="auto"/>
      </w:divBdr>
    </w:div>
    <w:div w:id="2027124884">
      <w:marLeft w:val="0"/>
      <w:marRight w:val="0"/>
      <w:marTop w:val="0"/>
      <w:marBottom w:val="0"/>
      <w:divBdr>
        <w:top w:val="none" w:sz="0" w:space="0" w:color="auto"/>
        <w:left w:val="none" w:sz="0" w:space="0" w:color="auto"/>
        <w:bottom w:val="none" w:sz="0" w:space="0" w:color="auto"/>
        <w:right w:val="none" w:sz="0" w:space="0" w:color="auto"/>
      </w:divBdr>
    </w:div>
    <w:div w:id="2039693614">
      <w:marLeft w:val="0"/>
      <w:marRight w:val="0"/>
      <w:marTop w:val="0"/>
      <w:marBottom w:val="0"/>
      <w:divBdr>
        <w:top w:val="none" w:sz="0" w:space="0" w:color="auto"/>
        <w:left w:val="none" w:sz="0" w:space="0" w:color="auto"/>
        <w:bottom w:val="none" w:sz="0" w:space="0" w:color="auto"/>
        <w:right w:val="none" w:sz="0" w:space="0" w:color="auto"/>
      </w:divBdr>
    </w:div>
    <w:div w:id="2042779009">
      <w:marLeft w:val="0"/>
      <w:marRight w:val="0"/>
      <w:marTop w:val="0"/>
      <w:marBottom w:val="0"/>
      <w:divBdr>
        <w:top w:val="none" w:sz="0" w:space="0" w:color="auto"/>
        <w:left w:val="none" w:sz="0" w:space="0" w:color="auto"/>
        <w:bottom w:val="none" w:sz="0" w:space="0" w:color="auto"/>
        <w:right w:val="none" w:sz="0" w:space="0" w:color="auto"/>
      </w:divBdr>
    </w:div>
    <w:div w:id="2053187799">
      <w:marLeft w:val="0"/>
      <w:marRight w:val="0"/>
      <w:marTop w:val="0"/>
      <w:marBottom w:val="0"/>
      <w:divBdr>
        <w:top w:val="none" w:sz="0" w:space="0" w:color="auto"/>
        <w:left w:val="none" w:sz="0" w:space="0" w:color="auto"/>
        <w:bottom w:val="none" w:sz="0" w:space="0" w:color="auto"/>
        <w:right w:val="none" w:sz="0" w:space="0" w:color="auto"/>
      </w:divBdr>
    </w:div>
    <w:div w:id="2060517696">
      <w:marLeft w:val="0"/>
      <w:marRight w:val="0"/>
      <w:marTop w:val="0"/>
      <w:marBottom w:val="0"/>
      <w:divBdr>
        <w:top w:val="none" w:sz="0" w:space="0" w:color="auto"/>
        <w:left w:val="none" w:sz="0" w:space="0" w:color="auto"/>
        <w:bottom w:val="none" w:sz="0" w:space="0" w:color="auto"/>
        <w:right w:val="none" w:sz="0" w:space="0" w:color="auto"/>
      </w:divBdr>
    </w:div>
    <w:div w:id="2062629564">
      <w:marLeft w:val="0"/>
      <w:marRight w:val="0"/>
      <w:marTop w:val="0"/>
      <w:marBottom w:val="0"/>
      <w:divBdr>
        <w:top w:val="none" w:sz="0" w:space="0" w:color="auto"/>
        <w:left w:val="none" w:sz="0" w:space="0" w:color="auto"/>
        <w:bottom w:val="none" w:sz="0" w:space="0" w:color="auto"/>
        <w:right w:val="none" w:sz="0" w:space="0" w:color="auto"/>
      </w:divBdr>
      <w:divsChild>
        <w:div w:id="649595538">
          <w:marLeft w:val="0"/>
          <w:marRight w:val="0"/>
          <w:marTop w:val="0"/>
          <w:marBottom w:val="0"/>
          <w:divBdr>
            <w:top w:val="none" w:sz="0" w:space="0" w:color="auto"/>
            <w:left w:val="none" w:sz="0" w:space="0" w:color="auto"/>
            <w:bottom w:val="none" w:sz="0" w:space="0" w:color="auto"/>
            <w:right w:val="none" w:sz="0" w:space="0" w:color="auto"/>
          </w:divBdr>
        </w:div>
      </w:divsChild>
    </w:div>
    <w:div w:id="2081321939">
      <w:marLeft w:val="0"/>
      <w:marRight w:val="0"/>
      <w:marTop w:val="0"/>
      <w:marBottom w:val="0"/>
      <w:divBdr>
        <w:top w:val="none" w:sz="0" w:space="0" w:color="auto"/>
        <w:left w:val="none" w:sz="0" w:space="0" w:color="auto"/>
        <w:bottom w:val="none" w:sz="0" w:space="0" w:color="auto"/>
        <w:right w:val="none" w:sz="0" w:space="0" w:color="auto"/>
      </w:divBdr>
      <w:divsChild>
        <w:div w:id="1904900821">
          <w:marLeft w:val="0"/>
          <w:marRight w:val="0"/>
          <w:marTop w:val="0"/>
          <w:marBottom w:val="0"/>
          <w:divBdr>
            <w:top w:val="none" w:sz="0" w:space="0" w:color="auto"/>
            <w:left w:val="none" w:sz="0" w:space="0" w:color="auto"/>
            <w:bottom w:val="none" w:sz="0" w:space="0" w:color="auto"/>
            <w:right w:val="none" w:sz="0" w:space="0" w:color="auto"/>
          </w:divBdr>
        </w:div>
      </w:divsChild>
    </w:div>
    <w:div w:id="2083596288">
      <w:marLeft w:val="0"/>
      <w:marRight w:val="0"/>
      <w:marTop w:val="0"/>
      <w:marBottom w:val="120"/>
      <w:divBdr>
        <w:top w:val="none" w:sz="0" w:space="0" w:color="auto"/>
        <w:left w:val="none" w:sz="0" w:space="0" w:color="auto"/>
        <w:bottom w:val="none" w:sz="0" w:space="0" w:color="auto"/>
        <w:right w:val="none" w:sz="0" w:space="0" w:color="auto"/>
      </w:divBdr>
    </w:div>
    <w:div w:id="2109539320">
      <w:marLeft w:val="0"/>
      <w:marRight w:val="0"/>
      <w:marTop w:val="0"/>
      <w:marBottom w:val="0"/>
      <w:divBdr>
        <w:top w:val="none" w:sz="0" w:space="0" w:color="auto"/>
        <w:left w:val="none" w:sz="0" w:space="0" w:color="auto"/>
        <w:bottom w:val="none" w:sz="0" w:space="0" w:color="auto"/>
        <w:right w:val="none" w:sz="0" w:space="0" w:color="auto"/>
      </w:divBdr>
    </w:div>
    <w:div w:id="2125735584">
      <w:marLeft w:val="0"/>
      <w:marRight w:val="0"/>
      <w:marTop w:val="0"/>
      <w:marBottom w:val="0"/>
      <w:divBdr>
        <w:top w:val="none" w:sz="0" w:space="0" w:color="auto"/>
        <w:left w:val="none" w:sz="0" w:space="0" w:color="auto"/>
        <w:bottom w:val="none" w:sz="0" w:space="0" w:color="auto"/>
        <w:right w:val="none" w:sz="0" w:space="0" w:color="auto"/>
      </w:divBdr>
    </w:div>
    <w:div w:id="2134596145">
      <w:marLeft w:val="0"/>
      <w:marRight w:val="0"/>
      <w:marTop w:val="0"/>
      <w:marBottom w:val="0"/>
      <w:divBdr>
        <w:top w:val="none" w:sz="0" w:space="0" w:color="auto"/>
        <w:left w:val="none" w:sz="0" w:space="0" w:color="auto"/>
        <w:bottom w:val="none" w:sz="0" w:space="0" w:color="auto"/>
        <w:right w:val="none" w:sz="0" w:space="0" w:color="auto"/>
      </w:divBdr>
    </w:div>
    <w:div w:id="2141920761">
      <w:marLeft w:val="0"/>
      <w:marRight w:val="0"/>
      <w:marTop w:val="120"/>
      <w:marBottom w:val="120"/>
      <w:divBdr>
        <w:top w:val="none" w:sz="0" w:space="0" w:color="auto"/>
        <w:left w:val="none" w:sz="0" w:space="0" w:color="auto"/>
        <w:bottom w:val="none" w:sz="0" w:space="0" w:color="auto"/>
        <w:right w:val="none" w:sz="0" w:space="0" w:color="auto"/>
      </w:divBdr>
    </w:div>
    <w:div w:id="2143618501">
      <w:marLeft w:val="0"/>
      <w:marRight w:val="0"/>
      <w:marTop w:val="0"/>
      <w:marBottom w:val="0"/>
      <w:divBdr>
        <w:top w:val="none" w:sz="0" w:space="0" w:color="auto"/>
        <w:left w:val="none" w:sz="0" w:space="0" w:color="auto"/>
        <w:bottom w:val="none" w:sz="0" w:space="0" w:color="auto"/>
        <w:right w:val="none" w:sz="0" w:space="0" w:color="auto"/>
      </w:divBdr>
    </w:div>
    <w:div w:id="2146654557">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gov/Archives/edgar/data/916365/000091636520000083/secondamendmenttocredi.htm" TargetMode="External"/><Relationship Id="rId13" Type="http://schemas.openxmlformats.org/officeDocument/2006/relationships/hyperlink" Target="http://www.sec.gov/Archives/edgar/data/916365/000091636520000083/secondamendmenttocredi.htm" TargetMode="External"/><Relationship Id="rId18" Type="http://schemas.openxmlformats.org/officeDocument/2006/relationships/hyperlink" Target="q2202010qex321.htm" TargetMode="External"/><Relationship Id="rId3" Type="http://schemas.openxmlformats.org/officeDocument/2006/relationships/webSettings" Target="webSettings.xml"/><Relationship Id="rId7" Type="http://schemas.openxmlformats.org/officeDocument/2006/relationships/hyperlink" Target="http://www.sec.gov/Archives/edgar/data/916365/000091636520000083/secondamendmenttocredi.htm" TargetMode="External"/><Relationship Id="rId12" Type="http://schemas.openxmlformats.org/officeDocument/2006/relationships/hyperlink" Target="http://www.sec.gov/Archives/edgar/data/916365/000091636520000083/secondamendmenttocredi.htm" TargetMode="External"/><Relationship Id="rId17" Type="http://schemas.openxmlformats.org/officeDocument/2006/relationships/hyperlink" Target="q2202010qex312.htm" TargetMode="External"/><Relationship Id="rId2" Type="http://schemas.openxmlformats.org/officeDocument/2006/relationships/settings" Target="settings.xml"/><Relationship Id="rId16" Type="http://schemas.openxmlformats.org/officeDocument/2006/relationships/hyperlink" Target="q2202010qex311.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916365/000091636520000083/secondamendmenttocredi.htm" TargetMode="External"/><Relationship Id="rId11" Type="http://schemas.openxmlformats.org/officeDocument/2006/relationships/hyperlink" Target="http://www.sec.gov/Archives/edgar/data/916365/000091636520000083/secondamendmenttocredi.htm" TargetMode="External"/><Relationship Id="rId5" Type="http://schemas.openxmlformats.org/officeDocument/2006/relationships/hyperlink" Target="http://www.sec.gov/Archives/edgar/data/916365/000091636520000083/secondamendmenttocredi.htm" TargetMode="External"/><Relationship Id="rId15" Type="http://schemas.openxmlformats.org/officeDocument/2006/relationships/hyperlink" Target="http://www.sec.gov/Archives/edgar/data/916365/000091636520000083/incrementaltermloanagr.htm" TargetMode="External"/><Relationship Id="rId10" Type="http://schemas.openxmlformats.org/officeDocument/2006/relationships/hyperlink" Target="http://www.sec.gov/Archives/edgar/data/916365/000091636520000083/secondamendmenttocredi.htm" TargetMode="External"/><Relationship Id="rId19" Type="http://schemas.openxmlformats.org/officeDocument/2006/relationships/fontTable" Target="fontTable.xml"/><Relationship Id="rId4" Type="http://schemas.openxmlformats.org/officeDocument/2006/relationships/image" Target="file:///E:\projects\LLMs\new_data_collection\data_new\htm\TRACTOR%20SUPPLY%20CO\tsco-20200627_g1.jpg" TargetMode="External"/><Relationship Id="rId9" Type="http://schemas.openxmlformats.org/officeDocument/2006/relationships/hyperlink" Target="http://www.sec.gov/Archives/edgar/data/916365/000091636520000083/secondamendmenttocredi.htm" TargetMode="External"/><Relationship Id="rId14" Type="http://schemas.openxmlformats.org/officeDocument/2006/relationships/hyperlink" Target="http://www.sec.gov/Archives/edgar/data/916365/000091636520000083/secondamendmenttocredi.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19304</Words>
  <Characters>110035</Characters>
  <Application>Microsoft Office Word</Application>
  <DocSecurity>0</DocSecurity>
  <Lines>916</Lines>
  <Paragraphs>258</Paragraphs>
  <ScaleCrop>false</ScaleCrop>
  <Company/>
  <LinksUpToDate>false</LinksUpToDate>
  <CharactersWithSpaces>129081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tsco-20200627</dc:title>
  <dc:subject/>
  <dc:creator>Chongjian.Yue</dc:creator>
  <cp:keywords/>
  <dc:description/>
  <cp:lastModifiedBy>Yue Chongjian</cp:lastModifiedBy>
  <cp:revision>1</cp:revision>
  <dcterms:created xsi:type="dcterms:W3CDTF">2024-01-04T16:02:00Z</dcterms:created>
  <dcterms:modified xsi:type="dcterms:W3CDTF">2024-01-04T16:02:00Z</dcterms:modified>
</cp:coreProperties>
</file>