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80785">
      <w:pPr>
        <w:divId w:val="730231821"/>
        <w:rPr>
          <w:rFonts w:eastAsia="Times New Roman"/>
          <w:vanish/>
        </w:rPr>
      </w:pPr>
      <w:r>
        <w:rPr>
          <w:rFonts w:eastAsia="Times New Roman"/>
          <w:vanish/>
        </w:rPr>
        <w:t>TRACTOR SUPPLY CO /DE/000091636512-262020Q310-QFALSE00009163652019-12-292020-09-26xbrli:shares00009163652020-09-26iso4217:USD00009163652019-12-2800009163652019-09-28iso4217:USDxbrli:shares00009163652020-06-282020-09-2600009163652019-06-30</w:t>
      </w:r>
      <w:r>
        <w:rPr>
          <w:rFonts w:eastAsia="Times New Roman"/>
          <w:vanish/>
        </w:rPr>
        <w:t>2019-09-2800009163652018-12-302019-09-280000916365us-gaap:CommonStockMember2019-12-280000916365us-gaap:AdditionalPaidInCapitalMember2019-12-280000916365us-gaap:TreasuryStockMember2019-12-280000916365us-gaap:AccumulatedOtherComprehensiveIncomeMember2019-12-</w:t>
      </w:r>
      <w:r>
        <w:rPr>
          <w:rFonts w:eastAsia="Times New Roman"/>
          <w:vanish/>
        </w:rPr>
        <w:t>280000916365us-gaap:RetainedEarningsMember2019-12-280000916365us-gaap:CommonStockMember2019-12-292020-03-280000916365us-gaap:AdditionalPaidInCapitalMember2019-12-292020-03-2800009163652019-12-292020-03-280000916365us-gaap:TreasuryStockMember2019-12-292020-</w:t>
      </w:r>
      <w:r>
        <w:rPr>
          <w:rFonts w:eastAsia="Times New Roman"/>
          <w:vanish/>
        </w:rPr>
        <w:t>03-280000916365us-gaap:RetainedEarningsMember2019-12-292020-03-280000916365us-gaap:AccumulatedOtherComprehensiveIncomeMember2019-12-292020-03-280000916365us-gaap:CommonStockMember2020-03-280000916365us-gaap:AdditionalPaidInCapitalMember2020-03-280000916365</w:t>
      </w:r>
      <w:r>
        <w:rPr>
          <w:rFonts w:eastAsia="Times New Roman"/>
          <w:vanish/>
        </w:rPr>
        <w:t>us-gaap:TreasuryStockMember2020-03-280000916365us-gaap:AccumulatedOtherComprehensiveIncomeMember2020-03-280000916365us-gaap:RetainedEarningsMember2020-03-2800009163652020-03-280000916365us-gaap:CommonStockMember2020-03-292020-06-270000916365us-gaap:Additio</w:t>
      </w:r>
      <w:r>
        <w:rPr>
          <w:rFonts w:eastAsia="Times New Roman"/>
          <w:vanish/>
        </w:rPr>
        <w:t>nalPaidInCapitalMember2020-03-292020-06-2700009163652020-03-292020-06-270000916365us-gaap:TreasuryStockMember2020-03-292020-06-270000916365us-gaap:RetainedEarningsMember2020-03-292020-06-270000916365us-gaap:AccumulatedOtherComprehensiveIncomeMember2020-03-</w:t>
      </w:r>
      <w:r>
        <w:rPr>
          <w:rFonts w:eastAsia="Times New Roman"/>
          <w:vanish/>
        </w:rPr>
        <w:t>292020-06-270000916365us-gaap:CommonStockMember2020-06-270000916365us-gaap:AdditionalPaidInCapitalMember2020-06-270000916365us-gaap:TreasuryStockMember2020-06-270000916365us-gaap:AccumulatedOtherComprehensiveIncomeMember2020-06-270000916365us-gaap:Retained</w:t>
      </w:r>
      <w:r>
        <w:rPr>
          <w:rFonts w:eastAsia="Times New Roman"/>
          <w:vanish/>
        </w:rPr>
        <w:t>EarningsMember2020-06-2700009163652020-06-270000916365us-gaap:CommonStockMember2020-06-282020-09-260000916365us-gaap:AdditionalPaidInCapitalMember2020-06-282020-09-260000916365us-gaap:TreasuryStockMember2020-06-282020-09-260000916365us-gaap:RetainedEarning</w:t>
      </w:r>
      <w:r>
        <w:rPr>
          <w:rFonts w:eastAsia="Times New Roman"/>
          <w:vanish/>
        </w:rPr>
        <w:t>sMember2020-06-282020-09-260000916365us-gaap:AccumulatedOtherComprehensiveIncomeMember2020-06-282020-09-260000916365us-gaap:CommonStockMember2020-09-260000916365us-gaap:AdditionalPaidInCapitalMember2020-09-260000916365us-gaap:TreasuryStockMember2020-09-260</w:t>
      </w:r>
      <w:r>
        <w:rPr>
          <w:rFonts w:eastAsia="Times New Roman"/>
          <w:vanish/>
        </w:rPr>
        <w:t>000916365us-gaap:AccumulatedOtherComprehensiveIncomeMember2020-09-260000916365us-gaap:RetainedEarningsMember2020-09-260000916365us-gaap:CommonStockMember2018-12-290000916365us-gaap:AdditionalPaidInCapitalMember2018-12-290000916365us-gaap:TreasuryStockMembe</w:t>
      </w:r>
      <w:r>
        <w:rPr>
          <w:rFonts w:eastAsia="Times New Roman"/>
          <w:vanish/>
        </w:rPr>
        <w:t>r2018-12-290000916365us-gaap:AccumulatedOtherComprehensiveIncomeMember2018-12-290000916365us-gaap:RetainedEarningsMember2018-12-2900009163652018-12-290000916365us-gaap:CommonStockMember2018-12-302019-03-300000916365us-gaap:AdditionalPaidInCapitalMember2018</w:t>
      </w:r>
      <w:r>
        <w:rPr>
          <w:rFonts w:eastAsia="Times New Roman"/>
          <w:vanish/>
        </w:rPr>
        <w:t>-12-302019-03-3000009163652018-12-302019-03-300000916365us-gaap:TreasuryStockMember2018-12-302019-03-300000916365us-gaap:RetainedEarningsMember2018-12-302019-03-300000916365us-gaap:AccumulatedOtherComprehensiveIncomeMember2018-12-302019-03-300000916365us-g</w:t>
      </w:r>
      <w:r>
        <w:rPr>
          <w:rFonts w:eastAsia="Times New Roman"/>
          <w:vanish/>
        </w:rPr>
        <w:t>aap:CommonStockMember2019-03-300000916365us-gaap:AdditionalPaidInCapitalMember2019-03-300000916365us-gaap:TreasuryStockMember2019-03-300000916365us-gaap:AccumulatedOtherComprehensiveIncomeMember2019-03-300000916365us-gaap:RetainedEarningsMember2019-03-3000</w:t>
      </w:r>
      <w:r>
        <w:rPr>
          <w:rFonts w:eastAsia="Times New Roman"/>
          <w:vanish/>
        </w:rPr>
        <w:t>009163652019-03-300000916365us-gaap:CommonStockMember2019-03-312019-06-290000916365us-gaap:AdditionalPaidInCapitalMember2019-03-312019-06-2900009163652019-03-312019-06-290000916365us-gaap:TreasuryStockMember2019-03-312019-06-290000916365us-gaap:RetainedEar</w:t>
      </w:r>
      <w:r>
        <w:rPr>
          <w:rFonts w:eastAsia="Times New Roman"/>
          <w:vanish/>
        </w:rPr>
        <w:t>ningsMember2019-03-312019-06-290000916365us-gaap:AccumulatedOtherComprehensiveIncomeMember2019-03-312019-06-290000916365us-gaap:CommonStockMember2019-06-290000916365us-gaap:AdditionalPaidInCapitalMember2019-06-290000916365us-gaap:TreasuryStockMember2019-06</w:t>
      </w:r>
      <w:r>
        <w:rPr>
          <w:rFonts w:eastAsia="Times New Roman"/>
          <w:vanish/>
        </w:rPr>
        <w:t>-290000916365us-gaap:AccumulatedOtherComprehensiveIncomeMember2019-06-290000916365us-gaap:RetainedEarningsMember2019-06-2900009163652019-06-290000916365us-gaap:CommonStockMember2019-06-302019-09-280000916365us-gaap:AdditionalPaidInCapitalMember2019-06-3020</w:t>
      </w:r>
      <w:r>
        <w:rPr>
          <w:rFonts w:eastAsia="Times New Roman"/>
          <w:vanish/>
        </w:rPr>
        <w:t>19-09-280000916365us-gaap:TreasuryStockMember2019-06-302019-09-280000916365us-gaap:RetainedEarningsMember2019-06-302019-09-280000916365us-gaap:AccumulatedOtherComprehensiveIncomeMember2019-06-302019-09-280000916365us-gaap:CommonStockMember2019-09-280000916</w:t>
      </w:r>
      <w:r>
        <w:rPr>
          <w:rFonts w:eastAsia="Times New Roman"/>
          <w:vanish/>
        </w:rPr>
        <w:t>365us-gaap:AdditionalPaidInCapitalMember2019-09-280000916365us-gaap:TreasuryStockMember2019-09-280000916365us-gaap:AccumulatedOtherComprehensiveIncomeMember2019-09-280000916365us-gaap:RetainedEarningsMember2019-09-28tsco:store0000916365srt:ParentCompanyMem</w:t>
      </w:r>
      <w:r>
        <w:rPr>
          <w:rFonts w:eastAsia="Times New Roman"/>
          <w:vanish/>
        </w:rPr>
        <w:t>ber2020-09-26tsco:state0000916365tsco:TSCOstoresDomain2020-09-260000916365tsco:PetsensestoresDomain2020-09-26xbrli:pure0000916365us-gaap:EmployeeStockOptionMember2019-12-292020-09-260000916365us-gaap:EmployeeStockOptionMember2020-09-260000916365us-gaap:Res</w:t>
      </w:r>
      <w:r>
        <w:rPr>
          <w:rFonts w:eastAsia="Times New Roman"/>
          <w:vanish/>
        </w:rPr>
        <w:t>trictedStockUnitsRSUMember2019-12-292020-09-260000916365us-gaap:PerformanceSharesMember2019-12-292020-09-260000916365tsco:RestrictedStockUnitsandPerformanceBasedRestrictedShareUnitsMember2019-12-292020-09-260000916365tsco:RestrictedStockUnitsandPerformance</w:t>
      </w:r>
      <w:r>
        <w:rPr>
          <w:rFonts w:eastAsia="Times New Roman"/>
          <w:vanish/>
        </w:rPr>
        <w:t>BasedRestrictedShareUnitsMember2020-09-260000916365tsco:February2016TermLoanMember2020-09-260000916365tsco:February2016TermLoanMember2019-12-280000916365tsco:February2016TermLoanMember2019-09-280000916365tsco:June2017TermLoanMember2020-09-260000916365tsco:</w:t>
      </w:r>
      <w:r>
        <w:rPr>
          <w:rFonts w:eastAsia="Times New Roman"/>
          <w:vanish/>
        </w:rPr>
        <w:t>June2017TermLoanMember2019-12-280000916365tsco:June2017TermLoanMember2019-09-280000916365tsco:March2020TermLoanMember2020-09-260000916365tsco:March2020TermLoanMember2019-12-280000916365tsco:March2020TermLoanMember2019-09-280000916365tsco:April2020TermLoanM</w:t>
      </w:r>
      <w:r>
        <w:rPr>
          <w:rFonts w:eastAsia="Times New Roman"/>
          <w:vanish/>
        </w:rPr>
        <w:t>ember2020-09-260000916365tsco:April2020TermLoanMember2019-12-280000916365tsco:April2020TermLoanMember2019-09-280000916365tsco:A2016SeniorCreditFacilityMember2020-06-282020-09-260000916365tsco:A2016SeniorCreditFacilityMember2019-12-292020-06-270000916365tsc</w:t>
      </w:r>
      <w:r>
        <w:rPr>
          <w:rFonts w:eastAsia="Times New Roman"/>
          <w:vanish/>
        </w:rPr>
        <w:t>o:A2016SeniorCreditFacilityMember2019-06-302019-09-2800009163652017-08-1400009163652016-02-1900009163652016-02-192016-02-190000916365us-gaap:BaseRateMember2020-09-260000916365us-gaap:LondonInterbankOfferedRateLIBORMember2020-09-260000916365srt:MinimumMembe</w:t>
      </w:r>
      <w:r>
        <w:rPr>
          <w:rFonts w:eastAsia="Times New Roman"/>
          <w:vanish/>
        </w:rPr>
        <w:t>r2020-06-282020-09-260000916365srt:MaximumMember2020-06-282020-09-2600009163652019-09-282019-09-280000916365tsco:February2016TermLoanMember2016-02-192016-02-190000916365tsco:DueinyearsoneandtwoFebruary2016TermLoanMember2019-12-292020-09-260000916365tsco:Du</w:t>
      </w:r>
      <w:r>
        <w:rPr>
          <w:rFonts w:eastAsia="Times New Roman"/>
          <w:vanish/>
        </w:rPr>
        <w:t>einyearsthreethroughfiveFebruary2016TermLoanMember2019-12-292020-09-260000916365tsco:June2017TermLoanMember2017-06-152017-06-150000916365tsco:DueinyearsoneandtwoJune2017TermLoanMember2020-06-282020-09-260000916365tsco:DueinyearsthreethroughfiveJune2017Term</w:t>
      </w:r>
      <w:r>
        <w:rPr>
          <w:rFonts w:eastAsia="Times New Roman"/>
          <w:vanish/>
        </w:rPr>
        <w:t>LoanMemberMember2020-06-282020-09-260000916365tsco:March2020TermLoanMember2020-03-122020-03-120000916365tsco:March2020TermLoanMember2020-06-282020-09-260000916365tsco:April2020TermLoanMember2019-12-292020-09-260000916365tsco:April2020TermLoanMember2020-03-</w:t>
      </w:r>
      <w:r>
        <w:rPr>
          <w:rFonts w:eastAsia="Times New Roman"/>
          <w:vanish/>
        </w:rPr>
        <w:t>122020-03-120000916365tsco:April2020TermLoanMinimumMember2020-06-282020-09-260000916365tsco:April2020TermLoanMaximumMember2020-06-282020-09-260000916365tsco:April2020TermLoanMember2020-06-282020-09-260000916365tsco:April2020TermLoanAdditionalMinimumMember2</w:t>
      </w:r>
      <w:r>
        <w:rPr>
          <w:rFonts w:eastAsia="Times New Roman"/>
          <w:vanish/>
        </w:rPr>
        <w:t>020-06-282020-09-260000916365tsco:April2020TermLoanAdditionalMaximumMember2020-06-282020-09-260000916365tsco:April2020TermLoanMember2020-09-260000916365tsco:NumberofFinancialCovenantsMember2020-06-282020-09-260000916365tsco:FixedChargeCoverageRatioMinimumR</w:t>
      </w:r>
      <w:r>
        <w:rPr>
          <w:rFonts w:eastAsia="Times New Roman"/>
          <w:vanish/>
        </w:rPr>
        <w:t>equirementMember2020-06-282020-09-260000916365tsco:LeverageRatioMaximumRequirementMember2020-06-282020-09-2600009163652020-10-162020-10-160000916365tsco:February2016TermLoanMember2016-03-312016-03-310000916365tsco:February2016TermLoanMember2020-06-282020-0</w:t>
      </w:r>
      <w:r>
        <w:rPr>
          <w:rFonts w:eastAsia="Times New Roman"/>
          <w:vanish/>
        </w:rPr>
        <w:t>9-260000916365tsco:February2016TermLoanMember2016-03-310000916365tsco:June2017TermLoanMember2017-06-302017-06-300000916365tsco:June2017TermLoanMember2020-06-282020-09-260000916365tsco:June2017TermLoanMember2017-06-300000916365tsco:March2020TermLoanMember20</w:t>
      </w:r>
      <w:r>
        <w:rPr>
          <w:rFonts w:eastAsia="Times New Roman"/>
          <w:vanish/>
        </w:rPr>
        <w:t>20-03-182020-03-180000916365tsco:March2020TermLoanMember2020-06-282020-09-260000916365tsco:March2020TermLoanMember2020-09-260000916365tsco:InterestRateSwapAssetPortionMember2020-09-260000916365tsco:InterestRateSwapAssetPortionMember2019-12-280000916365tsco</w:t>
      </w:r>
      <w:r>
        <w:rPr>
          <w:rFonts w:eastAsia="Times New Roman"/>
          <w:vanish/>
        </w:rPr>
        <w:t>:InterestRateSwapAssetPortionMember2019-09-280000916365tsco:InterestRateSwapLiabilityPortionMember2020-09-260000916365tsco:InterestRateSwapLiabilityPortionMember2019-12-280000916365tsco:InterestRateSwapLiabilityPortionMember2019-09-280000916365tsco:Beginni</w:t>
      </w:r>
      <w:r>
        <w:rPr>
          <w:rFonts w:eastAsia="Times New Roman"/>
          <w:vanish/>
        </w:rPr>
        <w:t>ngBalanceMember2019-12-280000916365tsco:BeginningBalanceMember2018-12-290000916365us-gaap:OtherComprehensiveIncomeMember2019-12-292020-09-260000916365us-gaap:OtherComprehensiveIncomeMember2019-12-292020-03-280000916365us-gaap:OtherComprehensiveIncomeMember</w:t>
      </w:r>
      <w:r>
        <w:rPr>
          <w:rFonts w:eastAsia="Times New Roman"/>
          <w:vanish/>
        </w:rPr>
        <w:t>2018-12-302019-09-280000916365us-gaap:AccountingStandardsUpdate201712Member2019-12-292020-09-260000916365us-gaap:AccountingStandardsUpdate201712Member2019-12-292020-03-280000916365us-gaap:AccountingStandardsUpdate201712Member2018-12-302019-09-280000916365t</w:t>
      </w:r>
      <w:r>
        <w:rPr>
          <w:rFonts w:eastAsia="Times New Roman"/>
          <w:vanish/>
        </w:rPr>
        <w:t>sco:OtherComprehensiveIncomeLossNetofTaxMember2019-12-292020-09-260000916365tsco:OtherComprehensiveIncomeLossNetofTaxMember2019-12-292020-03-280000916365tsco:OtherComprehensiveIncomeLossNetofTaxMember2018-12-302019-09-280000916365tsco:AOCIEndingBalanceMemb</w:t>
      </w:r>
      <w:r>
        <w:rPr>
          <w:rFonts w:eastAsia="Times New Roman"/>
          <w:vanish/>
        </w:rPr>
        <w:t>er2020-09-260000916365tsco:AOCIEndingBalanceMember2019-12-280000916365tsco:AOCIEndingBalanceMember2019-09-2800009163652020-08-052020-08-0500009163652020-05-062020-05-0600009163652020-02-052020-02-0500009163652019-08-072019-08-0700009163652019-05-082019-05-</w:t>
      </w:r>
      <w:r>
        <w:rPr>
          <w:rFonts w:eastAsia="Times New Roman"/>
          <w:vanish/>
        </w:rPr>
        <w:t>0800009163652019-02-062019-02-06tsco:segment0000916365tsco:LivestockAndPetMember2020-06-282020-09-260000916365tsco:LivestockAndPetMember2019-06-302019-09-280000916365tsco:LivestockAndPetMember2019-12-292020-09-260000916365tsco:LivestockAndPetMember2018-12-</w:t>
      </w:r>
      <w:r>
        <w:rPr>
          <w:rFonts w:eastAsia="Times New Roman"/>
          <w:vanish/>
        </w:rPr>
        <w:t>302019-09-280000916365tsco:HardwareToolsAndTruckMember2020-06-282020-09-260000916365tsco:HardwareToolsAndTruckMember2019-06-302019-09-280000916365tsco:HardwareToolsAndTruckMember2019-12-292020-09-260000916365tsco:HardwareToolsAndTruckMember2018-12-302019-0</w:t>
      </w:r>
      <w:r>
        <w:rPr>
          <w:rFonts w:eastAsia="Times New Roman"/>
          <w:vanish/>
        </w:rPr>
        <w:t>9-280000916365tsco:SeasonalGiftAndToyProductsMember2020-06-282020-09-260000916365tsco:SeasonalGiftAndToyProductsMember2019-06-302019-09-280000916365tsco:SeasonalGiftAndToyProductsMember2019-12-292020-09-260000916365tsco:SeasonalGiftAndToyProductsMember2018</w:t>
      </w:r>
      <w:r>
        <w:rPr>
          <w:rFonts w:eastAsia="Times New Roman"/>
          <w:vanish/>
        </w:rPr>
        <w:t>-12-302019-09-280000916365tsco:ClothingAndFootwareMember2020-06-282020-09-260000916365tsco:ClothingAndFootwareMember2019-06-302019-09-280000916365tsco:ClothingAndFootwareMember2019-12-292020-09-260000916365tsco:ClothingAndFootwareMember2018-12-302019-09-28</w:t>
      </w:r>
      <w:r>
        <w:rPr>
          <w:rFonts w:eastAsia="Times New Roman"/>
          <w:vanish/>
        </w:rPr>
        <w:t>0000916365tsco:AgricultureMember2020-06-282020-09-260000916365tsco:AgricultureMember2019-06-302019-09-280000916365tsco:AgricultureMember2019-12-292020-09-260000916365tsco:AgricultureMember2018-12-302019-09-280000916365tsco:TotalMember2020-06-282020-09-2600</w:t>
      </w:r>
      <w:r>
        <w:rPr>
          <w:rFonts w:eastAsia="Times New Roman"/>
          <w:vanish/>
        </w:rPr>
        <w:t>00916365tsco:TotalMember2019-06-302019-09-280000916365tsco:TotalMember2019-12-292020-09-260000916365tsco:TotalMember2018-12-302019-09-28</w:t>
      </w:r>
    </w:p>
    <w:p w:rsidR="00000000" w:rsidRDefault="00480785">
      <w:pPr>
        <w:divId w:val="1375304258"/>
        <w:rPr>
          <w:rFonts w:eastAsia="Times New Roman"/>
        </w:rPr>
      </w:pPr>
    </w:p>
    <w:p w:rsidR="00000000" w:rsidRDefault="00480785">
      <w:pPr>
        <w:jc w:val="center"/>
        <w:rPr>
          <w:rFonts w:eastAsia="Times New Roman"/>
        </w:rPr>
      </w:pPr>
      <w:r>
        <w:rPr>
          <w:rFonts w:eastAsia="Times New Roman"/>
          <w:b/>
          <w:bCs/>
          <w:color w:val="000000"/>
          <w:sz w:val="20"/>
          <w:szCs w:val="20"/>
        </w:rPr>
        <w:t>UNITED STATE</w:t>
      </w:r>
      <w:r>
        <w:rPr>
          <w:rFonts w:eastAsia="Times New Roman"/>
          <w:b/>
          <w:bCs/>
          <w:color w:val="000000"/>
          <w:sz w:val="20"/>
          <w:szCs w:val="20"/>
        </w:rPr>
        <w:t>S</w:t>
      </w:r>
    </w:p>
    <w:p w:rsidR="00000000" w:rsidRDefault="00480785">
      <w:pPr>
        <w:jc w:val="center"/>
        <w:rPr>
          <w:rFonts w:eastAsia="Times New Roman"/>
        </w:rPr>
      </w:pPr>
      <w:r>
        <w:rPr>
          <w:rFonts w:eastAsia="Times New Roman"/>
          <w:b/>
          <w:bCs/>
          <w:color w:val="000000"/>
          <w:sz w:val="20"/>
          <w:szCs w:val="20"/>
        </w:rPr>
        <w:t>SECURITIES AND EXCHANGE COMMISSIO</w:t>
      </w:r>
      <w:r>
        <w:rPr>
          <w:rFonts w:eastAsia="Times New Roman"/>
          <w:b/>
          <w:bCs/>
          <w:color w:val="000000"/>
          <w:sz w:val="20"/>
          <w:szCs w:val="20"/>
        </w:rPr>
        <w:t>N</w:t>
      </w:r>
    </w:p>
    <w:p w:rsidR="00000000" w:rsidRDefault="00480785">
      <w:pPr>
        <w:jc w:val="center"/>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rsidR="00000000" w:rsidRDefault="00480785">
      <w:pPr>
        <w:jc w:val="center"/>
        <w:rPr>
          <w:rFonts w:eastAsia="Times New Roman"/>
        </w:rPr>
      </w:pPr>
      <w:r>
        <w:rPr>
          <w:rFonts w:eastAsia="Times New Roman"/>
          <w:b/>
          <w:bCs/>
          <w:color w:val="000000"/>
          <w:sz w:val="20"/>
          <w:szCs w:val="20"/>
        </w:rPr>
        <w:t>FORM 10-Q</w:t>
      </w:r>
      <w:r>
        <w:rPr>
          <w:rFonts w:eastAsia="Times New Roman"/>
          <w:b/>
          <w:bCs/>
          <w:color w:val="000000"/>
          <w:sz w:val="20"/>
          <w:szCs w:val="20"/>
        </w:rPr>
        <w:t xml:space="preserve"> </w:t>
      </w:r>
    </w:p>
    <w:p w:rsidR="00000000" w:rsidRDefault="00480785">
      <w:pPr>
        <w:divId w:val="1360473584"/>
        <w:rPr>
          <w:rFonts w:eastAsia="Times New Roman"/>
        </w:rPr>
      </w:pPr>
      <w:r>
        <w:rPr>
          <w:rFonts w:eastAsia="Times New Roman"/>
          <w:color w:val="000000"/>
          <w:sz w:val="20"/>
          <w:szCs w:val="20"/>
        </w:rPr>
        <w:t>(Mark One</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0"/>
        <w:gridCol w:w="334"/>
        <w:gridCol w:w="36"/>
        <w:gridCol w:w="69"/>
        <w:gridCol w:w="7761"/>
        <w:gridCol w:w="36"/>
      </w:tblGrid>
      <w:tr w:rsidR="00000000">
        <w:trPr>
          <w:divId w:val="1853493579"/>
        </w:trPr>
        <w:tc>
          <w:tcPr>
            <w:tcW w:w="50" w:type="pct"/>
            <w:vAlign w:val="center"/>
            <w:hideMark/>
          </w:tcPr>
          <w:p w:rsidR="00000000" w:rsidRDefault="00480785">
            <w:pPr>
              <w:rPr>
                <w:rFonts w:eastAsia="Times New Roman"/>
              </w:rPr>
            </w:pPr>
          </w:p>
        </w:tc>
        <w:tc>
          <w:tcPr>
            <w:tcW w:w="210"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67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853493579"/>
        </w:trPr>
        <w:tc>
          <w:tcPr>
            <w:tcW w:w="0" w:type="auto"/>
            <w:gridSpan w:val="3"/>
            <w:tcMar>
              <w:top w:w="30" w:type="dxa"/>
              <w:left w:w="20" w:type="dxa"/>
              <w:bottom w:w="30" w:type="dxa"/>
              <w:right w:w="20" w:type="dxa"/>
            </w:tcMar>
            <w:hideMark/>
          </w:tcPr>
          <w:p w:rsidR="00000000" w:rsidRDefault="00480785">
            <w:pPr>
              <w:jc w:val="cente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QUARTERLY R</w:t>
            </w:r>
            <w:r>
              <w:rPr>
                <w:rFonts w:eastAsia="Times New Roman"/>
                <w:color w:val="000000"/>
                <w:sz w:val="20"/>
                <w:szCs w:val="20"/>
              </w:rPr>
              <w:t>EPORT PURSUANT TO SECTION 13 OR 15(d) OF THE SECURITIES EXCHANGE ACT OF 193</w:t>
            </w:r>
            <w:r>
              <w:rPr>
                <w:rFonts w:eastAsia="Times New Roman"/>
                <w:color w:val="000000"/>
                <w:sz w:val="20"/>
                <w:szCs w:val="20"/>
              </w:rPr>
              <w:t>4</w:t>
            </w:r>
          </w:p>
        </w:tc>
      </w:tr>
    </w:tbl>
    <w:p w:rsidR="00000000" w:rsidRDefault="00480785">
      <w:pPr>
        <w:divId w:val="17257913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5922"/>
        <w:gridCol w:w="36"/>
      </w:tblGrid>
      <w:tr w:rsidR="00000000">
        <w:trPr>
          <w:divId w:val="1951669181"/>
        </w:trPr>
        <w:tc>
          <w:tcPr>
            <w:tcW w:w="50" w:type="pct"/>
            <w:vAlign w:val="center"/>
            <w:hideMark/>
          </w:tcPr>
          <w:p w:rsidR="00000000" w:rsidRDefault="00480785">
            <w:pPr>
              <w:rPr>
                <w:rFonts w:eastAsia="Times New Roman"/>
              </w:rPr>
            </w:pPr>
          </w:p>
        </w:tc>
        <w:tc>
          <w:tcPr>
            <w:tcW w:w="131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357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951669181"/>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For the quarterly period ende</w:t>
            </w:r>
            <w:r>
              <w:rPr>
                <w:rFonts w:eastAsia="Times New Roman"/>
                <w:color w:val="000000"/>
                <w:sz w:val="20"/>
                <w:szCs w:val="20"/>
              </w:rPr>
              <w:t>d</w:t>
            </w:r>
          </w:p>
        </w:tc>
        <w:tc>
          <w:tcPr>
            <w:tcW w:w="0" w:type="auto"/>
            <w:gridSpan w:val="3"/>
            <w:tcBorders>
              <w:bottom w:val="single" w:sz="18" w:space="0" w:color="000000"/>
            </w:tcBorders>
            <w:tcMar>
              <w:top w:w="30" w:type="dxa"/>
              <w:left w:w="20" w:type="dxa"/>
              <w:bottom w:w="30" w:type="dxa"/>
              <w:right w:w="20" w:type="dxa"/>
            </w:tcMar>
            <w:hideMark/>
          </w:tcPr>
          <w:p w:rsidR="00000000" w:rsidRDefault="00480785">
            <w:pPr>
              <w:jc w:val="center"/>
              <w:rPr>
                <w:rFonts w:eastAsia="Times New Roman"/>
              </w:rPr>
            </w:pPr>
            <w:r>
              <w:rPr>
                <w:rFonts w:eastAsia="Times New Roman"/>
                <w:color w:val="000000"/>
                <w:sz w:val="20"/>
                <w:szCs w:val="20"/>
              </w:rPr>
              <w:t>September 26, 202</w:t>
            </w:r>
            <w:r>
              <w:rPr>
                <w:rFonts w:eastAsia="Times New Roman"/>
                <w:color w:val="000000"/>
                <w:sz w:val="20"/>
                <w:szCs w:val="20"/>
              </w:rPr>
              <w:t>0</w:t>
            </w:r>
          </w:p>
        </w:tc>
      </w:tr>
    </w:tbl>
    <w:p w:rsidR="00000000" w:rsidRDefault="00480785">
      <w:pPr>
        <w:jc w:val="center"/>
        <w:rPr>
          <w:rFonts w:eastAsia="Times New Roman"/>
        </w:rPr>
      </w:pPr>
      <w:r>
        <w:rPr>
          <w:rFonts w:eastAsia="Times New Roman"/>
          <w:color w:val="000000"/>
          <w:sz w:val="20"/>
          <w:szCs w:val="20"/>
        </w:rPr>
        <w:t>o</w:t>
      </w:r>
      <w:r>
        <w:rPr>
          <w:rFonts w:eastAsia="Times New Roman"/>
          <w:color w:val="000000"/>
          <w:sz w:val="20"/>
          <w:szCs w:val="20"/>
        </w:rPr>
        <w:t>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5"/>
        <w:gridCol w:w="36"/>
        <w:gridCol w:w="69"/>
        <w:gridCol w:w="7761"/>
        <w:gridCol w:w="36"/>
      </w:tblGrid>
      <w:tr w:rsidR="00000000">
        <w:trPr>
          <w:divId w:val="199392820"/>
          <w:jc w:val="center"/>
        </w:trPr>
        <w:tc>
          <w:tcPr>
            <w:tcW w:w="50" w:type="pct"/>
            <w:vAlign w:val="center"/>
            <w:hideMark/>
          </w:tcPr>
          <w:p w:rsidR="00000000" w:rsidRDefault="00480785">
            <w:pPr>
              <w:jc w:val="center"/>
              <w:rPr>
                <w:rFonts w:eastAsia="Times New Roman"/>
              </w:rPr>
            </w:pPr>
          </w:p>
        </w:tc>
        <w:tc>
          <w:tcPr>
            <w:tcW w:w="210"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67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99392820"/>
          <w:jc w:val="center"/>
        </w:trPr>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TRANSITION REPORT PURSUANT TO SECTION 13 OR 15(d) OF THE SECURITIES EXCHANGE ACT OF 193</w:t>
            </w:r>
            <w:r>
              <w:rPr>
                <w:rFonts w:eastAsia="Times New Roman"/>
                <w:color w:val="000000"/>
                <w:sz w:val="20"/>
                <w:szCs w:val="20"/>
              </w:rPr>
              <w:t>4</w:t>
            </w:r>
          </w:p>
        </w:tc>
      </w:tr>
    </w:tbl>
    <w:p w:rsidR="00000000" w:rsidRDefault="00480785">
      <w:pPr>
        <w:divId w:val="95167157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4"/>
        <w:gridCol w:w="36"/>
        <w:gridCol w:w="69"/>
        <w:gridCol w:w="1911"/>
        <w:gridCol w:w="36"/>
        <w:gridCol w:w="69"/>
        <w:gridCol w:w="612"/>
        <w:gridCol w:w="36"/>
        <w:gridCol w:w="70"/>
        <w:gridCol w:w="3188"/>
        <w:gridCol w:w="36"/>
      </w:tblGrid>
      <w:tr w:rsidR="00000000">
        <w:trPr>
          <w:divId w:val="3751057"/>
        </w:trPr>
        <w:tc>
          <w:tcPr>
            <w:tcW w:w="50" w:type="pct"/>
            <w:vAlign w:val="center"/>
            <w:hideMark/>
          </w:tcPr>
          <w:p w:rsidR="00000000" w:rsidRDefault="00480785">
            <w:pPr>
              <w:rPr>
                <w:rFonts w:eastAsia="Times New Roman"/>
              </w:rPr>
            </w:pPr>
          </w:p>
        </w:tc>
        <w:tc>
          <w:tcPr>
            <w:tcW w:w="131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15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37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92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3751057"/>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For the transition period fro</w:t>
            </w:r>
            <w:r>
              <w:rPr>
                <w:rFonts w:eastAsia="Times New Roman"/>
                <w:color w:val="000000"/>
                <w:sz w:val="20"/>
                <w:szCs w:val="20"/>
              </w:rPr>
              <w:t>m</w:t>
            </w:r>
          </w:p>
        </w:tc>
        <w:tc>
          <w:tcPr>
            <w:tcW w:w="0" w:type="auto"/>
            <w:gridSpan w:val="3"/>
            <w:tcBorders>
              <w:bottom w:val="single" w:sz="18" w:space="0" w:color="000000"/>
            </w:tcBorders>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jc w:val="center"/>
              <w:rPr>
                <w:rFonts w:eastAsia="Times New Roman"/>
              </w:rPr>
            </w:pPr>
            <w:r>
              <w:rPr>
                <w:rFonts w:eastAsia="Times New Roman"/>
                <w:color w:val="000000"/>
                <w:sz w:val="20"/>
                <w:szCs w:val="20"/>
              </w:rPr>
              <w:t>t</w:t>
            </w:r>
            <w:r>
              <w:rPr>
                <w:rFonts w:eastAsia="Times New Roman"/>
                <w:color w:val="000000"/>
                <w:sz w:val="20"/>
                <w:szCs w:val="20"/>
              </w:rPr>
              <w:t>o</w:t>
            </w:r>
          </w:p>
        </w:tc>
        <w:tc>
          <w:tcPr>
            <w:tcW w:w="0" w:type="auto"/>
            <w:gridSpan w:val="3"/>
            <w:tcBorders>
              <w:bottom w:val="single" w:sz="18" w:space="0" w:color="000000"/>
            </w:tcBorders>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r>
    </w:tbl>
    <w:p w:rsidR="00000000" w:rsidRDefault="00480785">
      <w:pPr>
        <w:jc w:val="center"/>
        <w:rPr>
          <w:rFonts w:eastAsia="Times New Roman"/>
        </w:rPr>
      </w:pPr>
      <w:r>
        <w:rPr>
          <w:rFonts w:eastAsia="Times New Roman"/>
          <w:color w:val="000000"/>
          <w:sz w:val="20"/>
          <w:szCs w:val="20"/>
        </w:rPr>
        <w:t>Commission file number  </w:t>
      </w:r>
      <w:r>
        <w:rPr>
          <w:rFonts w:eastAsia="Times New Roman"/>
          <w:color w:val="000000"/>
          <w:sz w:val="20"/>
          <w:szCs w:val="20"/>
        </w:rPr>
        <w:t> </w:t>
      </w:r>
      <w:r>
        <w:rPr>
          <w:rFonts w:eastAsia="Times New Roman"/>
          <w:color w:val="000000"/>
          <w:sz w:val="20"/>
          <w:szCs w:val="20"/>
          <w:u w:val="single"/>
        </w:rPr>
        <w:t>000-2331</w:t>
      </w:r>
      <w:r>
        <w:rPr>
          <w:rFonts w:eastAsia="Times New Roman"/>
          <w:color w:val="000000"/>
          <w:sz w:val="20"/>
          <w:szCs w:val="20"/>
          <w:u w:val="single"/>
        </w:rPr>
        <w:t>4</w:t>
      </w:r>
      <w:r>
        <w:rPr>
          <w:rFonts w:eastAsia="Times New Roman"/>
          <w:color w:val="000000"/>
          <w:sz w:val="20"/>
          <w:szCs w:val="20"/>
        </w:rPr>
        <w:t xml:space="preserve"> </w:t>
      </w:r>
    </w:p>
    <w:p w:rsidR="00000000" w:rsidRDefault="00480785">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80785">
      <w:pPr>
        <w:jc w:val="center"/>
        <w:rPr>
          <w:rFonts w:eastAsia="Times New Roman"/>
        </w:rPr>
      </w:pPr>
      <w:r>
        <w:rPr>
          <w:rFonts w:eastAsia="Times New Roman"/>
          <w:b/>
          <w:bCs/>
          <w:color w:val="000000"/>
        </w:rPr>
        <w:t>TRACTOR SUPPLY COMPAN</w:t>
      </w:r>
      <w:r>
        <w:rPr>
          <w:rFonts w:eastAsia="Times New Roman"/>
          <w:b/>
          <w:bCs/>
          <w:color w:val="000000"/>
        </w:rPr>
        <w:t>Y</w:t>
      </w:r>
    </w:p>
    <w:p w:rsidR="00000000" w:rsidRDefault="00480785">
      <w:pPr>
        <w:jc w:val="center"/>
        <w:rPr>
          <w:rFonts w:eastAsia="Times New Roman"/>
        </w:rPr>
      </w:pPr>
      <w:r>
        <w:rPr>
          <w:rFonts w:eastAsia="Times New Roman"/>
          <w:color w:val="000000"/>
          <w:sz w:val="20"/>
          <w:szCs w:val="20"/>
        </w:rPr>
        <w:t>(Exact Name of Registrant as Specified in Its Charter</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1609"/>
        <w:gridCol w:w="38"/>
        <w:gridCol w:w="50"/>
        <w:gridCol w:w="592"/>
        <w:gridCol w:w="36"/>
        <w:gridCol w:w="50"/>
        <w:gridCol w:w="1285"/>
        <w:gridCol w:w="36"/>
        <w:gridCol w:w="36"/>
        <w:gridCol w:w="36"/>
        <w:gridCol w:w="36"/>
        <w:gridCol w:w="51"/>
        <w:gridCol w:w="1032"/>
        <w:gridCol w:w="36"/>
        <w:gridCol w:w="51"/>
        <w:gridCol w:w="2018"/>
        <w:gridCol w:w="36"/>
        <w:gridCol w:w="188"/>
        <w:gridCol w:w="188"/>
        <w:gridCol w:w="186"/>
        <w:gridCol w:w="186"/>
        <w:gridCol w:w="186"/>
        <w:gridCol w:w="186"/>
        <w:gridCol w:w="36"/>
        <w:gridCol w:w="36"/>
        <w:gridCol w:w="36"/>
      </w:tblGrid>
      <w:tr w:rsidR="00000000">
        <w:trPr>
          <w:gridAfter w:val="9"/>
          <w:divId w:val="2054697200"/>
          <w:jc w:val="center"/>
        </w:trPr>
        <w:tc>
          <w:tcPr>
            <w:tcW w:w="50" w:type="pct"/>
            <w:vAlign w:val="center"/>
            <w:hideMark/>
          </w:tcPr>
          <w:p w:rsidR="00000000" w:rsidRDefault="00480785">
            <w:pPr>
              <w:jc w:val="center"/>
              <w:rPr>
                <w:rFonts w:eastAsia="Times New Roman"/>
              </w:rPr>
            </w:pPr>
          </w:p>
        </w:tc>
        <w:tc>
          <w:tcPr>
            <w:tcW w:w="1151"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92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74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2054697200"/>
          <w:jc w:val="center"/>
        </w:trPr>
        <w:tc>
          <w:tcPr>
            <w:tcW w:w="0" w:type="auto"/>
            <w:gridSpan w:val="9"/>
            <w:tcMar>
              <w:top w:w="30" w:type="dxa"/>
              <w:left w:w="20" w:type="dxa"/>
              <w:bottom w:w="30" w:type="dxa"/>
              <w:right w:w="20" w:type="dxa"/>
            </w:tcMar>
            <w:hideMark/>
          </w:tcPr>
          <w:p w:rsidR="00000000" w:rsidRDefault="00480785">
            <w:pPr>
              <w:jc w:val="center"/>
              <w:rPr>
                <w:rFonts w:eastAsia="Times New Roman"/>
              </w:rPr>
            </w:pPr>
            <w:r>
              <w:rPr>
                <w:rFonts w:eastAsia="Times New Roman"/>
                <w:color w:val="000000"/>
                <w:sz w:val="20"/>
                <w:szCs w:val="20"/>
                <w:u w:val="single"/>
              </w:rPr>
              <w:t>Delawar</w:t>
            </w:r>
            <w:r>
              <w:rPr>
                <w:rFonts w:eastAsia="Times New Roman"/>
                <w:color w:val="000000"/>
                <w:sz w:val="20"/>
                <w:szCs w:val="20"/>
                <w:u w:val="single"/>
              </w:rPr>
              <w:t>e</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6"/>
            <w:tcMar>
              <w:top w:w="30" w:type="dxa"/>
              <w:left w:w="20" w:type="dxa"/>
              <w:bottom w:w="30" w:type="dxa"/>
              <w:right w:w="20" w:type="dxa"/>
            </w:tcMar>
            <w:hideMark/>
          </w:tcPr>
          <w:p w:rsidR="00000000" w:rsidRDefault="00480785">
            <w:pPr>
              <w:jc w:val="center"/>
              <w:rPr>
                <w:rFonts w:eastAsia="Times New Roman"/>
              </w:rPr>
            </w:pPr>
            <w:r>
              <w:rPr>
                <w:rFonts w:eastAsia="Times New Roman"/>
                <w:color w:val="000000"/>
                <w:sz w:val="20"/>
                <w:szCs w:val="20"/>
                <w:u w:val="single"/>
              </w:rPr>
              <w:t>13-313973</w:t>
            </w:r>
            <w:r>
              <w:rPr>
                <w:rFonts w:eastAsia="Times New Roman"/>
                <w:color w:val="000000"/>
                <w:sz w:val="20"/>
                <w:szCs w:val="20"/>
                <w:u w:val="single"/>
              </w:rPr>
              <w:t>2</w:t>
            </w:r>
          </w:p>
        </w:tc>
        <w:tc>
          <w:tcPr>
            <w:tcW w:w="0" w:type="auto"/>
            <w:gridSpan w:val="3"/>
            <w:vAlign w:val="center"/>
            <w:hideMark/>
          </w:tcPr>
          <w:p w:rsidR="00000000" w:rsidRDefault="00480785">
            <w:pPr>
              <w:jc w:val="center"/>
              <w:rPr>
                <w:rFonts w:eastAsia="Times New Roman"/>
              </w:rPr>
            </w:pPr>
          </w:p>
        </w:tc>
      </w:tr>
      <w:tr w:rsidR="00000000">
        <w:trPr>
          <w:divId w:val="2054697200"/>
          <w:jc w:val="center"/>
        </w:trPr>
        <w:tc>
          <w:tcPr>
            <w:tcW w:w="0" w:type="auto"/>
            <w:gridSpan w:val="9"/>
            <w:tcMar>
              <w:top w:w="30" w:type="dxa"/>
              <w:left w:w="20" w:type="dxa"/>
              <w:bottom w:w="30" w:type="dxa"/>
              <w:right w:w="20" w:type="dxa"/>
            </w:tcMar>
            <w:hideMark/>
          </w:tcPr>
          <w:p w:rsidR="00000000" w:rsidRDefault="00480785">
            <w:pPr>
              <w:jc w:val="center"/>
              <w:rPr>
                <w:rFonts w:eastAsia="Times New Roman"/>
              </w:rPr>
            </w:pPr>
            <w:r>
              <w:rPr>
                <w:rFonts w:eastAsia="Times New Roman"/>
                <w:color w:val="000000"/>
                <w:sz w:val="20"/>
                <w:szCs w:val="20"/>
              </w:rPr>
              <w:t>(State or Other Jurisdiction of Incorporation or Organization</w:t>
            </w:r>
            <w:r>
              <w:rPr>
                <w:rFonts w:eastAsia="Times New Roman"/>
                <w:color w:val="000000"/>
                <w:sz w:val="20"/>
                <w:szCs w:val="20"/>
              </w:rPr>
              <w:t>)</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6"/>
            <w:tcMar>
              <w:top w:w="30" w:type="dxa"/>
              <w:left w:w="20" w:type="dxa"/>
              <w:bottom w:w="30" w:type="dxa"/>
              <w:right w:w="20" w:type="dxa"/>
            </w:tcMar>
            <w:hideMark/>
          </w:tcPr>
          <w:p w:rsidR="00000000" w:rsidRDefault="00480785">
            <w:pPr>
              <w:jc w:val="center"/>
              <w:rPr>
                <w:rFonts w:eastAsia="Times New Roman"/>
              </w:rPr>
            </w:pPr>
            <w:r>
              <w:rPr>
                <w:rFonts w:eastAsia="Times New Roman"/>
                <w:color w:val="000000"/>
                <w:sz w:val="20"/>
                <w:szCs w:val="20"/>
              </w:rPr>
              <w:t>(I.R.S. Employer Identification No.</w:t>
            </w:r>
            <w:r>
              <w:rPr>
                <w:rFonts w:eastAsia="Times New Roman"/>
                <w:color w:val="000000"/>
                <w:sz w:val="20"/>
                <w:szCs w:val="20"/>
              </w:rPr>
              <w:t>)</w:t>
            </w:r>
          </w:p>
        </w:tc>
        <w:tc>
          <w:tcPr>
            <w:tcW w:w="0" w:type="auto"/>
            <w:gridSpan w:val="3"/>
            <w:vAlign w:val="center"/>
            <w:hideMark/>
          </w:tcPr>
          <w:p w:rsidR="00000000" w:rsidRDefault="00480785">
            <w:pPr>
              <w:jc w:val="center"/>
              <w:rPr>
                <w:rFonts w:eastAsia="Times New Roman"/>
              </w:rPr>
            </w:pPr>
          </w:p>
        </w:tc>
      </w:tr>
      <w:tr w:rsidR="00000000">
        <w:trPr>
          <w:divId w:val="2054697200"/>
          <w:jc w:val="center"/>
        </w:trPr>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4697200"/>
          <w:jc w:val="center"/>
        </w:trPr>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4697200"/>
          <w:jc w:val="center"/>
        </w:trPr>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4697200"/>
          <w:jc w:val="center"/>
        </w:trPr>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4697200"/>
          <w:jc w:val="center"/>
        </w:trPr>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center"/>
        <w:rPr>
          <w:rFonts w:eastAsia="Times New Roman"/>
        </w:rPr>
      </w:pPr>
      <w:r>
        <w:rPr>
          <w:rFonts w:eastAsia="Times New Roman"/>
          <w:color w:val="000000"/>
          <w:sz w:val="20"/>
          <w:szCs w:val="20"/>
          <w:u w:val="single"/>
        </w:rPr>
        <w:t>5401 Virginia Way, Brentwood, Tennessee 3702</w:t>
      </w:r>
      <w:r>
        <w:rPr>
          <w:rFonts w:eastAsia="Times New Roman"/>
          <w:color w:val="000000"/>
          <w:sz w:val="20"/>
          <w:szCs w:val="20"/>
          <w:u w:val="single"/>
        </w:rPr>
        <w:t>7</w:t>
      </w:r>
      <w:r>
        <w:rPr>
          <w:rFonts w:eastAsia="Times New Roman"/>
          <w:color w:val="000000"/>
          <w:sz w:val="20"/>
          <w:szCs w:val="20"/>
        </w:rPr>
        <w:t xml:space="preserve"> </w:t>
      </w:r>
    </w:p>
    <w:p w:rsidR="00000000" w:rsidRDefault="00480785">
      <w:pPr>
        <w:jc w:val="center"/>
        <w:rPr>
          <w:rFonts w:eastAsia="Times New Roman"/>
        </w:rPr>
      </w:pPr>
      <w:r>
        <w:rPr>
          <w:rFonts w:eastAsia="Times New Roman"/>
          <w:color w:val="000000"/>
          <w:sz w:val="20"/>
          <w:szCs w:val="20"/>
        </w:rPr>
        <w:t>(Address of Principal Executive Offices and Zip Code</w:t>
      </w:r>
      <w:r>
        <w:rPr>
          <w:rFonts w:eastAsia="Times New Roman"/>
          <w:color w:val="000000"/>
          <w:sz w:val="20"/>
          <w:szCs w:val="20"/>
        </w:rPr>
        <w:t>)</w:t>
      </w:r>
    </w:p>
    <w:p w:rsidR="00000000" w:rsidRDefault="00480785">
      <w:pPr>
        <w:jc w:val="center"/>
        <w:rPr>
          <w:rFonts w:eastAsia="Times New Roman"/>
        </w:rPr>
      </w:pPr>
      <w:r>
        <w:rPr>
          <w:rFonts w:eastAsia="Times New Roman"/>
          <w:color w:val="000000"/>
          <w:sz w:val="20"/>
          <w:szCs w:val="20"/>
          <w:u w:val="single"/>
        </w:rPr>
        <w:t>(615) 440-400</w:t>
      </w:r>
      <w:r>
        <w:rPr>
          <w:rFonts w:eastAsia="Times New Roman"/>
          <w:color w:val="000000"/>
          <w:sz w:val="20"/>
          <w:szCs w:val="20"/>
          <w:u w:val="single"/>
        </w:rPr>
        <w:t>0</w:t>
      </w:r>
      <w:r>
        <w:rPr>
          <w:rFonts w:eastAsia="Times New Roman"/>
          <w:color w:val="000000"/>
          <w:sz w:val="20"/>
          <w:szCs w:val="20"/>
        </w:rPr>
        <w:t xml:space="preserve"> </w:t>
      </w:r>
    </w:p>
    <w:p w:rsidR="00000000" w:rsidRDefault="00480785">
      <w:pPr>
        <w:jc w:val="center"/>
        <w:rPr>
          <w:rFonts w:eastAsia="Times New Roman"/>
        </w:rPr>
      </w:pPr>
      <w:r>
        <w:rPr>
          <w:rFonts w:eastAsia="Times New Roman"/>
          <w:color w:val="000000"/>
          <w:sz w:val="20"/>
          <w:szCs w:val="20"/>
        </w:rPr>
        <w:t>(Registrant’</w:t>
      </w:r>
      <w:r>
        <w:rPr>
          <w:rFonts w:eastAsia="Times New Roman"/>
          <w:color w:val="000000"/>
          <w:sz w:val="20"/>
          <w:szCs w:val="20"/>
        </w:rPr>
        <w:t>s Telephone Number, Including Area Code</w:t>
      </w:r>
      <w:r>
        <w:rPr>
          <w:rFonts w:eastAsia="Times New Roman"/>
          <w:color w:val="000000"/>
          <w:sz w:val="20"/>
          <w:szCs w:val="20"/>
        </w:rPr>
        <w:t>)</w:t>
      </w:r>
    </w:p>
    <w:p w:rsidR="00000000" w:rsidRDefault="00480785">
      <w:pPr>
        <w:jc w:val="center"/>
        <w:rPr>
          <w:rFonts w:eastAsia="Times New Roman"/>
        </w:rPr>
      </w:pPr>
      <w:r>
        <w:rPr>
          <w:rFonts w:eastAsia="Times New Roman"/>
          <w:color w:val="000000"/>
          <w:sz w:val="20"/>
          <w:szCs w:val="20"/>
          <w:u w:val="single"/>
        </w:rPr>
        <w:t>Not Applicabl</w:t>
      </w:r>
      <w:r>
        <w:rPr>
          <w:rFonts w:eastAsia="Times New Roman"/>
          <w:color w:val="000000"/>
          <w:sz w:val="20"/>
          <w:szCs w:val="20"/>
          <w:u w:val="single"/>
        </w:rPr>
        <w:t>e</w:t>
      </w:r>
    </w:p>
    <w:p w:rsidR="00000000" w:rsidRDefault="00480785">
      <w:pPr>
        <w:jc w:val="center"/>
        <w:rPr>
          <w:rFonts w:eastAsia="Times New Roman"/>
        </w:rPr>
      </w:pPr>
      <w:r>
        <w:rPr>
          <w:rFonts w:eastAsia="Times New Roman"/>
          <w:color w:val="000000"/>
          <w:sz w:val="20"/>
          <w:szCs w:val="20"/>
        </w:rPr>
        <w:t>(Former name, former address and former fiscal year, if changed since last report)</w:t>
      </w:r>
      <w:r>
        <w:rPr>
          <w:rFonts w:eastAsia="Times New Roman"/>
          <w:color w:val="000000"/>
          <w:sz w:val="20"/>
          <w:szCs w:val="20"/>
        </w:rPr>
        <w:t xml:space="preserve"> </w:t>
      </w:r>
    </w:p>
    <w:p w:rsidR="00000000" w:rsidRDefault="00480785">
      <w:pPr>
        <w:jc w:val="center"/>
        <w:rPr>
          <w:rFonts w:eastAsia="Times New Roman"/>
        </w:rPr>
      </w:pPr>
    </w:p>
    <w:p w:rsidR="00000000" w:rsidRDefault="00480785">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r>
        <w:rPr>
          <w:rFonts w:eastAsia="Times New Roman"/>
          <w:color w:val="000000"/>
          <w:sz w:val="20"/>
          <w:szCs w:val="20"/>
        </w:rPr>
        <w:t>.</w:t>
      </w:r>
    </w:p>
    <w:p w:rsidR="00000000" w:rsidRDefault="00480785">
      <w:pPr>
        <w:jc w:val="center"/>
        <w:divId w:val="90249920"/>
        <w:rPr>
          <w:rFonts w:eastAsia="Times New Roman"/>
        </w:rPr>
      </w:pPr>
      <w:r>
        <w:rPr>
          <w:rFonts w:eastAsia="Times New Roman"/>
          <w:color w:val="000000"/>
          <w:sz w:val="20"/>
          <w:szCs w:val="20"/>
        </w:rPr>
        <w:t>Yes </w:t>
      </w:r>
      <w:r>
        <w:rPr>
          <w:rFonts w:eastAsia="Times New Roman"/>
          <w:color w:val="000000"/>
          <w:sz w:val="20"/>
          <w:szCs w:val="20"/>
        </w:rPr>
        <w:t> </w:t>
      </w:r>
      <w:r>
        <w:rPr>
          <w:rFonts w:ascii="Segoe UI Emoji" w:eastAsia="Times New Roman" w:hAnsi="Segoe UI Emoji" w:cs="Segoe UI Emoji"/>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480785">
      <w:pPr>
        <w:jc w:val="both"/>
        <w:rPr>
          <w:rFonts w:eastAsia="Times New Roman"/>
        </w:rPr>
      </w:pPr>
      <w:r>
        <w:rPr>
          <w:rFonts w:eastAsia="Times New Roman"/>
          <w:color w:val="000000"/>
          <w:sz w:val="20"/>
          <w:szCs w:val="20"/>
        </w:rPr>
        <w:t xml:space="preserve">Indicate by check mark whether the registrant has submitted electronically every Interactive Data File required to be submitted pursuant to Rule 405 of </w:t>
      </w:r>
      <w:r>
        <w:rPr>
          <w:rFonts w:eastAsia="Times New Roman"/>
          <w:color w:val="000000"/>
          <w:sz w:val="20"/>
          <w:szCs w:val="20"/>
        </w:rPr>
        <w:t>Regulation S-T (§232.405 of this chapter) during the preceding 12 months (or for such shorter period that the registrant was required to submit such files)</w:t>
      </w:r>
      <w:r>
        <w:rPr>
          <w:rFonts w:eastAsia="Times New Roman"/>
          <w:color w:val="000000"/>
          <w:sz w:val="20"/>
          <w:szCs w:val="20"/>
        </w:rPr>
        <w:t>.</w:t>
      </w:r>
    </w:p>
    <w:p w:rsidR="00000000" w:rsidRDefault="00480785">
      <w:pPr>
        <w:jc w:val="center"/>
        <w:divId w:val="891816844"/>
        <w:rPr>
          <w:rFonts w:eastAsia="Times New Roman"/>
        </w:rPr>
      </w:pPr>
      <w:r>
        <w:rPr>
          <w:rFonts w:eastAsia="Times New Roman"/>
          <w:color w:val="000000"/>
          <w:sz w:val="20"/>
          <w:szCs w:val="20"/>
        </w:rPr>
        <w:t>Yes</w:t>
      </w:r>
      <w:r>
        <w:rPr>
          <w:rFonts w:eastAsia="Times New Roman"/>
          <w:color w:val="000000"/>
          <w:sz w:val="20"/>
          <w:szCs w:val="20"/>
        </w:rPr>
        <w:t> </w:t>
      </w:r>
      <w:r>
        <w:rPr>
          <w:rFonts w:ascii="Segoe UI Emoji" w:eastAsia="Times New Roman" w:hAnsi="Segoe UI Emoji" w:cs="Segoe UI Emoji"/>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480785">
      <w:pPr>
        <w:jc w:val="both"/>
        <w:rPr>
          <w:rFonts w:eastAsia="Times New Roman"/>
        </w:rPr>
      </w:pPr>
      <w:r>
        <w:rPr>
          <w:rFonts w:eastAsia="Times New Roman"/>
          <w:color w:val="000000"/>
          <w:sz w:val="20"/>
          <w:szCs w:val="20"/>
        </w:rPr>
        <w:t>Indicate by check mark whether the registrant is a large accelerated filer, an accele</w:t>
      </w:r>
      <w:r>
        <w:rPr>
          <w:rFonts w:eastAsia="Times New Roman"/>
          <w:color w:val="000000"/>
          <w:sz w:val="20"/>
          <w:szCs w:val="20"/>
        </w:rPr>
        <w:t>rated filer, a non-accelerated filer, a smaller reporting company, or an emerging growth company.  See the definitions of “large accelerated filer,” “accelerated filer,” “smaller reporting company” and “emerging growth company” in Rule 12b-2 of the Exchang</w:t>
      </w:r>
      <w:r>
        <w:rPr>
          <w:rFonts w:eastAsia="Times New Roman"/>
          <w:color w:val="000000"/>
          <w:sz w:val="20"/>
          <w:szCs w:val="20"/>
        </w:rPr>
        <w:t>e Act</w:t>
      </w:r>
      <w:r>
        <w:rPr>
          <w:rFonts w:eastAsia="Times New Roman"/>
          <w:color w:val="000000"/>
          <w:sz w:val="20"/>
          <w:szCs w:val="20"/>
        </w:rPr>
        <w:t>.</w:t>
      </w:r>
    </w:p>
    <w:tbl>
      <w:tblPr>
        <w:tblW w:w="4913" w:type="pct"/>
        <w:tblCellMar>
          <w:top w:w="15" w:type="dxa"/>
          <w:left w:w="15" w:type="dxa"/>
          <w:bottom w:w="15" w:type="dxa"/>
          <w:right w:w="15" w:type="dxa"/>
        </w:tblCellMar>
        <w:tblLook w:val="04A0" w:firstRow="1" w:lastRow="0" w:firstColumn="1" w:lastColumn="0" w:noHBand="0" w:noVBand="1"/>
      </w:tblPr>
      <w:tblGrid>
        <w:gridCol w:w="67"/>
        <w:gridCol w:w="217"/>
        <w:gridCol w:w="36"/>
        <w:gridCol w:w="68"/>
        <w:gridCol w:w="1721"/>
        <w:gridCol w:w="36"/>
        <w:gridCol w:w="68"/>
        <w:gridCol w:w="3298"/>
        <w:gridCol w:w="36"/>
        <w:gridCol w:w="68"/>
        <w:gridCol w:w="2033"/>
        <w:gridCol w:w="36"/>
        <w:gridCol w:w="68"/>
        <w:gridCol w:w="373"/>
        <w:gridCol w:w="36"/>
      </w:tblGrid>
      <w:tr w:rsidR="00000000">
        <w:trPr>
          <w:divId w:val="1706129319"/>
        </w:trPr>
        <w:tc>
          <w:tcPr>
            <w:tcW w:w="50" w:type="pct"/>
            <w:vAlign w:val="center"/>
            <w:hideMark/>
          </w:tcPr>
          <w:p w:rsidR="00000000" w:rsidRDefault="00480785">
            <w:pPr>
              <w:jc w:val="both"/>
              <w:rPr>
                <w:rFonts w:eastAsia="Times New Roman"/>
              </w:rPr>
            </w:pPr>
          </w:p>
        </w:tc>
        <w:tc>
          <w:tcPr>
            <w:tcW w:w="14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06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202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25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23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706129319"/>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Large accelerated file</w:t>
            </w:r>
            <w:r>
              <w:rPr>
                <w:rFonts w:eastAsia="Times New Roman"/>
                <w:color w:val="000000"/>
                <w:sz w:val="20"/>
                <w:szCs w:val="20"/>
              </w:rPr>
              <w:t>r</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480785">
            <w:pPr>
              <w:jc w:val="both"/>
              <w:divId w:val="182473166"/>
              <w:rPr>
                <w:rFonts w:eastAsia="Times New Roman"/>
              </w:rPr>
            </w:pPr>
            <w:r>
              <w:rPr>
                <w:rFonts w:eastAsia="Times New Roman"/>
                <w:color w:val="000000"/>
                <w:sz w:val="20"/>
                <w:szCs w:val="20"/>
              </w:rPr>
              <w:t>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480785">
            <w:pPr>
              <w:jc w:val="both"/>
              <w:divId w:val="1753626651"/>
              <w:rPr>
                <w:rFonts w:eastAsia="Times New Roman"/>
              </w:rPr>
            </w:pPr>
            <w:r>
              <w:rPr>
                <w:rFonts w:ascii="Segoe UI Symbol" w:eastAsia="Times New Roman" w:hAnsi="Segoe UI Symbol" w:cs="Segoe UI Symbol"/>
                <w:color w:val="000000"/>
                <w:sz w:val="20"/>
                <w:szCs w:val="20"/>
              </w:rPr>
              <w:t>☐</w:t>
            </w:r>
          </w:p>
        </w:tc>
      </w:tr>
      <w:tr w:rsidR="00000000">
        <w:trPr>
          <w:divId w:val="1706129319"/>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lastRenderedPageBreak/>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Non-accelerated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480785">
            <w:pPr>
              <w:jc w:val="both"/>
              <w:divId w:val="1983193819"/>
              <w:rPr>
                <w:rFonts w:eastAsia="Times New Roman"/>
              </w:rPr>
            </w:pPr>
            <w:r>
              <w:rPr>
                <w:rFonts w:eastAsia="Times New Roman"/>
                <w:color w:val="000000"/>
                <w:sz w:val="20"/>
                <w:szCs w:val="20"/>
              </w:rPr>
              <w:t>Smaller reporting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480785">
            <w:pPr>
              <w:jc w:val="both"/>
              <w:divId w:val="1279987971"/>
              <w:rPr>
                <w:rFonts w:eastAsia="Times New Roman"/>
              </w:rPr>
            </w:pPr>
            <w:r>
              <w:rPr>
                <w:rFonts w:ascii="Segoe UI Symbol" w:eastAsia="Times New Roman" w:hAnsi="Segoe UI Symbol" w:cs="Segoe UI Symbol"/>
                <w:color w:val="000000"/>
                <w:sz w:val="20"/>
                <w:szCs w:val="20"/>
              </w:rPr>
              <w:t>☐</w:t>
            </w:r>
          </w:p>
        </w:tc>
      </w:tr>
      <w:tr w:rsidR="00000000">
        <w:trPr>
          <w:divId w:val="1706129319"/>
        </w:trPr>
        <w:tc>
          <w:tcPr>
            <w:tcW w:w="0" w:type="auto"/>
            <w:gridSpan w:val="3"/>
            <w:tcMar>
              <w:top w:w="15" w:type="dxa"/>
              <w:left w:w="20" w:type="dxa"/>
              <w:bottom w:w="15" w:type="dxa"/>
              <w:right w:w="20" w:type="dxa"/>
            </w:tcMar>
            <w:vAlign w:val="bottom"/>
            <w:hideMark/>
          </w:tcPr>
          <w:p w:rsidR="00000000" w:rsidRDefault="00480785">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80785">
            <w:pPr>
              <w:jc w:val="both"/>
              <w:divId w:val="669021853"/>
              <w:rPr>
                <w:rFonts w:eastAsia="Times New Roman"/>
              </w:rPr>
            </w:pPr>
            <w:r>
              <w:rPr>
                <w:rFonts w:eastAsia="Times New Roman"/>
                <w:color w:val="000000"/>
                <w:sz w:val="20"/>
                <w:szCs w:val="20"/>
              </w:rPr>
              <w:t>Emerging growth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480785">
            <w:pPr>
              <w:jc w:val="both"/>
              <w:divId w:val="45639877"/>
              <w:rPr>
                <w:rFonts w:eastAsia="Times New Roman"/>
              </w:rPr>
            </w:pPr>
            <w:r>
              <w:rPr>
                <w:rFonts w:ascii="Segoe UI Symbol" w:eastAsia="Times New Roman" w:hAnsi="Segoe UI Symbol" w:cs="Segoe UI Symbol"/>
                <w:color w:val="000000"/>
                <w:sz w:val="20"/>
                <w:szCs w:val="20"/>
              </w:rPr>
              <w:t>☐</w:t>
            </w:r>
          </w:p>
        </w:tc>
      </w:tr>
    </w:tbl>
    <w:p w:rsidR="00000000" w:rsidRDefault="00480785">
      <w:pPr>
        <w:jc w:val="both"/>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w:t>
      </w:r>
      <w:r>
        <w:rPr>
          <w:rFonts w:eastAsia="Times New Roman"/>
          <w:color w:val="000000"/>
          <w:sz w:val="20"/>
          <w:szCs w:val="20"/>
        </w:rPr>
        <w:t>ndicate by check mark whether the registrant is a shell company (as defined in Rule 12b-2 of the Exchange Act.</w:t>
      </w:r>
      <w:r>
        <w:rPr>
          <w:rFonts w:eastAsia="Times New Roman"/>
          <w:color w:val="000000"/>
          <w:sz w:val="20"/>
          <w:szCs w:val="20"/>
        </w:rPr>
        <w:t>)</w:t>
      </w:r>
    </w:p>
    <w:p w:rsidR="00000000" w:rsidRDefault="00480785">
      <w:pPr>
        <w:jc w:val="center"/>
        <w:divId w:val="1694914317"/>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Emoji" w:eastAsia="Times New Roman" w:hAnsi="Segoe UI Emoji" w:cs="Segoe UI Emoji"/>
          <w:color w:val="000000"/>
          <w:sz w:val="20"/>
          <w:szCs w:val="20"/>
        </w:rPr>
        <w:t>☑</w:t>
      </w:r>
    </w:p>
    <w:p w:rsidR="00000000" w:rsidRDefault="00480785">
      <w:pPr>
        <w:divId w:val="919096961"/>
        <w:rPr>
          <w:rFonts w:eastAsia="Times New Roman"/>
        </w:rPr>
      </w:pPr>
      <w:r>
        <w:rPr>
          <w:rFonts w:eastAsia="Times New Roman"/>
          <w:color w:val="000000"/>
          <w:sz w:val="20"/>
          <w:szCs w:val="20"/>
        </w:rPr>
        <w:t>Securities registered pursuant to Section 12(b) of the Act</w:t>
      </w:r>
      <w:r>
        <w:rPr>
          <w:rFonts w:eastAsia="Times New Roman"/>
          <w:color w:val="000000"/>
          <w:sz w:val="20"/>
          <w:szCs w:val="20"/>
        </w:rPr>
        <w:t>:</w:t>
      </w:r>
    </w:p>
    <w:tbl>
      <w:tblPr>
        <w:tblW w:w="4920" w:type="pct"/>
        <w:tblCellMar>
          <w:top w:w="15" w:type="dxa"/>
          <w:left w:w="15" w:type="dxa"/>
          <w:bottom w:w="15" w:type="dxa"/>
          <w:right w:w="15" w:type="dxa"/>
        </w:tblCellMar>
        <w:tblLook w:val="04A0" w:firstRow="1" w:lastRow="0" w:firstColumn="1" w:lastColumn="0" w:noHBand="0" w:noVBand="1"/>
      </w:tblPr>
      <w:tblGrid>
        <w:gridCol w:w="57"/>
        <w:gridCol w:w="2368"/>
        <w:gridCol w:w="37"/>
        <w:gridCol w:w="36"/>
        <w:gridCol w:w="36"/>
        <w:gridCol w:w="36"/>
        <w:gridCol w:w="38"/>
        <w:gridCol w:w="2368"/>
        <w:gridCol w:w="36"/>
        <w:gridCol w:w="36"/>
        <w:gridCol w:w="36"/>
        <w:gridCol w:w="36"/>
        <w:gridCol w:w="40"/>
        <w:gridCol w:w="2977"/>
        <w:gridCol w:w="36"/>
      </w:tblGrid>
      <w:tr w:rsidR="00000000">
        <w:trPr>
          <w:divId w:val="587882166"/>
        </w:trPr>
        <w:tc>
          <w:tcPr>
            <w:tcW w:w="50" w:type="pct"/>
            <w:vAlign w:val="center"/>
            <w:hideMark/>
          </w:tcPr>
          <w:p w:rsidR="00000000" w:rsidRDefault="00480785">
            <w:pPr>
              <w:rPr>
                <w:rFonts w:eastAsia="Times New Roman"/>
              </w:rPr>
            </w:pPr>
          </w:p>
        </w:tc>
        <w:tc>
          <w:tcPr>
            <w:tcW w:w="146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46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83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587882166"/>
        </w:trPr>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u w:val="single"/>
              </w:rPr>
              <w:t>Title of each clas</w:t>
            </w:r>
            <w:r>
              <w:rPr>
                <w:rFonts w:eastAsia="Times New Roman"/>
                <w:color w:val="000000"/>
                <w:sz w:val="20"/>
                <w:szCs w:val="20"/>
                <w:u w:val="single"/>
              </w:rPr>
              <w:t>s</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u w:val="single"/>
              </w:rPr>
              <w:t>Trading Symbol(s</w:t>
            </w:r>
            <w:r>
              <w:rPr>
                <w:rFonts w:eastAsia="Times New Roman"/>
                <w:color w:val="000000"/>
                <w:sz w:val="20"/>
                <w:szCs w:val="20"/>
                <w:u w:val="single"/>
              </w:rPr>
              <w:t>)</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u w:val="single"/>
              </w:rPr>
              <w:t>Name of each exchange on which registere</w:t>
            </w:r>
            <w:r>
              <w:rPr>
                <w:rFonts w:eastAsia="Times New Roman"/>
                <w:color w:val="000000"/>
                <w:sz w:val="20"/>
                <w:szCs w:val="20"/>
                <w:u w:val="single"/>
              </w:rPr>
              <w:t>d</w:t>
            </w:r>
          </w:p>
        </w:tc>
      </w:tr>
      <w:tr w:rsidR="00000000">
        <w:trPr>
          <w:divId w:val="587882166"/>
        </w:trPr>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Common Stock, $0.008 par valu</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TSC</w:t>
            </w:r>
            <w:r>
              <w:rPr>
                <w:rFonts w:eastAsia="Times New Roman"/>
                <w:color w:val="000000"/>
                <w:sz w:val="20"/>
                <w:szCs w:val="20"/>
              </w:rPr>
              <w:t>O</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NASDAQ Global Select Marke</w:t>
            </w:r>
            <w:r>
              <w:rPr>
                <w:rFonts w:eastAsia="Times New Roman"/>
                <w:color w:val="000000"/>
                <w:sz w:val="20"/>
                <w:szCs w:val="20"/>
              </w:rPr>
              <w:t>t</w:t>
            </w:r>
          </w:p>
        </w:tc>
      </w:tr>
    </w:tbl>
    <w:p w:rsidR="00000000" w:rsidRDefault="00480785">
      <w:pPr>
        <w:jc w:val="both"/>
        <w:rPr>
          <w:rFonts w:eastAsia="Times New Roman"/>
        </w:rPr>
      </w:pPr>
      <w:r>
        <w:rPr>
          <w:rFonts w:eastAsia="Times New Roman"/>
          <w:color w:val="000000"/>
          <w:sz w:val="20"/>
          <w:szCs w:val="20"/>
        </w:rPr>
        <w:t>Indicate the number of shares outstanding of each of the issuer’s classes of common stock as of the latest practicable date</w:t>
      </w:r>
      <w:r>
        <w:rPr>
          <w:rFonts w:eastAsia="Times New Roman"/>
          <w:color w:val="000000"/>
          <w:sz w:val="20"/>
          <w:szCs w:val="20"/>
        </w:rPr>
        <w:t>.</w:t>
      </w:r>
    </w:p>
    <w:tbl>
      <w:tblPr>
        <w:tblW w:w="4913" w:type="pct"/>
        <w:tblCellMar>
          <w:top w:w="15" w:type="dxa"/>
          <w:left w:w="15" w:type="dxa"/>
          <w:bottom w:w="15" w:type="dxa"/>
          <w:right w:w="15" w:type="dxa"/>
        </w:tblCellMar>
        <w:tblLook w:val="04A0" w:firstRow="1" w:lastRow="0" w:firstColumn="1" w:lastColumn="0" w:noHBand="0" w:noVBand="1"/>
      </w:tblPr>
      <w:tblGrid>
        <w:gridCol w:w="59"/>
        <w:gridCol w:w="4745"/>
        <w:gridCol w:w="36"/>
        <w:gridCol w:w="36"/>
        <w:gridCol w:w="36"/>
        <w:gridCol w:w="36"/>
        <w:gridCol w:w="44"/>
        <w:gridCol w:w="3133"/>
        <w:gridCol w:w="36"/>
      </w:tblGrid>
      <w:tr w:rsidR="00000000">
        <w:trPr>
          <w:divId w:val="1245794573"/>
        </w:trPr>
        <w:tc>
          <w:tcPr>
            <w:tcW w:w="50" w:type="pct"/>
            <w:vAlign w:val="center"/>
            <w:hideMark/>
          </w:tcPr>
          <w:p w:rsidR="00000000" w:rsidRDefault="00480785">
            <w:pPr>
              <w:jc w:val="both"/>
              <w:rPr>
                <w:rFonts w:eastAsia="Times New Roman"/>
              </w:rPr>
            </w:pPr>
          </w:p>
        </w:tc>
        <w:tc>
          <w:tcPr>
            <w:tcW w:w="2920"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93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245794573"/>
        </w:trPr>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Clas</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Outstanding at September 26, 202</w:t>
            </w:r>
            <w:r>
              <w:rPr>
                <w:rFonts w:eastAsia="Times New Roman"/>
                <w:color w:val="000000"/>
                <w:sz w:val="20"/>
                <w:szCs w:val="20"/>
              </w:rPr>
              <w:t>0</w:t>
            </w:r>
          </w:p>
        </w:tc>
      </w:tr>
      <w:tr w:rsidR="00000000">
        <w:trPr>
          <w:divId w:val="1245794573"/>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Common Stock, $0.008 par valu</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116,497,39</w:t>
            </w:r>
            <w:r>
              <w:rPr>
                <w:rFonts w:eastAsia="Times New Roman"/>
                <w:color w:val="000000"/>
                <w:sz w:val="20"/>
                <w:szCs w:val="20"/>
              </w:rPr>
              <w:t>4</w:t>
            </w:r>
          </w:p>
        </w:tc>
      </w:tr>
    </w:tbl>
    <w:p w:rsidR="00000000" w:rsidRDefault="00480785">
      <w:pPr>
        <w:jc w:val="both"/>
        <w:rPr>
          <w:rFonts w:eastAsia="Times New Roman"/>
        </w:rPr>
      </w:pPr>
    </w:p>
    <w:p w:rsidR="00000000" w:rsidRDefault="00480785">
      <w:pPr>
        <w:divId w:val="205223356"/>
        <w:rPr>
          <w:rFonts w:eastAsia="Times New Roman"/>
        </w:rPr>
      </w:pPr>
    </w:p>
    <w:p w:rsidR="00000000" w:rsidRDefault="00480785">
      <w:pPr>
        <w:rPr>
          <w:rFonts w:eastAsia="Times New Roman"/>
        </w:rPr>
      </w:pPr>
      <w:r>
        <w:rPr>
          <w:rFonts w:eastAsia="Times New Roman"/>
        </w:rPr>
        <w:pict>
          <v:rect id="_x0000_i1026" style="width:0;height:1.5pt" o:hralign="center" o:hrstd="t" o:hr="t" fillcolor="#a0a0a0" stroked="f"/>
        </w:pict>
      </w:r>
    </w:p>
    <w:p w:rsidR="00000000" w:rsidRDefault="00480785">
      <w:pPr>
        <w:divId w:val="92551279"/>
        <w:rPr>
          <w:rFonts w:eastAsia="Times New Roman"/>
        </w:rPr>
      </w:pPr>
    </w:p>
    <w:p w:rsidR="00000000" w:rsidRDefault="0048078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480785">
      <w:pPr>
        <w:jc w:val="center"/>
        <w:rPr>
          <w:rFonts w:eastAsia="Times New Roman"/>
        </w:rPr>
      </w:pPr>
    </w:p>
    <w:p w:rsidR="00000000" w:rsidRDefault="00480785">
      <w:pPr>
        <w:jc w:val="center"/>
        <w:rPr>
          <w:rFonts w:eastAsia="Times New Roman"/>
        </w:rPr>
      </w:pPr>
      <w:r>
        <w:rPr>
          <w:rFonts w:eastAsia="Times New Roman"/>
          <w:b/>
          <w:bCs/>
          <w:color w:val="000000"/>
          <w:sz w:val="20"/>
          <w:szCs w:val="20"/>
        </w:rPr>
        <w:t>INDE</w:t>
      </w:r>
      <w:r>
        <w:rPr>
          <w:rFonts w:eastAsia="Times New Roman"/>
          <w:b/>
          <w:bCs/>
          <w:color w:val="000000"/>
          <w:sz w:val="20"/>
          <w:szCs w:val="20"/>
        </w:rPr>
        <w:t>X</w:t>
      </w:r>
    </w:p>
    <w:p w:rsidR="00000000" w:rsidRDefault="00480785">
      <w:pPr>
        <w:divId w:val="282150455"/>
        <w:rPr>
          <w:rFonts w:eastAsia="Times New Roman"/>
        </w:rPr>
      </w:pPr>
    </w:p>
    <w:p w:rsidR="00000000" w:rsidRDefault="00480785">
      <w:pPr>
        <w:divId w:val="1098529343"/>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68"/>
        <w:gridCol w:w="1205"/>
        <w:gridCol w:w="37"/>
        <w:gridCol w:w="69"/>
        <w:gridCol w:w="6174"/>
        <w:gridCol w:w="37"/>
        <w:gridCol w:w="69"/>
        <w:gridCol w:w="586"/>
        <w:gridCol w:w="36"/>
      </w:tblGrid>
      <w:tr w:rsidR="00000000">
        <w:trPr>
          <w:divId w:val="1486386426"/>
        </w:trPr>
        <w:tc>
          <w:tcPr>
            <w:tcW w:w="50" w:type="pct"/>
            <w:vAlign w:val="center"/>
            <w:hideMark/>
          </w:tcPr>
          <w:p w:rsidR="00000000" w:rsidRDefault="00480785">
            <w:pPr>
              <w:rPr>
                <w:rFonts w:eastAsia="Times New Roman"/>
              </w:rPr>
            </w:pPr>
          </w:p>
        </w:tc>
        <w:tc>
          <w:tcPr>
            <w:tcW w:w="73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373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36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486386426"/>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rsidR="00000000" w:rsidRDefault="00480785">
            <w:pPr>
              <w:jc w:val="center"/>
              <w:rPr>
                <w:rFonts w:eastAsia="Times New Roman"/>
              </w:rPr>
            </w:pPr>
            <w:r>
              <w:rPr>
                <w:rFonts w:eastAsia="Times New Roman"/>
                <w:b/>
                <w:bCs/>
                <w:color w:val="000000"/>
                <w:sz w:val="20"/>
                <w:szCs w:val="20"/>
              </w:rPr>
              <w:t>Page No</w:t>
            </w:r>
            <w:r>
              <w:rPr>
                <w:rFonts w:eastAsia="Times New Roman"/>
                <w:b/>
                <w:bCs/>
                <w:color w:val="000000"/>
                <w:sz w:val="20"/>
                <w:szCs w:val="20"/>
              </w:rPr>
              <w:t>.</w:t>
            </w:r>
          </w:p>
        </w:tc>
      </w:tr>
      <w:tr w:rsidR="00000000">
        <w:trPr>
          <w:divId w:val="1486386426"/>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Borders>
              <w:top w:val="single" w:sz="18" w:space="0" w:color="000000"/>
            </w:tcBorders>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r>
      <w:tr w:rsidR="00000000">
        <w:trPr>
          <w:divId w:val="1486386426"/>
        </w:trPr>
        <w:tc>
          <w:tcPr>
            <w:tcW w:w="0" w:type="auto"/>
            <w:gridSpan w:val="3"/>
            <w:shd w:val="clear" w:color="auto" w:fill="CCEEFF"/>
            <w:tcMar>
              <w:top w:w="30" w:type="dxa"/>
              <w:left w:w="20" w:type="dxa"/>
              <w:bottom w:w="30" w:type="dxa"/>
              <w:right w:w="20" w:type="dxa"/>
            </w:tcMar>
            <w:hideMark/>
          </w:tcPr>
          <w:p w:rsidR="00000000" w:rsidRDefault="00480785">
            <w:pPr>
              <w:divId w:val="582296876"/>
              <w:rPr>
                <w:rFonts w:eastAsia="Times New Roman"/>
              </w:rPr>
            </w:pPr>
            <w:hyperlink w:anchor="i28e74bea7b4a44c78304596dc3e51779_10" w:history="1">
              <w:r>
                <w:rPr>
                  <w:rStyle w:val="a3"/>
                  <w:rFonts w:eastAsia="Times New Roman"/>
                  <w:b/>
                  <w:bCs/>
                  <w:sz w:val="20"/>
                  <w:szCs w:val="20"/>
                </w:rPr>
                <w:t>PART I.</w:t>
              </w:r>
            </w:hyperlink>
          </w:p>
        </w:tc>
        <w:tc>
          <w:tcPr>
            <w:tcW w:w="0" w:type="auto"/>
            <w:gridSpan w:val="3"/>
            <w:shd w:val="clear" w:color="auto" w:fill="CCEEFF"/>
            <w:tcMar>
              <w:top w:w="30" w:type="dxa"/>
              <w:left w:w="20" w:type="dxa"/>
              <w:bottom w:w="30" w:type="dxa"/>
              <w:right w:w="20" w:type="dxa"/>
            </w:tcMar>
            <w:hideMark/>
          </w:tcPr>
          <w:p w:rsidR="00000000" w:rsidRDefault="00480785">
            <w:pPr>
              <w:divId w:val="563492385"/>
              <w:rPr>
                <w:rFonts w:eastAsia="Times New Roman"/>
              </w:rPr>
            </w:pPr>
            <w:hyperlink w:anchor="i28e74bea7b4a44c78304596dc3e51779_10" w:history="1">
              <w:r>
                <w:rPr>
                  <w:rStyle w:val="a3"/>
                  <w:rFonts w:eastAsia="Times New Roman"/>
                  <w:b/>
                  <w:bCs/>
                  <w:sz w:val="20"/>
                  <w:szCs w:val="20"/>
                </w:rPr>
                <w:t>Financial Information</w:t>
              </w:r>
            </w:hyperlink>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10" w:history="1">
              <w:r>
                <w:rPr>
                  <w:rStyle w:val="a3"/>
                  <w:rFonts w:eastAsia="Times New Roman"/>
                  <w:sz w:val="20"/>
                  <w:szCs w:val="20"/>
                </w:rPr>
                <w:t>3</w:t>
              </w:r>
            </w:hyperlink>
          </w:p>
        </w:tc>
      </w:tr>
      <w:tr w:rsidR="00000000">
        <w:trPr>
          <w:divId w:val="1486386426"/>
        </w:trPr>
        <w:tc>
          <w:tcPr>
            <w:tcW w:w="0" w:type="auto"/>
            <w:gridSpan w:val="3"/>
            <w:shd w:val="clear" w:color="auto" w:fill="FFFFFF"/>
            <w:tcMar>
              <w:top w:w="30" w:type="dxa"/>
              <w:left w:w="20" w:type="dxa"/>
              <w:bottom w:w="30" w:type="dxa"/>
              <w:right w:w="20" w:type="dxa"/>
            </w:tcMar>
            <w:hideMark/>
          </w:tcPr>
          <w:p w:rsidR="00000000" w:rsidRDefault="00480785">
            <w:pPr>
              <w:divId w:val="375159174"/>
              <w:rPr>
                <w:rFonts w:eastAsia="Times New Roman"/>
              </w:rPr>
            </w:pPr>
            <w:hyperlink w:anchor="i28e74bea7b4a44c78304596dc3e51779_1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480785">
            <w:pPr>
              <w:divId w:val="612983517"/>
              <w:rPr>
                <w:rFonts w:eastAsia="Times New Roman"/>
              </w:rPr>
            </w:pPr>
            <w:hyperlink w:anchor="i28e74bea7b4a44c78304596dc3e51779_13"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hideMark/>
          </w:tcPr>
          <w:p w:rsidR="00000000" w:rsidRDefault="00480785">
            <w:pPr>
              <w:jc w:val="right"/>
              <w:rPr>
                <w:rFonts w:eastAsia="Times New Roman"/>
              </w:rPr>
            </w:pPr>
            <w:hyperlink w:anchor="i28e74bea7b4a44c78304596dc3e51779_13" w:history="1">
              <w:r>
                <w:rPr>
                  <w:rStyle w:val="a3"/>
                  <w:rFonts w:eastAsia="Times New Roman"/>
                  <w:sz w:val="20"/>
                  <w:szCs w:val="20"/>
                </w:rPr>
                <w:t>3</w:t>
              </w:r>
            </w:hyperlink>
          </w:p>
        </w:tc>
      </w:tr>
      <w:tr w:rsidR="00000000">
        <w:trPr>
          <w:divId w:val="1486386426"/>
        </w:trPr>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80785">
            <w:pPr>
              <w:divId w:val="1836603763"/>
              <w:rPr>
                <w:rFonts w:eastAsia="Times New Roman"/>
              </w:rPr>
            </w:pPr>
            <w:hyperlink w:anchor="i28e74bea7b4a44c78304596dc3e51779_16" w:history="1">
              <w:r>
                <w:rPr>
                  <w:rStyle w:val="a3"/>
                  <w:rFonts w:eastAsia="Times New Roman"/>
                  <w:sz w:val="20"/>
                  <w:szCs w:val="20"/>
                </w:rPr>
                <w:t>Condensed Consolidated Balance Sheets (unaudited) – September 26, 2020, December 28, 2019, and September 28, 2019</w:t>
              </w:r>
            </w:hyperlink>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16" w:history="1">
              <w:r>
                <w:rPr>
                  <w:rStyle w:val="a3"/>
                  <w:rFonts w:eastAsia="Times New Roman"/>
                  <w:sz w:val="20"/>
                  <w:szCs w:val="20"/>
                </w:rPr>
                <w:t>3</w:t>
              </w:r>
            </w:hyperlink>
          </w:p>
        </w:tc>
      </w:tr>
      <w:tr w:rsidR="00000000">
        <w:trPr>
          <w:divId w:val="1486386426"/>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0785">
            <w:pPr>
              <w:divId w:val="1184706307"/>
              <w:rPr>
                <w:rFonts w:eastAsia="Times New Roman"/>
              </w:rPr>
            </w:pPr>
            <w:hyperlink w:anchor="i28e74bea7b4a44c78304596dc3e51779_19" w:history="1">
              <w:r>
                <w:rPr>
                  <w:rStyle w:val="a3"/>
                  <w:rFonts w:eastAsia="Times New Roman"/>
                  <w:sz w:val="20"/>
                  <w:szCs w:val="20"/>
                </w:rPr>
                <w:t>Condensed Consolidated Statements of Income (unaudited) – For the Fiscal Three and Nine Months Ended September 26, 2020 and September 28, 2019</w:t>
              </w:r>
            </w:hyperlink>
          </w:p>
        </w:tc>
        <w:tc>
          <w:tcPr>
            <w:tcW w:w="0" w:type="auto"/>
            <w:gridSpan w:val="3"/>
            <w:shd w:val="clear" w:color="auto" w:fill="FFFFFF"/>
            <w:tcMar>
              <w:top w:w="30" w:type="dxa"/>
              <w:left w:w="20" w:type="dxa"/>
              <w:bottom w:w="30" w:type="dxa"/>
              <w:right w:w="20" w:type="dxa"/>
            </w:tcMar>
            <w:hideMark/>
          </w:tcPr>
          <w:p w:rsidR="00000000" w:rsidRDefault="00480785">
            <w:pPr>
              <w:jc w:val="right"/>
              <w:rPr>
                <w:rFonts w:eastAsia="Times New Roman"/>
              </w:rPr>
            </w:pPr>
            <w:hyperlink w:anchor="i28e74bea7b4a44c78304596dc3e51779_19" w:history="1">
              <w:r>
                <w:rPr>
                  <w:rStyle w:val="a3"/>
                  <w:rFonts w:eastAsia="Times New Roman"/>
                  <w:sz w:val="20"/>
                  <w:szCs w:val="20"/>
                </w:rPr>
                <w:t>4</w:t>
              </w:r>
            </w:hyperlink>
          </w:p>
        </w:tc>
      </w:tr>
      <w:tr w:rsidR="00000000">
        <w:trPr>
          <w:divId w:val="1486386426"/>
        </w:trPr>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80785">
            <w:pPr>
              <w:divId w:val="280307822"/>
              <w:rPr>
                <w:rFonts w:eastAsia="Times New Roman"/>
              </w:rPr>
            </w:pPr>
            <w:hyperlink w:anchor="i28e74bea7b4a44c78304596dc3e51779_22" w:history="1">
              <w:r>
                <w:rPr>
                  <w:rStyle w:val="a3"/>
                  <w:rFonts w:eastAsia="Times New Roman"/>
                  <w:sz w:val="20"/>
                  <w:szCs w:val="20"/>
                </w:rPr>
                <w:t>Condensed Consolidated Statements of Comprehensive Income (unaudited) – For the Fiscal Three and Nine Months Ended September 26, 2020 and September 28, 2019</w:t>
              </w:r>
            </w:hyperlink>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22" w:history="1">
              <w:r>
                <w:rPr>
                  <w:rStyle w:val="a3"/>
                  <w:rFonts w:eastAsia="Times New Roman"/>
                  <w:sz w:val="20"/>
                  <w:szCs w:val="20"/>
                </w:rPr>
                <w:t>5</w:t>
              </w:r>
            </w:hyperlink>
          </w:p>
        </w:tc>
      </w:tr>
      <w:tr w:rsidR="00000000">
        <w:trPr>
          <w:divId w:val="1486386426"/>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0785">
            <w:pPr>
              <w:divId w:val="386612861"/>
              <w:rPr>
                <w:rFonts w:eastAsia="Times New Roman"/>
              </w:rPr>
            </w:pPr>
            <w:hyperlink w:anchor="i28e74bea7b4a44c78304596dc3e51779_25" w:history="1">
              <w:r>
                <w:rPr>
                  <w:rStyle w:val="a3"/>
                  <w:rFonts w:eastAsia="Times New Roman"/>
                  <w:sz w:val="20"/>
                  <w:szCs w:val="20"/>
                </w:rPr>
                <w:t>Condensed Consolidated Statements of Stockholders’ Equity (unaudited) – For the Fiscal Three and Nine Months Ended September 26, 2020 and September 28, 2019</w:t>
              </w:r>
            </w:hyperlink>
          </w:p>
        </w:tc>
        <w:tc>
          <w:tcPr>
            <w:tcW w:w="0" w:type="auto"/>
            <w:gridSpan w:val="3"/>
            <w:shd w:val="clear" w:color="auto" w:fill="FFFFFF"/>
            <w:tcMar>
              <w:top w:w="30" w:type="dxa"/>
              <w:left w:w="20" w:type="dxa"/>
              <w:bottom w:w="30" w:type="dxa"/>
              <w:right w:w="20" w:type="dxa"/>
            </w:tcMar>
            <w:hideMark/>
          </w:tcPr>
          <w:p w:rsidR="00000000" w:rsidRDefault="00480785">
            <w:pPr>
              <w:jc w:val="right"/>
              <w:rPr>
                <w:rFonts w:eastAsia="Times New Roman"/>
              </w:rPr>
            </w:pPr>
            <w:hyperlink w:anchor="i28e74bea7b4a44c78304596dc3e51779_25" w:history="1">
              <w:r>
                <w:rPr>
                  <w:rStyle w:val="a3"/>
                  <w:rFonts w:eastAsia="Times New Roman"/>
                  <w:sz w:val="20"/>
                  <w:szCs w:val="20"/>
                </w:rPr>
                <w:t>6</w:t>
              </w:r>
            </w:hyperlink>
          </w:p>
        </w:tc>
      </w:tr>
      <w:tr w:rsidR="00000000">
        <w:trPr>
          <w:divId w:val="1486386426"/>
        </w:trPr>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80785">
            <w:pPr>
              <w:divId w:val="1611544974"/>
              <w:rPr>
                <w:rFonts w:eastAsia="Times New Roman"/>
              </w:rPr>
            </w:pPr>
            <w:hyperlink w:anchor="i28e74bea7b4a44c78304596dc3e51779_28" w:history="1">
              <w:r>
                <w:rPr>
                  <w:rStyle w:val="a3"/>
                  <w:rFonts w:eastAsia="Times New Roman"/>
                  <w:sz w:val="20"/>
                  <w:szCs w:val="20"/>
                </w:rPr>
                <w:t xml:space="preserve">Condensed Consolidated Statements of Cash Flows (unaudited) – </w:t>
              </w:r>
              <w:r>
                <w:rPr>
                  <w:rStyle w:val="a3"/>
                  <w:rFonts w:eastAsia="Times New Roman"/>
                  <w:sz w:val="20"/>
                  <w:szCs w:val="20"/>
                </w:rPr>
                <w:t>For the Fiscal Nine Months Ended September 26, 2020 and September 28, 2019</w:t>
              </w:r>
            </w:hyperlink>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28" w:history="1">
              <w:r>
                <w:rPr>
                  <w:rStyle w:val="a3"/>
                  <w:rFonts w:eastAsia="Times New Roman"/>
                  <w:sz w:val="20"/>
                  <w:szCs w:val="20"/>
                </w:rPr>
                <w:t>8</w:t>
              </w:r>
            </w:hyperlink>
          </w:p>
        </w:tc>
      </w:tr>
      <w:tr w:rsidR="00000000">
        <w:trPr>
          <w:divId w:val="1486386426"/>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480785">
            <w:pPr>
              <w:divId w:val="244464581"/>
              <w:rPr>
                <w:rFonts w:eastAsia="Times New Roman"/>
              </w:rPr>
            </w:pPr>
            <w:hyperlink w:anchor="i28e74bea7b4a44c78304596dc3e51779_31" w:history="1">
              <w:r>
                <w:rPr>
                  <w:rStyle w:val="a3"/>
                  <w:rFonts w:eastAsia="Times New Roman"/>
                  <w:sz w:val="20"/>
                  <w:szCs w:val="20"/>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rsidR="00000000" w:rsidRDefault="00480785">
            <w:pPr>
              <w:jc w:val="right"/>
              <w:rPr>
                <w:rFonts w:eastAsia="Times New Roman"/>
              </w:rPr>
            </w:pPr>
            <w:hyperlink w:anchor="i28e74bea7b4a44c78304596dc3e51779_31" w:history="1">
              <w:r>
                <w:rPr>
                  <w:rStyle w:val="a3"/>
                  <w:rFonts w:eastAsia="Times New Roman"/>
                  <w:sz w:val="20"/>
                  <w:szCs w:val="20"/>
                </w:rPr>
                <w:t>9</w:t>
              </w:r>
            </w:hyperlink>
          </w:p>
        </w:tc>
      </w:tr>
      <w:tr w:rsidR="00000000">
        <w:trPr>
          <w:divId w:val="1486386426"/>
        </w:trPr>
        <w:tc>
          <w:tcPr>
            <w:tcW w:w="0" w:type="auto"/>
            <w:gridSpan w:val="3"/>
            <w:shd w:val="clear" w:color="auto" w:fill="CCEEFF"/>
            <w:tcMar>
              <w:top w:w="30" w:type="dxa"/>
              <w:left w:w="20" w:type="dxa"/>
              <w:bottom w:w="30" w:type="dxa"/>
              <w:right w:w="20" w:type="dxa"/>
            </w:tcMar>
            <w:hideMark/>
          </w:tcPr>
          <w:p w:rsidR="00000000" w:rsidRDefault="00480785">
            <w:pPr>
              <w:divId w:val="437530299"/>
              <w:rPr>
                <w:rFonts w:eastAsia="Times New Roman"/>
              </w:rPr>
            </w:pPr>
            <w:hyperlink w:anchor="i28e74bea7b4a44c78304596dc3e51779_70" w:history="1">
              <w:r>
                <w:rPr>
                  <w:rStyle w:val="a3"/>
                  <w:rFonts w:eastAsia="Times New Roman"/>
                  <w:sz w:val="20"/>
                  <w:szCs w:val="20"/>
                </w:rPr>
                <w:t>Item 2.</w:t>
              </w:r>
            </w:hyperlink>
          </w:p>
        </w:tc>
        <w:tc>
          <w:tcPr>
            <w:tcW w:w="0" w:type="auto"/>
            <w:gridSpan w:val="3"/>
            <w:shd w:val="clear" w:color="auto" w:fill="CCEEFF"/>
            <w:tcMar>
              <w:top w:w="30" w:type="dxa"/>
              <w:left w:w="20" w:type="dxa"/>
              <w:bottom w:w="30" w:type="dxa"/>
              <w:right w:w="20" w:type="dxa"/>
            </w:tcMar>
            <w:hideMark/>
          </w:tcPr>
          <w:p w:rsidR="00000000" w:rsidRDefault="00480785">
            <w:pPr>
              <w:divId w:val="1523087233"/>
              <w:rPr>
                <w:rFonts w:eastAsia="Times New Roman"/>
              </w:rPr>
            </w:pPr>
            <w:hyperlink w:anchor="i28e74bea7b4a44c78304596dc3e51779_70" w:history="1">
              <w:r>
                <w:rPr>
                  <w:rStyle w:val="a3"/>
                  <w:rFonts w:eastAsia="Times New Roman"/>
                  <w:sz w:val="20"/>
                  <w:szCs w:val="20"/>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70" w:history="1">
              <w:r>
                <w:rPr>
                  <w:rStyle w:val="a3"/>
                  <w:rFonts w:eastAsia="Times New Roman"/>
                  <w:sz w:val="20"/>
                  <w:szCs w:val="20"/>
                </w:rPr>
                <w:t>19</w:t>
              </w:r>
            </w:hyperlink>
          </w:p>
        </w:tc>
      </w:tr>
      <w:tr w:rsidR="00000000">
        <w:trPr>
          <w:divId w:val="1486386426"/>
        </w:trPr>
        <w:tc>
          <w:tcPr>
            <w:tcW w:w="0" w:type="auto"/>
            <w:gridSpan w:val="3"/>
            <w:shd w:val="clear" w:color="auto" w:fill="FFFFFF"/>
            <w:tcMar>
              <w:top w:w="30" w:type="dxa"/>
              <w:left w:w="20" w:type="dxa"/>
              <w:bottom w:w="30" w:type="dxa"/>
              <w:right w:w="20" w:type="dxa"/>
            </w:tcMar>
            <w:hideMark/>
          </w:tcPr>
          <w:p w:rsidR="00000000" w:rsidRDefault="00480785">
            <w:pPr>
              <w:divId w:val="1173644369"/>
              <w:rPr>
                <w:rFonts w:eastAsia="Times New Roman"/>
              </w:rPr>
            </w:pPr>
            <w:hyperlink w:anchor="i28e74bea7b4a44c78304596dc3e51779_100" w:history="1">
              <w:r>
                <w:rPr>
                  <w:rStyle w:val="a3"/>
                  <w:rFonts w:eastAsia="Times New Roman"/>
                  <w:sz w:val="20"/>
                  <w:szCs w:val="20"/>
                </w:rPr>
                <w:t>Item 3.</w:t>
              </w:r>
            </w:hyperlink>
          </w:p>
        </w:tc>
        <w:tc>
          <w:tcPr>
            <w:tcW w:w="0" w:type="auto"/>
            <w:gridSpan w:val="3"/>
            <w:shd w:val="clear" w:color="auto" w:fill="FFFFFF"/>
            <w:tcMar>
              <w:top w:w="30" w:type="dxa"/>
              <w:left w:w="20" w:type="dxa"/>
              <w:bottom w:w="30" w:type="dxa"/>
              <w:right w:w="20" w:type="dxa"/>
            </w:tcMar>
            <w:hideMark/>
          </w:tcPr>
          <w:p w:rsidR="00000000" w:rsidRDefault="00480785">
            <w:pPr>
              <w:divId w:val="464934052"/>
              <w:rPr>
                <w:rFonts w:eastAsia="Times New Roman"/>
              </w:rPr>
            </w:pPr>
            <w:hyperlink w:anchor="i28e74bea7b4a44c78304596dc3e51779_100"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rsidR="00000000" w:rsidRDefault="00480785">
            <w:pPr>
              <w:jc w:val="right"/>
              <w:rPr>
                <w:rFonts w:eastAsia="Times New Roman"/>
              </w:rPr>
            </w:pPr>
            <w:hyperlink w:anchor="i28e74bea7b4a44c78304596dc3e51779_100" w:history="1">
              <w:r>
                <w:rPr>
                  <w:rStyle w:val="a3"/>
                  <w:rFonts w:eastAsia="Times New Roman"/>
                  <w:sz w:val="20"/>
                  <w:szCs w:val="20"/>
                </w:rPr>
                <w:t>29</w:t>
              </w:r>
            </w:hyperlink>
          </w:p>
        </w:tc>
      </w:tr>
      <w:tr w:rsidR="00000000">
        <w:trPr>
          <w:divId w:val="1486386426"/>
        </w:trPr>
        <w:tc>
          <w:tcPr>
            <w:tcW w:w="0" w:type="auto"/>
            <w:gridSpan w:val="3"/>
            <w:shd w:val="clear" w:color="auto" w:fill="CCEEFF"/>
            <w:tcMar>
              <w:top w:w="30" w:type="dxa"/>
              <w:left w:w="20" w:type="dxa"/>
              <w:bottom w:w="30" w:type="dxa"/>
              <w:right w:w="20" w:type="dxa"/>
            </w:tcMar>
            <w:hideMark/>
          </w:tcPr>
          <w:p w:rsidR="00000000" w:rsidRDefault="00480785">
            <w:pPr>
              <w:divId w:val="1231618404"/>
              <w:rPr>
                <w:rFonts w:eastAsia="Times New Roman"/>
              </w:rPr>
            </w:pPr>
            <w:hyperlink w:anchor="i28e74bea7b4a44c78304596dc3e51779_103" w:history="1">
              <w:r>
                <w:rPr>
                  <w:rStyle w:val="a3"/>
                  <w:rFonts w:eastAsia="Times New Roman"/>
                  <w:sz w:val="20"/>
                  <w:szCs w:val="20"/>
                </w:rPr>
                <w:t>Item 4.</w:t>
              </w:r>
            </w:hyperlink>
          </w:p>
        </w:tc>
        <w:tc>
          <w:tcPr>
            <w:tcW w:w="0" w:type="auto"/>
            <w:gridSpan w:val="3"/>
            <w:shd w:val="clear" w:color="auto" w:fill="CCEEFF"/>
            <w:tcMar>
              <w:top w:w="30" w:type="dxa"/>
              <w:left w:w="20" w:type="dxa"/>
              <w:bottom w:w="30" w:type="dxa"/>
              <w:right w:w="20" w:type="dxa"/>
            </w:tcMar>
            <w:hideMark/>
          </w:tcPr>
          <w:p w:rsidR="00000000" w:rsidRDefault="00480785">
            <w:pPr>
              <w:divId w:val="1669167952"/>
              <w:rPr>
                <w:rFonts w:eastAsia="Times New Roman"/>
              </w:rPr>
            </w:pPr>
            <w:hyperlink w:anchor="i28e74bea7b4a44c78304596dc3e51779_103"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103" w:history="1">
              <w:r>
                <w:rPr>
                  <w:rStyle w:val="a3"/>
                  <w:rFonts w:eastAsia="Times New Roman"/>
                  <w:sz w:val="20"/>
                  <w:szCs w:val="20"/>
                </w:rPr>
                <w:t>30</w:t>
              </w:r>
            </w:hyperlink>
          </w:p>
        </w:tc>
      </w:tr>
      <w:tr w:rsidR="00000000">
        <w:trPr>
          <w:divId w:val="1486386426"/>
          <w:trHeight w:val="280"/>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486386426"/>
        </w:trPr>
        <w:tc>
          <w:tcPr>
            <w:tcW w:w="0" w:type="auto"/>
            <w:gridSpan w:val="3"/>
            <w:shd w:val="clear" w:color="auto" w:fill="CCEEFF"/>
            <w:tcMar>
              <w:top w:w="30" w:type="dxa"/>
              <w:left w:w="20" w:type="dxa"/>
              <w:bottom w:w="30" w:type="dxa"/>
              <w:right w:w="20" w:type="dxa"/>
            </w:tcMar>
            <w:hideMark/>
          </w:tcPr>
          <w:p w:rsidR="00000000" w:rsidRDefault="00480785">
            <w:pPr>
              <w:divId w:val="1275867531"/>
              <w:rPr>
                <w:rFonts w:eastAsia="Times New Roman"/>
              </w:rPr>
            </w:pPr>
            <w:hyperlink w:anchor="i28e74bea7b4a44c78304596dc3e51779_106" w:history="1">
              <w:r>
                <w:rPr>
                  <w:rStyle w:val="a3"/>
                  <w:rFonts w:eastAsia="Times New Roman"/>
                  <w:b/>
                  <w:bCs/>
                  <w:sz w:val="20"/>
                  <w:szCs w:val="20"/>
                </w:rPr>
                <w:t>PART II.</w:t>
              </w:r>
            </w:hyperlink>
          </w:p>
        </w:tc>
        <w:tc>
          <w:tcPr>
            <w:tcW w:w="0" w:type="auto"/>
            <w:gridSpan w:val="3"/>
            <w:shd w:val="clear" w:color="auto" w:fill="CCEEFF"/>
            <w:tcMar>
              <w:top w:w="30" w:type="dxa"/>
              <w:left w:w="20" w:type="dxa"/>
              <w:bottom w:w="30" w:type="dxa"/>
              <w:right w:w="20" w:type="dxa"/>
            </w:tcMar>
            <w:hideMark/>
          </w:tcPr>
          <w:p w:rsidR="00000000" w:rsidRDefault="00480785">
            <w:pPr>
              <w:divId w:val="761951442"/>
              <w:rPr>
                <w:rFonts w:eastAsia="Times New Roman"/>
              </w:rPr>
            </w:pPr>
            <w:hyperlink w:anchor="i28e74bea7b4a44c78304596dc3e51779_106" w:history="1">
              <w:r>
                <w:rPr>
                  <w:rStyle w:val="a3"/>
                  <w:rFonts w:eastAsia="Times New Roman"/>
                  <w:b/>
                  <w:bCs/>
                  <w:sz w:val="20"/>
                  <w:szCs w:val="20"/>
                </w:rPr>
                <w:t>Other Information</w:t>
              </w:r>
            </w:hyperlink>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106" w:history="1">
              <w:r>
                <w:rPr>
                  <w:rStyle w:val="a3"/>
                  <w:rFonts w:eastAsia="Times New Roman"/>
                  <w:sz w:val="20"/>
                  <w:szCs w:val="20"/>
                </w:rPr>
                <w:t>30</w:t>
              </w:r>
            </w:hyperlink>
          </w:p>
        </w:tc>
      </w:tr>
      <w:tr w:rsidR="00000000">
        <w:trPr>
          <w:divId w:val="1486386426"/>
        </w:trPr>
        <w:tc>
          <w:tcPr>
            <w:tcW w:w="0" w:type="auto"/>
            <w:gridSpan w:val="3"/>
            <w:shd w:val="clear" w:color="auto" w:fill="FFFFFF"/>
            <w:tcMar>
              <w:top w:w="30" w:type="dxa"/>
              <w:left w:w="20" w:type="dxa"/>
              <w:bottom w:w="30" w:type="dxa"/>
              <w:right w:w="20" w:type="dxa"/>
            </w:tcMar>
            <w:hideMark/>
          </w:tcPr>
          <w:p w:rsidR="00000000" w:rsidRDefault="00480785">
            <w:pPr>
              <w:divId w:val="1496143580"/>
              <w:rPr>
                <w:rFonts w:eastAsia="Times New Roman"/>
              </w:rPr>
            </w:pPr>
            <w:hyperlink w:anchor="i28e74bea7b4a44c78304596dc3e51779_109"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480785">
            <w:pPr>
              <w:divId w:val="1420255903"/>
              <w:rPr>
                <w:rFonts w:eastAsia="Times New Roman"/>
              </w:rPr>
            </w:pPr>
            <w:hyperlink w:anchor="i28e74bea7b4a44c78304596dc3e51779_109"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hideMark/>
          </w:tcPr>
          <w:p w:rsidR="00000000" w:rsidRDefault="00480785">
            <w:pPr>
              <w:jc w:val="right"/>
              <w:rPr>
                <w:rFonts w:eastAsia="Times New Roman"/>
              </w:rPr>
            </w:pPr>
            <w:hyperlink w:anchor="i28e74bea7b4a44c78304596dc3e51779_109" w:history="1">
              <w:r>
                <w:rPr>
                  <w:rStyle w:val="a3"/>
                  <w:rFonts w:eastAsia="Times New Roman"/>
                  <w:sz w:val="20"/>
                  <w:szCs w:val="20"/>
                </w:rPr>
                <w:t>30</w:t>
              </w:r>
            </w:hyperlink>
          </w:p>
        </w:tc>
      </w:tr>
      <w:tr w:rsidR="00000000">
        <w:trPr>
          <w:divId w:val="1486386426"/>
        </w:trPr>
        <w:tc>
          <w:tcPr>
            <w:tcW w:w="0" w:type="auto"/>
            <w:gridSpan w:val="3"/>
            <w:shd w:val="clear" w:color="auto" w:fill="CCEEFF"/>
            <w:tcMar>
              <w:top w:w="30" w:type="dxa"/>
              <w:left w:w="20" w:type="dxa"/>
              <w:bottom w:w="30" w:type="dxa"/>
              <w:right w:w="20" w:type="dxa"/>
            </w:tcMar>
            <w:hideMark/>
          </w:tcPr>
          <w:p w:rsidR="00000000" w:rsidRDefault="00480785">
            <w:pPr>
              <w:divId w:val="540552076"/>
              <w:rPr>
                <w:rFonts w:eastAsia="Times New Roman"/>
              </w:rPr>
            </w:pPr>
            <w:hyperlink w:anchor="i28e74bea7b4a44c78304596dc3e51779_112" w:history="1">
              <w:r>
                <w:rPr>
                  <w:rStyle w:val="a3"/>
                  <w:rFonts w:eastAsia="Times New Roman"/>
                  <w:sz w:val="20"/>
                  <w:szCs w:val="20"/>
                </w:rPr>
                <w:t>Item 1A.</w:t>
              </w:r>
            </w:hyperlink>
          </w:p>
        </w:tc>
        <w:tc>
          <w:tcPr>
            <w:tcW w:w="0" w:type="auto"/>
            <w:gridSpan w:val="3"/>
            <w:shd w:val="clear" w:color="auto" w:fill="CCEEFF"/>
            <w:tcMar>
              <w:top w:w="30" w:type="dxa"/>
              <w:left w:w="20" w:type="dxa"/>
              <w:bottom w:w="30" w:type="dxa"/>
              <w:right w:w="20" w:type="dxa"/>
            </w:tcMar>
            <w:hideMark/>
          </w:tcPr>
          <w:p w:rsidR="00000000" w:rsidRDefault="00480785">
            <w:pPr>
              <w:divId w:val="1066030327"/>
              <w:rPr>
                <w:rFonts w:eastAsia="Times New Roman"/>
              </w:rPr>
            </w:pPr>
            <w:hyperlink w:anchor="i28e74bea7b4a44c78304596dc3e51779_112"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112" w:history="1">
              <w:r>
                <w:rPr>
                  <w:rStyle w:val="a3"/>
                  <w:rFonts w:eastAsia="Times New Roman"/>
                  <w:sz w:val="20"/>
                  <w:szCs w:val="20"/>
                </w:rPr>
                <w:t>30</w:t>
              </w:r>
            </w:hyperlink>
          </w:p>
        </w:tc>
      </w:tr>
      <w:tr w:rsidR="00000000">
        <w:trPr>
          <w:divId w:val="1486386426"/>
        </w:trPr>
        <w:tc>
          <w:tcPr>
            <w:tcW w:w="0" w:type="auto"/>
            <w:gridSpan w:val="3"/>
            <w:shd w:val="clear" w:color="auto" w:fill="FFFFFF"/>
            <w:tcMar>
              <w:top w:w="30" w:type="dxa"/>
              <w:left w:w="20" w:type="dxa"/>
              <w:bottom w:w="30" w:type="dxa"/>
              <w:right w:w="20" w:type="dxa"/>
            </w:tcMar>
            <w:hideMark/>
          </w:tcPr>
          <w:p w:rsidR="00000000" w:rsidRDefault="00480785">
            <w:pPr>
              <w:divId w:val="885870817"/>
              <w:rPr>
                <w:rFonts w:eastAsia="Times New Roman"/>
              </w:rPr>
            </w:pPr>
            <w:hyperlink w:anchor="i28e74bea7b4a44c78304596dc3e51779_115" w:history="1">
              <w:r>
                <w:rPr>
                  <w:rStyle w:val="a3"/>
                  <w:rFonts w:eastAsia="Times New Roman"/>
                  <w:sz w:val="20"/>
                  <w:szCs w:val="20"/>
                </w:rPr>
                <w:t>Item 2.</w:t>
              </w:r>
            </w:hyperlink>
          </w:p>
        </w:tc>
        <w:tc>
          <w:tcPr>
            <w:tcW w:w="0" w:type="auto"/>
            <w:gridSpan w:val="3"/>
            <w:shd w:val="clear" w:color="auto" w:fill="FFFFFF"/>
            <w:tcMar>
              <w:top w:w="30" w:type="dxa"/>
              <w:left w:w="20" w:type="dxa"/>
              <w:bottom w:w="30" w:type="dxa"/>
              <w:right w:w="20" w:type="dxa"/>
            </w:tcMar>
            <w:hideMark/>
          </w:tcPr>
          <w:p w:rsidR="00000000" w:rsidRDefault="00480785">
            <w:pPr>
              <w:divId w:val="1870145351"/>
              <w:rPr>
                <w:rFonts w:eastAsia="Times New Roman"/>
              </w:rPr>
            </w:pPr>
            <w:hyperlink w:anchor="i28e74bea7b4a44c78304596dc3e51779_115" w:history="1">
              <w:r>
                <w:rPr>
                  <w:rStyle w:val="a3"/>
                  <w:rFonts w:eastAsia="Times New Roman"/>
                  <w:sz w:val="20"/>
                  <w:szCs w:val="20"/>
                </w:rPr>
                <w:t>Unregistered Sales of Equity Securities and Use of Proceeds</w:t>
              </w:r>
            </w:hyperlink>
          </w:p>
        </w:tc>
        <w:tc>
          <w:tcPr>
            <w:tcW w:w="0" w:type="auto"/>
            <w:gridSpan w:val="3"/>
            <w:shd w:val="clear" w:color="auto" w:fill="FFFFFF"/>
            <w:tcMar>
              <w:top w:w="30" w:type="dxa"/>
              <w:left w:w="20" w:type="dxa"/>
              <w:bottom w:w="30" w:type="dxa"/>
              <w:right w:w="20" w:type="dxa"/>
            </w:tcMar>
            <w:hideMark/>
          </w:tcPr>
          <w:p w:rsidR="00000000" w:rsidRDefault="00480785">
            <w:pPr>
              <w:jc w:val="right"/>
              <w:rPr>
                <w:rFonts w:eastAsia="Times New Roman"/>
              </w:rPr>
            </w:pPr>
            <w:hyperlink w:anchor="i28e74bea7b4a44c78304596dc3e51779_115" w:history="1">
              <w:r>
                <w:rPr>
                  <w:rStyle w:val="a3"/>
                  <w:rFonts w:eastAsia="Times New Roman"/>
                  <w:sz w:val="20"/>
                  <w:szCs w:val="20"/>
                </w:rPr>
                <w:t>32</w:t>
              </w:r>
            </w:hyperlink>
          </w:p>
        </w:tc>
      </w:tr>
      <w:tr w:rsidR="00000000">
        <w:trPr>
          <w:divId w:val="1486386426"/>
        </w:trPr>
        <w:tc>
          <w:tcPr>
            <w:tcW w:w="0" w:type="auto"/>
            <w:gridSpan w:val="3"/>
            <w:shd w:val="clear" w:color="auto" w:fill="CCEEFF"/>
            <w:tcMar>
              <w:top w:w="30" w:type="dxa"/>
              <w:left w:w="20" w:type="dxa"/>
              <w:bottom w:w="30" w:type="dxa"/>
              <w:right w:w="20" w:type="dxa"/>
            </w:tcMar>
            <w:hideMark/>
          </w:tcPr>
          <w:p w:rsidR="00000000" w:rsidRDefault="00480785">
            <w:pPr>
              <w:divId w:val="1701196836"/>
              <w:rPr>
                <w:rFonts w:eastAsia="Times New Roman"/>
              </w:rPr>
            </w:pPr>
            <w:hyperlink w:anchor="i28e74bea7b4a44c78304596dc3e51779_118" w:history="1">
              <w:r>
                <w:rPr>
                  <w:rStyle w:val="a3"/>
                  <w:rFonts w:eastAsia="Times New Roman"/>
                  <w:sz w:val="20"/>
                  <w:szCs w:val="20"/>
                </w:rPr>
                <w:t>Item 3.</w:t>
              </w:r>
            </w:hyperlink>
          </w:p>
        </w:tc>
        <w:tc>
          <w:tcPr>
            <w:tcW w:w="0" w:type="auto"/>
            <w:gridSpan w:val="3"/>
            <w:shd w:val="clear" w:color="auto" w:fill="CCEEFF"/>
            <w:tcMar>
              <w:top w:w="30" w:type="dxa"/>
              <w:left w:w="20" w:type="dxa"/>
              <w:bottom w:w="30" w:type="dxa"/>
              <w:right w:w="20" w:type="dxa"/>
            </w:tcMar>
            <w:hideMark/>
          </w:tcPr>
          <w:p w:rsidR="00000000" w:rsidRDefault="00480785">
            <w:pPr>
              <w:divId w:val="1454131255"/>
              <w:rPr>
                <w:rFonts w:eastAsia="Times New Roman"/>
              </w:rPr>
            </w:pPr>
            <w:hyperlink w:anchor="i28e74bea7b4a44c78304596dc3e51779_118"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118" w:history="1">
              <w:r>
                <w:rPr>
                  <w:rStyle w:val="a3"/>
                  <w:rFonts w:eastAsia="Times New Roman"/>
                  <w:sz w:val="20"/>
                  <w:szCs w:val="20"/>
                </w:rPr>
                <w:t>32</w:t>
              </w:r>
            </w:hyperlink>
          </w:p>
        </w:tc>
      </w:tr>
      <w:tr w:rsidR="00000000">
        <w:trPr>
          <w:divId w:val="1486386426"/>
        </w:trPr>
        <w:tc>
          <w:tcPr>
            <w:tcW w:w="0" w:type="auto"/>
            <w:gridSpan w:val="3"/>
            <w:shd w:val="clear" w:color="auto" w:fill="FFFFFF"/>
            <w:tcMar>
              <w:top w:w="30" w:type="dxa"/>
              <w:left w:w="20" w:type="dxa"/>
              <w:bottom w:w="30" w:type="dxa"/>
              <w:right w:w="20" w:type="dxa"/>
            </w:tcMar>
            <w:hideMark/>
          </w:tcPr>
          <w:p w:rsidR="00000000" w:rsidRDefault="00480785">
            <w:pPr>
              <w:divId w:val="2059544083"/>
              <w:rPr>
                <w:rFonts w:eastAsia="Times New Roman"/>
              </w:rPr>
            </w:pPr>
            <w:hyperlink w:anchor="i28e74bea7b4a44c78304596dc3e51779_121" w:history="1">
              <w:r>
                <w:rPr>
                  <w:rStyle w:val="a3"/>
                  <w:rFonts w:eastAsia="Times New Roman"/>
                  <w:sz w:val="20"/>
                  <w:szCs w:val="20"/>
                </w:rPr>
                <w:t>Item 4.</w:t>
              </w:r>
            </w:hyperlink>
          </w:p>
        </w:tc>
        <w:tc>
          <w:tcPr>
            <w:tcW w:w="0" w:type="auto"/>
            <w:gridSpan w:val="3"/>
            <w:shd w:val="clear" w:color="auto" w:fill="FFFFFF"/>
            <w:tcMar>
              <w:top w:w="30" w:type="dxa"/>
              <w:left w:w="20" w:type="dxa"/>
              <w:bottom w:w="30" w:type="dxa"/>
              <w:right w:w="20" w:type="dxa"/>
            </w:tcMar>
            <w:hideMark/>
          </w:tcPr>
          <w:p w:rsidR="00000000" w:rsidRDefault="00480785">
            <w:pPr>
              <w:divId w:val="834340057"/>
              <w:rPr>
                <w:rFonts w:eastAsia="Times New Roman"/>
              </w:rPr>
            </w:pPr>
            <w:hyperlink w:anchor="i28e74bea7b4a44c78304596dc3e51779_121"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hideMark/>
          </w:tcPr>
          <w:p w:rsidR="00000000" w:rsidRDefault="00480785">
            <w:pPr>
              <w:jc w:val="right"/>
              <w:rPr>
                <w:rFonts w:eastAsia="Times New Roman"/>
              </w:rPr>
            </w:pPr>
            <w:hyperlink w:anchor="i28e74bea7b4a44c78304596dc3e51779_121" w:history="1">
              <w:r>
                <w:rPr>
                  <w:rStyle w:val="a3"/>
                  <w:rFonts w:eastAsia="Times New Roman"/>
                  <w:sz w:val="20"/>
                  <w:szCs w:val="20"/>
                </w:rPr>
                <w:t>32</w:t>
              </w:r>
            </w:hyperlink>
          </w:p>
        </w:tc>
      </w:tr>
      <w:tr w:rsidR="00000000">
        <w:trPr>
          <w:divId w:val="1486386426"/>
        </w:trPr>
        <w:tc>
          <w:tcPr>
            <w:tcW w:w="0" w:type="auto"/>
            <w:gridSpan w:val="3"/>
            <w:shd w:val="clear" w:color="auto" w:fill="CCEEFF"/>
            <w:tcMar>
              <w:top w:w="30" w:type="dxa"/>
              <w:left w:w="20" w:type="dxa"/>
              <w:bottom w:w="30" w:type="dxa"/>
              <w:right w:w="20" w:type="dxa"/>
            </w:tcMar>
            <w:hideMark/>
          </w:tcPr>
          <w:p w:rsidR="00000000" w:rsidRDefault="00480785">
            <w:pPr>
              <w:divId w:val="1929381666"/>
              <w:rPr>
                <w:rFonts w:eastAsia="Times New Roman"/>
              </w:rPr>
            </w:pPr>
            <w:hyperlink w:anchor="i28e74bea7b4a44c78304596dc3e51779_124" w:history="1">
              <w:r>
                <w:rPr>
                  <w:rStyle w:val="a3"/>
                  <w:rFonts w:eastAsia="Times New Roman"/>
                  <w:sz w:val="20"/>
                  <w:szCs w:val="20"/>
                </w:rPr>
                <w:t>Item 5.</w:t>
              </w:r>
            </w:hyperlink>
          </w:p>
        </w:tc>
        <w:tc>
          <w:tcPr>
            <w:tcW w:w="0" w:type="auto"/>
            <w:gridSpan w:val="3"/>
            <w:shd w:val="clear" w:color="auto" w:fill="CCEEFF"/>
            <w:tcMar>
              <w:top w:w="30" w:type="dxa"/>
              <w:left w:w="20" w:type="dxa"/>
              <w:bottom w:w="30" w:type="dxa"/>
              <w:right w:w="20" w:type="dxa"/>
            </w:tcMar>
            <w:hideMark/>
          </w:tcPr>
          <w:p w:rsidR="00000000" w:rsidRDefault="00480785">
            <w:pPr>
              <w:divId w:val="804355103"/>
              <w:rPr>
                <w:rFonts w:eastAsia="Times New Roman"/>
              </w:rPr>
            </w:pPr>
            <w:hyperlink w:anchor="i28e74bea7b4a44c78304596dc3e51779_124"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124" w:history="1">
              <w:r>
                <w:rPr>
                  <w:rStyle w:val="a3"/>
                  <w:rFonts w:eastAsia="Times New Roman"/>
                  <w:sz w:val="20"/>
                  <w:szCs w:val="20"/>
                </w:rPr>
                <w:t>32</w:t>
              </w:r>
            </w:hyperlink>
          </w:p>
        </w:tc>
      </w:tr>
      <w:tr w:rsidR="00000000">
        <w:trPr>
          <w:divId w:val="1486386426"/>
        </w:trPr>
        <w:tc>
          <w:tcPr>
            <w:tcW w:w="0" w:type="auto"/>
            <w:gridSpan w:val="3"/>
            <w:shd w:val="clear" w:color="auto" w:fill="FFFFFF"/>
            <w:tcMar>
              <w:top w:w="30" w:type="dxa"/>
              <w:left w:w="20" w:type="dxa"/>
              <w:bottom w:w="30" w:type="dxa"/>
              <w:right w:w="20" w:type="dxa"/>
            </w:tcMar>
            <w:hideMark/>
          </w:tcPr>
          <w:p w:rsidR="00000000" w:rsidRDefault="00480785">
            <w:pPr>
              <w:divId w:val="1321814808"/>
              <w:rPr>
                <w:rFonts w:eastAsia="Times New Roman"/>
              </w:rPr>
            </w:pPr>
            <w:hyperlink w:anchor="i28e74bea7b4a44c78304596dc3e51779_127" w:history="1">
              <w:r>
                <w:rPr>
                  <w:rStyle w:val="a3"/>
                  <w:rFonts w:eastAsia="Times New Roman"/>
                  <w:sz w:val="20"/>
                  <w:szCs w:val="20"/>
                </w:rPr>
                <w:t>Item 6.</w:t>
              </w:r>
            </w:hyperlink>
          </w:p>
        </w:tc>
        <w:tc>
          <w:tcPr>
            <w:tcW w:w="0" w:type="auto"/>
            <w:gridSpan w:val="3"/>
            <w:shd w:val="clear" w:color="auto" w:fill="FFFFFF"/>
            <w:tcMar>
              <w:top w:w="30" w:type="dxa"/>
              <w:left w:w="20" w:type="dxa"/>
              <w:bottom w:w="30" w:type="dxa"/>
              <w:right w:w="20" w:type="dxa"/>
            </w:tcMar>
            <w:hideMark/>
          </w:tcPr>
          <w:p w:rsidR="00000000" w:rsidRDefault="00480785">
            <w:pPr>
              <w:divId w:val="2023630310"/>
              <w:rPr>
                <w:rFonts w:eastAsia="Times New Roman"/>
              </w:rPr>
            </w:pPr>
            <w:hyperlink w:anchor="i28e74bea7b4a44c78304596dc3e51779_127"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hideMark/>
          </w:tcPr>
          <w:p w:rsidR="00000000" w:rsidRDefault="00480785">
            <w:pPr>
              <w:jc w:val="right"/>
              <w:rPr>
                <w:rFonts w:eastAsia="Times New Roman"/>
              </w:rPr>
            </w:pPr>
            <w:hyperlink w:anchor="i28e74bea7b4a44c78304596dc3e51779_127" w:history="1">
              <w:r>
                <w:rPr>
                  <w:rStyle w:val="a3"/>
                  <w:rFonts w:eastAsia="Times New Roman"/>
                  <w:sz w:val="20"/>
                  <w:szCs w:val="20"/>
                </w:rPr>
                <w:t>33</w:t>
              </w:r>
            </w:hyperlink>
          </w:p>
        </w:tc>
      </w:tr>
      <w:tr w:rsidR="00000000">
        <w:trPr>
          <w:divId w:val="1486386426"/>
        </w:trPr>
        <w:tc>
          <w:tcPr>
            <w:tcW w:w="0" w:type="auto"/>
            <w:gridSpan w:val="3"/>
            <w:shd w:val="clear" w:color="auto" w:fill="CCEEFF"/>
            <w:tcMar>
              <w:top w:w="30" w:type="dxa"/>
              <w:left w:w="20" w:type="dxa"/>
              <w:bottom w:w="30" w:type="dxa"/>
              <w:right w:w="20" w:type="dxa"/>
            </w:tcMar>
            <w:hideMark/>
          </w:tcPr>
          <w:p w:rsidR="00000000" w:rsidRDefault="00480785">
            <w:pPr>
              <w:divId w:val="1917275190"/>
              <w:rPr>
                <w:rFonts w:eastAsia="Times New Roman"/>
              </w:rPr>
            </w:pPr>
            <w:hyperlink w:anchor="i28e74bea7b4a44c78304596dc3e51779_130" w:history="1">
              <w:r>
                <w:rPr>
                  <w:rStyle w:val="a3"/>
                  <w:rFonts w:eastAsia="Times New Roman"/>
                  <w:sz w:val="20"/>
                  <w:szCs w:val="20"/>
                </w:rPr>
                <w:t>Signature</w:t>
              </w:r>
            </w:hyperlink>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80785">
            <w:pPr>
              <w:jc w:val="right"/>
              <w:rPr>
                <w:rFonts w:eastAsia="Times New Roman"/>
              </w:rPr>
            </w:pPr>
            <w:hyperlink w:anchor="i28e74bea7b4a44c78304596dc3e51779_130" w:history="1">
              <w:r>
                <w:rPr>
                  <w:rStyle w:val="a3"/>
                  <w:rFonts w:eastAsia="Times New Roman"/>
                  <w:sz w:val="20"/>
                  <w:szCs w:val="20"/>
                </w:rPr>
                <w:t>34</w:t>
              </w:r>
            </w:hyperlink>
          </w:p>
        </w:tc>
      </w:tr>
    </w:tbl>
    <w:p w:rsidR="00000000" w:rsidRDefault="00480785">
      <w:pPr>
        <w:divId w:val="1193113210"/>
        <w:rPr>
          <w:rFonts w:eastAsia="Times New Roman"/>
        </w:rPr>
      </w:pPr>
    </w:p>
    <w:p w:rsidR="00000000" w:rsidRDefault="00480785">
      <w:pPr>
        <w:divId w:val="1373385470"/>
        <w:rPr>
          <w:rFonts w:eastAsia="Times New Roman"/>
        </w:rPr>
      </w:pPr>
    </w:p>
    <w:p w:rsidR="00000000" w:rsidRDefault="00480785">
      <w:pPr>
        <w:jc w:val="center"/>
        <w:rPr>
          <w:rFonts w:eastAsia="Times New Roman"/>
        </w:rPr>
      </w:pPr>
    </w:p>
    <w:p w:rsidR="00000000" w:rsidRDefault="00480785">
      <w:pPr>
        <w:jc w:val="center"/>
        <w:divId w:val="1120564768"/>
        <w:rPr>
          <w:rFonts w:eastAsia="Times New Roman"/>
        </w:rPr>
      </w:pPr>
      <w:r>
        <w:rPr>
          <w:rFonts w:eastAsia="Times New Roman"/>
          <w:color w:val="000000"/>
          <w:sz w:val="20"/>
          <w:szCs w:val="20"/>
        </w:rPr>
        <w:t xml:space="preserve">Page </w:t>
      </w:r>
      <w:r>
        <w:rPr>
          <w:rFonts w:eastAsia="Times New Roman"/>
          <w:color w:val="000000"/>
          <w:sz w:val="20"/>
          <w:szCs w:val="20"/>
        </w:rPr>
        <w:t>2</w:t>
      </w:r>
    </w:p>
    <w:p w:rsidR="00000000" w:rsidRDefault="00480785">
      <w:pPr>
        <w:rPr>
          <w:rFonts w:eastAsia="Times New Roman"/>
        </w:rPr>
      </w:pPr>
      <w:r>
        <w:rPr>
          <w:rFonts w:eastAsia="Times New Roman"/>
        </w:rPr>
        <w:pict>
          <v:rect id="_x0000_i1027" style="width:0;height:1.5pt" o:hralign="center" o:hrstd="t" o:hr="t" fillcolor="#a0a0a0" stroked="f"/>
        </w:pict>
      </w:r>
    </w:p>
    <w:p w:rsidR="00000000" w:rsidRDefault="00480785">
      <w:pPr>
        <w:divId w:val="82075512"/>
        <w:rPr>
          <w:rFonts w:eastAsia="Times New Roman"/>
        </w:rPr>
      </w:pPr>
      <w:hyperlink w:anchor="i28e74bea7b4a44c78304596dc3e51779_7" w:history="1">
        <w:r>
          <w:rPr>
            <w:rStyle w:val="a3"/>
            <w:rFonts w:eastAsia="Times New Roman"/>
            <w:sz w:val="16"/>
            <w:szCs w:val="16"/>
          </w:rPr>
          <w:t>Index</w:t>
        </w:r>
      </w:hyperlink>
    </w:p>
    <w:p w:rsidR="00000000" w:rsidRDefault="00480785">
      <w:pPr>
        <w:jc w:val="center"/>
        <w:rPr>
          <w:rFonts w:eastAsia="Times New Roman"/>
        </w:rPr>
      </w:pPr>
      <w:r>
        <w:rPr>
          <w:rFonts w:eastAsia="Times New Roman"/>
          <w:b/>
          <w:bCs/>
          <w:color w:val="000000"/>
          <w:sz w:val="20"/>
          <w:szCs w:val="20"/>
        </w:rPr>
        <w:t>PART I.  FINANCIAL INFORMATIO</w:t>
      </w:r>
      <w:r>
        <w:rPr>
          <w:rFonts w:eastAsia="Times New Roman"/>
          <w:b/>
          <w:bCs/>
          <w:color w:val="000000"/>
          <w:sz w:val="20"/>
          <w:szCs w:val="20"/>
        </w:rPr>
        <w:t>N</w:t>
      </w:r>
    </w:p>
    <w:p w:rsidR="00000000" w:rsidRDefault="00480785">
      <w:pPr>
        <w:divId w:val="1570384466"/>
        <w:rPr>
          <w:rFonts w:eastAsia="Times New Roman"/>
        </w:rPr>
      </w:pPr>
      <w:r>
        <w:rPr>
          <w:rFonts w:eastAsia="Times New Roman"/>
          <w:b/>
          <w:bCs/>
          <w:color w:val="000000"/>
          <w:sz w:val="20"/>
          <w:szCs w:val="20"/>
          <w:u w:val="single"/>
        </w:rPr>
        <w:t>Item 1. Financial Statement</w:t>
      </w:r>
      <w:r>
        <w:rPr>
          <w:rFonts w:eastAsia="Times New Roman"/>
          <w:b/>
          <w:bCs/>
          <w:color w:val="000000"/>
          <w:sz w:val="20"/>
          <w:szCs w:val="20"/>
          <w:u w:val="single"/>
        </w:rPr>
        <w:t>s</w:t>
      </w:r>
    </w:p>
    <w:p w:rsidR="00000000" w:rsidRDefault="0048078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480785">
      <w:pPr>
        <w:jc w:val="center"/>
        <w:rPr>
          <w:rFonts w:eastAsia="Times New Roman"/>
        </w:rPr>
      </w:pPr>
      <w:r>
        <w:rPr>
          <w:rFonts w:eastAsia="Times New Roman"/>
          <w:b/>
          <w:bCs/>
          <w:color w:val="000000"/>
          <w:sz w:val="20"/>
          <w:szCs w:val="20"/>
        </w:rPr>
        <w:t>CONDENSED CONSOLIDATED BALANCE SHEET</w:t>
      </w:r>
      <w:r>
        <w:rPr>
          <w:rFonts w:eastAsia="Times New Roman"/>
          <w:b/>
          <w:bCs/>
          <w:color w:val="000000"/>
          <w:sz w:val="20"/>
          <w:szCs w:val="20"/>
        </w:rPr>
        <w:t>S</w:t>
      </w:r>
    </w:p>
    <w:p w:rsidR="00000000" w:rsidRDefault="00480785">
      <w:pPr>
        <w:jc w:val="center"/>
        <w:rPr>
          <w:rFonts w:eastAsia="Times New Roman"/>
        </w:rPr>
      </w:pPr>
      <w:r>
        <w:rPr>
          <w:rFonts w:eastAsia="Times New Roman"/>
          <w:b/>
          <w:bCs/>
          <w:color w:val="000000"/>
          <w:sz w:val="20"/>
          <w:szCs w:val="20"/>
        </w:rPr>
        <w:t>(in thousands, except per share amounts</w:t>
      </w:r>
      <w:r>
        <w:rPr>
          <w:rFonts w:eastAsia="Times New Roman"/>
          <w:b/>
          <w:bCs/>
          <w:color w:val="000000"/>
          <w:sz w:val="20"/>
          <w:szCs w:val="20"/>
        </w:rPr>
        <w:t>)</w:t>
      </w:r>
    </w:p>
    <w:p w:rsidR="00000000" w:rsidRDefault="00480785">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0"/>
        <w:gridCol w:w="4782"/>
        <w:gridCol w:w="39"/>
        <w:gridCol w:w="135"/>
        <w:gridCol w:w="933"/>
        <w:gridCol w:w="41"/>
        <w:gridCol w:w="36"/>
        <w:gridCol w:w="36"/>
        <w:gridCol w:w="36"/>
        <w:gridCol w:w="135"/>
        <w:gridCol w:w="865"/>
        <w:gridCol w:w="41"/>
        <w:gridCol w:w="36"/>
        <w:gridCol w:w="36"/>
        <w:gridCol w:w="36"/>
        <w:gridCol w:w="135"/>
        <w:gridCol w:w="878"/>
        <w:gridCol w:w="41"/>
      </w:tblGrid>
      <w:tr w:rsidR="00000000">
        <w:trPr>
          <w:divId w:val="1253851775"/>
        </w:trPr>
        <w:tc>
          <w:tcPr>
            <w:tcW w:w="50" w:type="pct"/>
            <w:vAlign w:val="center"/>
            <w:hideMark/>
          </w:tcPr>
          <w:p w:rsidR="00000000" w:rsidRDefault="00480785">
            <w:pPr>
              <w:jc w:val="center"/>
              <w:rPr>
                <w:rFonts w:eastAsia="Times New Roman"/>
              </w:rPr>
            </w:pPr>
          </w:p>
        </w:tc>
        <w:tc>
          <w:tcPr>
            <w:tcW w:w="292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8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253851775"/>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80785">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r>
      <w:tr w:rsidR="00000000">
        <w:trPr>
          <w:divId w:val="1253851775"/>
        </w:trPr>
        <w:tc>
          <w:tcPr>
            <w:tcW w:w="0" w:type="auto"/>
            <w:gridSpan w:val="3"/>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253851775"/>
        </w:trPr>
        <w:tc>
          <w:tcPr>
            <w:tcW w:w="0" w:type="auto"/>
            <w:gridSpan w:val="3"/>
            <w:shd w:val="clear" w:color="auto" w:fill="FFFF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Current assets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 </w:t>
            </w:r>
          </w:p>
        </w:tc>
      </w:tr>
      <w:tr w:rsidR="00000000">
        <w:trPr>
          <w:divId w:val="1253851775"/>
        </w:trPr>
        <w:tc>
          <w:tcPr>
            <w:tcW w:w="0" w:type="auto"/>
            <w:gridSpan w:val="3"/>
            <w:shd w:val="clear" w:color="auto" w:fill="CCEE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1,111,986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84,241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82,640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vAlign w:val="center"/>
            <w:hideMark/>
          </w:tcPr>
          <w:p w:rsidR="00000000" w:rsidRDefault="00480785">
            <w:pPr>
              <w:jc w:val="right"/>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1253851775"/>
        </w:trPr>
        <w:tc>
          <w:tcPr>
            <w:tcW w:w="0" w:type="auto"/>
            <w:gridSpan w:val="3"/>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1,915,040</w:t>
            </w:r>
            <w:r>
              <w:rPr>
                <w:rFonts w:eastAsia="Times New Roman"/>
                <w:color w:val="000000"/>
                <w:sz w:val="20"/>
                <w:szCs w:val="20"/>
              </w:rPr>
              <w:t> </w:t>
            </w:r>
          </w:p>
        </w:tc>
        <w:tc>
          <w:tcPr>
            <w:tcW w:w="0" w:type="auto"/>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1,602,781</w:t>
            </w:r>
            <w:r>
              <w:rPr>
                <w:rFonts w:eastAsia="Times New Roman"/>
                <w:color w:val="000000"/>
                <w:sz w:val="20"/>
                <w:szCs w:val="20"/>
              </w:rPr>
              <w:t> </w:t>
            </w:r>
          </w:p>
        </w:tc>
        <w:tc>
          <w:tcPr>
            <w:tcW w:w="0" w:type="auto"/>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1,812,772</w:t>
            </w:r>
            <w:r>
              <w:rPr>
                <w:rFonts w:eastAsia="Times New Roman"/>
                <w:color w:val="000000"/>
                <w:sz w:val="20"/>
                <w:szCs w:val="20"/>
              </w:rPr>
              <w:t> </w:t>
            </w:r>
          </w:p>
        </w:tc>
        <w:tc>
          <w:tcPr>
            <w:tcW w:w="0" w:type="auto"/>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136,098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100,865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104,486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Income taxes receivabl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7,838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5,600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7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3,170,962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1,787,887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2,005,498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Height w:val="60"/>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253851775"/>
        </w:trPr>
        <w:tc>
          <w:tcPr>
            <w:tcW w:w="0" w:type="auto"/>
            <w:gridSpan w:val="3"/>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Property and equipment,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1,178,625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1,163,956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1,143,071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Operating lease right-of-use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2,354,196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2,188,802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2,133,238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Goodwill and other intangible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3,581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28,941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24,131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22,997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7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6,860,797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5,289,268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5,429,296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Height w:val="60"/>
        </w:trPr>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253851775"/>
        </w:trPr>
        <w:tc>
          <w:tcPr>
            <w:tcW w:w="0" w:type="auto"/>
            <w:gridSpan w:val="3"/>
            <w:shd w:val="clear" w:color="auto" w:fill="FFFFFF"/>
            <w:tcMar>
              <w:top w:w="30" w:type="dxa"/>
              <w:left w:w="20" w:type="dxa"/>
              <w:bottom w:w="30" w:type="dxa"/>
              <w:right w:w="20" w:type="dxa"/>
            </w:tcMar>
            <w:vAlign w:val="center"/>
            <w:hideMark/>
          </w:tcPr>
          <w:p w:rsidR="00000000" w:rsidRDefault="00480785">
            <w:pPr>
              <w:rPr>
                <w:rFonts w:eastAsia="Times New Roman"/>
              </w:rPr>
            </w:pPr>
            <w:r>
              <w:rPr>
                <w:rFonts w:eastAsia="Times New Roman"/>
                <w:b/>
                <w:bCs/>
                <w:color w:val="000000"/>
                <w:sz w:val="20"/>
                <w:szCs w:val="20"/>
              </w:rPr>
              <w:t>LIABILITIES AND STOCKHOLDERS’ EQUIT</w:t>
            </w:r>
            <w:r>
              <w:rPr>
                <w:rFonts w:eastAsia="Times New Roman"/>
                <w:b/>
                <w:bCs/>
                <w:color w:val="000000"/>
                <w:sz w:val="20"/>
                <w:szCs w:val="20"/>
              </w:rPr>
              <w:t>Y</w:t>
            </w:r>
          </w:p>
        </w:tc>
        <w:tc>
          <w:tcPr>
            <w:tcW w:w="0" w:type="auto"/>
            <w:gridSpan w:val="3"/>
            <w:shd w:val="clear" w:color="auto" w:fill="FFFFFF"/>
            <w:tcMar>
              <w:top w:w="30" w:type="dxa"/>
              <w:left w:w="20" w:type="dxa"/>
              <w:bottom w:w="30" w:type="dxa"/>
              <w:right w:w="20" w:type="dxa"/>
            </w:tcMar>
            <w:vAlign w:val="center"/>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0785">
            <w:pPr>
              <w:jc w:val="right"/>
              <w:rPr>
                <w:rFonts w:eastAsia="Times New Roman"/>
              </w:rPr>
            </w:pPr>
            <w:r>
              <w:rPr>
                <w:rFonts w:eastAsia="Times New Roman"/>
                <w:color w:val="000000"/>
                <w:sz w:val="20"/>
                <w:szCs w:val="20"/>
              </w:rPr>
              <w:t> </w:t>
            </w:r>
          </w:p>
        </w:tc>
      </w:tr>
      <w:tr w:rsidR="00000000">
        <w:trPr>
          <w:divId w:val="1253851775"/>
        </w:trPr>
        <w:tc>
          <w:tcPr>
            <w:tcW w:w="0" w:type="auto"/>
            <w:gridSpan w:val="3"/>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Current liabilities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center"/>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480785">
            <w:pPr>
              <w:jc w:val="right"/>
              <w:rPr>
                <w:rFonts w:eastAsia="Times New Roman"/>
              </w:rPr>
            </w:pPr>
            <w:r>
              <w:rPr>
                <w:rFonts w:eastAsia="Times New Roman"/>
                <w:color w:val="000000"/>
                <w:sz w:val="20"/>
                <w:szCs w:val="20"/>
              </w:rPr>
              <w:t> </w:t>
            </w:r>
          </w:p>
        </w:tc>
      </w:tr>
      <w:tr w:rsidR="00000000">
        <w:trPr>
          <w:divId w:val="1253851775"/>
        </w:trPr>
        <w:tc>
          <w:tcPr>
            <w:tcW w:w="0" w:type="auto"/>
            <w:gridSpan w:val="3"/>
            <w:shd w:val="clear" w:color="auto" w:fill="FFFF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1,056,911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643,036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679,791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120,361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39,755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49,236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274,244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247,690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218,774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Current portion of 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380,000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Current portion of finance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4,407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4,036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3,884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Current portion of operating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294,826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277,099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270,038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Income taxes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1,914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5,984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vAlign w:val="center"/>
            <w:hideMark/>
          </w:tcPr>
          <w:p w:rsidR="00000000" w:rsidRDefault="00480785">
            <w:pPr>
              <w:jc w:val="right"/>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1253851775"/>
        </w:trPr>
        <w:tc>
          <w:tcPr>
            <w:tcW w:w="0" w:type="auto"/>
            <w:gridSpan w:val="3"/>
            <w:shd w:val="clear" w:color="auto" w:fill="CCEEFF"/>
            <w:tcMar>
              <w:top w:w="30" w:type="dxa"/>
              <w:left w:w="720" w:type="dxa"/>
              <w:bottom w:w="30" w:type="dxa"/>
              <w:right w:w="20" w:type="dxa"/>
            </w:tcMar>
            <w:vAlign w:val="center"/>
            <w:hideMark/>
          </w:tcPr>
          <w:p w:rsidR="00000000" w:rsidRDefault="00480785">
            <w:pPr>
              <w:rPr>
                <w:rFonts w:eastAsia="Times New Roman"/>
              </w:rPr>
            </w:pPr>
            <w:r>
              <w:rPr>
                <w:rFonts w:eastAsia="Times New Roman"/>
                <w:color w:val="000000"/>
                <w:sz w:val="20"/>
                <w:szCs w:val="20"/>
              </w:rPr>
              <w:lastRenderedPageBreak/>
              <w:t>Total 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2,132,663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1,247,600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1,251,723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Height w:val="60"/>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253851775"/>
        </w:trPr>
        <w:tc>
          <w:tcPr>
            <w:tcW w:w="0" w:type="auto"/>
            <w:gridSpan w:val="3"/>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529,264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366,480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613,885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Finance lease liabilities, less current portio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32,948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30,389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29,174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Operating lease liabilities, less current portio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2,171,773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2,001,162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1,966,363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1,888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vAlign w:val="center"/>
            <w:hideMark/>
          </w:tcPr>
          <w:p w:rsidR="00000000" w:rsidRDefault="00480785">
            <w:pPr>
              <w:jc w:val="right"/>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1253851775"/>
        </w:trPr>
        <w:tc>
          <w:tcPr>
            <w:tcW w:w="0" w:type="auto"/>
            <w:gridSpan w:val="3"/>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118,283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76,361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74,441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7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4,984,931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3,722,145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3,937,474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Height w:val="60"/>
        </w:trPr>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253851775"/>
        </w:trPr>
        <w:tc>
          <w:tcPr>
            <w:tcW w:w="0" w:type="auto"/>
            <w:gridSpan w:val="3"/>
            <w:shd w:val="clear" w:color="auto" w:fill="FFFF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Stockholders’ equity</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center"/>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480785">
            <w:pPr>
              <w:jc w:val="right"/>
              <w:rPr>
                <w:rFonts w:eastAsia="Times New Roman"/>
              </w:rPr>
            </w:pPr>
            <w:r>
              <w:rPr>
                <w:rFonts w:eastAsia="Times New Roman"/>
                <w:color w:val="000000"/>
                <w:sz w:val="20"/>
                <w:szCs w:val="20"/>
              </w:rPr>
              <w:t> </w:t>
            </w:r>
          </w:p>
        </w:tc>
      </w:tr>
      <w:tr w:rsidR="00000000">
        <w:trPr>
          <w:divId w:val="1253851775"/>
        </w:trPr>
        <w:tc>
          <w:tcPr>
            <w:tcW w:w="0" w:type="auto"/>
            <w:gridSpan w:val="3"/>
            <w:shd w:val="clear" w:color="auto" w:fill="CCEE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Preferred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1,398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1,389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1,388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1,059,687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966,698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950,908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Treasury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(3,277,215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(3,013,996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(2,970,654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Accumulated other comprehensive (loss)/incom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(5,867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225" w:type="dxa"/>
              <w:bottom w:w="30" w:type="dxa"/>
              <w:right w:w="20" w:type="dxa"/>
            </w:tcMar>
            <w:vAlign w:val="center"/>
            <w:hideMark/>
          </w:tcPr>
          <w:p w:rsidR="00000000" w:rsidRDefault="00480785">
            <w:pPr>
              <w:rPr>
                <w:rFonts w:eastAsia="Times New Roman"/>
              </w:rPr>
            </w:pPr>
            <w:r>
              <w:rPr>
                <w:rFonts w:eastAsia="Times New Roman"/>
                <w:color w:val="000000"/>
                <w:sz w:val="20"/>
                <w:szCs w:val="20"/>
              </w:rPr>
              <w:t>Retained earning</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4,097,863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3,612,833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3,510,107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CCEEFF"/>
            <w:tcMar>
              <w:top w:w="30" w:type="dxa"/>
              <w:left w:w="7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1,875,866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1,567,123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1,491,822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Pr>
        <w:tc>
          <w:tcPr>
            <w:tcW w:w="0" w:type="auto"/>
            <w:gridSpan w:val="3"/>
            <w:shd w:val="clear" w:color="auto" w:fill="FFFFFF"/>
            <w:tcMar>
              <w:top w:w="30" w:type="dxa"/>
              <w:left w:w="7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Total liabilities and stockholders’ equit</w:t>
            </w:r>
            <w:r>
              <w:rPr>
                <w:rFonts w:eastAsia="Times New Roman"/>
                <w:color w:val="000000"/>
                <w:sz w:val="20"/>
                <w:szCs w:val="20"/>
              </w:rPr>
              <w:t>y</w:t>
            </w: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6,860,797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5,289,268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5,429,296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480785">
            <w:pPr>
              <w:jc w:val="right"/>
              <w:rPr>
                <w:rFonts w:eastAsia="Times New Roman"/>
              </w:rPr>
            </w:pPr>
          </w:p>
        </w:tc>
      </w:tr>
      <w:tr w:rsidR="00000000">
        <w:trPr>
          <w:divId w:val="1253851775"/>
          <w:trHeight w:val="60"/>
        </w:trPr>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80785">
            <w:pPr>
              <w:rPr>
                <w:rFonts w:eastAsia="Times New Roman"/>
                <w:sz w:val="20"/>
                <w:szCs w:val="20"/>
              </w:rPr>
            </w:pPr>
          </w:p>
        </w:tc>
      </w:tr>
    </w:tbl>
    <w:p w:rsidR="00000000" w:rsidRDefault="00480785">
      <w:pPr>
        <w:ind w:hanging="180"/>
        <w:divId w:val="754087338"/>
        <w:rPr>
          <w:rFonts w:eastAsia="Times New Roman"/>
        </w:rPr>
      </w:pPr>
      <w:r>
        <w:rPr>
          <w:rFonts w:eastAsia="Times New Roman"/>
          <w:b/>
          <w:bCs/>
          <w:color w:val="000000"/>
          <w:sz w:val="16"/>
          <w:szCs w:val="16"/>
        </w:rPr>
        <w:t>Preferred Stock (shares in thousands</w:t>
      </w:r>
      <w:r>
        <w:rPr>
          <w:rFonts w:eastAsia="Times New Roman"/>
          <w:b/>
          <w:bCs/>
          <w:color w:val="000000"/>
          <w:sz w:val="16"/>
          <w:szCs w:val="16"/>
        </w:rPr>
        <w:t>)</w:t>
      </w:r>
      <w:r>
        <w:rPr>
          <w:rFonts w:eastAsia="Times New Roman"/>
          <w:color w:val="000000"/>
          <w:sz w:val="16"/>
          <w:szCs w:val="16"/>
        </w:rPr>
        <w:t>: $1.00 par value; 40 shares authorized; no shares were issued or outstanding during any period presented</w:t>
      </w:r>
      <w:r>
        <w:rPr>
          <w:rFonts w:eastAsia="Times New Roman"/>
          <w:color w:val="000000"/>
          <w:sz w:val="16"/>
          <w:szCs w:val="16"/>
        </w:rPr>
        <w:t>.</w:t>
      </w:r>
    </w:p>
    <w:p w:rsidR="00000000" w:rsidRDefault="00480785">
      <w:pPr>
        <w:ind w:hanging="1080"/>
        <w:divId w:val="444081271"/>
        <w:rPr>
          <w:rFonts w:eastAsia="Times New Roman"/>
        </w:rPr>
      </w:pPr>
      <w:r>
        <w:rPr>
          <w:rFonts w:eastAsia="Times New Roman"/>
          <w:b/>
          <w:bCs/>
          <w:color w:val="000000"/>
          <w:sz w:val="16"/>
          <w:szCs w:val="16"/>
        </w:rPr>
        <w:t>Common Stock (shares in thousands</w:t>
      </w:r>
      <w:r>
        <w:rPr>
          <w:rFonts w:eastAsia="Times New Roman"/>
          <w:b/>
          <w:bCs/>
          <w:color w:val="000000"/>
          <w:sz w:val="16"/>
          <w:szCs w:val="16"/>
        </w:rPr>
        <w:t>)</w:t>
      </w:r>
      <w:r>
        <w:rPr>
          <w:rFonts w:eastAsia="Times New Roman"/>
          <w:color w:val="000000"/>
          <w:sz w:val="16"/>
          <w:szCs w:val="16"/>
        </w:rPr>
        <w:t xml:space="preserve">: $0.008 </w:t>
      </w:r>
      <w:r>
        <w:rPr>
          <w:rFonts w:eastAsia="Times New Roman"/>
          <w:color w:val="000000"/>
          <w:sz w:val="16"/>
          <w:szCs w:val="16"/>
        </w:rPr>
        <w:t>par value; 400,000 shares authorized at all periods presented. 174,793, 173,608, and 173,465 shares issued; 116,497, 118,165, and 118,480 shares outstanding at September 26, 2020, December 28, 2019, and September 28, 2019, respectively.</w:t>
      </w:r>
      <w:r>
        <w:rPr>
          <w:rFonts w:eastAsia="Times New Roman"/>
          <w:color w:val="000000"/>
          <w:sz w:val="16"/>
          <w:szCs w:val="16"/>
        </w:rPr>
        <w:t xml:space="preserve"> </w:t>
      </w:r>
    </w:p>
    <w:p w:rsidR="00000000" w:rsidRDefault="00480785">
      <w:pPr>
        <w:ind w:hanging="1080"/>
        <w:divId w:val="1816677753"/>
        <w:rPr>
          <w:rFonts w:eastAsia="Times New Roman"/>
        </w:rPr>
      </w:pPr>
      <w:r>
        <w:rPr>
          <w:rFonts w:eastAsia="Times New Roman"/>
          <w:b/>
          <w:bCs/>
          <w:color w:val="000000"/>
          <w:sz w:val="16"/>
          <w:szCs w:val="16"/>
        </w:rPr>
        <w:t>Treasury Stock (at</w:t>
      </w:r>
      <w:r>
        <w:rPr>
          <w:rFonts w:eastAsia="Times New Roman"/>
          <w:b/>
          <w:bCs/>
          <w:color w:val="000000"/>
          <w:sz w:val="16"/>
          <w:szCs w:val="16"/>
        </w:rPr>
        <w:t xml:space="preserve"> cost, shares in thousands</w:t>
      </w:r>
      <w:r>
        <w:rPr>
          <w:rFonts w:eastAsia="Times New Roman"/>
          <w:b/>
          <w:bCs/>
          <w:color w:val="000000"/>
          <w:sz w:val="16"/>
          <w:szCs w:val="16"/>
        </w:rPr>
        <w:t>)</w:t>
      </w:r>
      <w:r>
        <w:rPr>
          <w:rFonts w:eastAsia="Times New Roman"/>
          <w:color w:val="000000"/>
          <w:sz w:val="16"/>
          <w:szCs w:val="16"/>
        </w:rPr>
        <w:t>: 58,296, 55,443, and 54,985 shares at September 26, 2020, December 28, 2019, and September 28, 2019, respectively</w:t>
      </w:r>
      <w:r>
        <w:rPr>
          <w:rFonts w:eastAsia="Times New Roman"/>
          <w:color w:val="000000"/>
          <w:sz w:val="16"/>
          <w:szCs w:val="16"/>
        </w:rPr>
        <w:t>.</w:t>
      </w:r>
    </w:p>
    <w:p w:rsidR="00000000" w:rsidRDefault="00480785">
      <w:pPr>
        <w:jc w:val="center"/>
        <w:rPr>
          <w:rFonts w:eastAsia="Times New Roman"/>
        </w:rPr>
      </w:pPr>
    </w:p>
    <w:p w:rsidR="00000000" w:rsidRDefault="00480785">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rsidR="00000000" w:rsidRDefault="00480785">
      <w:pPr>
        <w:jc w:val="center"/>
        <w:divId w:val="752627072"/>
        <w:rPr>
          <w:rFonts w:eastAsia="Times New Roman"/>
        </w:rPr>
      </w:pPr>
      <w:r>
        <w:rPr>
          <w:rFonts w:eastAsia="Times New Roman"/>
          <w:color w:val="000000"/>
          <w:sz w:val="20"/>
          <w:szCs w:val="20"/>
        </w:rPr>
        <w:t xml:space="preserve">Page </w:t>
      </w:r>
      <w:r>
        <w:rPr>
          <w:rFonts w:eastAsia="Times New Roman"/>
          <w:color w:val="000000"/>
          <w:sz w:val="20"/>
          <w:szCs w:val="20"/>
        </w:rPr>
        <w:t>3</w:t>
      </w:r>
    </w:p>
    <w:p w:rsidR="00000000" w:rsidRDefault="00480785">
      <w:pPr>
        <w:rPr>
          <w:rFonts w:eastAsia="Times New Roman"/>
        </w:rPr>
      </w:pPr>
      <w:r>
        <w:rPr>
          <w:rFonts w:eastAsia="Times New Roman"/>
        </w:rPr>
        <w:pict>
          <v:rect id="_x0000_i1028" style="width:0;height:1.5pt" o:hralign="center" o:hrstd="t" o:hr="t" fillcolor="#a0a0a0" stroked="f"/>
        </w:pict>
      </w:r>
    </w:p>
    <w:p w:rsidR="00000000" w:rsidRDefault="00480785">
      <w:pPr>
        <w:divId w:val="1955211278"/>
        <w:rPr>
          <w:rFonts w:eastAsia="Times New Roman"/>
        </w:rPr>
      </w:pPr>
      <w:hyperlink w:anchor="i28e74bea7b4a44c78304596dc3e51779_7" w:history="1">
        <w:r>
          <w:rPr>
            <w:rStyle w:val="a3"/>
            <w:rFonts w:eastAsia="Times New Roman"/>
            <w:sz w:val="16"/>
            <w:szCs w:val="16"/>
          </w:rPr>
          <w:t>Index</w:t>
        </w:r>
      </w:hyperlink>
    </w:p>
    <w:p w:rsidR="00000000" w:rsidRDefault="0048078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480785">
      <w:pPr>
        <w:jc w:val="center"/>
        <w:rPr>
          <w:rFonts w:eastAsia="Times New Roman"/>
        </w:rPr>
      </w:pPr>
      <w:r>
        <w:rPr>
          <w:rFonts w:eastAsia="Times New Roman"/>
          <w:b/>
          <w:bCs/>
          <w:color w:val="000000"/>
          <w:sz w:val="20"/>
          <w:szCs w:val="20"/>
        </w:rPr>
        <w:t>CONDENSED CONSOLIDATED STATEMENTS OF INCOM</w:t>
      </w:r>
      <w:r>
        <w:rPr>
          <w:rFonts w:eastAsia="Times New Roman"/>
          <w:b/>
          <w:bCs/>
          <w:color w:val="000000"/>
          <w:sz w:val="20"/>
          <w:szCs w:val="20"/>
        </w:rPr>
        <w:t>E</w:t>
      </w:r>
    </w:p>
    <w:p w:rsidR="00000000" w:rsidRDefault="00480785">
      <w:pPr>
        <w:jc w:val="center"/>
        <w:rPr>
          <w:rFonts w:eastAsia="Times New Roman"/>
        </w:rPr>
      </w:pPr>
      <w:r>
        <w:rPr>
          <w:rFonts w:eastAsia="Times New Roman"/>
          <w:b/>
          <w:bCs/>
          <w:color w:val="000000"/>
          <w:sz w:val="20"/>
          <w:szCs w:val="20"/>
        </w:rPr>
        <w:t>(in thousands, except per share amounts</w:t>
      </w:r>
      <w:r>
        <w:rPr>
          <w:rFonts w:eastAsia="Times New Roman"/>
          <w:b/>
          <w:bCs/>
          <w:color w:val="000000"/>
          <w:sz w:val="20"/>
          <w:szCs w:val="20"/>
        </w:rPr>
        <w:t>)</w:t>
      </w:r>
    </w:p>
    <w:p w:rsidR="00000000" w:rsidRDefault="00480785">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p w:rsidR="00000000" w:rsidRDefault="00480785">
      <w:pPr>
        <w:divId w:val="8175271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310"/>
        <w:gridCol w:w="37"/>
        <w:gridCol w:w="135"/>
        <w:gridCol w:w="865"/>
        <w:gridCol w:w="41"/>
        <w:gridCol w:w="36"/>
        <w:gridCol w:w="36"/>
        <w:gridCol w:w="36"/>
        <w:gridCol w:w="135"/>
        <w:gridCol w:w="865"/>
        <w:gridCol w:w="41"/>
        <w:gridCol w:w="36"/>
        <w:gridCol w:w="36"/>
        <w:gridCol w:w="36"/>
        <w:gridCol w:w="135"/>
        <w:gridCol w:w="865"/>
        <w:gridCol w:w="41"/>
        <w:gridCol w:w="36"/>
        <w:gridCol w:w="36"/>
        <w:gridCol w:w="36"/>
        <w:gridCol w:w="135"/>
        <w:gridCol w:w="865"/>
        <w:gridCol w:w="41"/>
        <w:gridCol w:w="36"/>
        <w:gridCol w:w="36"/>
        <w:gridCol w:w="36"/>
        <w:gridCol w:w="36"/>
        <w:gridCol w:w="36"/>
        <w:gridCol w:w="36"/>
        <w:gridCol w:w="36"/>
        <w:gridCol w:w="36"/>
        <w:gridCol w:w="36"/>
        <w:gridCol w:w="36"/>
        <w:gridCol w:w="36"/>
        <w:gridCol w:w="36"/>
      </w:tblGrid>
      <w:tr w:rsidR="00000000">
        <w:trPr>
          <w:gridAfter w:val="12"/>
          <w:divId w:val="402796629"/>
        </w:trPr>
        <w:tc>
          <w:tcPr>
            <w:tcW w:w="50" w:type="pct"/>
            <w:vAlign w:val="center"/>
            <w:hideMark/>
          </w:tcPr>
          <w:p w:rsidR="00000000" w:rsidRDefault="00480785">
            <w:pPr>
              <w:rPr>
                <w:rFonts w:eastAsia="Times New Roman"/>
              </w:rPr>
            </w:pPr>
          </w:p>
        </w:tc>
        <w:tc>
          <w:tcPr>
            <w:tcW w:w="223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402796629"/>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9"/>
            <w:tcMar>
              <w:top w:w="30" w:type="dxa"/>
              <w:left w:w="112" w:type="dxa"/>
              <w:bottom w:w="30" w:type="dxa"/>
              <w:right w:w="112" w:type="dxa"/>
            </w:tcMar>
            <w:vAlign w:val="bottom"/>
            <w:hideMark/>
          </w:tcPr>
          <w:p w:rsidR="00000000" w:rsidRDefault="00480785">
            <w:pPr>
              <w:jc w:val="center"/>
              <w:rPr>
                <w:rFonts w:eastAsia="Times New Roman"/>
              </w:rPr>
            </w:pPr>
            <w:r>
              <w:rPr>
                <w:rFonts w:eastAsia="Times New Roman"/>
                <w:b/>
                <w:bCs/>
                <w:color w:val="000000"/>
                <w:sz w:val="20"/>
                <w:szCs w:val="20"/>
              </w:rPr>
              <w:t xml:space="preserve">For the Fiscal Three </w:t>
            </w:r>
            <w:r>
              <w:rPr>
                <w:rFonts w:eastAsia="Times New Roman"/>
                <w:b/>
                <w:bCs/>
                <w:color w:val="000000"/>
                <w:sz w:val="20"/>
                <w:szCs w:val="20"/>
              </w:rPr>
              <w:br/>
              <w:t>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112" w:type="dxa"/>
              <w:bottom w:w="30" w:type="dxa"/>
              <w:right w:w="112" w:type="dxa"/>
            </w:tcMar>
            <w:vAlign w:val="bottom"/>
            <w:hideMark/>
          </w:tcPr>
          <w:p w:rsidR="00000000" w:rsidRDefault="00480785">
            <w:pPr>
              <w:jc w:val="center"/>
              <w:rPr>
                <w:rFonts w:eastAsia="Times New Roman"/>
              </w:rPr>
            </w:pPr>
            <w:r>
              <w:rPr>
                <w:rFonts w:eastAsia="Times New Roman"/>
                <w:b/>
                <w:bCs/>
                <w:color w:val="000000"/>
                <w:sz w:val="20"/>
                <w:szCs w:val="20"/>
              </w:rPr>
              <w:t xml:space="preserve">For the Fiscal Nine </w:t>
            </w:r>
            <w:r>
              <w:rPr>
                <w:rFonts w:eastAsia="Times New Roman"/>
                <w:b/>
                <w:bCs/>
                <w:color w:val="000000"/>
                <w:sz w:val="20"/>
                <w:szCs w:val="20"/>
              </w:rPr>
              <w:br/>
              <w:t>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402796629"/>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Net sale</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2,606,572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1,984,144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7,742,087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6,160,146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Cost of merchandise sol</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1,658,615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1,289,904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4,976,068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4,030,177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Gross profi</w:t>
            </w:r>
            <w:r>
              <w:rPr>
                <w:rFonts w:eastAsia="Times New Roman"/>
                <w:b/>
                <w:bCs/>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947,957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694,240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2,766,019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2,129,969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641,129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482,604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1,794,924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1,432,603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54,651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49,819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158,634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144,584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Operating incom</w:t>
            </w:r>
            <w:r>
              <w:rPr>
                <w:rFonts w:eastAsia="Times New Roman"/>
                <w:b/>
                <w:bCs/>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252,177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161,817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812,461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552,782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7,208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4,900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20,695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Income before income taxe</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244,969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156,917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791,766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537,776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Income tax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54,359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34,784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178,701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119,601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Net incom</w:t>
            </w:r>
            <w:r>
              <w:rPr>
                <w:rFonts w:eastAsia="Times New Roman"/>
                <w:b/>
                <w:bCs/>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190,610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122,133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613,065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418,175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Height w:val="180"/>
        </w:trPr>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Net income per share – basi</w:t>
            </w:r>
            <w:r>
              <w:rPr>
                <w:rFonts w:eastAsia="Times New Roman"/>
                <w:b/>
                <w:bCs/>
                <w:color w:val="000000"/>
                <w:sz w:val="20"/>
                <w:szCs w:val="20"/>
              </w:rPr>
              <w:t>c</w:t>
            </w: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Net income per share – dilute</w:t>
            </w:r>
            <w:r>
              <w:rPr>
                <w:rFonts w:eastAsia="Times New Roman"/>
                <w:b/>
                <w:bCs/>
                <w:color w:val="000000"/>
                <w:sz w:val="20"/>
                <w:szCs w:val="20"/>
              </w:rPr>
              <w:t>d</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1.62</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5.23</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3.45</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Height w:val="180"/>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Weighted average shares outstanding</w:t>
            </w: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116,339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118,956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116,330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120,180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117,745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120,058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117,330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121,239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Height w:val="180"/>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02796629"/>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Dividends declared per common share outstandin</w:t>
            </w:r>
            <w:r>
              <w:rPr>
                <w:rFonts w:eastAsia="Times New Roman"/>
                <w:b/>
                <w:bCs/>
                <w:color w:val="000000"/>
                <w:sz w:val="20"/>
                <w:szCs w:val="20"/>
              </w:rPr>
              <w:t>g</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0.40</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1.10</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1.01</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center"/>
        <w:rPr>
          <w:rFonts w:eastAsia="Times New Roman"/>
        </w:rPr>
      </w:pPr>
    </w:p>
    <w:p w:rsidR="00000000" w:rsidRDefault="00480785">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rsidR="00000000" w:rsidRDefault="00480785">
      <w:pPr>
        <w:jc w:val="center"/>
        <w:divId w:val="1082486007"/>
        <w:rPr>
          <w:rFonts w:eastAsia="Times New Roman"/>
        </w:rPr>
      </w:pPr>
      <w:r>
        <w:rPr>
          <w:rFonts w:eastAsia="Times New Roman"/>
          <w:color w:val="000000"/>
          <w:sz w:val="20"/>
          <w:szCs w:val="20"/>
        </w:rPr>
        <w:t xml:space="preserve">Page </w:t>
      </w:r>
      <w:r>
        <w:rPr>
          <w:rFonts w:eastAsia="Times New Roman"/>
          <w:color w:val="000000"/>
          <w:sz w:val="20"/>
          <w:szCs w:val="20"/>
        </w:rPr>
        <w:t>4</w:t>
      </w:r>
    </w:p>
    <w:p w:rsidR="00000000" w:rsidRDefault="00480785">
      <w:pPr>
        <w:rPr>
          <w:rFonts w:eastAsia="Times New Roman"/>
        </w:rPr>
      </w:pPr>
      <w:r>
        <w:rPr>
          <w:rFonts w:eastAsia="Times New Roman"/>
        </w:rPr>
        <w:pict>
          <v:rect id="_x0000_i1029" style="width:0;height:1.5pt" o:hralign="center" o:hrstd="t" o:hr="t" fillcolor="#a0a0a0" stroked="f"/>
        </w:pict>
      </w:r>
    </w:p>
    <w:p w:rsidR="00000000" w:rsidRDefault="00480785">
      <w:pPr>
        <w:divId w:val="914390023"/>
        <w:rPr>
          <w:rFonts w:eastAsia="Times New Roman"/>
        </w:rPr>
      </w:pPr>
      <w:hyperlink w:anchor="i28e74bea7b4a44c78304596dc3e51779_7" w:history="1">
        <w:r>
          <w:rPr>
            <w:rStyle w:val="a3"/>
            <w:rFonts w:eastAsia="Times New Roman"/>
            <w:sz w:val="16"/>
            <w:szCs w:val="16"/>
          </w:rPr>
          <w:t>Index</w:t>
        </w:r>
      </w:hyperlink>
    </w:p>
    <w:p w:rsidR="00000000" w:rsidRDefault="0048078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480785">
      <w:pPr>
        <w:jc w:val="center"/>
        <w:rPr>
          <w:rFonts w:eastAsia="Times New Roman"/>
        </w:rPr>
      </w:pPr>
      <w:r>
        <w:rPr>
          <w:rFonts w:eastAsia="Times New Roman"/>
          <w:b/>
          <w:bCs/>
          <w:color w:val="000000"/>
          <w:sz w:val="20"/>
          <w:szCs w:val="20"/>
        </w:rPr>
        <w:t>CONDENSED CONSOLIDATED STATEMENTS OF COMPREHENSIVE INCOM</w:t>
      </w:r>
      <w:r>
        <w:rPr>
          <w:rFonts w:eastAsia="Times New Roman"/>
          <w:b/>
          <w:bCs/>
          <w:color w:val="000000"/>
          <w:sz w:val="20"/>
          <w:szCs w:val="20"/>
        </w:rPr>
        <w:t>E</w:t>
      </w:r>
    </w:p>
    <w:p w:rsidR="00000000" w:rsidRDefault="00480785">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p w:rsidR="00000000" w:rsidRDefault="00480785">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p w:rsidR="00000000" w:rsidRDefault="00480785">
      <w:pPr>
        <w:divId w:val="56756907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244"/>
        <w:gridCol w:w="37"/>
        <w:gridCol w:w="136"/>
        <w:gridCol w:w="880"/>
        <w:gridCol w:w="41"/>
        <w:gridCol w:w="36"/>
        <w:gridCol w:w="36"/>
        <w:gridCol w:w="36"/>
        <w:gridCol w:w="136"/>
        <w:gridCol w:w="880"/>
        <w:gridCol w:w="41"/>
        <w:gridCol w:w="36"/>
        <w:gridCol w:w="36"/>
        <w:gridCol w:w="36"/>
        <w:gridCol w:w="136"/>
        <w:gridCol w:w="880"/>
        <w:gridCol w:w="41"/>
        <w:gridCol w:w="36"/>
        <w:gridCol w:w="36"/>
        <w:gridCol w:w="36"/>
        <w:gridCol w:w="136"/>
        <w:gridCol w:w="881"/>
        <w:gridCol w:w="42"/>
        <w:gridCol w:w="36"/>
        <w:gridCol w:w="36"/>
        <w:gridCol w:w="36"/>
        <w:gridCol w:w="36"/>
        <w:gridCol w:w="36"/>
        <w:gridCol w:w="36"/>
        <w:gridCol w:w="36"/>
        <w:gridCol w:w="36"/>
        <w:gridCol w:w="36"/>
        <w:gridCol w:w="36"/>
        <w:gridCol w:w="36"/>
        <w:gridCol w:w="36"/>
      </w:tblGrid>
      <w:tr w:rsidR="00000000">
        <w:trPr>
          <w:gridAfter w:val="12"/>
          <w:divId w:val="436291496"/>
        </w:trPr>
        <w:tc>
          <w:tcPr>
            <w:tcW w:w="50" w:type="pct"/>
            <w:vAlign w:val="center"/>
            <w:hideMark/>
          </w:tcPr>
          <w:p w:rsidR="00000000" w:rsidRDefault="00480785">
            <w:pPr>
              <w:rPr>
                <w:rFonts w:eastAsia="Times New Roman"/>
              </w:rPr>
            </w:pPr>
          </w:p>
        </w:tc>
        <w:tc>
          <w:tcPr>
            <w:tcW w:w="224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436291496"/>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 xml:space="preserve">For the Fiscal Three </w:t>
            </w:r>
            <w:r>
              <w:rPr>
                <w:rFonts w:eastAsia="Times New Roman"/>
                <w:b/>
                <w:bCs/>
                <w:color w:val="000000"/>
                <w:sz w:val="20"/>
                <w:szCs w:val="20"/>
              </w:rPr>
              <w:br/>
              <w:t>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 xml:space="preserve">For the Fiscal Nine </w:t>
            </w:r>
            <w:r>
              <w:rPr>
                <w:rFonts w:eastAsia="Times New Roman"/>
                <w:b/>
                <w:bCs/>
                <w:color w:val="000000"/>
                <w:sz w:val="20"/>
                <w:szCs w:val="20"/>
              </w:rPr>
              <w:br/>
              <w:t>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436291496"/>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3629149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190,610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122,133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613,065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418,175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36291496"/>
          <w:trHeight w:val="180"/>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3629149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Other comprehensive income/(loss)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3629149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Change in fair value of interest rate swaps, net of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(809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(6,066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(4,458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3629149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Total other comprehensive income/(loss</w:t>
            </w: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(809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(6,066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(4,458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36291496"/>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Total comprehensive incom</w:t>
            </w:r>
            <w:r>
              <w:rPr>
                <w:rFonts w:eastAsia="Times New Roman"/>
                <w:b/>
                <w:bCs/>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191,078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121,324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606,999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413,717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divId w:val="222453515"/>
        <w:rPr>
          <w:rFonts w:eastAsia="Times New Roman"/>
        </w:rPr>
      </w:pPr>
    </w:p>
    <w:p w:rsidR="00000000" w:rsidRDefault="00480785">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rsidR="00000000" w:rsidRDefault="00480785">
      <w:pPr>
        <w:jc w:val="center"/>
        <w:divId w:val="1264877137"/>
        <w:rPr>
          <w:rFonts w:eastAsia="Times New Roman"/>
        </w:rPr>
      </w:pPr>
      <w:r>
        <w:rPr>
          <w:rFonts w:eastAsia="Times New Roman"/>
          <w:color w:val="000000"/>
          <w:sz w:val="20"/>
          <w:szCs w:val="20"/>
        </w:rPr>
        <w:t xml:space="preserve">Page </w:t>
      </w:r>
      <w:r>
        <w:rPr>
          <w:rFonts w:eastAsia="Times New Roman"/>
          <w:color w:val="000000"/>
          <w:sz w:val="20"/>
          <w:szCs w:val="20"/>
        </w:rPr>
        <w:t>5</w:t>
      </w:r>
    </w:p>
    <w:p w:rsidR="00000000" w:rsidRDefault="00480785">
      <w:pPr>
        <w:rPr>
          <w:rFonts w:eastAsia="Times New Roman"/>
        </w:rPr>
      </w:pPr>
      <w:r>
        <w:rPr>
          <w:rFonts w:eastAsia="Times New Roman"/>
        </w:rPr>
        <w:pict>
          <v:rect id="_x0000_i1030" style="width:0;height:1.5pt" o:hralign="center" o:hrstd="t" o:hr="t" fillcolor="#a0a0a0" stroked="f"/>
        </w:pict>
      </w:r>
    </w:p>
    <w:p w:rsidR="00000000" w:rsidRDefault="00480785">
      <w:pPr>
        <w:divId w:val="464082048"/>
        <w:rPr>
          <w:rFonts w:eastAsia="Times New Roman"/>
        </w:rPr>
      </w:pPr>
      <w:hyperlink w:anchor="i28e74bea7b4a44c78304596dc3e51779_7" w:history="1">
        <w:r>
          <w:rPr>
            <w:rStyle w:val="a3"/>
            <w:rFonts w:eastAsia="Times New Roman"/>
            <w:sz w:val="16"/>
            <w:szCs w:val="16"/>
          </w:rPr>
          <w:t>Index</w:t>
        </w:r>
      </w:hyperlink>
    </w:p>
    <w:p w:rsidR="00000000" w:rsidRDefault="0048078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480785">
      <w:pPr>
        <w:jc w:val="center"/>
        <w:rPr>
          <w:rFonts w:eastAsia="Times New Roman"/>
        </w:rPr>
      </w:pPr>
      <w:r>
        <w:rPr>
          <w:rFonts w:eastAsia="Times New Roman"/>
          <w:b/>
          <w:bCs/>
          <w:color w:val="000000"/>
          <w:sz w:val="20"/>
          <w:szCs w:val="20"/>
        </w:rPr>
        <w:t>CONDENSED CONSOLIDATED STATEMENTS OF STOCKHOLDERS’ EQUIT</w:t>
      </w:r>
      <w:r>
        <w:rPr>
          <w:rFonts w:eastAsia="Times New Roman"/>
          <w:b/>
          <w:bCs/>
          <w:color w:val="000000"/>
          <w:sz w:val="20"/>
          <w:szCs w:val="20"/>
        </w:rPr>
        <w:t>Y</w:t>
      </w:r>
    </w:p>
    <w:p w:rsidR="00000000" w:rsidRDefault="00480785">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p w:rsidR="00000000" w:rsidRDefault="00480785">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59"/>
        <w:gridCol w:w="36"/>
        <w:gridCol w:w="85"/>
        <w:gridCol w:w="565"/>
        <w:gridCol w:w="41"/>
        <w:gridCol w:w="78"/>
        <w:gridCol w:w="406"/>
        <w:gridCol w:w="77"/>
        <w:gridCol w:w="125"/>
        <w:gridCol w:w="465"/>
        <w:gridCol w:w="41"/>
        <w:gridCol w:w="84"/>
        <w:gridCol w:w="433"/>
        <w:gridCol w:w="83"/>
        <w:gridCol w:w="125"/>
        <w:gridCol w:w="780"/>
        <w:gridCol w:w="41"/>
        <w:gridCol w:w="36"/>
        <w:gridCol w:w="36"/>
        <w:gridCol w:w="36"/>
        <w:gridCol w:w="125"/>
        <w:gridCol w:w="855"/>
        <w:gridCol w:w="41"/>
        <w:gridCol w:w="36"/>
        <w:gridCol w:w="36"/>
        <w:gridCol w:w="36"/>
        <w:gridCol w:w="126"/>
        <w:gridCol w:w="666"/>
        <w:gridCol w:w="41"/>
        <w:gridCol w:w="36"/>
        <w:gridCol w:w="36"/>
        <w:gridCol w:w="36"/>
        <w:gridCol w:w="126"/>
        <w:gridCol w:w="1003"/>
        <w:gridCol w:w="41"/>
        <w:gridCol w:w="36"/>
        <w:gridCol w:w="36"/>
        <w:gridCol w:w="36"/>
        <w:gridCol w:w="125"/>
        <w:gridCol w:w="780"/>
        <w:gridCol w:w="41"/>
        <w:gridCol w:w="36"/>
        <w:gridCol w:w="36"/>
        <w:gridCol w:w="36"/>
        <w:gridCol w:w="367"/>
        <w:gridCol w:w="367"/>
        <w:gridCol w:w="367"/>
        <w:gridCol w:w="36"/>
        <w:gridCol w:w="36"/>
        <w:gridCol w:w="36"/>
        <w:gridCol w:w="36"/>
        <w:gridCol w:w="36"/>
        <w:gridCol w:w="36"/>
        <w:gridCol w:w="36"/>
        <w:gridCol w:w="36"/>
        <w:gridCol w:w="36"/>
        <w:gridCol w:w="36"/>
        <w:gridCol w:w="36"/>
        <w:gridCol w:w="36"/>
        <w:gridCol w:w="36"/>
        <w:gridCol w:w="36"/>
        <w:gridCol w:w="36"/>
      </w:tblGrid>
      <w:tr w:rsidR="00000000">
        <w:trPr>
          <w:gridAfter w:val="21"/>
          <w:divId w:val="1520854511"/>
          <w:jc w:val="center"/>
        </w:trPr>
        <w:tc>
          <w:tcPr>
            <w:tcW w:w="50" w:type="pct"/>
            <w:vAlign w:val="center"/>
            <w:hideMark/>
          </w:tcPr>
          <w:p w:rsidR="00000000" w:rsidRDefault="00480785">
            <w:pPr>
              <w:jc w:val="center"/>
              <w:rPr>
                <w:rFonts w:eastAsia="Times New Roman"/>
              </w:rPr>
            </w:pPr>
          </w:p>
        </w:tc>
        <w:tc>
          <w:tcPr>
            <w:tcW w:w="136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33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33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6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gridAfter w:val="15"/>
          <w:divId w:val="1520854511"/>
          <w:jc w:val="center"/>
        </w:trPr>
        <w:tc>
          <w:tcPr>
            <w:tcW w:w="0" w:type="auto"/>
            <w:gridSpan w:val="3"/>
            <w:vMerge w:val="restart"/>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Common Stoc</w:t>
            </w:r>
            <w:r>
              <w:rPr>
                <w:rFonts w:eastAsia="Times New Roman"/>
                <w:b/>
                <w:bCs/>
                <w:color w:val="000000"/>
                <w:sz w:val="18"/>
                <w:szCs w:val="18"/>
              </w:rPr>
              <w:t>k</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Merge w:val="restart"/>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Additional</w:t>
            </w:r>
            <w:r>
              <w:rPr>
                <w:rFonts w:eastAsia="Times New Roman"/>
                <w:b/>
                <w:bCs/>
                <w:color w:val="000000"/>
                <w:sz w:val="18"/>
                <w:szCs w:val="18"/>
              </w:rPr>
              <w:br/>
              <w:t>Paid-in</w:t>
            </w:r>
            <w:r>
              <w:rPr>
                <w:rFonts w:eastAsia="Times New Roman"/>
                <w:b/>
                <w:bCs/>
                <w:color w:val="000000"/>
                <w:sz w:val="18"/>
                <w:szCs w:val="18"/>
              </w:rPr>
              <w:br/>
              <w:t>Capita</w:t>
            </w:r>
            <w:r>
              <w:rPr>
                <w:rFonts w:eastAsia="Times New Roman"/>
                <w:b/>
                <w:bCs/>
                <w:color w:val="000000"/>
                <w:sz w:val="18"/>
                <w:szCs w:val="18"/>
              </w:rPr>
              <w:t>l</w:t>
            </w:r>
          </w:p>
        </w:tc>
        <w:tc>
          <w:tcPr>
            <w:tcW w:w="0" w:type="auto"/>
            <w:gridSpan w:val="3"/>
            <w:vMerge w:val="restart"/>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Treasury</w:t>
            </w:r>
            <w:r>
              <w:rPr>
                <w:rFonts w:eastAsia="Times New Roman"/>
                <w:b/>
                <w:bCs/>
                <w:color w:val="000000"/>
                <w:sz w:val="18"/>
                <w:szCs w:val="18"/>
              </w:rPr>
              <w:br/>
              <w:t>Stoc</w:t>
            </w:r>
            <w:r>
              <w:rPr>
                <w:rFonts w:eastAsia="Times New Roman"/>
                <w:b/>
                <w:bCs/>
                <w:color w:val="000000"/>
                <w:sz w:val="18"/>
                <w:szCs w:val="18"/>
              </w:rPr>
              <w:t>k</w:t>
            </w:r>
          </w:p>
        </w:tc>
        <w:tc>
          <w:tcPr>
            <w:tcW w:w="0" w:type="auto"/>
            <w:gridSpan w:val="3"/>
            <w:vMerge w:val="restart"/>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Accum. Other Comp. Income/(Loss</w:t>
            </w:r>
            <w:r>
              <w:rPr>
                <w:rFonts w:eastAsia="Times New Roman"/>
                <w:b/>
                <w:bCs/>
                <w:color w:val="000000"/>
                <w:sz w:val="18"/>
                <w:szCs w:val="18"/>
              </w:rPr>
              <w:t>)</w:t>
            </w:r>
          </w:p>
        </w:tc>
        <w:tc>
          <w:tcPr>
            <w:tcW w:w="0" w:type="auto"/>
            <w:gridSpan w:val="3"/>
            <w:vMerge w:val="restart"/>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Retained</w:t>
            </w:r>
            <w:r>
              <w:rPr>
                <w:rFonts w:eastAsia="Times New Roman"/>
                <w:b/>
                <w:bCs/>
                <w:color w:val="000000"/>
                <w:sz w:val="18"/>
                <w:szCs w:val="18"/>
              </w:rPr>
              <w:br/>
              <w:t>Earning</w:t>
            </w:r>
            <w:r>
              <w:rPr>
                <w:rFonts w:eastAsia="Times New Roman"/>
                <w:b/>
                <w:bCs/>
                <w:color w:val="000000"/>
                <w:sz w:val="18"/>
                <w:szCs w:val="18"/>
              </w:rPr>
              <w:t>s</w:t>
            </w:r>
          </w:p>
        </w:tc>
        <w:tc>
          <w:tcPr>
            <w:tcW w:w="0" w:type="auto"/>
            <w:gridSpan w:val="3"/>
            <w:vMerge w:val="restart"/>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Total</w:t>
            </w:r>
            <w:r>
              <w:rPr>
                <w:rFonts w:eastAsia="Times New Roman"/>
                <w:b/>
                <w:bCs/>
                <w:color w:val="000000"/>
                <w:sz w:val="18"/>
                <w:szCs w:val="18"/>
              </w:rPr>
              <w:br/>
              <w:t>Stockholders’</w:t>
            </w:r>
            <w:r>
              <w:rPr>
                <w:rFonts w:eastAsia="Times New Roman"/>
                <w:b/>
                <w:bCs/>
                <w:color w:val="000000"/>
                <w:sz w:val="18"/>
                <w:szCs w:val="18"/>
              </w:rPr>
              <w:br/>
              <w:t>Equit</w:t>
            </w:r>
            <w:r>
              <w:rPr>
                <w:rFonts w:eastAsia="Times New Roman"/>
                <w:b/>
                <w:bCs/>
                <w:color w:val="000000"/>
                <w:sz w:val="18"/>
                <w:szCs w:val="18"/>
              </w:rPr>
              <w:t>y</w:t>
            </w:r>
          </w:p>
        </w:tc>
      </w:tr>
      <w:tr w:rsidR="00000000">
        <w:trPr>
          <w:divId w:val="1520854511"/>
          <w:jc w:val="center"/>
        </w:trPr>
        <w:tc>
          <w:tcPr>
            <w:tcW w:w="0" w:type="auto"/>
            <w:gridSpan w:val="3"/>
            <w:vMerge/>
            <w:vAlign w:val="center"/>
            <w:hideMark/>
          </w:tcPr>
          <w:p w:rsidR="00000000" w:rsidRDefault="00480785">
            <w:pPr>
              <w:rPr>
                <w:rFonts w:eastAsia="Times New Roman"/>
              </w:rPr>
            </w:pPr>
          </w:p>
        </w:tc>
        <w:tc>
          <w:tcPr>
            <w:tcW w:w="0" w:type="auto"/>
            <w:gridSpan w:val="3"/>
            <w:vAlign w:val="center"/>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Share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Dollar</w:t>
            </w:r>
            <w:r>
              <w:rPr>
                <w:rFonts w:eastAsia="Times New Roman"/>
                <w:b/>
                <w:bCs/>
                <w:color w:val="000000"/>
                <w:sz w:val="18"/>
                <w:szCs w:val="18"/>
              </w:rPr>
              <w:t>s</w:t>
            </w:r>
          </w:p>
        </w:tc>
        <w:tc>
          <w:tcPr>
            <w:tcW w:w="0" w:type="auto"/>
            <w:gridSpan w:val="3"/>
            <w:vAlign w:val="center"/>
            <w:hideMark/>
          </w:tcPr>
          <w:p w:rsidR="00000000" w:rsidRDefault="00480785">
            <w:pPr>
              <w:jc w:val="center"/>
              <w:rPr>
                <w:rFonts w:eastAsia="Times New Roman"/>
              </w:rPr>
            </w:pPr>
          </w:p>
        </w:tc>
        <w:tc>
          <w:tcPr>
            <w:tcW w:w="0" w:type="auto"/>
            <w:gridSpan w:val="3"/>
            <w:vMerge/>
            <w:vAlign w:val="center"/>
            <w:hideMark/>
          </w:tcPr>
          <w:p w:rsidR="00000000" w:rsidRDefault="00480785">
            <w:pPr>
              <w:rPr>
                <w:rFonts w:eastAsia="Times New Roman"/>
                <w:sz w:val="20"/>
                <w:szCs w:val="20"/>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2"/>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480785">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28, 201</w:t>
            </w:r>
            <w:r>
              <w:rPr>
                <w:rFonts w:eastAsia="Times New Roman"/>
                <w:b/>
                <w:bCs/>
                <w:color w:val="000000"/>
                <w:sz w:val="18"/>
                <w:szCs w:val="18"/>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118,165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1,389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966,698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(3,013,996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3,612,833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1,567,123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ind w:hanging="180"/>
              <w:divId w:val="953368844"/>
              <w:rPr>
                <w:rFonts w:eastAsia="Times New Roman"/>
              </w:rPr>
            </w:pPr>
            <w:r>
              <w:rPr>
                <w:rFonts w:eastAsia="Times New Roman"/>
                <w:color w:val="000000"/>
                <w:sz w:val="18"/>
                <w:szCs w:val="18"/>
              </w:rPr>
              <w:t xml:space="preserve">Common stock issuance under </w:t>
            </w:r>
            <w:r>
              <w:rPr>
                <w:rFonts w:eastAsia="Times New Roman"/>
                <w:color w:val="000000"/>
                <w:sz w:val="18"/>
                <w:szCs w:val="18"/>
              </w:rPr>
              <w:lastRenderedPageBreak/>
              <w:t>stock award plans &amp; ESP</w:t>
            </w:r>
            <w:r>
              <w:rPr>
                <w:rFonts w:eastAsia="Times New Roman"/>
                <w:color w:val="000000"/>
                <w:sz w:val="18"/>
                <w:szCs w:val="18"/>
              </w:rPr>
              <w:t>P</w:t>
            </w: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lastRenderedPageBreak/>
              <w:t>280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10,601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10,603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6,945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6,945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ind w:hanging="180"/>
              <w:divId w:val="95492199"/>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(5,407</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(5,407</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1050422409"/>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(2,853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(263,219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(263,219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(40,849</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(40,849</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417335731"/>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(5,250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(5,250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83,777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83,777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480785">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r>
            <w:r>
              <w:rPr>
                <w:rFonts w:eastAsia="Times New Roman"/>
                <w:b/>
                <w:bCs/>
                <w:color w:val="000000"/>
                <w:sz w:val="18"/>
                <w:szCs w:val="18"/>
              </w:rPr>
              <w:t>March 28, 202</w:t>
            </w:r>
            <w:r>
              <w:rPr>
                <w:rFonts w:eastAsia="Times New Roman"/>
                <w:b/>
                <w:bCs/>
                <w:color w:val="000000"/>
                <w:sz w:val="18"/>
                <w:szCs w:val="18"/>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115,592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1,391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978,837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(3,277,215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(5,051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3,655,761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1,353,723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trHeight w:val="100"/>
          <w:jc w:val="center"/>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ind w:hanging="180"/>
              <w:divId w:val="551771051"/>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588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39,732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39,737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7,504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7,504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ind w:hanging="180"/>
              <w:divId w:val="1682858027"/>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(1,984</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(1,984</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1768230167"/>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(40,644</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(40,644</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983462538"/>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(1,284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(1,284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338,678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338,678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480785">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June 27, 202</w:t>
            </w:r>
            <w:r>
              <w:rPr>
                <w:rFonts w:eastAsia="Times New Roman"/>
                <w:b/>
                <w:bCs/>
                <w:color w:val="000000"/>
                <w:sz w:val="18"/>
                <w:szCs w:val="18"/>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116,180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1,396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1,024,089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(3,277,215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(6,335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3,953,795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1,695,730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trHeight w:val="100"/>
          <w:jc w:val="center"/>
        </w:trPr>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992487149"/>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23,411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23,413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12,528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12,528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1745034153"/>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(341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(341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ind w:hanging="180"/>
              <w:divId w:val="576551334"/>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(46,542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(46,542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ind w:hanging="180"/>
              <w:divId w:val="301891211"/>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468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468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190,610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190,610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520854511"/>
          <w:jc w:val="center"/>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r>
            <w:r>
              <w:rPr>
                <w:rFonts w:eastAsia="Times New Roman"/>
                <w:b/>
                <w:bCs/>
                <w:color w:val="000000"/>
                <w:sz w:val="18"/>
                <w:szCs w:val="18"/>
              </w:rPr>
              <w:t>September 26, 202</w:t>
            </w:r>
            <w:r>
              <w:rPr>
                <w:rFonts w:eastAsia="Times New Roman"/>
                <w:b/>
                <w:bCs/>
                <w:color w:val="000000"/>
                <w:sz w:val="18"/>
                <w:szCs w:val="18"/>
              </w:rPr>
              <w:t>0</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116,497</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1,398</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1,059,687</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(3,277,215</w:t>
            </w: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(5,867</w:t>
            </w: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4,097,863</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1,875,866</w:t>
            </w:r>
            <w:r>
              <w:rPr>
                <w:rFonts w:eastAsia="Times New Roman"/>
                <w:color w:val="000000"/>
                <w:sz w:val="18"/>
                <w:szCs w:val="18"/>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center"/>
        <w:rPr>
          <w:rFonts w:eastAsia="Times New Roman"/>
        </w:rPr>
      </w:pPr>
    </w:p>
    <w:p w:rsidR="00000000" w:rsidRDefault="00480785">
      <w:pPr>
        <w:divId w:val="865558687"/>
        <w:rPr>
          <w:rFonts w:eastAsia="Times New Roman"/>
        </w:rPr>
      </w:pPr>
    </w:p>
    <w:p w:rsidR="00000000" w:rsidRDefault="00480785">
      <w:pPr>
        <w:divId w:val="1797286358"/>
        <w:rPr>
          <w:rFonts w:eastAsia="Times New Roman"/>
        </w:rPr>
      </w:pPr>
    </w:p>
    <w:p w:rsidR="00000000" w:rsidRDefault="00480785">
      <w:pPr>
        <w:divId w:val="1273709767"/>
        <w:rPr>
          <w:rFonts w:eastAsia="Times New Roman"/>
        </w:rPr>
      </w:pPr>
    </w:p>
    <w:p w:rsidR="00000000" w:rsidRDefault="00480785">
      <w:pPr>
        <w:jc w:val="center"/>
        <w:divId w:val="365910049"/>
        <w:rPr>
          <w:rFonts w:eastAsia="Times New Roman"/>
        </w:rPr>
      </w:pPr>
      <w:r>
        <w:rPr>
          <w:rFonts w:eastAsia="Times New Roman"/>
          <w:color w:val="000000"/>
          <w:sz w:val="20"/>
          <w:szCs w:val="20"/>
        </w:rPr>
        <w:t xml:space="preserve">Page </w:t>
      </w:r>
      <w:r>
        <w:rPr>
          <w:rFonts w:eastAsia="Times New Roman"/>
          <w:color w:val="000000"/>
          <w:sz w:val="20"/>
          <w:szCs w:val="20"/>
        </w:rPr>
        <w:t>6</w:t>
      </w:r>
    </w:p>
    <w:p w:rsidR="00000000" w:rsidRDefault="00480785">
      <w:pPr>
        <w:rPr>
          <w:rFonts w:eastAsia="Times New Roman"/>
        </w:rPr>
      </w:pPr>
      <w:r>
        <w:rPr>
          <w:rFonts w:eastAsia="Times New Roman"/>
        </w:rPr>
        <w:pict>
          <v:rect id="_x0000_i1031" style="width:0;height:1.5pt" o:hralign="center" o:hrstd="t" o:hr="t" fillcolor="#a0a0a0" stroked="f"/>
        </w:pict>
      </w:r>
    </w:p>
    <w:p w:rsidR="00000000" w:rsidRDefault="00480785">
      <w:pPr>
        <w:divId w:val="1833451533"/>
        <w:rPr>
          <w:rFonts w:eastAsia="Times New Roman"/>
        </w:rPr>
      </w:pPr>
      <w:hyperlink w:anchor="i28e74bea7b4a44c78304596dc3e51779_7" w:history="1">
        <w:r>
          <w:rPr>
            <w:rStyle w:val="a3"/>
            <w:rFonts w:eastAsia="Times New Roman"/>
            <w:sz w:val="16"/>
            <w:szCs w:val="16"/>
          </w:rPr>
          <w:t>Index</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59"/>
        <w:gridCol w:w="36"/>
        <w:gridCol w:w="85"/>
        <w:gridCol w:w="565"/>
        <w:gridCol w:w="41"/>
        <w:gridCol w:w="78"/>
        <w:gridCol w:w="406"/>
        <w:gridCol w:w="77"/>
        <w:gridCol w:w="125"/>
        <w:gridCol w:w="465"/>
        <w:gridCol w:w="41"/>
        <w:gridCol w:w="84"/>
        <w:gridCol w:w="433"/>
        <w:gridCol w:w="83"/>
        <w:gridCol w:w="125"/>
        <w:gridCol w:w="645"/>
        <w:gridCol w:w="41"/>
        <w:gridCol w:w="36"/>
        <w:gridCol w:w="36"/>
        <w:gridCol w:w="36"/>
        <w:gridCol w:w="125"/>
        <w:gridCol w:w="855"/>
        <w:gridCol w:w="41"/>
        <w:gridCol w:w="36"/>
        <w:gridCol w:w="36"/>
        <w:gridCol w:w="36"/>
        <w:gridCol w:w="126"/>
        <w:gridCol w:w="666"/>
        <w:gridCol w:w="41"/>
        <w:gridCol w:w="36"/>
        <w:gridCol w:w="36"/>
        <w:gridCol w:w="36"/>
        <w:gridCol w:w="125"/>
        <w:gridCol w:w="780"/>
        <w:gridCol w:w="41"/>
        <w:gridCol w:w="36"/>
        <w:gridCol w:w="36"/>
        <w:gridCol w:w="36"/>
        <w:gridCol w:w="125"/>
        <w:gridCol w:w="780"/>
        <w:gridCol w:w="41"/>
        <w:gridCol w:w="36"/>
        <w:gridCol w:w="36"/>
        <w:gridCol w:w="36"/>
        <w:gridCol w:w="367"/>
        <w:gridCol w:w="367"/>
        <w:gridCol w:w="367"/>
        <w:gridCol w:w="36"/>
        <w:gridCol w:w="36"/>
        <w:gridCol w:w="36"/>
        <w:gridCol w:w="36"/>
        <w:gridCol w:w="36"/>
        <w:gridCol w:w="36"/>
        <w:gridCol w:w="36"/>
        <w:gridCol w:w="36"/>
        <w:gridCol w:w="36"/>
        <w:gridCol w:w="36"/>
        <w:gridCol w:w="36"/>
        <w:gridCol w:w="36"/>
        <w:gridCol w:w="36"/>
        <w:gridCol w:w="36"/>
        <w:gridCol w:w="36"/>
      </w:tblGrid>
      <w:tr w:rsidR="00000000">
        <w:trPr>
          <w:gridAfter w:val="21"/>
          <w:divId w:val="1088035509"/>
          <w:jc w:val="center"/>
        </w:trPr>
        <w:tc>
          <w:tcPr>
            <w:tcW w:w="50" w:type="pct"/>
            <w:vAlign w:val="center"/>
            <w:hideMark/>
          </w:tcPr>
          <w:p w:rsidR="00000000" w:rsidRDefault="00480785">
            <w:pPr>
              <w:rPr>
                <w:rFonts w:eastAsia="Times New Roman"/>
              </w:rPr>
            </w:pPr>
          </w:p>
        </w:tc>
        <w:tc>
          <w:tcPr>
            <w:tcW w:w="136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33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33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6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gridAfter w:val="15"/>
          <w:divId w:val="1088035509"/>
          <w:jc w:val="center"/>
        </w:trPr>
        <w:tc>
          <w:tcPr>
            <w:tcW w:w="0" w:type="auto"/>
            <w:gridSpan w:val="3"/>
            <w:vMerge w:val="restart"/>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Common Stoc</w:t>
            </w:r>
            <w:r>
              <w:rPr>
                <w:rFonts w:eastAsia="Times New Roman"/>
                <w:b/>
                <w:bCs/>
                <w:color w:val="000000"/>
                <w:sz w:val="18"/>
                <w:szCs w:val="18"/>
              </w:rPr>
              <w:t>k</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Merge w:val="restart"/>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Additiona</w:t>
            </w:r>
            <w:r>
              <w:rPr>
                <w:rFonts w:eastAsia="Times New Roman"/>
                <w:b/>
                <w:bCs/>
                <w:color w:val="000000"/>
                <w:sz w:val="18"/>
                <w:szCs w:val="18"/>
              </w:rPr>
              <w:t>l</w:t>
            </w:r>
          </w:p>
          <w:p w:rsidR="00000000" w:rsidRDefault="00480785">
            <w:pPr>
              <w:jc w:val="center"/>
              <w:rPr>
                <w:rFonts w:eastAsia="Times New Roman"/>
              </w:rPr>
            </w:pPr>
            <w:r>
              <w:rPr>
                <w:rFonts w:eastAsia="Times New Roman"/>
                <w:b/>
                <w:bCs/>
                <w:color w:val="000000"/>
                <w:sz w:val="18"/>
                <w:szCs w:val="18"/>
              </w:rPr>
              <w:t>Paid-i</w:t>
            </w:r>
            <w:r>
              <w:rPr>
                <w:rFonts w:eastAsia="Times New Roman"/>
                <w:b/>
                <w:bCs/>
                <w:color w:val="000000"/>
                <w:sz w:val="18"/>
                <w:szCs w:val="18"/>
              </w:rPr>
              <w:t>n</w:t>
            </w:r>
          </w:p>
          <w:p w:rsidR="00000000" w:rsidRDefault="00480785">
            <w:pPr>
              <w:jc w:val="center"/>
              <w:rPr>
                <w:rFonts w:eastAsia="Times New Roman"/>
              </w:rPr>
            </w:pPr>
            <w:r>
              <w:rPr>
                <w:rFonts w:eastAsia="Times New Roman"/>
                <w:b/>
                <w:bCs/>
                <w:color w:val="000000"/>
                <w:sz w:val="18"/>
                <w:szCs w:val="18"/>
              </w:rPr>
              <w:t>Capita</w:t>
            </w:r>
            <w:r>
              <w:rPr>
                <w:rFonts w:eastAsia="Times New Roman"/>
                <w:b/>
                <w:bCs/>
                <w:color w:val="000000"/>
                <w:sz w:val="18"/>
                <w:szCs w:val="18"/>
              </w:rPr>
              <w:t>l</w:t>
            </w:r>
          </w:p>
        </w:tc>
        <w:tc>
          <w:tcPr>
            <w:tcW w:w="0" w:type="auto"/>
            <w:gridSpan w:val="3"/>
            <w:vMerge w:val="restart"/>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Treasur</w:t>
            </w:r>
            <w:r>
              <w:rPr>
                <w:rFonts w:eastAsia="Times New Roman"/>
                <w:b/>
                <w:bCs/>
                <w:color w:val="000000"/>
                <w:sz w:val="18"/>
                <w:szCs w:val="18"/>
              </w:rPr>
              <w:t>y</w:t>
            </w:r>
          </w:p>
          <w:p w:rsidR="00000000" w:rsidRDefault="00480785">
            <w:pPr>
              <w:jc w:val="center"/>
              <w:rPr>
                <w:rFonts w:eastAsia="Times New Roman"/>
              </w:rPr>
            </w:pPr>
            <w:r>
              <w:rPr>
                <w:rFonts w:eastAsia="Times New Roman"/>
                <w:b/>
                <w:bCs/>
                <w:color w:val="000000"/>
                <w:sz w:val="18"/>
                <w:szCs w:val="18"/>
              </w:rPr>
              <w:t>Stoc</w:t>
            </w:r>
            <w:r>
              <w:rPr>
                <w:rFonts w:eastAsia="Times New Roman"/>
                <w:b/>
                <w:bCs/>
                <w:color w:val="000000"/>
                <w:sz w:val="18"/>
                <w:szCs w:val="18"/>
              </w:rPr>
              <w:t>k</w:t>
            </w:r>
          </w:p>
        </w:tc>
        <w:tc>
          <w:tcPr>
            <w:tcW w:w="0" w:type="auto"/>
            <w:gridSpan w:val="3"/>
            <w:vMerge w:val="restart"/>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Accum. Other Comp. Incom</w:t>
            </w:r>
            <w:r>
              <w:rPr>
                <w:rFonts w:eastAsia="Times New Roman"/>
                <w:b/>
                <w:bCs/>
                <w:color w:val="000000"/>
                <w:sz w:val="18"/>
                <w:szCs w:val="18"/>
              </w:rPr>
              <w:t>e</w:t>
            </w:r>
          </w:p>
        </w:tc>
        <w:tc>
          <w:tcPr>
            <w:tcW w:w="0" w:type="auto"/>
            <w:gridSpan w:val="3"/>
            <w:vMerge w:val="restart"/>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Retaine</w:t>
            </w:r>
            <w:r>
              <w:rPr>
                <w:rFonts w:eastAsia="Times New Roman"/>
                <w:b/>
                <w:bCs/>
                <w:color w:val="000000"/>
                <w:sz w:val="18"/>
                <w:szCs w:val="18"/>
              </w:rPr>
              <w:t>d</w:t>
            </w:r>
          </w:p>
          <w:p w:rsidR="00000000" w:rsidRDefault="00480785">
            <w:pPr>
              <w:jc w:val="center"/>
              <w:rPr>
                <w:rFonts w:eastAsia="Times New Roman"/>
              </w:rPr>
            </w:pPr>
            <w:r>
              <w:rPr>
                <w:rFonts w:eastAsia="Times New Roman"/>
                <w:b/>
                <w:bCs/>
                <w:color w:val="000000"/>
                <w:sz w:val="18"/>
                <w:szCs w:val="18"/>
              </w:rPr>
              <w:t>Earning</w:t>
            </w:r>
            <w:r>
              <w:rPr>
                <w:rFonts w:eastAsia="Times New Roman"/>
                <w:b/>
                <w:bCs/>
                <w:color w:val="000000"/>
                <w:sz w:val="18"/>
                <w:szCs w:val="18"/>
              </w:rPr>
              <w:t>s</w:t>
            </w:r>
          </w:p>
        </w:tc>
        <w:tc>
          <w:tcPr>
            <w:tcW w:w="0" w:type="auto"/>
            <w:gridSpan w:val="3"/>
            <w:vMerge w:val="restart"/>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Tota</w:t>
            </w:r>
            <w:r>
              <w:rPr>
                <w:rFonts w:eastAsia="Times New Roman"/>
                <w:b/>
                <w:bCs/>
                <w:color w:val="000000"/>
                <w:sz w:val="18"/>
                <w:szCs w:val="18"/>
              </w:rPr>
              <w:t>l</w:t>
            </w:r>
          </w:p>
          <w:p w:rsidR="00000000" w:rsidRDefault="00480785">
            <w:pPr>
              <w:jc w:val="center"/>
              <w:rPr>
                <w:rFonts w:eastAsia="Times New Roman"/>
              </w:rPr>
            </w:pPr>
            <w:r>
              <w:rPr>
                <w:rFonts w:eastAsia="Times New Roman"/>
                <w:b/>
                <w:bCs/>
                <w:color w:val="000000"/>
                <w:sz w:val="18"/>
                <w:szCs w:val="18"/>
              </w:rPr>
              <w:t>Stockholders</w:t>
            </w:r>
            <w:r>
              <w:rPr>
                <w:rFonts w:eastAsia="Times New Roman"/>
                <w:b/>
                <w:bCs/>
                <w:color w:val="000000"/>
                <w:sz w:val="18"/>
                <w:szCs w:val="18"/>
              </w:rPr>
              <w:t>’</w:t>
            </w:r>
          </w:p>
          <w:p w:rsidR="00000000" w:rsidRDefault="00480785">
            <w:pPr>
              <w:jc w:val="center"/>
              <w:rPr>
                <w:rFonts w:eastAsia="Times New Roman"/>
              </w:rPr>
            </w:pPr>
            <w:r>
              <w:rPr>
                <w:rFonts w:eastAsia="Times New Roman"/>
                <w:b/>
                <w:bCs/>
                <w:color w:val="000000"/>
                <w:sz w:val="18"/>
                <w:szCs w:val="18"/>
              </w:rPr>
              <w:t>Equit</w:t>
            </w:r>
            <w:r>
              <w:rPr>
                <w:rFonts w:eastAsia="Times New Roman"/>
                <w:b/>
                <w:bCs/>
                <w:color w:val="000000"/>
                <w:sz w:val="18"/>
                <w:szCs w:val="18"/>
              </w:rPr>
              <w:t>y</w:t>
            </w:r>
          </w:p>
        </w:tc>
      </w:tr>
      <w:tr w:rsidR="00000000">
        <w:trPr>
          <w:divId w:val="1088035509"/>
          <w:jc w:val="center"/>
        </w:trPr>
        <w:tc>
          <w:tcPr>
            <w:tcW w:w="0" w:type="auto"/>
            <w:gridSpan w:val="3"/>
            <w:vMerge/>
            <w:vAlign w:val="center"/>
            <w:hideMark/>
          </w:tcPr>
          <w:p w:rsidR="00000000" w:rsidRDefault="00480785">
            <w:pPr>
              <w:rPr>
                <w:rFonts w:eastAsia="Times New Roman"/>
              </w:rPr>
            </w:pPr>
          </w:p>
        </w:tc>
        <w:tc>
          <w:tcPr>
            <w:tcW w:w="0" w:type="auto"/>
            <w:gridSpan w:val="3"/>
            <w:vAlign w:val="center"/>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Share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18"/>
                <w:szCs w:val="18"/>
              </w:rPr>
              <w:t>Dollar</w:t>
            </w:r>
            <w:r>
              <w:rPr>
                <w:rFonts w:eastAsia="Times New Roman"/>
                <w:b/>
                <w:bCs/>
                <w:color w:val="000000"/>
                <w:sz w:val="18"/>
                <w:szCs w:val="18"/>
              </w:rPr>
              <w:t>s</w:t>
            </w:r>
          </w:p>
        </w:tc>
        <w:tc>
          <w:tcPr>
            <w:tcW w:w="0" w:type="auto"/>
            <w:gridSpan w:val="3"/>
            <w:vAlign w:val="center"/>
            <w:hideMark/>
          </w:tcPr>
          <w:p w:rsidR="00000000" w:rsidRDefault="00480785">
            <w:pPr>
              <w:jc w:val="center"/>
              <w:rPr>
                <w:rFonts w:eastAsia="Times New Roman"/>
              </w:rPr>
            </w:pPr>
          </w:p>
        </w:tc>
        <w:tc>
          <w:tcPr>
            <w:tcW w:w="0" w:type="auto"/>
            <w:gridSpan w:val="3"/>
            <w:vMerge/>
            <w:vAlign w:val="center"/>
            <w:hideMark/>
          </w:tcPr>
          <w:p w:rsidR="00000000" w:rsidRDefault="00480785">
            <w:pPr>
              <w:rPr>
                <w:rFonts w:eastAsia="Times New Roman"/>
                <w:sz w:val="20"/>
                <w:szCs w:val="20"/>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Merge/>
            <w:vAlign w:val="center"/>
            <w:hideMark/>
          </w:tcPr>
          <w:p w:rsidR="00000000" w:rsidRDefault="00480785">
            <w:pP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2"/>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480785">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29, 201</w:t>
            </w:r>
            <w:r>
              <w:rPr>
                <w:rFonts w:eastAsia="Times New Roman"/>
                <w:b/>
                <w:bCs/>
                <w:color w:val="000000"/>
                <w:sz w:val="18"/>
                <w:szCs w:val="18"/>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121,828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1,375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823,413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w:t>
            </w:r>
            <w:r>
              <w:rPr>
                <w:rFonts w:eastAsia="Times New Roman"/>
                <w:color w:val="000000"/>
                <w:sz w:val="18"/>
                <w:szCs w:val="18"/>
              </w:rPr>
              <w:t>2,480,677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3,814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3,213,895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1,561,820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ind w:hanging="180"/>
              <w:divId w:val="434441202"/>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570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34,727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34,732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9,624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9,624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vAlign w:val="center"/>
            <w:hideMark/>
          </w:tcPr>
          <w:p w:rsidR="00000000" w:rsidRDefault="00480785">
            <w:pPr>
              <w:jc w:val="right"/>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ind w:hanging="180"/>
              <w:divId w:val="1240864451"/>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(3,026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(3,026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1241714729"/>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(1,724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(155,319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(155,319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(37,623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(37,623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109714115"/>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(1,464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(1,464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76,832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76,832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 xml:space="preserve">Cumulative adjustment as a result of </w:t>
            </w:r>
            <w:r>
              <w:rPr>
                <w:rFonts w:eastAsia="Times New Roman"/>
                <w:color w:val="000000"/>
                <w:sz w:val="18"/>
                <w:szCs w:val="18"/>
              </w:rPr>
              <w:br/>
              <w:t>ASU 2017-12 adoptio</w:t>
            </w:r>
            <w:r>
              <w:rPr>
                <w:rFonts w:eastAsia="Times New Roman"/>
                <w:color w:val="000000"/>
                <w:sz w:val="18"/>
                <w:szCs w:val="18"/>
              </w:rPr>
              <w:t>n</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717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(717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480785">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r>
            <w:r>
              <w:rPr>
                <w:rFonts w:eastAsia="Times New Roman"/>
                <w:b/>
                <w:bCs/>
                <w:color w:val="000000"/>
                <w:sz w:val="18"/>
                <w:szCs w:val="18"/>
              </w:rPr>
              <w:t>March 30, 201</w:t>
            </w:r>
            <w:r>
              <w:rPr>
                <w:rFonts w:eastAsia="Times New Roman"/>
                <w:b/>
                <w:bCs/>
                <w:color w:val="000000"/>
                <w:sz w:val="18"/>
                <w:szCs w:val="18"/>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120,674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1,380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864,738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(2,635,996</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3,067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3,252,387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1,485,576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trHeight w:val="100"/>
          <w:jc w:val="center"/>
        </w:trPr>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ind w:hanging="180"/>
              <w:divId w:val="663439879"/>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781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54,693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54,699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8,776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8,776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ind w:hanging="180"/>
              <w:divId w:val="472601273"/>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(113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(113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400250250"/>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(1,732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(178,916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(178,916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(42,105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(42,105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799349633"/>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(2,185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(2,185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219,210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219,210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480785">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June 29, 201</w:t>
            </w:r>
            <w:r>
              <w:rPr>
                <w:rFonts w:eastAsia="Times New Roman"/>
                <w:b/>
                <w:bCs/>
                <w:color w:val="000000"/>
                <w:sz w:val="18"/>
                <w:szCs w:val="18"/>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119,723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1,386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928,094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(2,814,912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882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3,429,492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1,544,942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trHeight w:val="100"/>
          <w:jc w:val="center"/>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639726611"/>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16,110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16,112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ind w:hanging="180"/>
              <w:divId w:val="837383637"/>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7,355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7,355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313490558"/>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(651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(651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ind w:hanging="180"/>
              <w:divId w:val="342514117"/>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(1,470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(155,742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(155,742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225459271"/>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(41,518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(41,518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ind w:hanging="180"/>
              <w:divId w:val="2135976184"/>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(809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(809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088035509"/>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ind w:hanging="180"/>
              <w:divId w:val="261034221"/>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480785">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122,133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122,133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480785">
        <w:trPr>
          <w:divId w:val="1088035509"/>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r>
            <w:r>
              <w:rPr>
                <w:rFonts w:eastAsia="Times New Roman"/>
                <w:b/>
                <w:bCs/>
                <w:color w:val="000000"/>
                <w:sz w:val="18"/>
                <w:szCs w:val="18"/>
              </w:rPr>
              <w:t>September 28, 201</w:t>
            </w:r>
            <w:r>
              <w:rPr>
                <w:rFonts w:eastAsia="Times New Roman"/>
                <w:b/>
                <w:bCs/>
                <w:color w:val="000000"/>
                <w:sz w:val="18"/>
                <w:szCs w:val="18"/>
              </w:rPr>
              <w:t>9</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118,480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1,388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950,908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(2,970,654</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3,510,107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18"/>
                <w:szCs w:val="18"/>
              </w:rPr>
              <w:t>1,491,822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center"/>
        <w:rPr>
          <w:rFonts w:eastAsia="Times New Roman"/>
        </w:rPr>
      </w:pPr>
    </w:p>
    <w:p w:rsidR="00000000" w:rsidRDefault="00480785">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r>
        <w:rPr>
          <w:rFonts w:eastAsia="Times New Roman"/>
          <w:color w:val="000000"/>
          <w:sz w:val="16"/>
          <w:szCs w:val="16"/>
        </w:rPr>
        <w:t> </w:t>
      </w:r>
    </w:p>
    <w:p w:rsidR="00000000" w:rsidRDefault="00480785">
      <w:pPr>
        <w:jc w:val="center"/>
        <w:rPr>
          <w:rFonts w:eastAsia="Times New Roman"/>
        </w:rPr>
      </w:pPr>
    </w:p>
    <w:p w:rsidR="00000000" w:rsidRDefault="00480785">
      <w:pPr>
        <w:divId w:val="610011869"/>
        <w:rPr>
          <w:rFonts w:eastAsia="Times New Roman"/>
        </w:rPr>
      </w:pPr>
    </w:p>
    <w:p w:rsidR="00000000" w:rsidRDefault="00480785">
      <w:pPr>
        <w:jc w:val="center"/>
        <w:divId w:val="1057628213"/>
        <w:rPr>
          <w:rFonts w:eastAsia="Times New Roman"/>
        </w:rPr>
      </w:pPr>
      <w:r>
        <w:rPr>
          <w:rFonts w:eastAsia="Times New Roman"/>
          <w:color w:val="000000"/>
          <w:sz w:val="20"/>
          <w:szCs w:val="20"/>
        </w:rPr>
        <w:t xml:space="preserve">Page </w:t>
      </w:r>
      <w:r>
        <w:rPr>
          <w:rFonts w:eastAsia="Times New Roman"/>
          <w:color w:val="000000"/>
          <w:sz w:val="20"/>
          <w:szCs w:val="20"/>
        </w:rPr>
        <w:t>7</w:t>
      </w:r>
    </w:p>
    <w:p w:rsidR="00000000" w:rsidRDefault="00480785">
      <w:pPr>
        <w:rPr>
          <w:rFonts w:eastAsia="Times New Roman"/>
        </w:rPr>
      </w:pPr>
      <w:r>
        <w:rPr>
          <w:rFonts w:eastAsia="Times New Roman"/>
        </w:rPr>
        <w:pict>
          <v:rect id="_x0000_i1032" style="width:0;height:1.5pt" o:hralign="center" o:hrstd="t" o:hr="t" fillcolor="#a0a0a0" stroked="f"/>
        </w:pict>
      </w:r>
    </w:p>
    <w:p w:rsidR="00000000" w:rsidRDefault="00480785">
      <w:pPr>
        <w:divId w:val="2137212326"/>
        <w:rPr>
          <w:rFonts w:eastAsia="Times New Roman"/>
        </w:rPr>
      </w:pPr>
      <w:hyperlink w:anchor="i28e74bea7b4a44c78304596dc3e51779_7" w:history="1">
        <w:r>
          <w:rPr>
            <w:rStyle w:val="a3"/>
            <w:rFonts w:eastAsia="Times New Roman"/>
            <w:sz w:val="16"/>
            <w:szCs w:val="16"/>
          </w:rPr>
          <w:t>Index</w:t>
        </w:r>
      </w:hyperlink>
    </w:p>
    <w:p w:rsidR="00000000" w:rsidRDefault="0048078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480785">
      <w:pPr>
        <w:jc w:val="center"/>
        <w:rPr>
          <w:rFonts w:eastAsia="Times New Roman"/>
        </w:rPr>
      </w:pPr>
      <w:r>
        <w:rPr>
          <w:rFonts w:eastAsia="Times New Roman"/>
          <w:b/>
          <w:bCs/>
          <w:color w:val="000000"/>
          <w:sz w:val="20"/>
          <w:szCs w:val="20"/>
        </w:rPr>
        <w:t>CONDENSED CONSOLIDATED STATEMENTS OF CASH FLOW</w:t>
      </w:r>
      <w:r>
        <w:rPr>
          <w:rFonts w:eastAsia="Times New Roman"/>
          <w:b/>
          <w:bCs/>
          <w:color w:val="000000"/>
          <w:sz w:val="20"/>
          <w:szCs w:val="20"/>
        </w:rPr>
        <w:t>S</w:t>
      </w:r>
    </w:p>
    <w:p w:rsidR="00000000" w:rsidRDefault="00480785">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p w:rsidR="00000000" w:rsidRDefault="00480785">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5"/>
        <w:gridCol w:w="5402"/>
        <w:gridCol w:w="42"/>
        <w:gridCol w:w="135"/>
        <w:gridCol w:w="1077"/>
        <w:gridCol w:w="41"/>
        <w:gridCol w:w="36"/>
        <w:gridCol w:w="36"/>
        <w:gridCol w:w="36"/>
        <w:gridCol w:w="136"/>
        <w:gridCol w:w="1029"/>
        <w:gridCol w:w="42"/>
        <w:gridCol w:w="36"/>
        <w:gridCol w:w="36"/>
        <w:gridCol w:w="36"/>
        <w:gridCol w:w="36"/>
        <w:gridCol w:w="36"/>
        <w:gridCol w:w="36"/>
      </w:tblGrid>
      <w:tr w:rsidR="00000000">
        <w:trPr>
          <w:gridAfter w:val="6"/>
          <w:divId w:val="1617369936"/>
        </w:trPr>
        <w:tc>
          <w:tcPr>
            <w:tcW w:w="50" w:type="pct"/>
            <w:vAlign w:val="center"/>
            <w:hideMark/>
          </w:tcPr>
          <w:p w:rsidR="00000000" w:rsidRDefault="00480785">
            <w:pPr>
              <w:jc w:val="center"/>
              <w:rPr>
                <w:rFonts w:eastAsia="Times New Roman"/>
              </w:rPr>
            </w:pPr>
          </w:p>
        </w:tc>
        <w:tc>
          <w:tcPr>
            <w:tcW w:w="3400"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9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9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617369936"/>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For the 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1617369936"/>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Cash flows from operating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613,065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418,175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Adjustments to reconcile net income to net cash provided by operating activities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158,634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144,584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Gain on disposition of property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(774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(262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Share-based compensation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26,977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25,755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(3,734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8,495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Change in assets and liabilities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(312,259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(223,230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(35,233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9,961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413,875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59,810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80,606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20,279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(21,622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(11,908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(3,257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55,447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1,004,975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414,327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Cash flows from investing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Capital expenditure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(161,292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(144,342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Proceeds from sale of property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2,317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vAlign w:val="center"/>
            <w:hideMark/>
          </w:tcPr>
          <w:p w:rsidR="00000000" w:rsidRDefault="00480785">
            <w:pPr>
              <w:jc w:val="right"/>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cash used in investing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(160,162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(142,025</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Cash flows from financing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Borrowings under debt facilitie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1,159,000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947,000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Repayments under debt facilitie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(646,500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(710,750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Debt issuance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Principal payments under finance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(3,098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(2,741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Repurchase of shares to satisfy tax obligation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(7,732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(3,790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Repurchase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(263,219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(489,977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proceeds from issuance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73,753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105,543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Cash dividends paid to stockholder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(128,035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(121,246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cash provided by/(used in) financing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182,932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(275,961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Net change in cash and cash equivalent</w:t>
            </w:r>
            <w:r>
              <w:rPr>
                <w:rFonts w:eastAsia="Times New Roman"/>
                <w:b/>
                <w:bCs/>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1,027,745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(3,659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Cash and cash equivalents at beginning of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84,241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86,299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Cash and cash equivalents at end of perio</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1,111,986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82,640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Height w:val="100"/>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Supplemental disclosures of cash flow information</w:t>
            </w: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Cash paid during the period for</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Interest                                                                       </w:t>
            </w: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18,304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15,189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191,743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112,693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Height w:val="60"/>
        </w:trPr>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Supplemental disclosures of non-cash activities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Non-cash accruals for construction in progres</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14,199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10,981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Increase of operating lease assets and liabilities from new or modified lease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381,486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240,969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Increase of finance lease assets and liabilities from new or modified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6,028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2,883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617369936"/>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Operating lease assets and liabilities recognized upon adoption of ASC 84</w:t>
            </w:r>
            <w:r>
              <w:rPr>
                <w:rFonts w:eastAsia="Times New Roman"/>
                <w:color w:val="000000"/>
                <w:sz w:val="20"/>
                <w:szCs w:val="20"/>
              </w:rPr>
              <w:t>2</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2,084,880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center"/>
        <w:rPr>
          <w:rFonts w:eastAsia="Times New Roman"/>
        </w:rPr>
      </w:pPr>
    </w:p>
    <w:p w:rsidR="00000000" w:rsidRDefault="00480785">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r>
        <w:rPr>
          <w:rFonts w:eastAsia="Times New Roman"/>
          <w:color w:val="000000"/>
          <w:sz w:val="16"/>
          <w:szCs w:val="16"/>
        </w:rPr>
        <w:t> </w:t>
      </w:r>
    </w:p>
    <w:p w:rsidR="00000000" w:rsidRDefault="00480785">
      <w:pPr>
        <w:jc w:val="center"/>
        <w:divId w:val="1798798934"/>
        <w:rPr>
          <w:rFonts w:eastAsia="Times New Roman"/>
        </w:rPr>
      </w:pPr>
      <w:r>
        <w:rPr>
          <w:rFonts w:eastAsia="Times New Roman"/>
          <w:color w:val="000000"/>
          <w:sz w:val="20"/>
          <w:szCs w:val="20"/>
        </w:rPr>
        <w:t xml:space="preserve">Page </w:t>
      </w:r>
      <w:r>
        <w:rPr>
          <w:rFonts w:eastAsia="Times New Roman"/>
          <w:color w:val="000000"/>
          <w:sz w:val="20"/>
          <w:szCs w:val="20"/>
        </w:rPr>
        <w:t>8</w:t>
      </w:r>
    </w:p>
    <w:p w:rsidR="00000000" w:rsidRDefault="00480785">
      <w:pPr>
        <w:rPr>
          <w:rFonts w:eastAsia="Times New Roman"/>
        </w:rPr>
      </w:pPr>
      <w:r>
        <w:rPr>
          <w:rFonts w:eastAsia="Times New Roman"/>
        </w:rPr>
        <w:pict>
          <v:rect id="_x0000_i1033" style="width:0;height:1.5pt" o:hralign="center" o:hrstd="t" o:hr="t" fillcolor="#a0a0a0" stroked="f"/>
        </w:pict>
      </w:r>
    </w:p>
    <w:p w:rsidR="00000000" w:rsidRDefault="00480785">
      <w:pPr>
        <w:divId w:val="1213495698"/>
        <w:rPr>
          <w:rFonts w:eastAsia="Times New Roman"/>
        </w:rPr>
      </w:pPr>
      <w:hyperlink w:anchor="i28e74bea7b4a44c78304596dc3e51779_7" w:history="1">
        <w:r>
          <w:rPr>
            <w:rStyle w:val="a3"/>
            <w:rFonts w:eastAsia="Times New Roman"/>
            <w:sz w:val="16"/>
            <w:szCs w:val="16"/>
          </w:rPr>
          <w:t>Index</w:t>
        </w:r>
      </w:hyperlink>
    </w:p>
    <w:p w:rsidR="00000000" w:rsidRDefault="00480785">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480785">
      <w:pPr>
        <w:jc w:val="center"/>
        <w:rPr>
          <w:rFonts w:eastAsia="Times New Roman"/>
        </w:rPr>
      </w:pPr>
    </w:p>
    <w:p w:rsidR="00000000" w:rsidRDefault="00480785">
      <w:pPr>
        <w:jc w:val="center"/>
        <w:rPr>
          <w:rFonts w:eastAsia="Times New Roman"/>
        </w:rPr>
      </w:pPr>
      <w:r>
        <w:rPr>
          <w:rFonts w:eastAsia="Times New Roman"/>
          <w:b/>
          <w:bCs/>
          <w:color w:val="000000"/>
          <w:sz w:val="20"/>
          <w:szCs w:val="20"/>
        </w:rPr>
        <w:t>NOTES TO UNAUDITED CONDENSED CONSOLIDATED FINANCIAL STATEMENT</w:t>
      </w:r>
      <w:r>
        <w:rPr>
          <w:rFonts w:eastAsia="Times New Roman"/>
          <w:b/>
          <w:bCs/>
          <w:color w:val="000000"/>
          <w:sz w:val="20"/>
          <w:szCs w:val="20"/>
        </w:rPr>
        <w:t>S</w:t>
      </w:r>
    </w:p>
    <w:p w:rsidR="00000000" w:rsidRDefault="00480785">
      <w:pPr>
        <w:divId w:val="1275669221"/>
        <w:rPr>
          <w:rFonts w:eastAsia="Times New Roman"/>
        </w:rPr>
      </w:pPr>
    </w:p>
    <w:p w:rsidR="00000000" w:rsidRDefault="00480785">
      <w:pPr>
        <w:jc w:val="both"/>
        <w:rPr>
          <w:rFonts w:eastAsia="Times New Roman"/>
        </w:rPr>
      </w:pPr>
      <w:r>
        <w:rPr>
          <w:rFonts w:eastAsia="Times New Roman"/>
          <w:b/>
          <w:bCs/>
          <w:color w:val="000000"/>
          <w:sz w:val="20"/>
          <w:szCs w:val="20"/>
        </w:rPr>
        <w:t>Note 1 – General</w:t>
      </w:r>
      <w:r>
        <w:rPr>
          <w:rFonts w:eastAsia="Times New Roman"/>
          <w:b/>
          <w:bCs/>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u w:val="single"/>
        </w:rPr>
        <w:t>Nature of Busines</w:t>
      </w:r>
      <w:r>
        <w:rPr>
          <w:rFonts w:eastAsia="Times New Roman"/>
          <w:color w:val="000000"/>
          <w:sz w:val="20"/>
          <w:szCs w:val="20"/>
          <w:u w:val="single"/>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Founded in 1938, Tractor Supply Company (the “Company” or “we” or “our” or “us”) is the largest rural lifestyle retailer in the United States (“U.S.”). The Company is focused on supplying the needs of recreational farmers, ranchers, and all those who enjoy</w:t>
      </w:r>
      <w:r>
        <w:rPr>
          <w:rFonts w:eastAsia="Times New Roman"/>
          <w:color w:val="000000"/>
          <w:sz w:val="20"/>
          <w:szCs w:val="20"/>
        </w:rPr>
        <w:t xml:space="preserve"> living the rural lifestyle (which we refer to as the </w:t>
      </w:r>
      <w:r>
        <w:rPr>
          <w:rFonts w:eastAsia="Times New Roman"/>
          <w:color w:val="000000"/>
          <w:sz w:val="20"/>
          <w:szCs w:val="20"/>
        </w:rPr>
        <w:t>“</w:t>
      </w:r>
      <w:r>
        <w:rPr>
          <w:rFonts w:eastAsia="Times New Roman"/>
          <w:i/>
          <w:iCs/>
          <w:color w:val="000000"/>
          <w:sz w:val="20"/>
          <w:szCs w:val="20"/>
        </w:rPr>
        <w:t>Out Her</w:t>
      </w:r>
      <w:r>
        <w:rPr>
          <w:rFonts w:eastAsia="Times New Roman"/>
          <w:i/>
          <w:iCs/>
          <w:color w:val="000000"/>
          <w:sz w:val="20"/>
          <w:szCs w:val="20"/>
        </w:rPr>
        <w:t>e</w:t>
      </w:r>
      <w:r>
        <w:rPr>
          <w:rFonts w:eastAsia="Times New Roman"/>
          <w:color w:val="000000"/>
          <w:sz w:val="20"/>
          <w:szCs w:val="20"/>
        </w:rPr>
        <w:t>” lifestyle), as well as tradesmen and small businesses. Stores are located primarily in towns outlying major metropolitan markets and in rural communities. The Company also owns and operates P</w:t>
      </w:r>
      <w:r>
        <w:rPr>
          <w:rFonts w:eastAsia="Times New Roman"/>
          <w:color w:val="000000"/>
          <w:sz w:val="20"/>
          <w:szCs w:val="20"/>
        </w:rPr>
        <w:t xml:space="preserve">etsense, LLC (“Petsense”), a small-box pet specialty supply retailer focused on meeting the needs of pet owners, primarily in small and mid-sized communities, and offering a variety of pet products and services. At September 26, 2020, the Company operated </w:t>
      </w:r>
      <w:r>
        <w:rPr>
          <w:rFonts w:eastAsia="Times New Roman"/>
          <w:color w:val="000000"/>
          <w:sz w:val="20"/>
          <w:szCs w:val="20"/>
        </w:rPr>
        <w:t>a total of 2,087 retail stores in 49 states (1,904 Tractor Supply and Del’s retail stores and 183 Petsense retail stores) and also offered an expanded assortment of products through the Tractor Supply Company mobile application and online at</w:t>
      </w:r>
      <w:r>
        <w:rPr>
          <w:rFonts w:eastAsia="Times New Roman"/>
          <w:color w:val="000000"/>
          <w:sz w:val="20"/>
          <w:szCs w:val="20"/>
        </w:rPr>
        <w:t xml:space="preserve"> </w:t>
      </w:r>
      <w:r>
        <w:rPr>
          <w:rFonts w:eastAsia="Times New Roman"/>
          <w:i/>
          <w:iCs/>
          <w:color w:val="000000"/>
          <w:sz w:val="20"/>
          <w:szCs w:val="20"/>
          <w:u w:val="single"/>
        </w:rPr>
        <w:t>TractorSupply.</w:t>
      </w:r>
      <w:r>
        <w:rPr>
          <w:rFonts w:eastAsia="Times New Roman"/>
          <w:i/>
          <w:iCs/>
          <w:color w:val="000000"/>
          <w:sz w:val="20"/>
          <w:szCs w:val="20"/>
          <w:u w:val="single"/>
        </w:rPr>
        <w:t>co</w:t>
      </w:r>
      <w:r>
        <w:rPr>
          <w:rFonts w:eastAsia="Times New Roman"/>
          <w:i/>
          <w:iCs/>
          <w:color w:val="000000"/>
          <w:sz w:val="20"/>
          <w:szCs w:val="20"/>
          <w:u w:val="single"/>
        </w:rPr>
        <w:t>m</w:t>
      </w:r>
      <w:r>
        <w:rPr>
          <w:rFonts w:eastAsia="Times New Roman"/>
          <w:i/>
          <w:iCs/>
          <w:color w:val="000000"/>
          <w:sz w:val="20"/>
          <w:szCs w:val="20"/>
        </w:rPr>
        <w:t xml:space="preserve"> </w:t>
      </w:r>
      <w:r>
        <w:rPr>
          <w:rFonts w:eastAsia="Times New Roman"/>
          <w:color w:val="000000"/>
          <w:sz w:val="20"/>
          <w:szCs w:val="20"/>
        </w:rPr>
        <w:t>and</w:t>
      </w:r>
      <w:r>
        <w:rPr>
          <w:rFonts w:eastAsia="Times New Roman"/>
          <w:color w:val="000000"/>
          <w:sz w:val="20"/>
          <w:szCs w:val="20"/>
        </w:rPr>
        <w:t xml:space="preserve"> </w:t>
      </w:r>
      <w:r>
        <w:rPr>
          <w:rFonts w:eastAsia="Times New Roman"/>
          <w:i/>
          <w:iCs/>
          <w:color w:val="000000"/>
          <w:sz w:val="20"/>
          <w:szCs w:val="20"/>
          <w:u w:val="single"/>
        </w:rPr>
        <w:t>Petsense.co</w:t>
      </w:r>
      <w:r>
        <w:rPr>
          <w:rFonts w:eastAsia="Times New Roman"/>
          <w:i/>
          <w:iCs/>
          <w:color w:val="000000"/>
          <w:sz w:val="20"/>
          <w:szCs w:val="20"/>
          <w:u w:val="single"/>
        </w:rPr>
        <w:t>m</w:t>
      </w:r>
      <w:r>
        <w:rPr>
          <w:rFonts w:eastAsia="Times New Roman"/>
          <w:color w:val="000000"/>
          <w:sz w:val="20"/>
          <w:szCs w:val="20"/>
        </w:rPr>
        <w:t>.</w:t>
      </w:r>
    </w:p>
    <w:p w:rsidR="00000000" w:rsidRDefault="00480785">
      <w:pPr>
        <w:jc w:val="both"/>
        <w:rPr>
          <w:rFonts w:eastAsia="Times New Roman"/>
        </w:rPr>
      </w:pPr>
    </w:p>
    <w:p w:rsidR="00000000" w:rsidRDefault="00480785">
      <w:pPr>
        <w:divId w:val="384765672"/>
        <w:rPr>
          <w:rFonts w:eastAsia="Times New Roman"/>
        </w:rPr>
      </w:pPr>
      <w:r>
        <w:rPr>
          <w:rFonts w:eastAsia="Times New Roman"/>
          <w:color w:val="000000"/>
          <w:sz w:val="20"/>
          <w:szCs w:val="20"/>
          <w:u w:val="single"/>
        </w:rPr>
        <w:t>Basis of Presentatio</w:t>
      </w:r>
      <w:r>
        <w:rPr>
          <w:rFonts w:eastAsia="Times New Roman"/>
          <w:color w:val="000000"/>
          <w:sz w:val="20"/>
          <w:szCs w:val="20"/>
          <w:u w:val="single"/>
        </w:rPr>
        <w:t>n</w:t>
      </w:r>
    </w:p>
    <w:p w:rsidR="00000000" w:rsidRDefault="00480785">
      <w:pPr>
        <w:divId w:val="1862818045"/>
        <w:rPr>
          <w:rFonts w:eastAsia="Times New Roman"/>
        </w:rPr>
      </w:pPr>
    </w:p>
    <w:p w:rsidR="00000000" w:rsidRDefault="00480785">
      <w:pPr>
        <w:jc w:val="both"/>
        <w:rPr>
          <w:rFonts w:eastAsia="Times New Roman"/>
        </w:rPr>
      </w:pPr>
      <w:r>
        <w:rPr>
          <w:rFonts w:eastAsia="Times New Roman"/>
          <w:color w:val="000000"/>
          <w:sz w:val="20"/>
          <w:szCs w:val="20"/>
        </w:rPr>
        <w:t xml:space="preserve">The accompanying interim unaudited Condensed Consolidated Financial Statements have been prepared in accordance with accounting principles generally accepted in the United States of America (“U.S. GAAP”) and </w:t>
      </w:r>
      <w:r>
        <w:rPr>
          <w:rFonts w:eastAsia="Times New Roman"/>
          <w:color w:val="000000"/>
          <w:sz w:val="20"/>
          <w:szCs w:val="20"/>
        </w:rPr>
        <w:t>the rules and regulations of the Securities and Exchange Commission (“SEC”). Accordingly, they do not include all of the information and notes required by U.S. GAAP for complete financial statements.  In the opinion of management, all adjustments (consisti</w:t>
      </w:r>
      <w:r>
        <w:rPr>
          <w:rFonts w:eastAsia="Times New Roman"/>
          <w:color w:val="000000"/>
          <w:sz w:val="20"/>
          <w:szCs w:val="20"/>
        </w:rPr>
        <w:t>ng of normal recurring accruals) considered necessary for a fair presentation have been included. These statements should be read in conjunction with our Annual Report on Form 10-K for the fiscal year ended December 28, 2019.  The results of operations for</w:t>
      </w:r>
      <w:r>
        <w:rPr>
          <w:rFonts w:eastAsia="Times New Roman"/>
          <w:color w:val="000000"/>
          <w:sz w:val="20"/>
          <w:szCs w:val="20"/>
        </w:rPr>
        <w:t xml:space="preserve"> our interim periods are not necessarily indicative of results for the full fiscal year.</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COVID-19 pandemic has created significant public health concerns as well as economic disruption, uncertainty, and volatility which may negatively affect our bus</w:t>
      </w:r>
      <w:r>
        <w:rPr>
          <w:rFonts w:eastAsia="Times New Roman"/>
          <w:color w:val="000000"/>
          <w:sz w:val="20"/>
          <w:szCs w:val="20"/>
        </w:rPr>
        <w:t>iness operations. As a result, if the pandemic persists or worsens, our accounting estimates and assumptions could be impacted in subsequent interim reports and upon final determination at year-end, and it is reasonably possible such changes could be signi</w:t>
      </w:r>
      <w:r>
        <w:rPr>
          <w:rFonts w:eastAsia="Times New Roman"/>
          <w:color w:val="000000"/>
          <w:sz w:val="20"/>
          <w:szCs w:val="20"/>
        </w:rPr>
        <w:t>ficant (although the potential effects cannot be estimated at this time)</w:t>
      </w:r>
      <w:r>
        <w:rPr>
          <w:rFonts w:eastAsia="Times New Roman"/>
          <w:color w:val="000000"/>
          <w:sz w:val="20"/>
          <w:szCs w:val="20"/>
        </w:rPr>
        <w:t>.</w:t>
      </w:r>
    </w:p>
    <w:p w:rsidR="00000000" w:rsidRDefault="00480785">
      <w:pPr>
        <w:divId w:val="1933927467"/>
        <w:rPr>
          <w:rFonts w:eastAsia="Times New Roman"/>
        </w:rPr>
      </w:pPr>
    </w:p>
    <w:p w:rsidR="00000000" w:rsidRDefault="00480785">
      <w:pPr>
        <w:jc w:val="both"/>
        <w:rPr>
          <w:rFonts w:eastAsia="Times New Roman"/>
        </w:rPr>
      </w:pPr>
      <w:r>
        <w:rPr>
          <w:rFonts w:eastAsia="Times New Roman"/>
          <w:b/>
          <w:bCs/>
          <w:color w:val="000000"/>
          <w:sz w:val="20"/>
          <w:szCs w:val="20"/>
        </w:rPr>
        <w:t>Note 2 – Fair Value of Financial Instruments</w:t>
      </w:r>
      <w:r>
        <w:rPr>
          <w:rFonts w:eastAsia="Times New Roman"/>
          <w:b/>
          <w:bCs/>
          <w:color w:val="000000"/>
          <w:sz w:val="20"/>
          <w:szCs w:val="20"/>
        </w:rPr>
        <w:t>:</w:t>
      </w:r>
    </w:p>
    <w:p w:rsidR="00000000" w:rsidRDefault="00480785">
      <w:pPr>
        <w:divId w:val="1699309113"/>
        <w:rPr>
          <w:rFonts w:eastAsia="Times New Roman"/>
        </w:rPr>
      </w:pPr>
    </w:p>
    <w:p w:rsidR="00000000" w:rsidRDefault="00480785">
      <w:pPr>
        <w:jc w:val="both"/>
        <w:rPr>
          <w:rFonts w:eastAsia="Times New Roman"/>
        </w:rPr>
      </w:pPr>
      <w:r>
        <w:rPr>
          <w:rFonts w:eastAsia="Times New Roman"/>
          <w:color w:val="000000"/>
          <w:sz w:val="20"/>
          <w:szCs w:val="20"/>
        </w:rPr>
        <w:t>Fair value is defined as the price that would be received to sell an asset or paid to transfer a liability (an exit price) in an ord</w:t>
      </w:r>
      <w:r>
        <w:rPr>
          <w:rFonts w:eastAsia="Times New Roman"/>
          <w:color w:val="000000"/>
          <w:sz w:val="20"/>
          <w:szCs w:val="20"/>
        </w:rPr>
        <w:t xml:space="preserve">erly transaction between market participants on the measurement date. The Company uses a three-tier fair value hierarchy, which prioritizes the inputs used in measuring fair value.  These tiers include: Level 1, defined as observable inputs such as quoted </w:t>
      </w:r>
      <w:r>
        <w:rPr>
          <w:rFonts w:eastAsia="Times New Roman"/>
          <w:color w:val="000000"/>
          <w:sz w:val="20"/>
          <w:szCs w:val="20"/>
        </w:rPr>
        <w:t xml:space="preserve">prices in active markets; Level 2, defined as inputs other than quoted prices in active markets that are either directly or indirectly observable; and Level 3, defined as unobservable inputs in which little or no market data exists, therefore requiring an </w:t>
      </w:r>
      <w:r>
        <w:rPr>
          <w:rFonts w:eastAsia="Times New Roman"/>
          <w:color w:val="000000"/>
          <w:sz w:val="20"/>
          <w:szCs w:val="20"/>
        </w:rPr>
        <w:t>entity to develop its own assumptions</w:t>
      </w:r>
      <w:r>
        <w:rPr>
          <w:rFonts w:eastAsia="Times New Roman"/>
          <w:color w:val="000000"/>
          <w:sz w:val="20"/>
          <w:szCs w:val="20"/>
        </w:rPr>
        <w:t>.</w:t>
      </w:r>
    </w:p>
    <w:p w:rsidR="00000000" w:rsidRDefault="00480785">
      <w:pPr>
        <w:divId w:val="1086077886"/>
        <w:rPr>
          <w:rFonts w:eastAsia="Times New Roman"/>
        </w:rPr>
      </w:pPr>
    </w:p>
    <w:p w:rsidR="00000000" w:rsidRDefault="00480785">
      <w:pPr>
        <w:jc w:val="both"/>
        <w:rPr>
          <w:rFonts w:eastAsia="Times New Roman"/>
        </w:rPr>
      </w:pPr>
      <w:r>
        <w:rPr>
          <w:rFonts w:eastAsia="Times New Roman"/>
          <w:color w:val="000000"/>
          <w:sz w:val="20"/>
          <w:szCs w:val="20"/>
        </w:rPr>
        <w:t>The Company’</w:t>
      </w:r>
      <w:r>
        <w:rPr>
          <w:rFonts w:eastAsia="Times New Roman"/>
          <w:color w:val="000000"/>
          <w:sz w:val="20"/>
          <w:szCs w:val="20"/>
        </w:rPr>
        <w:t xml:space="preserve">s financial instruments consist of cash and cash equivalents, short-term receivables, trade payables, debt instruments, and interest rate swaps.  Due to their short-term nature, the carrying values of cash and cash equivalents, short-term receivables, and </w:t>
      </w:r>
      <w:r>
        <w:rPr>
          <w:rFonts w:eastAsia="Times New Roman"/>
          <w:color w:val="000000"/>
          <w:sz w:val="20"/>
          <w:szCs w:val="20"/>
        </w:rPr>
        <w:t>trade payables approximate current fair value at each balance sheet date. As described in further detail in Note 5 to the Condensed Consolidated Financial Statements, the Company had $910.0 million, $397.5 million, and $645.0 million in borrowings under it</w:t>
      </w:r>
      <w:r>
        <w:rPr>
          <w:rFonts w:eastAsia="Times New Roman"/>
          <w:color w:val="000000"/>
          <w:sz w:val="20"/>
          <w:szCs w:val="20"/>
        </w:rPr>
        <w:t>s debt facilities at September 26, 2020, December 28, 2019, and September 28, 2019, respectively. Based on market interest rates (Level 2 inputs), the carrying value of borrowings in our debt facilities approximates fair value for each period reported. The</w:t>
      </w:r>
      <w:r>
        <w:rPr>
          <w:rFonts w:eastAsia="Times New Roman"/>
          <w:color w:val="000000"/>
          <w:sz w:val="20"/>
          <w:szCs w:val="20"/>
        </w:rPr>
        <w:t xml:space="preserve"> fair value of the Company’s interest rate swaps is determined based on the present value of expected future cash flows using forward rate curves (a Level 2 input). As described in further detail in Note 6 to the Condensed Consolidated Financial Statements</w:t>
      </w:r>
      <w:r>
        <w:rPr>
          <w:rFonts w:eastAsia="Times New Roman"/>
          <w:color w:val="000000"/>
          <w:sz w:val="20"/>
          <w:szCs w:val="20"/>
        </w:rPr>
        <w:t>, the fair value of the interest rate swaps, excluding accrued interest, was a net liability of $7.9 million at September 26, 2020, and a net asset of $0.3 million and $0.1 million at December 28, 2019 and September 28, 2019, respectively.</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center"/>
        <w:divId w:val="211891601"/>
        <w:rPr>
          <w:rFonts w:eastAsia="Times New Roman"/>
        </w:rPr>
      </w:pPr>
      <w:r>
        <w:rPr>
          <w:rFonts w:eastAsia="Times New Roman"/>
          <w:color w:val="000000"/>
          <w:sz w:val="20"/>
          <w:szCs w:val="20"/>
        </w:rPr>
        <w:t xml:space="preserve">Page </w:t>
      </w:r>
      <w:r>
        <w:rPr>
          <w:rFonts w:eastAsia="Times New Roman"/>
          <w:color w:val="000000"/>
          <w:sz w:val="20"/>
          <w:szCs w:val="20"/>
        </w:rPr>
        <w:t>9</w:t>
      </w:r>
    </w:p>
    <w:p w:rsidR="00000000" w:rsidRDefault="00480785">
      <w:pPr>
        <w:rPr>
          <w:rFonts w:eastAsia="Times New Roman"/>
        </w:rPr>
      </w:pPr>
      <w:r>
        <w:rPr>
          <w:rFonts w:eastAsia="Times New Roman"/>
        </w:rPr>
        <w:pict>
          <v:rect id="_x0000_i1034" style="width:0;height:1.5pt" o:hralign="center" o:hrstd="t" o:hr="t" fillcolor="#a0a0a0" stroked="f"/>
        </w:pict>
      </w:r>
    </w:p>
    <w:p w:rsidR="00000000" w:rsidRDefault="00480785">
      <w:pPr>
        <w:divId w:val="1578250326"/>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b/>
          <w:bCs/>
          <w:color w:val="000000"/>
          <w:sz w:val="20"/>
          <w:szCs w:val="20"/>
        </w:rPr>
        <w:t>Note 3 – Share-Based Compensation</w:t>
      </w:r>
      <w:r>
        <w:rPr>
          <w:rFonts w:eastAsia="Times New Roman"/>
          <w:b/>
          <w:bCs/>
          <w:color w:val="000000"/>
          <w:sz w:val="20"/>
          <w:szCs w:val="20"/>
        </w:rPr>
        <w:t>:</w:t>
      </w:r>
    </w:p>
    <w:p w:rsidR="00000000" w:rsidRDefault="00480785">
      <w:pPr>
        <w:divId w:val="1182358505"/>
        <w:rPr>
          <w:rFonts w:eastAsia="Times New Roman"/>
        </w:rPr>
      </w:pPr>
    </w:p>
    <w:p w:rsidR="00000000" w:rsidRDefault="00480785">
      <w:pPr>
        <w:jc w:val="both"/>
        <w:rPr>
          <w:rFonts w:eastAsia="Times New Roman"/>
        </w:rPr>
      </w:pPr>
      <w:r>
        <w:rPr>
          <w:rFonts w:eastAsia="Times New Roman"/>
          <w:color w:val="000000"/>
          <w:sz w:val="20"/>
          <w:szCs w:val="20"/>
        </w:rPr>
        <w:t>Share-based compensation includes stock options, restricted stock units, performance-based restricted share units, and certai</w:t>
      </w:r>
      <w:r>
        <w:rPr>
          <w:rFonts w:eastAsia="Times New Roman"/>
          <w:color w:val="000000"/>
          <w:sz w:val="20"/>
          <w:szCs w:val="20"/>
        </w:rPr>
        <w:t>n transactions under our Employee Stock Purchase Plan (the “ESPP”). Share-based compensation expense is recognized based on grant date fair value of all stock options, restricted stock units, and performance-based restricted share units plus a 15% discount</w:t>
      </w:r>
      <w:r>
        <w:rPr>
          <w:rFonts w:eastAsia="Times New Roman"/>
          <w:color w:val="000000"/>
          <w:sz w:val="20"/>
          <w:szCs w:val="20"/>
        </w:rPr>
        <w:t xml:space="preserve"> on shares purchased by employees as a part of the ESPP. The discount under the ESPP represents the difference between the purchase date market value and the employee’s purchase price</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There were no significant modifications to the Company’s share-based </w:t>
      </w:r>
      <w:r>
        <w:rPr>
          <w:rFonts w:eastAsia="Times New Roman"/>
          <w:color w:val="000000"/>
          <w:sz w:val="20"/>
          <w:szCs w:val="20"/>
        </w:rPr>
        <w:t>compensation plans during the fiscal nine months ende</w:t>
      </w:r>
      <w:r>
        <w:rPr>
          <w:rFonts w:eastAsia="Times New Roman"/>
          <w:color w:val="000000"/>
          <w:sz w:val="20"/>
          <w:szCs w:val="20"/>
        </w:rPr>
        <w:t>d</w:t>
      </w:r>
    </w:p>
    <w:p w:rsidR="00000000" w:rsidRDefault="00480785">
      <w:pPr>
        <w:divId w:val="758214243"/>
        <w:rPr>
          <w:rFonts w:eastAsia="Times New Roman"/>
        </w:rPr>
      </w:pPr>
      <w:r>
        <w:rPr>
          <w:rFonts w:eastAsia="Times New Roman"/>
          <w:color w:val="000000"/>
          <w:sz w:val="20"/>
          <w:szCs w:val="20"/>
        </w:rPr>
        <w:t>September 26, 2020</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For the third quarter of fiscal 2020 and 2019, share-based compensation expense was $12.5 million and $7.4 million, respectively, and $27.0 million and $25.8 </w:t>
      </w:r>
      <w:r>
        <w:rPr>
          <w:rFonts w:eastAsia="Times New Roman"/>
          <w:color w:val="000000"/>
          <w:sz w:val="20"/>
          <w:szCs w:val="20"/>
        </w:rPr>
        <w:t>million for the first nine months of fiscal 2020 and 2019, respectively</w:t>
      </w:r>
      <w:r>
        <w:rPr>
          <w:rFonts w:eastAsia="Times New Roman"/>
          <w:color w:val="000000"/>
          <w:sz w:val="20"/>
          <w:szCs w:val="20"/>
        </w:rPr>
        <w:t>.</w:t>
      </w:r>
    </w:p>
    <w:p w:rsidR="00000000" w:rsidRDefault="00480785">
      <w:pPr>
        <w:jc w:val="both"/>
        <w:rPr>
          <w:rFonts w:eastAsia="Times New Roman"/>
        </w:rPr>
      </w:pPr>
    </w:p>
    <w:p w:rsidR="00000000" w:rsidRDefault="00480785">
      <w:pPr>
        <w:divId w:val="2109504205"/>
        <w:rPr>
          <w:rFonts w:eastAsia="Times New Roman"/>
        </w:rPr>
      </w:pPr>
      <w:r>
        <w:rPr>
          <w:rFonts w:eastAsia="Times New Roman"/>
          <w:color w:val="000000"/>
          <w:sz w:val="20"/>
          <w:szCs w:val="20"/>
          <w:u w:val="single"/>
        </w:rPr>
        <w:t>Stock Option</w:t>
      </w:r>
      <w:r>
        <w:rPr>
          <w:rFonts w:eastAsia="Times New Roman"/>
          <w:color w:val="000000"/>
          <w:sz w:val="20"/>
          <w:szCs w:val="20"/>
          <w:u w:val="single"/>
        </w:rPr>
        <w:t>s</w:t>
      </w:r>
    </w:p>
    <w:p w:rsidR="00000000" w:rsidRDefault="00480785">
      <w:pPr>
        <w:divId w:val="1192379406"/>
        <w:rPr>
          <w:rFonts w:eastAsia="Times New Roman"/>
        </w:rPr>
      </w:pPr>
    </w:p>
    <w:p w:rsidR="00000000" w:rsidRDefault="00480785">
      <w:pPr>
        <w:jc w:val="both"/>
        <w:rPr>
          <w:rFonts w:eastAsia="Times New Roman"/>
        </w:rPr>
      </w:pPr>
      <w:r>
        <w:rPr>
          <w:rFonts w:eastAsia="Times New Roman"/>
          <w:color w:val="000000"/>
          <w:sz w:val="20"/>
          <w:szCs w:val="20"/>
        </w:rPr>
        <w:t>The following table summarizes information concerning stock option grants during the first nine months of fiscal 2020</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4"/>
        <w:gridCol w:w="6149"/>
        <w:gridCol w:w="37"/>
        <w:gridCol w:w="137"/>
        <w:gridCol w:w="1897"/>
        <w:gridCol w:w="42"/>
      </w:tblGrid>
      <w:tr w:rsidR="00000000">
        <w:trPr>
          <w:divId w:val="734162890"/>
        </w:trPr>
        <w:tc>
          <w:tcPr>
            <w:tcW w:w="50" w:type="pct"/>
            <w:vAlign w:val="center"/>
            <w:hideMark/>
          </w:tcPr>
          <w:p w:rsidR="00000000" w:rsidRDefault="00480785">
            <w:pPr>
              <w:jc w:val="both"/>
              <w:rPr>
                <w:rFonts w:eastAsia="Times New Roman"/>
              </w:rPr>
            </w:pPr>
          </w:p>
        </w:tc>
        <w:tc>
          <w:tcPr>
            <w:tcW w:w="372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16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734162890"/>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r>
      <w:tr w:rsidR="00000000">
        <w:trPr>
          <w:divId w:val="734162890"/>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 202</w:t>
            </w:r>
            <w:r>
              <w:rPr>
                <w:rFonts w:eastAsia="Times New Roman"/>
                <w:b/>
                <w:bCs/>
                <w:color w:val="000000"/>
                <w:sz w:val="20"/>
                <w:szCs w:val="20"/>
              </w:rPr>
              <w:t>0</w:t>
            </w:r>
          </w:p>
        </w:tc>
      </w:tr>
      <w:tr w:rsidR="00000000">
        <w:trPr>
          <w:divId w:val="734162890"/>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Stock options grante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443,967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734162890"/>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Weighted average exercise pric</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94.62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734162890"/>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Weighted average grant date fair value per optio</w:t>
            </w:r>
            <w:r>
              <w:rPr>
                <w:rFonts w:eastAsia="Times New Roman"/>
                <w:color w:val="000000"/>
                <w:sz w:val="20"/>
                <w:szCs w:val="20"/>
              </w:rPr>
              <w:t>n</w:t>
            </w: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bl>
    <w:p w:rsidR="00000000" w:rsidRDefault="00480785">
      <w:pPr>
        <w:divId w:val="1399980584"/>
        <w:rPr>
          <w:rFonts w:eastAsia="Times New Roman"/>
        </w:rPr>
      </w:pPr>
    </w:p>
    <w:p w:rsidR="00000000" w:rsidRDefault="00480785">
      <w:pPr>
        <w:jc w:val="both"/>
        <w:rPr>
          <w:rFonts w:eastAsia="Times New Roman"/>
        </w:rPr>
      </w:pPr>
      <w:r>
        <w:rPr>
          <w:rFonts w:eastAsia="Times New Roman"/>
          <w:color w:val="000000"/>
          <w:sz w:val="20"/>
          <w:szCs w:val="20"/>
        </w:rPr>
        <w:t>As of September </w:t>
      </w:r>
      <w:r>
        <w:rPr>
          <w:rFonts w:eastAsia="Times New Roman"/>
          <w:color w:val="000000"/>
          <w:sz w:val="20"/>
          <w:szCs w:val="20"/>
        </w:rPr>
        <w:t>26, 2020, total unrecognized compensation expense related to non-vested stock options was approximately $10.1 million with a remaining weighted average expense recognition period of 2.0 years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u w:val="single"/>
        </w:rPr>
        <w:t>Restricted Stock Units and Performance-Based Restricted Share Unit</w:t>
      </w:r>
      <w:r>
        <w:rPr>
          <w:rFonts w:eastAsia="Times New Roman"/>
          <w:color w:val="000000"/>
          <w:sz w:val="20"/>
          <w:szCs w:val="20"/>
          <w:u w:val="single"/>
        </w:rPr>
        <w:t>s</w:t>
      </w:r>
    </w:p>
    <w:p w:rsidR="00000000" w:rsidRDefault="00480785">
      <w:pPr>
        <w:divId w:val="942876809"/>
        <w:rPr>
          <w:rFonts w:eastAsia="Times New Roman"/>
        </w:rPr>
      </w:pPr>
    </w:p>
    <w:p w:rsidR="00000000" w:rsidRDefault="00480785">
      <w:pPr>
        <w:jc w:val="both"/>
        <w:rPr>
          <w:rFonts w:eastAsia="Times New Roman"/>
        </w:rPr>
      </w:pPr>
      <w:r>
        <w:rPr>
          <w:rFonts w:eastAsia="Times New Roman"/>
          <w:color w:val="000000"/>
          <w:sz w:val="20"/>
          <w:szCs w:val="20"/>
        </w:rPr>
        <w:t>The following table summarizes information concerning restricted stock unit and performance-based restricted share unit grants during the first nine months of fiscal 2020</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4"/>
        <w:gridCol w:w="6149"/>
        <w:gridCol w:w="37"/>
        <w:gridCol w:w="137"/>
        <w:gridCol w:w="1897"/>
        <w:gridCol w:w="42"/>
      </w:tblGrid>
      <w:tr w:rsidR="00000000">
        <w:trPr>
          <w:divId w:val="627055265"/>
        </w:trPr>
        <w:tc>
          <w:tcPr>
            <w:tcW w:w="50" w:type="pct"/>
            <w:vAlign w:val="center"/>
            <w:hideMark/>
          </w:tcPr>
          <w:p w:rsidR="00000000" w:rsidRDefault="00480785">
            <w:pPr>
              <w:jc w:val="both"/>
              <w:rPr>
                <w:rFonts w:eastAsia="Times New Roman"/>
              </w:rPr>
            </w:pPr>
          </w:p>
        </w:tc>
        <w:tc>
          <w:tcPr>
            <w:tcW w:w="372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16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627055265"/>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r>
      <w:tr w:rsidR="00000000">
        <w:trPr>
          <w:divId w:val="627055265"/>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 202</w:t>
            </w:r>
            <w:r>
              <w:rPr>
                <w:rFonts w:eastAsia="Times New Roman"/>
                <w:b/>
                <w:bCs/>
                <w:color w:val="000000"/>
                <w:sz w:val="20"/>
                <w:szCs w:val="20"/>
              </w:rPr>
              <w:t>0</w:t>
            </w:r>
          </w:p>
        </w:tc>
      </w:tr>
      <w:tr w:rsidR="00000000">
        <w:trPr>
          <w:divId w:val="627055265"/>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Restricted stock units grante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320,053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27055265"/>
        </w:trPr>
        <w:tc>
          <w:tcPr>
            <w:tcW w:w="0" w:type="auto"/>
            <w:gridSpan w:val="3"/>
            <w:shd w:val="clear" w:color="auto" w:fill="FFFFFF"/>
            <w:tcMar>
              <w:top w:w="30" w:type="dxa"/>
              <w:left w:w="20" w:type="dxa"/>
              <w:bottom w:w="30" w:type="dxa"/>
              <w:right w:w="20" w:type="dxa"/>
            </w:tcMar>
            <w:vAlign w:val="bottom"/>
            <w:hideMark/>
          </w:tcPr>
          <w:p w:rsidR="00000000" w:rsidRDefault="00480785">
            <w:pPr>
              <w:divId w:val="526717158"/>
              <w:rPr>
                <w:rFonts w:eastAsia="Times New Roman"/>
              </w:rPr>
            </w:pPr>
            <w:r>
              <w:rPr>
                <w:rFonts w:eastAsia="Times New Roman"/>
                <w:color w:val="000000"/>
                <w:sz w:val="20"/>
                <w:szCs w:val="20"/>
              </w:rPr>
              <w:t>Performance-based restricted share units granted</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83,368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27055265"/>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Weighted average grant date fair value per shar</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94.39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bl>
    <w:p w:rsidR="00000000" w:rsidRDefault="00480785">
      <w:pPr>
        <w:jc w:val="both"/>
        <w:rPr>
          <w:rFonts w:eastAsia="Times New Roman"/>
        </w:rPr>
      </w:pPr>
      <w:r>
        <w:rPr>
          <w:rFonts w:eastAsia="Times New Roman"/>
          <w:color w:val="000000"/>
          <w:sz w:val="16"/>
          <w:szCs w:val="16"/>
        </w:rPr>
        <w:t>(a) Assumes 100% target level achievement of the relative performance targets</w:t>
      </w:r>
      <w:r>
        <w:rPr>
          <w:rFonts w:eastAsia="Times New Roman"/>
          <w:color w:val="000000"/>
          <w:sz w:val="16"/>
          <w:szCs w:val="16"/>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In fiscal 2020, the Company granted awards that are subject to the achievement of specified performance goals. The performance metrics for the units are growth in net sales and growth in earnings per diluted share. The number of performance-based restricte</w:t>
      </w:r>
      <w:r>
        <w:rPr>
          <w:rFonts w:eastAsia="Times New Roman"/>
          <w:color w:val="000000"/>
          <w:sz w:val="20"/>
          <w:szCs w:val="20"/>
        </w:rPr>
        <w:t>d share units presented in the foregoing table represent the shares that can be achieved at the performance metric target value. The actual number of shares that will be issued under the performance share awards, which may be higher or lower than the targe</w:t>
      </w:r>
      <w:r>
        <w:rPr>
          <w:rFonts w:eastAsia="Times New Roman"/>
          <w:color w:val="000000"/>
          <w:sz w:val="20"/>
          <w:szCs w:val="20"/>
        </w:rPr>
        <w:t xml:space="preserve">t, will be determined by the level of achievement of the performance goals. If the performance targets are achieved, the units will be issued based on the achievement level and the grant date fair value and will cliff vest in full on the third anniversary </w:t>
      </w:r>
      <w:r>
        <w:rPr>
          <w:rFonts w:eastAsia="Times New Roman"/>
          <w:color w:val="000000"/>
          <w:sz w:val="20"/>
          <w:szCs w:val="20"/>
        </w:rPr>
        <w:t>of the date of the grant</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As of September 26, 2020, total unrecognized compensation expense related to non-vested restricted stock units and non-vested performance-based restricted share units was approximately $43.8 million with a remaining weighted ave</w:t>
      </w:r>
      <w:r>
        <w:rPr>
          <w:rFonts w:eastAsia="Times New Roman"/>
          <w:color w:val="000000"/>
          <w:sz w:val="20"/>
          <w:szCs w:val="20"/>
        </w:rPr>
        <w:t>rage expense recognition period of 2.0 years</w:t>
      </w:r>
      <w:r>
        <w:rPr>
          <w:rFonts w:eastAsia="Times New Roman"/>
          <w:color w:val="000000"/>
          <w:sz w:val="20"/>
          <w:szCs w:val="20"/>
        </w:rPr>
        <w:t>.</w:t>
      </w:r>
    </w:p>
    <w:p w:rsidR="00000000" w:rsidRDefault="00480785">
      <w:pPr>
        <w:divId w:val="724989045"/>
        <w:rPr>
          <w:rFonts w:eastAsia="Times New Roman"/>
        </w:rPr>
      </w:pPr>
    </w:p>
    <w:p w:rsidR="00000000" w:rsidRDefault="00480785">
      <w:pPr>
        <w:jc w:val="center"/>
        <w:divId w:val="1516309763"/>
        <w:rPr>
          <w:rFonts w:eastAsia="Times New Roman"/>
        </w:rPr>
      </w:pPr>
      <w:r>
        <w:rPr>
          <w:rFonts w:eastAsia="Times New Roman"/>
          <w:color w:val="000000"/>
          <w:sz w:val="20"/>
          <w:szCs w:val="20"/>
        </w:rPr>
        <w:t>Page 1</w:t>
      </w:r>
      <w:r>
        <w:rPr>
          <w:rFonts w:eastAsia="Times New Roman"/>
          <w:color w:val="000000"/>
          <w:sz w:val="20"/>
          <w:szCs w:val="20"/>
        </w:rPr>
        <w:t>0</w:t>
      </w:r>
    </w:p>
    <w:p w:rsidR="00000000" w:rsidRDefault="00480785">
      <w:pPr>
        <w:rPr>
          <w:rFonts w:eastAsia="Times New Roman"/>
        </w:rPr>
      </w:pPr>
      <w:r>
        <w:rPr>
          <w:rFonts w:eastAsia="Times New Roman"/>
        </w:rPr>
        <w:pict>
          <v:rect id="_x0000_i1035" style="width:0;height:1.5pt" o:hralign="center" o:hrstd="t" o:hr="t" fillcolor="#a0a0a0" stroked="f"/>
        </w:pict>
      </w:r>
    </w:p>
    <w:p w:rsidR="00000000" w:rsidRDefault="00480785">
      <w:pPr>
        <w:divId w:val="1841386871"/>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b/>
          <w:bCs/>
          <w:color w:val="000000"/>
          <w:sz w:val="20"/>
          <w:szCs w:val="20"/>
        </w:rPr>
        <w:t>Note 4 – Net Income Per Share</w:t>
      </w:r>
      <w:r>
        <w:rPr>
          <w:rFonts w:eastAsia="Times New Roman"/>
          <w:b/>
          <w:bCs/>
          <w:color w:val="000000"/>
          <w:sz w:val="20"/>
          <w:szCs w:val="20"/>
        </w:rPr>
        <w:t>:</w:t>
      </w:r>
    </w:p>
    <w:p w:rsidR="00000000" w:rsidRDefault="00480785">
      <w:pPr>
        <w:divId w:val="103034929"/>
        <w:rPr>
          <w:rFonts w:eastAsia="Times New Roman"/>
        </w:rPr>
      </w:pPr>
    </w:p>
    <w:p w:rsidR="00000000" w:rsidRDefault="00480785">
      <w:pPr>
        <w:jc w:val="both"/>
        <w:rPr>
          <w:rFonts w:eastAsia="Times New Roman"/>
        </w:rPr>
      </w:pPr>
      <w:r>
        <w:rPr>
          <w:rFonts w:eastAsia="Times New Roman"/>
          <w:color w:val="000000"/>
          <w:sz w:val="20"/>
          <w:szCs w:val="20"/>
        </w:rPr>
        <w:t>The Company presents both basic and diluted net income per share on the Condensed Consolidated Statements of Income.  Basic net income per share is calculated by dividing net income by the weighted average number of shares outstanding during the period.  D</w:t>
      </w:r>
      <w:r>
        <w:rPr>
          <w:rFonts w:eastAsia="Times New Roman"/>
          <w:color w:val="000000"/>
          <w:sz w:val="20"/>
          <w:szCs w:val="20"/>
        </w:rPr>
        <w:t>iluted net income per share is calculated by dividing net income by the weighted average diluted shares outstanding during the period. Dilutive shares are computed using the treasury stock method for share-based awards. Performance-based restricted share u</w:t>
      </w:r>
      <w:r>
        <w:rPr>
          <w:rFonts w:eastAsia="Times New Roman"/>
          <w:color w:val="000000"/>
          <w:sz w:val="20"/>
          <w:szCs w:val="20"/>
        </w:rPr>
        <w:t>nits are included in diluted shares only if the related performance conditions are considered satisfied as of the end of the reporting period. Net income per share is calculated as follows (in thousands, except per share amounts)</w:t>
      </w:r>
      <w:r>
        <w:rPr>
          <w:rFonts w:eastAsia="Times New Roman"/>
          <w:color w:val="000000"/>
          <w:sz w:val="20"/>
          <w:szCs w:val="20"/>
        </w:rPr>
        <w:t>:</w:t>
      </w:r>
    </w:p>
    <w:tbl>
      <w:tblPr>
        <w:tblW w:w="4956" w:type="pct"/>
        <w:tblCellMar>
          <w:top w:w="15" w:type="dxa"/>
          <w:left w:w="15" w:type="dxa"/>
          <w:bottom w:w="15" w:type="dxa"/>
          <w:right w:w="15" w:type="dxa"/>
        </w:tblCellMar>
        <w:tblLook w:val="04A0" w:firstRow="1" w:lastRow="0" w:firstColumn="1" w:lastColumn="0" w:noHBand="0" w:noVBand="1"/>
      </w:tblPr>
      <w:tblGrid>
        <w:gridCol w:w="38"/>
        <w:gridCol w:w="1733"/>
        <w:gridCol w:w="37"/>
        <w:gridCol w:w="135"/>
        <w:gridCol w:w="715"/>
        <w:gridCol w:w="41"/>
        <w:gridCol w:w="36"/>
        <w:gridCol w:w="36"/>
        <w:gridCol w:w="36"/>
        <w:gridCol w:w="74"/>
        <w:gridCol w:w="646"/>
        <w:gridCol w:w="41"/>
        <w:gridCol w:w="36"/>
        <w:gridCol w:w="36"/>
        <w:gridCol w:w="36"/>
        <w:gridCol w:w="136"/>
        <w:gridCol w:w="658"/>
        <w:gridCol w:w="42"/>
        <w:gridCol w:w="36"/>
        <w:gridCol w:w="36"/>
        <w:gridCol w:w="36"/>
        <w:gridCol w:w="135"/>
        <w:gridCol w:w="715"/>
        <w:gridCol w:w="41"/>
        <w:gridCol w:w="36"/>
        <w:gridCol w:w="36"/>
        <w:gridCol w:w="36"/>
        <w:gridCol w:w="74"/>
        <w:gridCol w:w="646"/>
        <w:gridCol w:w="41"/>
        <w:gridCol w:w="36"/>
        <w:gridCol w:w="36"/>
        <w:gridCol w:w="36"/>
        <w:gridCol w:w="136"/>
        <w:gridCol w:w="703"/>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278689173"/>
        </w:trPr>
        <w:tc>
          <w:tcPr>
            <w:tcW w:w="50" w:type="pct"/>
            <w:vAlign w:val="center"/>
            <w:hideMark/>
          </w:tcPr>
          <w:p w:rsidR="00000000" w:rsidRDefault="00480785">
            <w:pPr>
              <w:jc w:val="both"/>
              <w:rPr>
                <w:rFonts w:eastAsia="Times New Roman"/>
              </w:rPr>
            </w:pPr>
          </w:p>
        </w:tc>
        <w:tc>
          <w:tcPr>
            <w:tcW w:w="183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278689173"/>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278689173"/>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 202</w:t>
            </w:r>
            <w:r>
              <w:rPr>
                <w:rFonts w:eastAsia="Times New Roman"/>
                <w:b/>
                <w:bCs/>
                <w:color w:val="000000"/>
                <w:sz w:val="20"/>
                <w:szCs w:val="20"/>
              </w:rPr>
              <w:t>0</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 201</w:t>
            </w:r>
            <w:r>
              <w:rPr>
                <w:rFonts w:eastAsia="Times New Roman"/>
                <w:b/>
                <w:bCs/>
                <w:color w:val="000000"/>
                <w:sz w:val="20"/>
                <w:szCs w:val="20"/>
              </w:rPr>
              <w:t>9</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278689173"/>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w:t>
            </w:r>
            <w:r>
              <w:rPr>
                <w:rFonts w:eastAsia="Times New Roman"/>
                <w:b/>
                <w:bCs/>
                <w:color w:val="000000"/>
                <w:sz w:val="20"/>
                <w:szCs w:val="20"/>
              </w:rPr>
              <w:t>t</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w:t>
            </w:r>
            <w:r>
              <w:rPr>
                <w:rFonts w:eastAsia="Times New Roman"/>
                <w:b/>
                <w:bCs/>
                <w:color w:val="000000"/>
                <w:sz w:val="20"/>
                <w:szCs w:val="20"/>
              </w:rPr>
              <w:t>t</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78689173"/>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Basic net income per share</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190,610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116,339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122,133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118,956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78689173"/>
        </w:trPr>
        <w:tc>
          <w:tcPr>
            <w:tcW w:w="0" w:type="auto"/>
            <w:gridSpan w:val="3"/>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Dilutive effect of share-based award</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1,406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(0.02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1,102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(0.01</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78689173"/>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Diluted net income per share</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190,610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117,745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122,133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120,058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divId w:val="2090610568"/>
        <w:rPr>
          <w:rFonts w:eastAsia="Times New Roman"/>
        </w:rPr>
      </w:pPr>
    </w:p>
    <w:p w:rsidR="00000000" w:rsidRDefault="00480785">
      <w:pPr>
        <w:jc w:val="both"/>
        <w:rPr>
          <w:rFonts w:eastAsia="Times New Roman"/>
        </w:rPr>
      </w:pPr>
    </w:p>
    <w:tbl>
      <w:tblPr>
        <w:tblW w:w="4956" w:type="pct"/>
        <w:tblCellMar>
          <w:top w:w="15" w:type="dxa"/>
          <w:left w:w="15" w:type="dxa"/>
          <w:bottom w:w="15" w:type="dxa"/>
          <w:right w:w="15" w:type="dxa"/>
        </w:tblCellMar>
        <w:tblLook w:val="04A0" w:firstRow="1" w:lastRow="0" w:firstColumn="1" w:lastColumn="0" w:noHBand="0" w:noVBand="1"/>
      </w:tblPr>
      <w:tblGrid>
        <w:gridCol w:w="38"/>
        <w:gridCol w:w="1733"/>
        <w:gridCol w:w="37"/>
        <w:gridCol w:w="135"/>
        <w:gridCol w:w="715"/>
        <w:gridCol w:w="41"/>
        <w:gridCol w:w="36"/>
        <w:gridCol w:w="36"/>
        <w:gridCol w:w="36"/>
        <w:gridCol w:w="74"/>
        <w:gridCol w:w="646"/>
        <w:gridCol w:w="41"/>
        <w:gridCol w:w="36"/>
        <w:gridCol w:w="36"/>
        <w:gridCol w:w="36"/>
        <w:gridCol w:w="136"/>
        <w:gridCol w:w="658"/>
        <w:gridCol w:w="42"/>
        <w:gridCol w:w="36"/>
        <w:gridCol w:w="36"/>
        <w:gridCol w:w="36"/>
        <w:gridCol w:w="135"/>
        <w:gridCol w:w="715"/>
        <w:gridCol w:w="41"/>
        <w:gridCol w:w="36"/>
        <w:gridCol w:w="36"/>
        <w:gridCol w:w="36"/>
        <w:gridCol w:w="74"/>
        <w:gridCol w:w="646"/>
        <w:gridCol w:w="41"/>
        <w:gridCol w:w="36"/>
        <w:gridCol w:w="36"/>
        <w:gridCol w:w="36"/>
        <w:gridCol w:w="136"/>
        <w:gridCol w:w="703"/>
        <w:gridCol w:w="4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248269017"/>
        </w:trPr>
        <w:tc>
          <w:tcPr>
            <w:tcW w:w="50" w:type="pct"/>
            <w:vAlign w:val="center"/>
            <w:hideMark/>
          </w:tcPr>
          <w:p w:rsidR="00000000" w:rsidRDefault="00480785">
            <w:pPr>
              <w:jc w:val="both"/>
              <w:rPr>
                <w:rFonts w:eastAsia="Times New Roman"/>
              </w:rPr>
            </w:pPr>
          </w:p>
        </w:tc>
        <w:tc>
          <w:tcPr>
            <w:tcW w:w="183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248269017"/>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1248269017"/>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 202</w:t>
            </w:r>
            <w:r>
              <w:rPr>
                <w:rFonts w:eastAsia="Times New Roman"/>
                <w:b/>
                <w:bCs/>
                <w:color w:val="000000"/>
                <w:sz w:val="20"/>
                <w:szCs w:val="20"/>
              </w:rPr>
              <w:t>0</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 201</w:t>
            </w:r>
            <w:r>
              <w:rPr>
                <w:rFonts w:eastAsia="Times New Roman"/>
                <w:b/>
                <w:bCs/>
                <w:color w:val="000000"/>
                <w:sz w:val="20"/>
                <w:szCs w:val="20"/>
              </w:rPr>
              <w:t>9</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1248269017"/>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w:t>
            </w:r>
            <w:r>
              <w:rPr>
                <w:rFonts w:eastAsia="Times New Roman"/>
                <w:b/>
                <w:bCs/>
                <w:color w:val="000000"/>
                <w:sz w:val="20"/>
                <w:szCs w:val="20"/>
              </w:rPr>
              <w:t>t</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w:t>
            </w:r>
            <w:r>
              <w:rPr>
                <w:rFonts w:eastAsia="Times New Roman"/>
                <w:b/>
                <w:bCs/>
                <w:color w:val="000000"/>
                <w:sz w:val="20"/>
                <w:szCs w:val="20"/>
              </w:rPr>
              <w:t>t</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48269017"/>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Basic net income per share</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613,065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116,330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5.27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418,175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120,180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48269017"/>
        </w:trPr>
        <w:tc>
          <w:tcPr>
            <w:tcW w:w="0" w:type="auto"/>
            <w:gridSpan w:val="3"/>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Dilutive effect of share-based award</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(0.04</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1,059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(0.03</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48269017"/>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Diluted net income per share</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613,065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117,330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418,175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121,239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Anti-dilutive stock awards excluded from the above calculations totaled less than 0.1 million and approximately 0.3 million shares for the fiscal three months ended September 26, 2020 and September 28, 2019, respectively, and less than 0.1 million and appr</w:t>
      </w:r>
      <w:r>
        <w:rPr>
          <w:rFonts w:eastAsia="Times New Roman"/>
          <w:color w:val="000000"/>
          <w:sz w:val="20"/>
          <w:szCs w:val="20"/>
        </w:rPr>
        <w:t>oximately 0.4 million shares for the fiscal nine months ended September 26, 2020 and September 28, 2019, respectively</w:t>
      </w:r>
      <w:r>
        <w:rPr>
          <w:rFonts w:eastAsia="Times New Roman"/>
          <w:color w:val="000000"/>
          <w:sz w:val="20"/>
          <w:szCs w:val="20"/>
        </w:rPr>
        <w:t>.</w:t>
      </w:r>
    </w:p>
    <w:p w:rsidR="00000000" w:rsidRDefault="00480785">
      <w:pPr>
        <w:jc w:val="both"/>
        <w:rPr>
          <w:rFonts w:eastAsia="Times New Roman"/>
        </w:rPr>
      </w:pPr>
    </w:p>
    <w:p w:rsidR="00000000" w:rsidRDefault="00480785">
      <w:pPr>
        <w:divId w:val="753935401"/>
        <w:rPr>
          <w:rFonts w:eastAsia="Times New Roman"/>
        </w:rPr>
      </w:pPr>
      <w:r>
        <w:rPr>
          <w:rFonts w:eastAsia="Times New Roman"/>
          <w:b/>
          <w:bCs/>
          <w:color w:val="000000"/>
          <w:sz w:val="20"/>
          <w:szCs w:val="20"/>
        </w:rPr>
        <w:t>Note 5 – Debt</w:t>
      </w:r>
      <w:r>
        <w:rPr>
          <w:rFonts w:eastAsia="Times New Roman"/>
          <w:b/>
          <w:bCs/>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following table summarizes the Company’s outstanding debt as of the dates indicated (in millions)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296"/>
        <w:gridCol w:w="39"/>
        <w:gridCol w:w="36"/>
        <w:gridCol w:w="36"/>
        <w:gridCol w:w="36"/>
        <w:gridCol w:w="136"/>
        <w:gridCol w:w="1016"/>
        <w:gridCol w:w="41"/>
        <w:gridCol w:w="36"/>
        <w:gridCol w:w="36"/>
        <w:gridCol w:w="36"/>
        <w:gridCol w:w="136"/>
        <w:gridCol w:w="1017"/>
        <w:gridCol w:w="41"/>
        <w:gridCol w:w="36"/>
        <w:gridCol w:w="36"/>
        <w:gridCol w:w="36"/>
        <w:gridCol w:w="136"/>
        <w:gridCol w:w="1018"/>
        <w:gridCol w:w="41"/>
      </w:tblGrid>
      <w:tr w:rsidR="00000000">
        <w:trPr>
          <w:divId w:val="1496728346"/>
          <w:jc w:val="center"/>
        </w:trPr>
        <w:tc>
          <w:tcPr>
            <w:tcW w:w="50" w:type="pct"/>
            <w:vAlign w:val="center"/>
            <w:hideMark/>
          </w:tcPr>
          <w:p w:rsidR="00000000" w:rsidRDefault="00480785">
            <w:pPr>
              <w:jc w:val="both"/>
              <w:rPr>
                <w:rFonts w:eastAsia="Times New Roman"/>
              </w:rPr>
            </w:pPr>
          </w:p>
        </w:tc>
        <w:tc>
          <w:tcPr>
            <w:tcW w:w="263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7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7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7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496728346"/>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r>
      <w:tr w:rsidR="00000000">
        <w:trPr>
          <w:divId w:val="1496728346"/>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Senior Note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Senior Credit Facility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496728346"/>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February 2016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jc w:val="center"/>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June 2017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March 2020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jc w:val="center"/>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April 2020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Revolving credit loan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255.0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Total outstanding borrowing</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910.0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397.5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645.0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Less: unamortized debt issuance cost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Total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909.3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396.5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643.9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Less: current portion of long-term deb</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(380.0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Long-term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529.3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366.5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613.9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496728346"/>
          <w:trHeight w:val="160"/>
          <w:jc w:val="center"/>
        </w:trPr>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496728346"/>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Outstanding letters of credi</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bl>
    <w:p w:rsidR="00000000" w:rsidRDefault="00480785">
      <w:pPr>
        <w:jc w:val="both"/>
        <w:rPr>
          <w:rFonts w:eastAsia="Times New Roman"/>
        </w:rPr>
      </w:pPr>
    </w:p>
    <w:p w:rsidR="00000000" w:rsidRDefault="00480785">
      <w:pPr>
        <w:jc w:val="center"/>
        <w:divId w:val="1707946643"/>
        <w:rPr>
          <w:rFonts w:eastAsia="Times New Roman"/>
        </w:rPr>
      </w:pPr>
      <w:r>
        <w:rPr>
          <w:rFonts w:eastAsia="Times New Roman"/>
          <w:color w:val="000000"/>
          <w:sz w:val="20"/>
          <w:szCs w:val="20"/>
        </w:rPr>
        <w:t>Page 1</w:t>
      </w:r>
      <w:r>
        <w:rPr>
          <w:rFonts w:eastAsia="Times New Roman"/>
          <w:color w:val="000000"/>
          <w:sz w:val="20"/>
          <w:szCs w:val="20"/>
        </w:rPr>
        <w:t>1</w:t>
      </w:r>
    </w:p>
    <w:p w:rsidR="00000000" w:rsidRDefault="00480785">
      <w:pPr>
        <w:rPr>
          <w:rFonts w:eastAsia="Times New Roman"/>
        </w:rPr>
      </w:pPr>
      <w:r>
        <w:rPr>
          <w:rFonts w:eastAsia="Times New Roman"/>
        </w:rPr>
        <w:pict>
          <v:rect id="_x0000_i1036" style="width:0;height:1.5pt" o:hralign="center" o:hrstd="t" o:hr="t" fillcolor="#a0a0a0" stroked="f"/>
        </w:pict>
      </w:r>
    </w:p>
    <w:p w:rsidR="00000000" w:rsidRDefault="00480785">
      <w:pPr>
        <w:divId w:val="707218092"/>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i/>
          <w:iCs/>
          <w:color w:val="000000"/>
          <w:sz w:val="20"/>
          <w:szCs w:val="20"/>
        </w:rPr>
        <w:t>Senior Note</w:t>
      </w:r>
      <w:r>
        <w:rPr>
          <w:rFonts w:eastAsia="Times New Roman"/>
          <w:i/>
          <w:iCs/>
          <w:color w:val="000000"/>
          <w:sz w:val="20"/>
          <w:szCs w:val="20"/>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On August 14, 2017, the Company entered into a note purchase and private shelf agreement (the “Note Purchase Agreement”), pursuant to which the Company agreed to sell $150 million aggregate principal amount of senior unsecured notes due August 14, 2029 (th</w:t>
      </w:r>
      <w:r>
        <w:rPr>
          <w:rFonts w:eastAsia="Times New Roman"/>
          <w:color w:val="000000"/>
          <w:sz w:val="20"/>
          <w:szCs w:val="20"/>
        </w:rPr>
        <w:t>e “2029 Notes”) in a private placement. The 2029 Notes bear interest at 3.70% per annum with interest payable semi-annually in arrears on each annual and semi-annual anniversary of the issuance date. The obligations under the Note Purchase Agreement are un</w:t>
      </w:r>
      <w:r>
        <w:rPr>
          <w:rFonts w:eastAsia="Times New Roman"/>
          <w:color w:val="000000"/>
          <w:sz w:val="20"/>
          <w:szCs w:val="20"/>
        </w:rPr>
        <w:t>secured.</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Pursuant to the Note Purchase Agreement, the 2029 Notes are redeemable by the Company, in whole at any time or in part from time to time, at 100% of the principal amount being redeemed, together with accrued and unpaid interest thereon and a ma</w:t>
      </w:r>
      <w:r>
        <w:rPr>
          <w:rFonts w:eastAsia="Times New Roman"/>
          <w:color w:val="000000"/>
          <w:sz w:val="20"/>
          <w:szCs w:val="20"/>
        </w:rPr>
        <w:t>ke whole amount calculated by discounting all remaining scheduled payments on the 2029 Notes by the yield on the U.S. Treasury security with a maturity equal to the remaining average life of the Notes plus 0.50%</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i/>
          <w:iCs/>
          <w:color w:val="000000"/>
          <w:sz w:val="20"/>
          <w:szCs w:val="20"/>
        </w:rPr>
        <w:t>Senior Credit Facilit</w:t>
      </w:r>
      <w:r>
        <w:rPr>
          <w:rFonts w:eastAsia="Times New Roman"/>
          <w:i/>
          <w:iCs/>
          <w:color w:val="000000"/>
          <w:sz w:val="20"/>
          <w:szCs w:val="20"/>
        </w:rPr>
        <w:t>y</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On February 19, 2016, the Company entered into a senior credit facility (the “2016 Senior Credit Facility”), as amended from time to time, which provides borrowing capacity under term loan agreements as well as a revolving credit f</w:t>
      </w:r>
      <w:r>
        <w:rPr>
          <w:rFonts w:eastAsia="Times New Roman"/>
          <w:color w:val="000000"/>
          <w:sz w:val="20"/>
          <w:szCs w:val="20"/>
        </w:rPr>
        <w:t>acility. Proceeds from the 2016 Senior Credit Facility may be used for working capital, capital expenditures, dividends, share repurchases, and other matters. There are no compensating balance requirements associated with the 2016 Senior Credit Facility</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2016 Senior Credit Facility contains a $500 million revolving credit facility (the “Revolver”) with a sublimit of $50 million for swingline loans. This agreement is unsecured and matures on February 19, 2022. Borrowings under the Revolver bear interes</w:t>
      </w:r>
      <w:r>
        <w:rPr>
          <w:rFonts w:eastAsia="Times New Roman"/>
          <w:color w:val="000000"/>
          <w:sz w:val="20"/>
          <w:szCs w:val="20"/>
        </w:rPr>
        <w:t>t either at the bank’s base rate (3.250% at September 26, 2020) or at the London Inter-Bank Offer Rate (“LIBOR”) (0.146% at September 26, 2020) plus an additional amount ranging from 0.500% to 1.125% per annum (0.750% at September 26, 2020), adjusted quart</w:t>
      </w:r>
      <w:r>
        <w:rPr>
          <w:rFonts w:eastAsia="Times New Roman"/>
          <w:color w:val="000000"/>
          <w:sz w:val="20"/>
          <w:szCs w:val="20"/>
        </w:rPr>
        <w:t>erly based on our leverage ratio. The Company is also required to pay, quarterly in arrears, a commitment fee for unused capacity ranging from 0.075% to 0.200% per annum (0.125% at September 26, 2020), adjusted quarterly based on the Company’s leverage rat</w:t>
      </w:r>
      <w:r>
        <w:rPr>
          <w:rFonts w:eastAsia="Times New Roman"/>
          <w:color w:val="000000"/>
          <w:sz w:val="20"/>
          <w:szCs w:val="20"/>
        </w:rPr>
        <w:t>io.</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On February 19, 2016, at the inception of the 2016 Senior Credit Facility, the Company entered into a $200 million term loan (the “February 2016 Term Loan”). This agreement is unsecured and matures on February 19, 2022. The February 2016 Term Loan o</w:t>
      </w:r>
      <w:r>
        <w:rPr>
          <w:rFonts w:eastAsia="Times New Roman"/>
          <w:color w:val="000000"/>
          <w:sz w:val="20"/>
          <w:szCs w:val="20"/>
        </w:rPr>
        <w:t>f $200 million requires quarterly payments totaling $10 million per year in years one and two and $20 million per year in years three through the maturity date, with the remaining balance due in full on the maturity date of February 19, 2022. Borrowings un</w:t>
      </w:r>
      <w:r>
        <w:rPr>
          <w:rFonts w:eastAsia="Times New Roman"/>
          <w:color w:val="000000"/>
          <w:sz w:val="20"/>
          <w:szCs w:val="20"/>
        </w:rPr>
        <w:t>der the February 2016 Term Loan bear interest either at the bank’s base rate (3.250% at September 26, 2020) or at LIBOR (0.146% at September 26, 2020) plus an additional amount ranging from 0.500% to 1.125% per annum (0.750% at September 26, 2020), adjuste</w:t>
      </w:r>
      <w:r>
        <w:rPr>
          <w:rFonts w:eastAsia="Times New Roman"/>
          <w:color w:val="000000"/>
          <w:sz w:val="20"/>
          <w:szCs w:val="20"/>
        </w:rPr>
        <w:t>d quarterly based on our leverage ratio</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On June 15, 2017, pursuant to an accordion feature available under the 2016 Senior Credit Facility, the Company entered into an incremental term loan agreement (the “June 2017 Term Loan”) which increased the term </w:t>
      </w:r>
      <w:r>
        <w:rPr>
          <w:rFonts w:eastAsia="Times New Roman"/>
          <w:color w:val="000000"/>
          <w:sz w:val="20"/>
          <w:szCs w:val="20"/>
        </w:rPr>
        <w:t>loan capacity under the 2016 Senior Credit Facility by $100 million. This agreement is unsecured and matures on June 15, 2022. The June 2017 Term Loan of $100 million requires quarterly payments totaling $5 million per year in years one and two and $10 mil</w:t>
      </w:r>
      <w:r>
        <w:rPr>
          <w:rFonts w:eastAsia="Times New Roman"/>
          <w:color w:val="000000"/>
          <w:sz w:val="20"/>
          <w:szCs w:val="20"/>
        </w:rPr>
        <w:t>lion per year in years three through the maturity date, with the remaining balance due in full on the maturity date of June 15, 2022. Borrowings under the June 2017 Term Loan bear interest either at the bank’s base rate (3.250% at September 26, 2020) or at</w:t>
      </w:r>
      <w:r>
        <w:rPr>
          <w:rFonts w:eastAsia="Times New Roman"/>
          <w:color w:val="000000"/>
          <w:sz w:val="20"/>
          <w:szCs w:val="20"/>
        </w:rPr>
        <w:t xml:space="preserve"> LIBOR (0.146% at September 26, 2020) plus an additional 1.000% per annum</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On March 12, 2020, pursuant to an accordion feature available under the 2016 Senior Credit Facility, the Company entered into an incremental term loan agreement (the “March 2020 T</w:t>
      </w:r>
      <w:r>
        <w:rPr>
          <w:rFonts w:eastAsia="Times New Roman"/>
          <w:color w:val="000000"/>
          <w:sz w:val="20"/>
          <w:szCs w:val="20"/>
        </w:rPr>
        <w:t>erm Loan”) which increased the term loan capacity under the 2016 Senior Credit Facility by $200 million. This agreement is unsecured and matures with the amount due in full on March 16, 2022. Borrowings under the March 2020 Term Loan bear interest either a</w:t>
      </w:r>
      <w:r>
        <w:rPr>
          <w:rFonts w:eastAsia="Times New Roman"/>
          <w:color w:val="000000"/>
          <w:sz w:val="20"/>
          <w:szCs w:val="20"/>
        </w:rPr>
        <w:t>t the bank’s base rate (3.250% at September 26, 2020) or at LIBOR (0.146% at September 26, 2020) plus an additional 0.750% per annum</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On April 22, 2020, the Company entered into a second amendment to the 2016 Senior Credit Facility (the “Second Amendment</w:t>
      </w:r>
      <w:r>
        <w:rPr>
          <w:rFonts w:eastAsia="Times New Roman"/>
          <w:color w:val="000000"/>
          <w:sz w:val="20"/>
          <w:szCs w:val="20"/>
        </w:rPr>
        <w:t>”) to, among other things, increase the option to increase the aggregate principal amount of Revolving Loan Commitments and Incremental Term Loans (as defined in the 2016 Senior Credit Facility) up to an amount not to exceed $650 million. Simultaneously wi</w:t>
      </w:r>
      <w:r>
        <w:rPr>
          <w:rFonts w:eastAsia="Times New Roman"/>
          <w:color w:val="000000"/>
          <w:sz w:val="20"/>
          <w:szCs w:val="20"/>
        </w:rPr>
        <w:t>th the Second Amendment, the Company entered into an incremental term loan agreement (the “April 2020 Term Loan”) in the amount of $350 million, which is in addition to the 2016 Senior Credit Facility’s existing term loan and revolving credit facility. Thi</w:t>
      </w:r>
      <w:r>
        <w:rPr>
          <w:rFonts w:eastAsia="Times New Roman"/>
          <w:color w:val="000000"/>
          <w:sz w:val="20"/>
          <w:szCs w:val="20"/>
        </w:rPr>
        <w:t>s agreement is unsecured and matures with the amount due in full on April 21, 2021. Borrowings under the April 2020 Term Loan bear interest either at the bank’s base rate (3.250% at September 26, 2020) plus an additional amount ranging from 0.250% to 1.500</w:t>
      </w:r>
      <w:r>
        <w:rPr>
          <w:rFonts w:eastAsia="Times New Roman"/>
          <w:color w:val="000000"/>
          <w:sz w:val="20"/>
          <w:szCs w:val="20"/>
        </w:rPr>
        <w:t>% per annum (0.750% at September 26, 2020) or at LIBOR (0.146% at</w:t>
      </w:r>
      <w:r>
        <w:rPr>
          <w:rFonts w:eastAsia="Times New Roman"/>
          <w:color w:val="000000"/>
          <w:sz w:val="20"/>
          <w:szCs w:val="20"/>
        </w:rPr>
        <w:t xml:space="preserve"> </w:t>
      </w:r>
    </w:p>
    <w:p w:rsidR="00000000" w:rsidRDefault="00480785">
      <w:pPr>
        <w:jc w:val="center"/>
        <w:divId w:val="1650281945"/>
        <w:rPr>
          <w:rFonts w:eastAsia="Times New Roman"/>
        </w:rPr>
      </w:pPr>
      <w:r>
        <w:rPr>
          <w:rFonts w:eastAsia="Times New Roman"/>
          <w:color w:val="000000"/>
          <w:sz w:val="20"/>
          <w:szCs w:val="20"/>
        </w:rPr>
        <w:t>Page 1</w:t>
      </w:r>
      <w:r>
        <w:rPr>
          <w:rFonts w:eastAsia="Times New Roman"/>
          <w:color w:val="000000"/>
          <w:sz w:val="20"/>
          <w:szCs w:val="20"/>
        </w:rPr>
        <w:t>2</w:t>
      </w:r>
    </w:p>
    <w:p w:rsidR="00000000" w:rsidRDefault="00480785">
      <w:pPr>
        <w:rPr>
          <w:rFonts w:eastAsia="Times New Roman"/>
        </w:rPr>
      </w:pPr>
      <w:r>
        <w:rPr>
          <w:rFonts w:eastAsia="Times New Roman"/>
        </w:rPr>
        <w:pict>
          <v:rect id="_x0000_i1037" style="width:0;height:1.5pt" o:hralign="center" o:hrstd="t" o:hr="t" fillcolor="#a0a0a0" stroked="f"/>
        </w:pict>
      </w:r>
    </w:p>
    <w:p w:rsidR="00000000" w:rsidRDefault="00480785">
      <w:pPr>
        <w:divId w:val="808746190"/>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September 26, 2020), with a floor of 0.750%, plus an additional amount ranging f</w:t>
      </w:r>
      <w:r>
        <w:rPr>
          <w:rFonts w:eastAsia="Times New Roman"/>
          <w:color w:val="000000"/>
          <w:sz w:val="20"/>
          <w:szCs w:val="20"/>
        </w:rPr>
        <w:t>rom 1.250% to 2.500% per annum (1.750% at September 26, 2020), adjusted quarterly based on our leverage ratio</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As further described in Note 6 to the Condensed Consolidated Financial Statements, the Company has entered into interest rate swap agreements i</w:t>
      </w:r>
      <w:r>
        <w:rPr>
          <w:rFonts w:eastAsia="Times New Roman"/>
          <w:color w:val="000000"/>
          <w:sz w:val="20"/>
          <w:szCs w:val="20"/>
        </w:rPr>
        <w:t>n order to hedge our exposure to variable rate interest payments associated with each of the term loans under the 2016 Senior Credit Facility other than the April 2020 Term Loan.</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i/>
          <w:iCs/>
          <w:color w:val="000000"/>
          <w:sz w:val="20"/>
          <w:szCs w:val="20"/>
        </w:rPr>
        <w:t>Covenants and Default Provisions of the Debt Agreement</w:t>
      </w:r>
      <w:r>
        <w:rPr>
          <w:rFonts w:eastAsia="Times New Roman"/>
          <w:i/>
          <w:iCs/>
          <w:color w:val="000000"/>
          <w:sz w:val="20"/>
          <w:szCs w:val="20"/>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The 2016 Senior </w:t>
      </w:r>
      <w:r>
        <w:rPr>
          <w:rFonts w:eastAsia="Times New Roman"/>
          <w:color w:val="000000"/>
          <w:sz w:val="20"/>
          <w:szCs w:val="20"/>
        </w:rPr>
        <w:t>Credit Facility and the Note Purchase Agreement (collectively, the “Debt Agreements”) require quarterly compliance with respect to two material covenants: a fixed charge coverage ratio and a leverage ratio.  Both ratios are calculated on a trailing twelve-</w:t>
      </w:r>
      <w:r>
        <w:rPr>
          <w:rFonts w:eastAsia="Times New Roman"/>
          <w:color w:val="000000"/>
          <w:sz w:val="20"/>
          <w:szCs w:val="20"/>
        </w:rPr>
        <w:t xml:space="preserve">month basis at the end of each fiscal quarter. The fixed charge coverage ratio compares earnings before interest, taxes, depreciation, amortization, share-based compensation, and rent expense (“consolidated EBITDAR”) to the sum of interest paid and rental </w:t>
      </w:r>
      <w:r>
        <w:rPr>
          <w:rFonts w:eastAsia="Times New Roman"/>
          <w:color w:val="000000"/>
          <w:sz w:val="20"/>
          <w:szCs w:val="20"/>
        </w:rPr>
        <w:t>expense (excluding any straight-line rent adjustments).  The fixed charge coverage ratio shall be greater than or equal to 2.00 to 1.0 as of the last day of each fiscal quarter. The leverage ratio compares rental expense (excluding any straight-line rent a</w:t>
      </w:r>
      <w:r>
        <w:rPr>
          <w:rFonts w:eastAsia="Times New Roman"/>
          <w:color w:val="000000"/>
          <w:sz w:val="20"/>
          <w:szCs w:val="20"/>
        </w:rPr>
        <w:t>djustments) multiplied by a factor of six plus total debt to consolidated EBITDAR.  The leverage ratio shall be less than or equal to 4.00 to 1.0 as of the last day of each fiscal quarter. The Debt Agreements also contain certain other restrictions regardi</w:t>
      </w:r>
      <w:r>
        <w:rPr>
          <w:rFonts w:eastAsia="Times New Roman"/>
          <w:color w:val="000000"/>
          <w:sz w:val="20"/>
          <w:szCs w:val="20"/>
        </w:rPr>
        <w:t>ng additional indebtedness, capital expenditures, business operations, guarantees, investments, mergers, consolidations and sales of assets, prepayment of debts, transactions with subsidiaries or affiliates, and liens.  As of September 26, 2020, the Compan</w:t>
      </w:r>
      <w:r>
        <w:rPr>
          <w:rFonts w:eastAsia="Times New Roman"/>
          <w:color w:val="000000"/>
          <w:sz w:val="20"/>
          <w:szCs w:val="20"/>
        </w:rPr>
        <w:t>y was in compliance with all debt covenants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Debt Agreements contain customary events of default, including payment defaults, breaches of representations and warranties, covenant defaults, cross-defaults to other material indebtedness, certain events</w:t>
      </w:r>
      <w:r>
        <w:rPr>
          <w:rFonts w:eastAsia="Times New Roman"/>
          <w:color w:val="000000"/>
          <w:sz w:val="20"/>
          <w:szCs w:val="20"/>
        </w:rPr>
        <w:t xml:space="preserve"> of bankruptcy and insolvency, material judgments, certain ERISA events, and invalidity of loan documents. Upon certain changes of control, payment under the Debt Agreements could become due and payable. In addition, under the Note Purchase Agreement, upon</w:t>
      </w:r>
      <w:r>
        <w:rPr>
          <w:rFonts w:eastAsia="Times New Roman"/>
          <w:color w:val="000000"/>
          <w:sz w:val="20"/>
          <w:szCs w:val="20"/>
        </w:rPr>
        <w:t xml:space="preserve"> an event of default or change of control, the make whole payment described above may become due and payable.</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Note Purchase Agreement also requires that, in the event the Company amends its 2016 Senior Credit Facility, or any subsequent credit facil</w:t>
      </w:r>
      <w:r>
        <w:rPr>
          <w:rFonts w:eastAsia="Times New Roman"/>
          <w:color w:val="000000"/>
          <w:sz w:val="20"/>
          <w:szCs w:val="20"/>
        </w:rPr>
        <w:t>ity of $100 million or greater, such that it contains covenant or default provisions that are not provided in the Note Purchase Agreement or that are similar to those contained in the Note Purchase Agreement but which contain percentages, amounts, formulas</w:t>
      </w:r>
      <w:r>
        <w:rPr>
          <w:rFonts w:eastAsia="Times New Roman"/>
          <w:color w:val="000000"/>
          <w:sz w:val="20"/>
          <w:szCs w:val="20"/>
        </w:rPr>
        <w:t xml:space="preserve"> or grace periods that are more restrictive than those set forth in the Note Purchase Agreement or are otherwise more beneficial to the lenders thereunder, the Note Purchase Agreement shall be automatically amended to include such additional or amended cov</w:t>
      </w:r>
      <w:r>
        <w:rPr>
          <w:rFonts w:eastAsia="Times New Roman"/>
          <w:color w:val="000000"/>
          <w:sz w:val="20"/>
          <w:szCs w:val="20"/>
        </w:rPr>
        <w:t>enants and/or default provisions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i/>
          <w:iCs/>
          <w:color w:val="000000"/>
          <w:sz w:val="20"/>
          <w:szCs w:val="20"/>
        </w:rPr>
        <w:t>Subsequent Event - Amendment to Senior Credit Facility and Senior Note</w:t>
      </w:r>
      <w:r>
        <w:rPr>
          <w:rFonts w:eastAsia="Times New Roman"/>
          <w:i/>
          <w:iCs/>
          <w:color w:val="000000"/>
          <w:sz w:val="20"/>
          <w:szCs w:val="20"/>
        </w:rPr>
        <w:t>s</w:t>
      </w:r>
    </w:p>
    <w:p w:rsidR="00000000" w:rsidRDefault="00480785">
      <w:pPr>
        <w:jc w:val="both"/>
        <w:rPr>
          <w:rFonts w:eastAsia="Times New Roman"/>
        </w:rPr>
      </w:pPr>
    </w:p>
    <w:p w:rsidR="00000000" w:rsidRDefault="00480785">
      <w:pPr>
        <w:divId w:val="763694737"/>
        <w:rPr>
          <w:rFonts w:eastAsia="Times New Roman"/>
        </w:rPr>
      </w:pPr>
      <w:r>
        <w:rPr>
          <w:rFonts w:eastAsia="Times New Roman"/>
          <w:color w:val="000000"/>
          <w:sz w:val="20"/>
          <w:szCs w:val="20"/>
        </w:rPr>
        <w:t>On October 16, 2020, the 2016 Senior Credit Facility and Note Purchase Agreement were amended to remove the Company’s material subsidiaries as guarantors thereof and delete the requirement that future material subsidiaries of the Company become guarantors,</w:t>
      </w:r>
      <w:r>
        <w:rPr>
          <w:rFonts w:eastAsia="Times New Roman"/>
          <w:color w:val="000000"/>
          <w:sz w:val="20"/>
          <w:szCs w:val="20"/>
        </w:rPr>
        <w:t xml:space="preserve"> provided that the Note Purchase Agreement will require future subsidiary guarantees if they are likewise required under any other material credit facility. The respective agreements were also amended to permit the Company to issue senior unsecured notes o</w:t>
      </w:r>
      <w:r>
        <w:rPr>
          <w:rFonts w:eastAsia="Times New Roman"/>
          <w:color w:val="000000"/>
          <w:sz w:val="20"/>
          <w:szCs w:val="20"/>
        </w:rPr>
        <w:t>n or before December 31, 2020, in an amount up to $750 million</w:t>
      </w:r>
      <w:r>
        <w:rPr>
          <w:rFonts w:eastAsia="Times New Roman"/>
          <w:color w:val="000000"/>
          <w:sz w:val="20"/>
          <w:szCs w:val="20"/>
        </w:rPr>
        <w:t>.</w:t>
      </w:r>
      <w:r>
        <w:rPr>
          <w:rFonts w:eastAsia="Times New Roman"/>
          <w:color w:val="000000"/>
        </w:rPr>
        <w:t xml:space="preserve"> </w:t>
      </w:r>
    </w:p>
    <w:p w:rsidR="00000000" w:rsidRDefault="00480785">
      <w:pPr>
        <w:divId w:val="1701006399"/>
        <w:rPr>
          <w:rFonts w:eastAsia="Times New Roman"/>
        </w:rPr>
      </w:pPr>
    </w:p>
    <w:p w:rsidR="00000000" w:rsidRDefault="00480785">
      <w:pPr>
        <w:divId w:val="672144365"/>
        <w:rPr>
          <w:rFonts w:eastAsia="Times New Roman"/>
        </w:rPr>
      </w:pPr>
      <w:r>
        <w:rPr>
          <w:rFonts w:eastAsia="Times New Roman"/>
          <w:b/>
          <w:bCs/>
          <w:color w:val="000000"/>
          <w:sz w:val="20"/>
          <w:szCs w:val="20"/>
        </w:rPr>
        <w:t>Note 6 – Interest Rate Swaps</w:t>
      </w:r>
      <w:r>
        <w:rPr>
          <w:rFonts w:eastAsia="Times New Roman"/>
          <w:b/>
          <w:bCs/>
          <w:color w:val="000000"/>
          <w:sz w:val="20"/>
          <w:szCs w:val="20"/>
        </w:rPr>
        <w:t>:</w:t>
      </w:r>
    </w:p>
    <w:p w:rsidR="00000000" w:rsidRDefault="00480785">
      <w:pPr>
        <w:divId w:val="1380325274"/>
        <w:rPr>
          <w:rFonts w:eastAsia="Times New Roman"/>
        </w:rPr>
      </w:pPr>
    </w:p>
    <w:p w:rsidR="00000000" w:rsidRDefault="00480785">
      <w:pPr>
        <w:jc w:val="both"/>
        <w:rPr>
          <w:rFonts w:eastAsia="Times New Roman"/>
        </w:rPr>
      </w:pPr>
      <w:r>
        <w:rPr>
          <w:rFonts w:eastAsia="Times New Roman"/>
          <w:color w:val="000000"/>
          <w:sz w:val="20"/>
          <w:szCs w:val="20"/>
        </w:rPr>
        <w:t>The Company entered into an interest rate swap agreement which became effective on March 31, 2016, with a maturity date of February 19, 2021. The notional am</w:t>
      </w:r>
      <w:r>
        <w:rPr>
          <w:rFonts w:eastAsia="Times New Roman"/>
          <w:color w:val="000000"/>
          <w:sz w:val="20"/>
          <w:szCs w:val="20"/>
        </w:rPr>
        <w:t>ount of this swap agreement began at $197.5 million (the principal amount of the February 2016 Term Loan borrowings as of March 31, 2016) and will amortize at the same time and in the same amount as the February 2016 Term Loan borrowings, as described in N</w:t>
      </w:r>
      <w:r>
        <w:rPr>
          <w:rFonts w:eastAsia="Times New Roman"/>
          <w:color w:val="000000"/>
          <w:sz w:val="20"/>
          <w:szCs w:val="20"/>
        </w:rPr>
        <w:t>ote 5 to the Condensed Consolidated Financial Statements, up to the maturity date of the interest rate swap agreement on February 19, 2021. As of September 26, 2020, the notional amount of the interest rate swap was $130.0 million.</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Company entered i</w:t>
      </w:r>
      <w:r>
        <w:rPr>
          <w:rFonts w:eastAsia="Times New Roman"/>
          <w:color w:val="000000"/>
          <w:sz w:val="20"/>
          <w:szCs w:val="20"/>
        </w:rPr>
        <w:t>nto a second interest rate swap agreement which became effective on June 30, 2017, with a maturity date of June 15, 2022. The notional amount of this swap agreement began at $100 million (the principal amount of the June 2017 Term Loan borrowings as of Jun</w:t>
      </w:r>
      <w:r>
        <w:rPr>
          <w:rFonts w:eastAsia="Times New Roman"/>
          <w:color w:val="000000"/>
          <w:sz w:val="20"/>
          <w:szCs w:val="20"/>
        </w:rPr>
        <w:t xml:space="preserve">e 30, 2017) and will amortize at the same time and in the same amount as the June 2017 Term Loan borrowings, as described in Note 5 to the Condensed Consolidated Financial Statements. As of September 26, 2020, the notional amount of the interest rate swap </w:t>
      </w:r>
      <w:r>
        <w:rPr>
          <w:rFonts w:eastAsia="Times New Roman"/>
          <w:color w:val="000000"/>
          <w:sz w:val="20"/>
          <w:szCs w:val="20"/>
        </w:rPr>
        <w:t>was $80.0 million.</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center"/>
        <w:divId w:val="1945451599"/>
        <w:rPr>
          <w:rFonts w:eastAsia="Times New Roman"/>
        </w:rPr>
      </w:pPr>
      <w:r>
        <w:rPr>
          <w:rFonts w:eastAsia="Times New Roman"/>
          <w:color w:val="000000"/>
          <w:sz w:val="20"/>
          <w:szCs w:val="20"/>
        </w:rPr>
        <w:t>Page 1</w:t>
      </w:r>
      <w:r>
        <w:rPr>
          <w:rFonts w:eastAsia="Times New Roman"/>
          <w:color w:val="000000"/>
          <w:sz w:val="20"/>
          <w:szCs w:val="20"/>
        </w:rPr>
        <w:t>3</w:t>
      </w:r>
    </w:p>
    <w:p w:rsidR="00000000" w:rsidRDefault="00480785">
      <w:pPr>
        <w:rPr>
          <w:rFonts w:eastAsia="Times New Roman"/>
        </w:rPr>
      </w:pPr>
      <w:r>
        <w:rPr>
          <w:rFonts w:eastAsia="Times New Roman"/>
        </w:rPr>
        <w:pict>
          <v:rect id="_x0000_i1038" style="width:0;height:1.5pt" o:hralign="center" o:hrstd="t" o:hr="t" fillcolor="#a0a0a0" stroked="f"/>
        </w:pict>
      </w:r>
    </w:p>
    <w:p w:rsidR="00000000" w:rsidRDefault="00480785">
      <w:pPr>
        <w:divId w:val="2071994200"/>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The Company entered into a third interest rate swap agreement which became effective on March 18, 2020, with a maturity date of March 18, 2025. The notional amount of this swap agreement is fixed at $200 million.</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Company’s interest rate swap agreeme</w:t>
      </w:r>
      <w:r>
        <w:rPr>
          <w:rFonts w:eastAsia="Times New Roman"/>
          <w:color w:val="000000"/>
          <w:sz w:val="20"/>
          <w:szCs w:val="20"/>
        </w:rPr>
        <w:t>nts are executed for risk management and are not held for trading purposes. The objective of the interest rate swap agreements is to mitigate interest rate risk associated with future changes in interest rates. To accomplish this objective, the interest ra</w:t>
      </w:r>
      <w:r>
        <w:rPr>
          <w:rFonts w:eastAsia="Times New Roman"/>
          <w:color w:val="000000"/>
          <w:sz w:val="20"/>
          <w:szCs w:val="20"/>
        </w:rPr>
        <w:t>te swap agreements are intended to hedge the variable cash flows associated with the variable rate term loan borrowings under the 2016 Senior Credit Facility. The interest rate swap agreements entitle the Company to receive, at specified intervals, a varia</w:t>
      </w:r>
      <w:r>
        <w:rPr>
          <w:rFonts w:eastAsia="Times New Roman"/>
          <w:color w:val="000000"/>
          <w:sz w:val="20"/>
          <w:szCs w:val="20"/>
        </w:rPr>
        <w:t>ble rate of interest based on LIBOR in exchange for the payment of a fixed rate of interest throughout the life of the agreement, without exchange of the underlying notional amount.</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Company has designated its interest rate swap agreements as cash fl</w:t>
      </w:r>
      <w:r>
        <w:rPr>
          <w:rFonts w:eastAsia="Times New Roman"/>
          <w:color w:val="000000"/>
          <w:sz w:val="20"/>
          <w:szCs w:val="20"/>
        </w:rPr>
        <w:t>ow hedges and accounts for the underlying activity in accordance with hedge accounting. The interest rate swaps are presented within the Condensed Consolidated Balance Sheets at fair value. In accordance with hedge accounting, the gains and losses on inter</w:t>
      </w:r>
      <w:r>
        <w:rPr>
          <w:rFonts w:eastAsia="Times New Roman"/>
          <w:color w:val="000000"/>
          <w:sz w:val="20"/>
          <w:szCs w:val="20"/>
        </w:rPr>
        <w:t xml:space="preserve">est rate swaps that are designated and qualify as cash flow hedges are recorded as a component of Other Comprehensive Income (“OCI”), net of related income taxes, and reclassified into earnings in the same income statement line and period during which the </w:t>
      </w:r>
      <w:r>
        <w:rPr>
          <w:rFonts w:eastAsia="Times New Roman"/>
          <w:color w:val="000000"/>
          <w:sz w:val="20"/>
          <w:szCs w:val="20"/>
        </w:rPr>
        <w:t>hedged transactions affect earnings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As of September 26, 2020, amounts to be reclassified from Accumulated Other Comprehensive Income (“AOCI”) into interest during the next twelve months are not expected to be material. No significant amounts were exclud</w:t>
      </w:r>
      <w:r>
        <w:rPr>
          <w:rFonts w:eastAsia="Times New Roman"/>
          <w:color w:val="000000"/>
          <w:sz w:val="20"/>
          <w:szCs w:val="20"/>
        </w:rPr>
        <w:t>ed from the assessment of cash flow hedge effectiveness as of September 26, 2020</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assets and liabilities measured at fair value related to the Company’s interest rate swaps, excluding accrued interest, were as follows (in thousands):</w:t>
      </w:r>
      <w:r>
        <w:rPr>
          <w:rFonts w:eastAsia="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2783"/>
        <w:gridCol w:w="36"/>
        <w:gridCol w:w="36"/>
        <w:gridCol w:w="36"/>
        <w:gridCol w:w="36"/>
        <w:gridCol w:w="37"/>
        <w:gridCol w:w="1614"/>
        <w:gridCol w:w="36"/>
        <w:gridCol w:w="36"/>
        <w:gridCol w:w="36"/>
        <w:gridCol w:w="36"/>
        <w:gridCol w:w="136"/>
        <w:gridCol w:w="925"/>
        <w:gridCol w:w="41"/>
        <w:gridCol w:w="36"/>
        <w:gridCol w:w="36"/>
        <w:gridCol w:w="36"/>
        <w:gridCol w:w="136"/>
        <w:gridCol w:w="925"/>
        <w:gridCol w:w="41"/>
        <w:gridCol w:w="36"/>
        <w:gridCol w:w="36"/>
        <w:gridCol w:w="36"/>
        <w:gridCol w:w="136"/>
        <w:gridCol w:w="925"/>
        <w:gridCol w:w="41"/>
      </w:tblGrid>
      <w:tr w:rsidR="00000000">
        <w:trPr>
          <w:divId w:val="1101216695"/>
          <w:jc w:val="center"/>
        </w:trPr>
        <w:tc>
          <w:tcPr>
            <w:tcW w:w="50" w:type="pct"/>
            <w:vAlign w:val="center"/>
            <w:hideMark/>
          </w:tcPr>
          <w:p w:rsidR="00000000" w:rsidRDefault="00480785">
            <w:pPr>
              <w:jc w:val="both"/>
              <w:rPr>
                <w:rFonts w:eastAsia="Times New Roman"/>
              </w:rPr>
            </w:pPr>
          </w:p>
        </w:tc>
        <w:tc>
          <w:tcPr>
            <w:tcW w:w="1711"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030"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1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1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1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101216695"/>
          <w:jc w:val="center"/>
        </w:trPr>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Derivatives Designated</w:t>
            </w:r>
            <w:r>
              <w:rPr>
                <w:rFonts w:eastAsia="Times New Roman"/>
                <w:b/>
                <w:bCs/>
                <w:color w:val="000000"/>
                <w:sz w:val="20"/>
                <w:szCs w:val="20"/>
              </w:rPr>
              <w:t xml:space="preserve"> </w:t>
            </w:r>
          </w:p>
          <w:p w:rsidR="00000000" w:rsidRDefault="00480785">
            <w:pPr>
              <w:jc w:val="center"/>
              <w:rPr>
                <w:rFonts w:eastAsia="Times New Roman"/>
              </w:rPr>
            </w:pPr>
            <w:r>
              <w:rPr>
                <w:rFonts w:eastAsia="Times New Roman"/>
                <w:b/>
                <w:bCs/>
                <w:color w:val="000000"/>
                <w:sz w:val="20"/>
                <w:szCs w:val="20"/>
              </w:rPr>
              <w:t>as Cash Flow Hedge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Balance Sheet Locatio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r>
      <w:tr w:rsidR="00000000">
        <w:trPr>
          <w:divId w:val="1101216695"/>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Interest rate swaps (short-term portion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101216695"/>
          <w:jc w:val="center"/>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Interest rate swaps (long-term portion</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Other assets</w:t>
            </w:r>
            <w:r>
              <w:rPr>
                <w:rFonts w:eastAsia="Times New Roman"/>
                <w:color w:val="000000"/>
                <w:sz w:val="20"/>
                <w:szCs w:val="20"/>
              </w:rPr>
              <w:t xml:space="preserve"> </w:t>
            </w:r>
          </w:p>
        </w:tc>
        <w:tc>
          <w:tcPr>
            <w:tcW w:w="0" w:type="auto"/>
            <w:gridSpan w:val="3"/>
            <w:tcMar>
              <w:top w:w="15" w:type="dxa"/>
              <w:left w:w="20" w:type="dxa"/>
              <w:bottom w:w="15" w:type="dxa"/>
              <w:right w:w="20" w:type="dxa"/>
            </w:tcMar>
            <w:vAlign w:val="bottom"/>
            <w:hideMark/>
          </w:tcPr>
          <w:p w:rsidR="00000000" w:rsidRDefault="00480785">
            <w:pPr>
              <w:rPr>
                <w:rFonts w:eastAsia="Times New Roman"/>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101216695"/>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Total derivative asset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101216695"/>
          <w:trHeight w:val="300"/>
          <w:jc w:val="center"/>
        </w:trPr>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101216695"/>
          <w:jc w:val="center"/>
        </w:trPr>
        <w:tc>
          <w:tcPr>
            <w:tcW w:w="0" w:type="auto"/>
            <w:gridSpan w:val="3"/>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Interest rate swaps (short-term portion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shd w:val="clear" w:color="auto" w:fill="CCEEFF"/>
            <w:tcMar>
              <w:top w:w="30" w:type="dxa"/>
              <w:left w:w="20" w:type="dxa"/>
              <w:bottom w:w="30" w:type="dxa"/>
              <w:right w:w="15" w:type="dxa"/>
            </w:tcMar>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rsidR="00000000" w:rsidRDefault="00480785">
            <w:pPr>
              <w:jc w:val="right"/>
              <w:rPr>
                <w:rFonts w:eastAsia="Times New Roman"/>
              </w:rPr>
            </w:pPr>
            <w:r>
              <w:rPr>
                <w:rFonts w:eastAsia="Times New Roman"/>
                <w:color w:val="000000"/>
                <w:sz w:val="20"/>
                <w:szCs w:val="20"/>
              </w:rPr>
              <w:t>2,831</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rsidR="00000000" w:rsidRDefault="00480785">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rsidR="00000000" w:rsidRDefault="00480785">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480785">
            <w:pPr>
              <w:jc w:val="right"/>
              <w:rPr>
                <w:rFonts w:eastAsia="Times New Roman"/>
              </w:rPr>
            </w:pPr>
          </w:p>
        </w:tc>
      </w:tr>
      <w:tr w:rsidR="00000000">
        <w:trPr>
          <w:divId w:val="1101216695"/>
          <w:jc w:val="center"/>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Interest rate swaps (long-term portion</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480785">
            <w:pPr>
              <w:rPr>
                <w:rFonts w:eastAsia="Times New Roman"/>
              </w:rPr>
            </w:pPr>
          </w:p>
        </w:tc>
        <w:tc>
          <w:tcPr>
            <w:tcW w:w="0" w:type="auto"/>
            <w:gridSpan w:val="2"/>
            <w:tcMar>
              <w:top w:w="30" w:type="dxa"/>
              <w:left w:w="20" w:type="dxa"/>
              <w:bottom w:w="30" w:type="dxa"/>
              <w:right w:w="0" w:type="dxa"/>
            </w:tcMar>
            <w:hideMark/>
          </w:tcPr>
          <w:p w:rsidR="00000000" w:rsidRDefault="00480785">
            <w:pPr>
              <w:jc w:val="right"/>
              <w:rPr>
                <w:rFonts w:eastAsia="Times New Roman"/>
              </w:rPr>
            </w:pPr>
            <w:r>
              <w:rPr>
                <w:rFonts w:eastAsia="Times New Roman"/>
                <w:color w:val="000000"/>
                <w:sz w:val="20"/>
                <w:szCs w:val="20"/>
              </w:rPr>
              <w:t>5,055</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480785">
            <w:pPr>
              <w:jc w:val="right"/>
              <w:rPr>
                <w:rFonts w:eastAsia="Times New Roman"/>
              </w:rPr>
            </w:pPr>
            <w:r>
              <w:rPr>
                <w:rFonts w:eastAsia="Times New Roman"/>
                <w:color w:val="000000"/>
                <w:sz w:val="20"/>
                <w:szCs w:val="20"/>
              </w:rPr>
              <w:t>292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hideMark/>
          </w:tcPr>
          <w:p w:rsidR="00000000" w:rsidRDefault="00480785">
            <w:pPr>
              <w:jc w:val="right"/>
              <w:rPr>
                <w:rFonts w:eastAsia="Times New Roman"/>
              </w:rPr>
            </w:pPr>
            <w:r>
              <w:rPr>
                <w:rFonts w:eastAsia="Times New Roman"/>
                <w:color w:val="000000"/>
                <w:sz w:val="20"/>
                <w:szCs w:val="20"/>
              </w:rPr>
              <w:t>581</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480785">
            <w:pPr>
              <w:jc w:val="right"/>
              <w:rPr>
                <w:rFonts w:eastAsia="Times New Roman"/>
              </w:rPr>
            </w:pPr>
          </w:p>
        </w:tc>
      </w:tr>
      <w:tr w:rsidR="00000000">
        <w:trPr>
          <w:divId w:val="1101216695"/>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Total derivative liabilitie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7,886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bl>
    <w:p w:rsidR="00000000" w:rsidRDefault="00480785">
      <w:pPr>
        <w:divId w:val="2125735230"/>
        <w:rPr>
          <w:rFonts w:eastAsia="Times New Roman"/>
        </w:rPr>
      </w:pPr>
    </w:p>
    <w:p w:rsidR="00000000" w:rsidRDefault="00480785">
      <w:pPr>
        <w:jc w:val="both"/>
        <w:rPr>
          <w:rFonts w:eastAsia="Times New Roman"/>
        </w:rPr>
      </w:pPr>
      <w:r>
        <w:rPr>
          <w:rFonts w:eastAsia="Times New Roman"/>
          <w:color w:val="000000"/>
          <w:sz w:val="20"/>
          <w:szCs w:val="20"/>
        </w:rPr>
        <w:t>The offset to the interest rate swap asset or liability is recorded as a component of equity, net of deferred taxes, in AOCI, and will be reclassified into earnings over the term of the underlying debt as interest payments are made.</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The following table </w:t>
      </w:r>
      <w:r>
        <w:rPr>
          <w:rFonts w:eastAsia="Times New Roman"/>
          <w:color w:val="000000"/>
          <w:sz w:val="20"/>
          <w:szCs w:val="20"/>
        </w:rPr>
        <w:t>summarizes the changes in AOCI, net of tax, related to the Company’s interest rate swaps (in thousands)</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4686"/>
        <w:gridCol w:w="38"/>
        <w:gridCol w:w="36"/>
        <w:gridCol w:w="36"/>
        <w:gridCol w:w="36"/>
        <w:gridCol w:w="136"/>
        <w:gridCol w:w="883"/>
        <w:gridCol w:w="41"/>
        <w:gridCol w:w="36"/>
        <w:gridCol w:w="36"/>
        <w:gridCol w:w="36"/>
        <w:gridCol w:w="136"/>
        <w:gridCol w:w="884"/>
        <w:gridCol w:w="41"/>
        <w:gridCol w:w="36"/>
        <w:gridCol w:w="36"/>
        <w:gridCol w:w="36"/>
        <w:gridCol w:w="136"/>
        <w:gridCol w:w="884"/>
        <w:gridCol w:w="41"/>
      </w:tblGrid>
      <w:tr w:rsidR="00000000">
        <w:trPr>
          <w:divId w:val="1144078861"/>
          <w:jc w:val="center"/>
        </w:trPr>
        <w:tc>
          <w:tcPr>
            <w:tcW w:w="50" w:type="pct"/>
            <w:vAlign w:val="center"/>
            <w:hideMark/>
          </w:tcPr>
          <w:p w:rsidR="00000000" w:rsidRDefault="00480785">
            <w:pPr>
              <w:jc w:val="both"/>
              <w:rPr>
                <w:rFonts w:eastAsia="Times New Roman"/>
              </w:rPr>
            </w:pPr>
          </w:p>
        </w:tc>
        <w:tc>
          <w:tcPr>
            <w:tcW w:w="287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144078861"/>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r>
      <w:tr w:rsidR="00000000">
        <w:trPr>
          <w:divId w:val="114407886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Beginning fiscal year AOCI balanc</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144078861"/>
          <w:trHeight w:val="160"/>
          <w:jc w:val="center"/>
        </w:trPr>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144078861"/>
          <w:jc w:val="center"/>
        </w:trPr>
        <w:tc>
          <w:tcPr>
            <w:tcW w:w="0" w:type="auto"/>
            <w:gridSpan w:val="3"/>
            <w:shd w:val="clear" w:color="auto" w:fill="CCEEFF"/>
            <w:tcMar>
              <w:top w:w="30" w:type="dxa"/>
              <w:left w:w="13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Current fiscal period loss recognized in OC</w:t>
            </w:r>
            <w:r>
              <w:rPr>
                <w:rFonts w:eastAsia="Times New Roman"/>
                <w:color w:val="000000"/>
                <w:sz w:val="20"/>
                <w:szCs w:val="20"/>
              </w:rPr>
              <w:t>I</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(6,066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(4,332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(4,458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144078861"/>
          <w:jc w:val="center"/>
        </w:trPr>
        <w:tc>
          <w:tcPr>
            <w:tcW w:w="0" w:type="auto"/>
            <w:gridSpan w:val="3"/>
            <w:shd w:val="clear" w:color="auto" w:fill="FFFFFF"/>
            <w:tcMar>
              <w:top w:w="30" w:type="dxa"/>
              <w:left w:w="13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Cumulative adjustment as a result of ASU 2017-12 adoptio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144078861"/>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Other comprehensive loss, net of ta</w:t>
            </w:r>
            <w:r>
              <w:rPr>
                <w:rFonts w:eastAsia="Times New Roman"/>
                <w:color w:val="000000"/>
                <w:sz w:val="20"/>
                <w:szCs w:val="20"/>
              </w:rPr>
              <w:t>x</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(6,066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(3,615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(3,741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144078861"/>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Ending fiscal period AOCI balanc</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(5,867</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bl>
    <w:p w:rsidR="00000000" w:rsidRDefault="00480785">
      <w:pPr>
        <w:jc w:val="center"/>
        <w:rPr>
          <w:rFonts w:eastAsia="Times New Roman"/>
        </w:rPr>
      </w:pPr>
    </w:p>
    <w:p w:rsidR="00000000" w:rsidRDefault="00480785">
      <w:pPr>
        <w:jc w:val="both"/>
        <w:rPr>
          <w:rFonts w:eastAsia="Times New Roman"/>
        </w:rPr>
      </w:pPr>
      <w:r>
        <w:rPr>
          <w:rFonts w:eastAsia="Times New Roman"/>
          <w:color w:val="000000"/>
          <w:sz w:val="20"/>
          <w:szCs w:val="20"/>
        </w:rPr>
        <w:t>Cash flows related to the interest rate swaps are included in operating activities on the Condensed Consolidated Statements of Cash Flows</w:t>
      </w:r>
      <w:r>
        <w:rPr>
          <w:rFonts w:eastAsia="Times New Roman"/>
          <w:color w:val="000000"/>
          <w:sz w:val="20"/>
          <w:szCs w:val="20"/>
        </w:rPr>
        <w:t>.</w:t>
      </w:r>
    </w:p>
    <w:p w:rsidR="00000000" w:rsidRDefault="00480785">
      <w:pPr>
        <w:jc w:val="both"/>
        <w:rPr>
          <w:rFonts w:eastAsia="Times New Roman"/>
        </w:rPr>
      </w:pPr>
    </w:p>
    <w:p w:rsidR="00000000" w:rsidRDefault="00480785">
      <w:pPr>
        <w:jc w:val="center"/>
        <w:divId w:val="313922078"/>
        <w:rPr>
          <w:rFonts w:eastAsia="Times New Roman"/>
        </w:rPr>
      </w:pPr>
      <w:r>
        <w:rPr>
          <w:rFonts w:eastAsia="Times New Roman"/>
          <w:color w:val="000000"/>
          <w:sz w:val="20"/>
          <w:szCs w:val="20"/>
        </w:rPr>
        <w:t>Page 1</w:t>
      </w:r>
      <w:r>
        <w:rPr>
          <w:rFonts w:eastAsia="Times New Roman"/>
          <w:color w:val="000000"/>
          <w:sz w:val="20"/>
          <w:szCs w:val="20"/>
        </w:rPr>
        <w:t>4</w:t>
      </w:r>
    </w:p>
    <w:p w:rsidR="00000000" w:rsidRDefault="00480785">
      <w:pPr>
        <w:rPr>
          <w:rFonts w:eastAsia="Times New Roman"/>
        </w:rPr>
      </w:pPr>
      <w:r>
        <w:rPr>
          <w:rFonts w:eastAsia="Times New Roman"/>
        </w:rPr>
        <w:pict>
          <v:rect id="_x0000_i1039" style="width:0;height:1.5pt" o:hralign="center" o:hrstd="t" o:hr="t" fillcolor="#a0a0a0" stroked="f"/>
        </w:pict>
      </w:r>
    </w:p>
    <w:p w:rsidR="00000000" w:rsidRDefault="00480785">
      <w:pPr>
        <w:divId w:val="1071461116"/>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The following table summarizes the impact of pre-tax gains and losses derived from the Company’s interest rate swaps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2"/>
        <w:gridCol w:w="1850"/>
        <w:gridCol w:w="36"/>
        <w:gridCol w:w="70"/>
        <w:gridCol w:w="1175"/>
        <w:gridCol w:w="37"/>
        <w:gridCol w:w="36"/>
        <w:gridCol w:w="36"/>
        <w:gridCol w:w="36"/>
        <w:gridCol w:w="136"/>
        <w:gridCol w:w="880"/>
        <w:gridCol w:w="42"/>
        <w:gridCol w:w="36"/>
        <w:gridCol w:w="36"/>
        <w:gridCol w:w="36"/>
        <w:gridCol w:w="136"/>
        <w:gridCol w:w="880"/>
        <w:gridCol w:w="42"/>
        <w:gridCol w:w="36"/>
        <w:gridCol w:w="36"/>
        <w:gridCol w:w="36"/>
        <w:gridCol w:w="136"/>
        <w:gridCol w:w="880"/>
        <w:gridCol w:w="41"/>
        <w:gridCol w:w="36"/>
        <w:gridCol w:w="36"/>
        <w:gridCol w:w="36"/>
        <w:gridCol w:w="136"/>
        <w:gridCol w:w="881"/>
        <w:gridCol w:w="42"/>
        <w:gridCol w:w="36"/>
        <w:gridCol w:w="36"/>
        <w:gridCol w:w="36"/>
        <w:gridCol w:w="36"/>
        <w:gridCol w:w="36"/>
        <w:gridCol w:w="36"/>
        <w:gridCol w:w="36"/>
        <w:gridCol w:w="36"/>
        <w:gridCol w:w="36"/>
        <w:gridCol w:w="36"/>
        <w:gridCol w:w="36"/>
        <w:gridCol w:w="36"/>
      </w:tblGrid>
      <w:tr w:rsidR="00000000">
        <w:trPr>
          <w:gridAfter w:val="12"/>
          <w:divId w:val="215551837"/>
        </w:trPr>
        <w:tc>
          <w:tcPr>
            <w:tcW w:w="50" w:type="pct"/>
            <w:vAlign w:val="center"/>
            <w:hideMark/>
          </w:tcPr>
          <w:p w:rsidR="00000000" w:rsidRDefault="00480785">
            <w:pPr>
              <w:jc w:val="both"/>
              <w:rPr>
                <w:rFonts w:eastAsia="Times New Roman"/>
              </w:rPr>
            </w:pPr>
          </w:p>
        </w:tc>
        <w:tc>
          <w:tcPr>
            <w:tcW w:w="129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84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215551837"/>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215551837"/>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Financial Statement Locatio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15551837"/>
        </w:trPr>
        <w:tc>
          <w:tcPr>
            <w:tcW w:w="0" w:type="auto"/>
            <w:gridSpan w:val="3"/>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Amount of gains/(losses) recognized in OCI during the perio</w:t>
            </w:r>
            <w:r>
              <w:rPr>
                <w:rFonts w:eastAsia="Times New Roman"/>
                <w:color w:val="000000"/>
                <w:sz w:val="20"/>
                <w:szCs w:val="20"/>
              </w:rPr>
              <w:t>d</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480785">
            <w:pPr>
              <w:rPr>
                <w:rFonts w:eastAsia="Times New Roman"/>
              </w:rPr>
            </w:pPr>
            <w:r>
              <w:rPr>
                <w:rFonts w:eastAsia="Times New Roman"/>
                <w:color w:val="000000"/>
                <w:sz w:val="20"/>
                <w:szCs w:val="20"/>
              </w:rPr>
              <w:t>Other comprehensive income/(loss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629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(841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(8,153</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480785">
            <w:pPr>
              <w:jc w:val="right"/>
              <w:rPr>
                <w:rFonts w:eastAsia="Times New Roman"/>
              </w:rPr>
            </w:pPr>
            <w:r>
              <w:rPr>
                <w:rFonts w:eastAsia="Times New Roman"/>
                <w:color w:val="000000"/>
                <w:sz w:val="20"/>
                <w:szCs w:val="20"/>
              </w:rPr>
              <w:t>(5,725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following table summarizes the impact of taxes a</w:t>
      </w:r>
      <w:r>
        <w:rPr>
          <w:rFonts w:eastAsia="Times New Roman"/>
          <w:color w:val="000000"/>
          <w:sz w:val="20"/>
          <w:szCs w:val="20"/>
        </w:rPr>
        <w:t>ffecting AOCI as a result of the Company’s interest rate swaps (in thousands)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245"/>
        <w:gridCol w:w="36"/>
        <w:gridCol w:w="136"/>
        <w:gridCol w:w="880"/>
        <w:gridCol w:w="42"/>
        <w:gridCol w:w="36"/>
        <w:gridCol w:w="36"/>
        <w:gridCol w:w="36"/>
        <w:gridCol w:w="136"/>
        <w:gridCol w:w="880"/>
        <w:gridCol w:w="42"/>
        <w:gridCol w:w="36"/>
        <w:gridCol w:w="36"/>
        <w:gridCol w:w="36"/>
        <w:gridCol w:w="136"/>
        <w:gridCol w:w="880"/>
        <w:gridCol w:w="41"/>
        <w:gridCol w:w="36"/>
        <w:gridCol w:w="36"/>
        <w:gridCol w:w="36"/>
        <w:gridCol w:w="136"/>
        <w:gridCol w:w="881"/>
        <w:gridCol w:w="42"/>
        <w:gridCol w:w="36"/>
        <w:gridCol w:w="36"/>
        <w:gridCol w:w="36"/>
        <w:gridCol w:w="36"/>
        <w:gridCol w:w="36"/>
        <w:gridCol w:w="36"/>
        <w:gridCol w:w="36"/>
        <w:gridCol w:w="36"/>
        <w:gridCol w:w="36"/>
        <w:gridCol w:w="36"/>
        <w:gridCol w:w="36"/>
        <w:gridCol w:w="36"/>
      </w:tblGrid>
      <w:tr w:rsidR="00000000">
        <w:trPr>
          <w:gridAfter w:val="12"/>
          <w:divId w:val="369885565"/>
          <w:jc w:val="center"/>
        </w:trPr>
        <w:tc>
          <w:tcPr>
            <w:tcW w:w="50" w:type="pct"/>
            <w:vAlign w:val="center"/>
            <w:hideMark/>
          </w:tcPr>
          <w:p w:rsidR="00000000" w:rsidRDefault="00480785">
            <w:pPr>
              <w:jc w:val="both"/>
              <w:rPr>
                <w:rFonts w:eastAsia="Times New Roman"/>
              </w:rPr>
            </w:pPr>
          </w:p>
        </w:tc>
        <w:tc>
          <w:tcPr>
            <w:tcW w:w="223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369885565"/>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369885565"/>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369885565"/>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Income tax expense/(benefit) of interest rate swaps on AOC</w:t>
            </w:r>
            <w:r>
              <w:rPr>
                <w:rFonts w:eastAsia="Times New Roman"/>
                <w:color w:val="000000"/>
                <w:sz w:val="20"/>
                <w:szCs w:val="20"/>
              </w:rPr>
              <w:t>I</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(2,087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(1,267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divId w:val="769394000"/>
        <w:rPr>
          <w:rFonts w:eastAsia="Times New Roman"/>
        </w:rPr>
      </w:pPr>
    </w:p>
    <w:p w:rsidR="00000000" w:rsidRDefault="00480785">
      <w:pPr>
        <w:divId w:val="1393503335"/>
        <w:rPr>
          <w:rFonts w:eastAsia="Times New Roman"/>
        </w:rPr>
      </w:pPr>
      <w:r>
        <w:rPr>
          <w:rFonts w:eastAsia="Times New Roman"/>
          <w:i/>
          <w:iCs/>
          <w:color w:val="000000"/>
          <w:sz w:val="20"/>
          <w:szCs w:val="20"/>
        </w:rPr>
        <w:t>Credit-risk-related contingent feature</w:t>
      </w:r>
      <w:r>
        <w:rPr>
          <w:rFonts w:eastAsia="Times New Roman"/>
          <w:i/>
          <w:iCs/>
          <w:color w:val="000000"/>
          <w:sz w:val="20"/>
          <w:szCs w:val="20"/>
        </w:rPr>
        <w:t>s</w:t>
      </w:r>
      <w:r>
        <w:rPr>
          <w:rFonts w:eastAsia="Times New Roman"/>
          <w:b/>
          <w:bCs/>
          <w:color w:val="000000"/>
          <w:sz w:val="20"/>
          <w:szCs w:val="20"/>
        </w:rPr>
        <w:t xml:space="preserve"> </w:t>
      </w:r>
    </w:p>
    <w:p w:rsidR="00000000" w:rsidRDefault="00480785">
      <w:pPr>
        <w:divId w:val="1991906100"/>
        <w:rPr>
          <w:rFonts w:eastAsia="Times New Roman"/>
        </w:rPr>
      </w:pPr>
    </w:p>
    <w:p w:rsidR="00000000" w:rsidRDefault="00480785">
      <w:pPr>
        <w:jc w:val="both"/>
        <w:rPr>
          <w:rFonts w:eastAsia="Times New Roman"/>
        </w:rPr>
      </w:pPr>
      <w:r>
        <w:rPr>
          <w:rFonts w:eastAsia="Times New Roman"/>
          <w:color w:val="000000"/>
          <w:sz w:val="20"/>
          <w:szCs w:val="20"/>
        </w:rPr>
        <w:t>In accordance with the underlying interest rate swap agreeme</w:t>
      </w:r>
      <w:r>
        <w:rPr>
          <w:rFonts w:eastAsia="Times New Roman"/>
          <w:color w:val="000000"/>
          <w:sz w:val="20"/>
          <w:szCs w:val="20"/>
        </w:rPr>
        <w:t>nts, the Company could be declared in default on its interest rate swap obligations if repayment of the underlying indebtedness (i.e., the Company’s term loans) is accelerated by the lender due to the Company's default on such indebtedness.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If the Compa</w:t>
      </w:r>
      <w:r>
        <w:rPr>
          <w:rFonts w:eastAsia="Times New Roman"/>
          <w:color w:val="000000"/>
          <w:sz w:val="20"/>
          <w:szCs w:val="20"/>
        </w:rPr>
        <w:t>ny had breached any of the provisions in the underlying agreements at September 26, 2020, it could have been required to post full collateral or settle its obligations under the Company’s interest rate swap agreements. However, as of September 26, 2020, th</w:t>
      </w:r>
      <w:r>
        <w:rPr>
          <w:rFonts w:eastAsia="Times New Roman"/>
          <w:color w:val="000000"/>
          <w:sz w:val="20"/>
          <w:szCs w:val="20"/>
        </w:rPr>
        <w:t>e Company had not breached any of these provisions or posted any collateral related to the underlying interest rate swap agreements.</w:t>
      </w:r>
      <w:r>
        <w:rPr>
          <w:rFonts w:eastAsia="Times New Roman"/>
          <w:color w:val="000000"/>
          <w:sz w:val="20"/>
          <w:szCs w:val="20"/>
        </w:rPr>
        <w:t xml:space="preserve"> </w:t>
      </w:r>
    </w:p>
    <w:p w:rsidR="00000000" w:rsidRDefault="00480785">
      <w:pPr>
        <w:jc w:val="both"/>
        <w:rPr>
          <w:rFonts w:eastAsia="Times New Roman"/>
        </w:rPr>
      </w:pPr>
    </w:p>
    <w:p w:rsidR="00000000" w:rsidRDefault="00480785">
      <w:pPr>
        <w:divId w:val="881133724"/>
        <w:rPr>
          <w:rFonts w:eastAsia="Times New Roman"/>
        </w:rPr>
      </w:pPr>
      <w:r>
        <w:rPr>
          <w:rFonts w:eastAsia="Times New Roman"/>
          <w:b/>
          <w:bCs/>
          <w:color w:val="000000"/>
          <w:sz w:val="20"/>
          <w:szCs w:val="20"/>
        </w:rPr>
        <w:t>Note 7 – Capital Stock and Dividends</w:t>
      </w:r>
      <w:r>
        <w:rPr>
          <w:rFonts w:eastAsia="Times New Roman"/>
          <w:b/>
          <w:bCs/>
          <w:color w:val="000000"/>
          <w:sz w:val="20"/>
          <w:szCs w:val="20"/>
        </w:rPr>
        <w:t>:</w:t>
      </w:r>
    </w:p>
    <w:p w:rsidR="00000000" w:rsidRDefault="00480785">
      <w:pPr>
        <w:divId w:val="1389840768"/>
        <w:rPr>
          <w:rFonts w:eastAsia="Times New Roman"/>
        </w:rPr>
      </w:pPr>
    </w:p>
    <w:p w:rsidR="00000000" w:rsidRDefault="00480785">
      <w:pPr>
        <w:jc w:val="both"/>
        <w:rPr>
          <w:rFonts w:eastAsia="Times New Roman"/>
        </w:rPr>
      </w:pPr>
      <w:r>
        <w:rPr>
          <w:rFonts w:eastAsia="Times New Roman"/>
          <w:color w:val="000000"/>
          <w:sz w:val="20"/>
          <w:szCs w:val="20"/>
          <w:u w:val="single"/>
        </w:rPr>
        <w:t>Capital Stoc</w:t>
      </w:r>
      <w:r>
        <w:rPr>
          <w:rFonts w:eastAsia="Times New Roman"/>
          <w:color w:val="000000"/>
          <w:sz w:val="20"/>
          <w:szCs w:val="20"/>
          <w:u w:val="single"/>
        </w:rPr>
        <w:t>k</w:t>
      </w:r>
    </w:p>
    <w:p w:rsidR="00000000" w:rsidRDefault="00480785">
      <w:pPr>
        <w:divId w:val="1555655297"/>
        <w:rPr>
          <w:rFonts w:eastAsia="Times New Roman"/>
        </w:rPr>
      </w:pPr>
    </w:p>
    <w:p w:rsidR="00000000" w:rsidRDefault="00480785">
      <w:pPr>
        <w:jc w:val="both"/>
        <w:rPr>
          <w:rFonts w:eastAsia="Times New Roman"/>
        </w:rPr>
      </w:pPr>
      <w:r>
        <w:rPr>
          <w:rFonts w:eastAsia="Times New Roman"/>
          <w:color w:val="000000"/>
          <w:sz w:val="20"/>
          <w:szCs w:val="20"/>
        </w:rPr>
        <w:t>The authorized capital stock of the Company consists of common stock and preferred stock. The Company is authorized to issue 400 million shares of common stock. The Company is also authorized to issue 40 thousand shares of preferred stock, with such design</w:t>
      </w:r>
      <w:r>
        <w:rPr>
          <w:rFonts w:eastAsia="Times New Roman"/>
          <w:color w:val="000000"/>
          <w:sz w:val="20"/>
          <w:szCs w:val="20"/>
        </w:rPr>
        <w:t>ations, rights and preferences as may be determined from time to time by the Company's Board of Directors</w:t>
      </w:r>
      <w:r>
        <w:rPr>
          <w:rFonts w:eastAsia="Times New Roman"/>
          <w:color w:val="000000"/>
          <w:sz w:val="20"/>
          <w:szCs w:val="20"/>
        </w:rPr>
        <w:t>.</w:t>
      </w:r>
    </w:p>
    <w:p w:rsidR="00000000" w:rsidRDefault="00480785">
      <w:pPr>
        <w:divId w:val="118378081"/>
        <w:rPr>
          <w:rFonts w:eastAsia="Times New Roman"/>
        </w:rPr>
      </w:pPr>
    </w:p>
    <w:p w:rsidR="00000000" w:rsidRDefault="00480785">
      <w:pPr>
        <w:jc w:val="both"/>
        <w:rPr>
          <w:rFonts w:eastAsia="Times New Roman"/>
        </w:rPr>
      </w:pPr>
      <w:r>
        <w:rPr>
          <w:rFonts w:eastAsia="Times New Roman"/>
          <w:color w:val="000000"/>
          <w:sz w:val="20"/>
          <w:szCs w:val="20"/>
          <w:u w:val="single"/>
        </w:rPr>
        <w:t>Dividend</w:t>
      </w:r>
      <w:r>
        <w:rPr>
          <w:rFonts w:eastAsia="Times New Roman"/>
          <w:color w:val="000000"/>
          <w:sz w:val="20"/>
          <w:szCs w:val="20"/>
          <w:u w:val="single"/>
        </w:rPr>
        <w:t>s</w:t>
      </w:r>
    </w:p>
    <w:p w:rsidR="00000000" w:rsidRDefault="00480785">
      <w:pPr>
        <w:divId w:val="123275400"/>
        <w:rPr>
          <w:rFonts w:eastAsia="Times New Roman"/>
        </w:rPr>
      </w:pPr>
    </w:p>
    <w:p w:rsidR="00000000" w:rsidRDefault="00480785">
      <w:pPr>
        <w:divId w:val="1243873749"/>
        <w:rPr>
          <w:rFonts w:eastAsia="Times New Roman"/>
        </w:rPr>
      </w:pPr>
      <w:r>
        <w:rPr>
          <w:rFonts w:eastAsia="Times New Roman"/>
          <w:color w:val="000000"/>
          <w:sz w:val="20"/>
          <w:szCs w:val="20"/>
        </w:rPr>
        <w:t>During the first nine months of fiscal 2020 and 2019, the Company's Board of Directors declared the following cash dividends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9"/>
        <w:gridCol w:w="2207"/>
        <w:gridCol w:w="36"/>
        <w:gridCol w:w="36"/>
        <w:gridCol w:w="36"/>
        <w:gridCol w:w="36"/>
        <w:gridCol w:w="136"/>
        <w:gridCol w:w="1246"/>
        <w:gridCol w:w="41"/>
        <w:gridCol w:w="36"/>
        <w:gridCol w:w="36"/>
        <w:gridCol w:w="36"/>
        <w:gridCol w:w="38"/>
        <w:gridCol w:w="2239"/>
        <w:gridCol w:w="37"/>
        <w:gridCol w:w="36"/>
        <w:gridCol w:w="36"/>
        <w:gridCol w:w="36"/>
        <w:gridCol w:w="38"/>
        <w:gridCol w:w="1854"/>
        <w:gridCol w:w="36"/>
      </w:tblGrid>
      <w:tr w:rsidR="00000000">
        <w:trPr>
          <w:divId w:val="1428192890"/>
        </w:trPr>
        <w:tc>
          <w:tcPr>
            <w:tcW w:w="50" w:type="pct"/>
            <w:vAlign w:val="center"/>
            <w:hideMark/>
          </w:tcPr>
          <w:p w:rsidR="00000000" w:rsidRDefault="00480785">
            <w:pPr>
              <w:rPr>
                <w:rFonts w:eastAsia="Times New Roman"/>
              </w:rPr>
            </w:pPr>
          </w:p>
        </w:tc>
        <w:tc>
          <w:tcPr>
            <w:tcW w:w="135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78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381"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14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428192890"/>
        </w:trPr>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Date Declare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w:t>
            </w:r>
            <w:r>
              <w:rPr>
                <w:rFonts w:eastAsia="Times New Roman"/>
                <w:b/>
                <w:bCs/>
                <w:color w:val="000000"/>
                <w:sz w:val="20"/>
                <w:szCs w:val="20"/>
              </w:rPr>
              <w:t>k</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Record Dat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Date Pai</w:t>
            </w:r>
            <w:r>
              <w:rPr>
                <w:rFonts w:eastAsia="Times New Roman"/>
                <w:b/>
                <w:bCs/>
                <w:color w:val="000000"/>
                <w:sz w:val="20"/>
                <w:szCs w:val="20"/>
              </w:rPr>
              <w:t>d</w:t>
            </w:r>
          </w:p>
        </w:tc>
      </w:tr>
      <w:tr w:rsidR="00000000">
        <w:trPr>
          <w:divId w:val="142819289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August 5,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August 24,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September 9, 202</w:t>
            </w:r>
            <w:r>
              <w:rPr>
                <w:rFonts w:eastAsia="Times New Roman"/>
                <w:color w:val="000000"/>
                <w:sz w:val="20"/>
                <w:szCs w:val="20"/>
              </w:rPr>
              <w:t>0</w:t>
            </w:r>
          </w:p>
        </w:tc>
      </w:tr>
      <w:tr w:rsidR="00000000">
        <w:trPr>
          <w:divId w:val="1428192890"/>
        </w:trPr>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May 6,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May 26,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June 9, 202</w:t>
            </w:r>
            <w:r>
              <w:rPr>
                <w:rFonts w:eastAsia="Times New Roman"/>
                <w:color w:val="000000"/>
                <w:sz w:val="20"/>
                <w:szCs w:val="20"/>
              </w:rPr>
              <w:t>0</w:t>
            </w:r>
          </w:p>
        </w:tc>
      </w:tr>
      <w:tr w:rsidR="00000000">
        <w:trPr>
          <w:divId w:val="1428192890"/>
        </w:trPr>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February 5,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February 24,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March 10, 202</w:t>
            </w:r>
            <w:r>
              <w:rPr>
                <w:rFonts w:eastAsia="Times New Roman"/>
                <w:color w:val="000000"/>
                <w:sz w:val="20"/>
                <w:szCs w:val="20"/>
              </w:rPr>
              <w:t>0</w:t>
            </w:r>
          </w:p>
        </w:tc>
      </w:tr>
      <w:tr w:rsidR="00000000">
        <w:trPr>
          <w:divId w:val="1428192890"/>
          <w:trHeight w:val="300"/>
        </w:trPr>
        <w:tc>
          <w:tcPr>
            <w:tcW w:w="0" w:type="auto"/>
            <w:gridSpan w:val="3"/>
            <w:shd w:val="clear" w:color="auto" w:fill="FFFF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428192890"/>
        </w:trPr>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August 7,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August 26,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September 10, 201</w:t>
            </w:r>
            <w:r>
              <w:rPr>
                <w:rFonts w:eastAsia="Times New Roman"/>
                <w:color w:val="000000"/>
                <w:sz w:val="20"/>
                <w:szCs w:val="20"/>
              </w:rPr>
              <w:t>9</w:t>
            </w:r>
          </w:p>
        </w:tc>
      </w:tr>
      <w:tr w:rsidR="00000000">
        <w:trPr>
          <w:divId w:val="1428192890"/>
        </w:trPr>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May 8,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May 28,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June 11, 201</w:t>
            </w:r>
            <w:r>
              <w:rPr>
                <w:rFonts w:eastAsia="Times New Roman"/>
                <w:color w:val="000000"/>
                <w:sz w:val="20"/>
                <w:szCs w:val="20"/>
              </w:rPr>
              <w:t>9</w:t>
            </w:r>
          </w:p>
        </w:tc>
      </w:tr>
      <w:tr w:rsidR="00000000">
        <w:trPr>
          <w:divId w:val="1428192890"/>
        </w:trPr>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February 6,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February 25,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March 12, 201</w:t>
            </w:r>
            <w:r>
              <w:rPr>
                <w:rFonts w:eastAsia="Times New Roman"/>
                <w:color w:val="000000"/>
                <w:sz w:val="20"/>
                <w:szCs w:val="20"/>
              </w:rPr>
              <w:t>9</w:t>
            </w:r>
          </w:p>
        </w:tc>
      </w:tr>
    </w:tbl>
    <w:p w:rsidR="00000000" w:rsidRDefault="00480785">
      <w:pPr>
        <w:divId w:val="957680256"/>
        <w:rPr>
          <w:rFonts w:eastAsia="Times New Roman"/>
        </w:rPr>
      </w:pPr>
    </w:p>
    <w:p w:rsidR="00000000" w:rsidRDefault="00480785">
      <w:pPr>
        <w:jc w:val="both"/>
        <w:rPr>
          <w:rFonts w:eastAsia="Times New Roman"/>
        </w:rPr>
      </w:pPr>
      <w:r>
        <w:rPr>
          <w:rFonts w:eastAsia="Times New Roman"/>
          <w:color w:val="000000"/>
          <w:sz w:val="20"/>
          <w:szCs w:val="20"/>
        </w:rPr>
        <w:t>It is the present intention of the Company's Board of Directors to continue to pay a quarterly cash dividend; however, the declaration and payment of future dividends will be determined by the Company's Board of Directors in its sole discretion and will de</w:t>
      </w:r>
      <w:r>
        <w:rPr>
          <w:rFonts w:eastAsia="Times New Roman"/>
          <w:color w:val="000000"/>
          <w:sz w:val="20"/>
          <w:szCs w:val="20"/>
        </w:rPr>
        <w:t>pend upon the earnings, financial condition and capital needs of the Company, along with any other factors that the Company's Board of Directors deems relevant.</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center"/>
        <w:divId w:val="1465390259"/>
        <w:rPr>
          <w:rFonts w:eastAsia="Times New Roman"/>
        </w:rPr>
      </w:pPr>
      <w:r>
        <w:rPr>
          <w:rFonts w:eastAsia="Times New Roman"/>
          <w:color w:val="000000"/>
          <w:sz w:val="20"/>
          <w:szCs w:val="20"/>
        </w:rPr>
        <w:t>Page 1</w:t>
      </w:r>
      <w:r>
        <w:rPr>
          <w:rFonts w:eastAsia="Times New Roman"/>
          <w:color w:val="000000"/>
          <w:sz w:val="20"/>
          <w:szCs w:val="20"/>
        </w:rPr>
        <w:t>5</w:t>
      </w:r>
    </w:p>
    <w:p w:rsidR="00000000" w:rsidRDefault="00480785">
      <w:pPr>
        <w:rPr>
          <w:rFonts w:eastAsia="Times New Roman"/>
        </w:rPr>
      </w:pPr>
      <w:r>
        <w:rPr>
          <w:rFonts w:eastAsia="Times New Roman"/>
        </w:rPr>
        <w:pict>
          <v:rect id="_x0000_i1040" style="width:0;height:1.5pt" o:hralign="center" o:hrstd="t" o:hr="t" fillcolor="#a0a0a0" stroked="f"/>
        </w:pict>
      </w:r>
    </w:p>
    <w:p w:rsidR="00000000" w:rsidRDefault="00480785">
      <w:pPr>
        <w:divId w:val="679820446"/>
        <w:rPr>
          <w:rFonts w:eastAsia="Times New Roman"/>
        </w:rPr>
      </w:pPr>
      <w:hyperlink w:anchor="i28e74bea7b4a44c78304596dc3e51779_7" w:history="1">
        <w:r>
          <w:rPr>
            <w:rStyle w:val="a3"/>
            <w:rFonts w:eastAsia="Times New Roman"/>
            <w:sz w:val="16"/>
            <w:szCs w:val="16"/>
          </w:rPr>
          <w:t>Index</w:t>
        </w:r>
      </w:hyperlink>
    </w:p>
    <w:p w:rsidR="00000000" w:rsidRDefault="00480785">
      <w:pPr>
        <w:divId w:val="1247768530"/>
        <w:rPr>
          <w:rFonts w:eastAsia="Times New Roman"/>
        </w:rPr>
      </w:pPr>
      <w:r>
        <w:rPr>
          <w:rFonts w:eastAsia="Times New Roman"/>
          <w:b/>
          <w:bCs/>
          <w:color w:val="000000"/>
          <w:sz w:val="20"/>
          <w:szCs w:val="20"/>
        </w:rPr>
        <w:t>Note 8 – Treasury Stock</w:t>
      </w:r>
      <w:r>
        <w:rPr>
          <w:rFonts w:eastAsia="Times New Roman"/>
          <w:b/>
          <w:bCs/>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Company’</w:t>
      </w:r>
      <w:r>
        <w:rPr>
          <w:rFonts w:eastAsia="Times New Roman"/>
          <w:color w:val="000000"/>
          <w:sz w:val="20"/>
          <w:szCs w:val="20"/>
        </w:rPr>
        <w:t>s Board of Directors has authorized common stock repurchases under a share repurchase program up to $4.5 billion, exclusive of any fees, commissions, or other expenses related to such repurchases. The repurchases may be made from time to time on the open m</w:t>
      </w:r>
      <w:r>
        <w:rPr>
          <w:rFonts w:eastAsia="Times New Roman"/>
          <w:color w:val="000000"/>
          <w:sz w:val="20"/>
          <w:szCs w:val="20"/>
        </w:rPr>
        <w:t>arket or in privately negotiated transactions.  The timing and amount of any shares repurchased under the program will depend on a variety of factors, including price, corporate and regulatory requirements, capital availability, and other market conditions</w:t>
      </w:r>
      <w:r>
        <w:rPr>
          <w:rFonts w:eastAsia="Times New Roman"/>
          <w:color w:val="000000"/>
          <w:sz w:val="20"/>
          <w:szCs w:val="20"/>
        </w:rPr>
        <w:t xml:space="preserve">.  Repurchased shares are accounted for at cost and will be held in treasury for future issuance.  The program may be limited or terminated at any time without prior notice. As of September 26, 2020, the Company had remaining authorization under the share </w:t>
      </w:r>
      <w:r>
        <w:rPr>
          <w:rFonts w:eastAsia="Times New Roman"/>
          <w:color w:val="000000"/>
          <w:sz w:val="20"/>
          <w:szCs w:val="20"/>
        </w:rPr>
        <w:t>repurchase program of $1.22 billion, exclusive of any fees, commissions, or other expenses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Company has suspended the share repurchase program effective March 12, 2020, in order to strengthen its liquidity and preserve cash while navigating the COVID</w:t>
      </w:r>
      <w:r>
        <w:rPr>
          <w:rFonts w:eastAsia="Times New Roman"/>
          <w:color w:val="000000"/>
          <w:sz w:val="20"/>
          <w:szCs w:val="20"/>
        </w:rPr>
        <w:t>-19 pandemic</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following table provides the number of shares repurchased, average price paid per share, and total amount paid for share repurchases during the fiscal three and nine months ended September 26, 2020 and September 28, 2019, respectively (</w:t>
      </w:r>
      <w:r>
        <w:rPr>
          <w:rFonts w:eastAsia="Times New Roman"/>
          <w:color w:val="000000"/>
          <w:sz w:val="20"/>
          <w:szCs w:val="20"/>
        </w:rPr>
        <w:t>in thousands, except per share amounts)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218"/>
        <w:gridCol w:w="36"/>
        <w:gridCol w:w="136"/>
        <w:gridCol w:w="892"/>
        <w:gridCol w:w="41"/>
        <w:gridCol w:w="36"/>
        <w:gridCol w:w="36"/>
        <w:gridCol w:w="36"/>
        <w:gridCol w:w="136"/>
        <w:gridCol w:w="883"/>
        <w:gridCol w:w="42"/>
        <w:gridCol w:w="36"/>
        <w:gridCol w:w="36"/>
        <w:gridCol w:w="36"/>
        <w:gridCol w:w="136"/>
        <w:gridCol w:w="887"/>
        <w:gridCol w:w="41"/>
        <w:gridCol w:w="36"/>
        <w:gridCol w:w="36"/>
        <w:gridCol w:w="36"/>
        <w:gridCol w:w="136"/>
        <w:gridCol w:w="887"/>
        <w:gridCol w:w="42"/>
        <w:gridCol w:w="36"/>
        <w:gridCol w:w="36"/>
        <w:gridCol w:w="36"/>
        <w:gridCol w:w="36"/>
        <w:gridCol w:w="36"/>
        <w:gridCol w:w="36"/>
        <w:gridCol w:w="36"/>
        <w:gridCol w:w="36"/>
        <w:gridCol w:w="36"/>
        <w:gridCol w:w="36"/>
        <w:gridCol w:w="36"/>
        <w:gridCol w:w="36"/>
      </w:tblGrid>
      <w:tr w:rsidR="00000000">
        <w:trPr>
          <w:gridAfter w:val="12"/>
          <w:divId w:val="919220803"/>
          <w:jc w:val="center"/>
        </w:trPr>
        <w:tc>
          <w:tcPr>
            <w:tcW w:w="50" w:type="pct"/>
            <w:vAlign w:val="center"/>
            <w:hideMark/>
          </w:tcPr>
          <w:p w:rsidR="00000000" w:rsidRDefault="00480785">
            <w:pPr>
              <w:jc w:val="both"/>
              <w:rPr>
                <w:rFonts w:eastAsia="Times New Roman"/>
              </w:rPr>
            </w:pPr>
          </w:p>
        </w:tc>
        <w:tc>
          <w:tcPr>
            <w:tcW w:w="2101"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10"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10"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4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4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919220803"/>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919220803"/>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919220803"/>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Total number of shares repurchase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2,853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4,926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919220803"/>
          <w:jc w:val="center"/>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Average price paid per shar</w:t>
            </w:r>
            <w:r>
              <w:rPr>
                <w:rFonts w:eastAsia="Times New Roman"/>
                <w:color w:val="000000"/>
                <w:sz w:val="20"/>
                <w:szCs w:val="20"/>
              </w:rPr>
              <w:t>e</w:t>
            </w:r>
          </w:p>
        </w:tc>
        <w:tc>
          <w:tcPr>
            <w:tcW w:w="0" w:type="auto"/>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105.97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92.28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99.46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919220803"/>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Total cash paid for share repurchase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155,742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263,219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489,977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both"/>
        <w:rPr>
          <w:rFonts w:eastAsia="Times New Roman"/>
        </w:rPr>
      </w:pPr>
    </w:p>
    <w:p w:rsidR="00000000" w:rsidRDefault="00480785">
      <w:pPr>
        <w:jc w:val="both"/>
        <w:rPr>
          <w:rFonts w:eastAsia="Times New Roman"/>
        </w:rPr>
      </w:pPr>
      <w:r>
        <w:rPr>
          <w:rFonts w:eastAsia="Times New Roman"/>
          <w:b/>
          <w:bCs/>
          <w:color w:val="000000"/>
          <w:sz w:val="20"/>
          <w:szCs w:val="20"/>
        </w:rPr>
        <w:t>Note 9 – Income Taxes</w:t>
      </w:r>
      <w:r>
        <w:rPr>
          <w:rFonts w:eastAsia="Times New Roman"/>
          <w:b/>
          <w:bCs/>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Company’s effective income tax rate was 22.2% in the third quarter of both fiscal 2020 and 2019. The effective income tax rate was 22.6% in the first nine months of fiscal 2020 compared to 22.2% in the first nine months of fiscal 2019. The primary dr</w:t>
      </w:r>
      <w:r>
        <w:rPr>
          <w:rFonts w:eastAsia="Times New Roman"/>
          <w:color w:val="000000"/>
          <w:sz w:val="20"/>
          <w:szCs w:val="20"/>
        </w:rPr>
        <w:t>iver for the increase in the Company’s effective income tax rate in the nine month period was attributable to a reduction in the impact of the tax benefit associated with share-based compensation.</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Coronavirus Aid, Relief, and Economic Security Act (“CARES Act”) was enacted in the U.S. on March 27, 2020. We do not anticipate that the enactment of this legislation will significantly impact our full year effective tax rate in fiscal 2020</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b/>
          <w:bCs/>
          <w:color w:val="000000"/>
          <w:sz w:val="20"/>
          <w:szCs w:val="20"/>
        </w:rPr>
        <w:t>Note 10</w:t>
      </w:r>
      <w:r>
        <w:rPr>
          <w:rFonts w:eastAsia="Times New Roman"/>
          <w:b/>
          <w:bCs/>
          <w:color w:val="000000"/>
          <w:sz w:val="20"/>
          <w:szCs w:val="20"/>
        </w:rPr>
        <w:t xml:space="preserve"> – Commitments and Contingencies</w:t>
      </w:r>
      <w:r>
        <w:rPr>
          <w:rFonts w:eastAsia="Times New Roman"/>
          <w:b/>
          <w:bCs/>
          <w:color w:val="000000"/>
          <w:sz w:val="20"/>
          <w:szCs w:val="20"/>
        </w:rPr>
        <w:t>:</w:t>
      </w:r>
    </w:p>
    <w:p w:rsidR="00000000" w:rsidRDefault="00480785">
      <w:pPr>
        <w:divId w:val="1233394843"/>
        <w:rPr>
          <w:rFonts w:eastAsia="Times New Roman"/>
        </w:rPr>
      </w:pPr>
    </w:p>
    <w:p w:rsidR="00000000" w:rsidRDefault="00480785">
      <w:pPr>
        <w:jc w:val="both"/>
        <w:rPr>
          <w:rFonts w:eastAsia="Times New Roman"/>
        </w:rPr>
      </w:pPr>
      <w:r>
        <w:rPr>
          <w:rFonts w:eastAsia="Times New Roman"/>
          <w:color w:val="000000"/>
          <w:sz w:val="20"/>
          <w:szCs w:val="20"/>
          <w:u w:val="single"/>
        </w:rPr>
        <w:t>Construction and Real Estate Commitment</w:t>
      </w:r>
      <w:r>
        <w:rPr>
          <w:rFonts w:eastAsia="Times New Roman"/>
          <w:color w:val="000000"/>
          <w:sz w:val="20"/>
          <w:szCs w:val="20"/>
          <w:u w:val="single"/>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At September 26, 2020, there were no material commitments related to real estate or construction projects extending greater than twelve months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u w:val="single"/>
        </w:rPr>
        <w:t>Letters of Credi</w:t>
      </w:r>
      <w:r>
        <w:rPr>
          <w:rFonts w:eastAsia="Times New Roman"/>
          <w:color w:val="000000"/>
          <w:sz w:val="20"/>
          <w:szCs w:val="20"/>
          <w:u w:val="single"/>
        </w:rPr>
        <w:t>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At Septembe</w:t>
      </w:r>
      <w:r>
        <w:rPr>
          <w:rFonts w:eastAsia="Times New Roman"/>
          <w:color w:val="000000"/>
          <w:sz w:val="20"/>
          <w:szCs w:val="20"/>
        </w:rPr>
        <w:t>r 26, 2020, there were $50.4 million of outstanding letters of credit under the 2016 Senior Credit Facility</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u w:val="single"/>
        </w:rPr>
        <w:t>Litigatio</w:t>
      </w:r>
      <w:r>
        <w:rPr>
          <w:rFonts w:eastAsia="Times New Roman"/>
          <w:color w:val="000000"/>
          <w:sz w:val="20"/>
          <w:szCs w:val="20"/>
          <w:u w:val="single"/>
        </w:rPr>
        <w:t>n</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On October 9, 2020, an alleged stockholder filed a derivative lawsuit in the U.S. District Court for the Middle District of Tennesse</w:t>
      </w:r>
      <w:r>
        <w:rPr>
          <w:rFonts w:eastAsia="Times New Roman"/>
          <w:color w:val="000000"/>
          <w:sz w:val="20"/>
          <w:szCs w:val="20"/>
        </w:rPr>
        <w:t>e, purportedly on the Company's behalf, against all current and two former members of our Board of Directors, and the Company as a nominal defendant, seeking monetary damages, interest, corporate governance changes, disgorgement, restitution, mandated comm</w:t>
      </w:r>
      <w:r>
        <w:rPr>
          <w:rFonts w:eastAsia="Times New Roman"/>
          <w:color w:val="000000"/>
          <w:sz w:val="20"/>
          <w:szCs w:val="20"/>
        </w:rPr>
        <w:t>unity investment, punitive damages, and an award of attorneys' fees, expert fees, and costs. Plaintiffs allege that: (a) defendants misrepresented and omitted material facts in the Company's proxy statements with respect to diversity; (b) defendants breach</w:t>
      </w:r>
      <w:r>
        <w:rPr>
          <w:rFonts w:eastAsia="Times New Roman"/>
          <w:color w:val="000000"/>
          <w:sz w:val="20"/>
          <w:szCs w:val="20"/>
        </w:rPr>
        <w:t>ed their fiduciary duties by permitting the Company to disseminate materially misleading and inaccurate information regarding the Company’s commitment to diversity; and (c) defendants received unjust compensation and were unjustly enriched. While the Compa</w:t>
      </w:r>
      <w:r>
        <w:rPr>
          <w:rFonts w:eastAsia="Times New Roman"/>
          <w:color w:val="000000"/>
          <w:sz w:val="20"/>
          <w:szCs w:val="20"/>
        </w:rPr>
        <w:t>ny continues to evaluate these claims, we do not believe this litigation will have a material impact on our financial position or results of operations</w:t>
      </w:r>
      <w:r>
        <w:rPr>
          <w:rFonts w:eastAsia="Times New Roman"/>
          <w:color w:val="000000"/>
          <w:sz w:val="20"/>
          <w:szCs w:val="20"/>
        </w:rPr>
        <w:t>.</w:t>
      </w:r>
    </w:p>
    <w:p w:rsidR="00000000" w:rsidRDefault="00480785">
      <w:pPr>
        <w:jc w:val="both"/>
        <w:rPr>
          <w:rFonts w:eastAsia="Times New Roman"/>
        </w:rPr>
      </w:pPr>
    </w:p>
    <w:p w:rsidR="00000000" w:rsidRDefault="00480785">
      <w:pPr>
        <w:jc w:val="center"/>
        <w:divId w:val="2021081652"/>
        <w:rPr>
          <w:rFonts w:eastAsia="Times New Roman"/>
        </w:rPr>
      </w:pPr>
      <w:r>
        <w:rPr>
          <w:rFonts w:eastAsia="Times New Roman"/>
          <w:color w:val="000000"/>
          <w:sz w:val="20"/>
          <w:szCs w:val="20"/>
        </w:rPr>
        <w:t>Page 1</w:t>
      </w:r>
      <w:r>
        <w:rPr>
          <w:rFonts w:eastAsia="Times New Roman"/>
          <w:color w:val="000000"/>
          <w:sz w:val="20"/>
          <w:szCs w:val="20"/>
        </w:rPr>
        <w:t>6</w:t>
      </w:r>
    </w:p>
    <w:p w:rsidR="00000000" w:rsidRDefault="00480785">
      <w:pPr>
        <w:rPr>
          <w:rFonts w:eastAsia="Times New Roman"/>
        </w:rPr>
      </w:pPr>
      <w:r>
        <w:rPr>
          <w:rFonts w:eastAsia="Times New Roman"/>
        </w:rPr>
        <w:pict>
          <v:rect id="_x0000_i1041" style="width:0;height:1.5pt" o:hralign="center" o:hrstd="t" o:hr="t" fillcolor="#a0a0a0" stroked="f"/>
        </w:pict>
      </w:r>
    </w:p>
    <w:p w:rsidR="00000000" w:rsidRDefault="00480785">
      <w:pPr>
        <w:divId w:val="1300190130"/>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The Company is also involved in various other litigation matters arising in the ordinary course of business. The Company believes that, based upon information currently available, any estimated loss related to such matters has been adequately provi</w:t>
      </w:r>
      <w:r>
        <w:rPr>
          <w:rFonts w:eastAsia="Times New Roman"/>
          <w:color w:val="000000"/>
          <w:sz w:val="20"/>
          <w:szCs w:val="20"/>
        </w:rPr>
        <w:t>ded for in accrued liabilities to the extent probable and reasonably estimable. Accordingly, the Company currently expects these matters will be resolved without material adverse effect on its consolidated financial position, results of operations, or cash</w:t>
      </w:r>
      <w:r>
        <w:rPr>
          <w:rFonts w:eastAsia="Times New Roman"/>
          <w:color w:val="000000"/>
          <w:sz w:val="20"/>
          <w:szCs w:val="20"/>
        </w:rPr>
        <w:t xml:space="preserve"> flows.  However, litigation and other legal matters involve an element of uncertainty. Future developments in such matters, including adverse decisions or settlements or resulting required changes to the Company's business operations, could affect our con</w:t>
      </w:r>
      <w:r>
        <w:rPr>
          <w:rFonts w:eastAsia="Times New Roman"/>
          <w:color w:val="000000"/>
          <w:sz w:val="20"/>
          <w:szCs w:val="20"/>
        </w:rPr>
        <w:t>solidated operating results when resolved in future periods or could result in liability or other amounts material to the Company's Condensed Consolidated Financial Statements.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b/>
          <w:bCs/>
          <w:color w:val="000000"/>
          <w:sz w:val="20"/>
          <w:szCs w:val="20"/>
        </w:rPr>
        <w:t>Note 11 – Segment Reporting</w:t>
      </w:r>
      <w:r>
        <w:rPr>
          <w:rFonts w:eastAsia="Times New Roman"/>
          <w:b/>
          <w:bCs/>
          <w:color w:val="000000"/>
          <w:sz w:val="20"/>
          <w:szCs w:val="20"/>
        </w:rPr>
        <w:t>:</w:t>
      </w:r>
    </w:p>
    <w:p w:rsidR="00000000" w:rsidRDefault="00480785">
      <w:pPr>
        <w:divId w:val="1987053208"/>
        <w:rPr>
          <w:rFonts w:eastAsia="Times New Roman"/>
        </w:rPr>
      </w:pPr>
    </w:p>
    <w:p w:rsidR="00000000" w:rsidRDefault="00480785">
      <w:pPr>
        <w:jc w:val="both"/>
        <w:rPr>
          <w:rFonts w:eastAsia="Times New Roman"/>
        </w:rPr>
      </w:pPr>
      <w:r>
        <w:rPr>
          <w:rFonts w:eastAsia="Times New Roman"/>
          <w:color w:val="000000"/>
          <w:sz w:val="20"/>
          <w:szCs w:val="20"/>
        </w:rPr>
        <w:t xml:space="preserve">The Company has one reportable segment which </w:t>
      </w:r>
      <w:r>
        <w:rPr>
          <w:rFonts w:eastAsia="Times New Roman"/>
          <w:color w:val="000000"/>
          <w:sz w:val="20"/>
          <w:szCs w:val="20"/>
        </w:rPr>
        <w:t>is the retail sale of products that support the rural lifestyle.  The following table indicates the percentage of net sales represented by each major product category during the fiscal three and nine months ended September 26, 2020 and September 28, 2019</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2454"/>
        <w:gridCol w:w="39"/>
        <w:gridCol w:w="74"/>
        <w:gridCol w:w="880"/>
        <w:gridCol w:w="204"/>
        <w:gridCol w:w="37"/>
        <w:gridCol w:w="37"/>
        <w:gridCol w:w="36"/>
        <w:gridCol w:w="74"/>
        <w:gridCol w:w="880"/>
        <w:gridCol w:w="203"/>
        <w:gridCol w:w="36"/>
        <w:gridCol w:w="36"/>
        <w:gridCol w:w="36"/>
        <w:gridCol w:w="69"/>
        <w:gridCol w:w="887"/>
        <w:gridCol w:w="202"/>
        <w:gridCol w:w="36"/>
        <w:gridCol w:w="36"/>
        <w:gridCol w:w="36"/>
        <w:gridCol w:w="69"/>
        <w:gridCol w:w="887"/>
        <w:gridCol w:w="202"/>
        <w:gridCol w:w="100"/>
        <w:gridCol w:w="100"/>
        <w:gridCol w:w="100"/>
        <w:gridCol w:w="100"/>
        <w:gridCol w:w="100"/>
        <w:gridCol w:w="100"/>
        <w:gridCol w:w="36"/>
        <w:gridCol w:w="36"/>
        <w:gridCol w:w="36"/>
        <w:gridCol w:w="36"/>
        <w:gridCol w:w="36"/>
        <w:gridCol w:w="36"/>
      </w:tblGrid>
      <w:tr w:rsidR="00000000">
        <w:trPr>
          <w:gridAfter w:val="12"/>
          <w:divId w:val="1771657764"/>
        </w:trPr>
        <w:tc>
          <w:tcPr>
            <w:tcW w:w="50" w:type="pct"/>
            <w:vAlign w:val="center"/>
            <w:hideMark/>
          </w:tcPr>
          <w:p w:rsidR="00000000" w:rsidRDefault="00480785">
            <w:pPr>
              <w:jc w:val="both"/>
              <w:rPr>
                <w:rFonts w:eastAsia="Times New Roman"/>
              </w:rPr>
            </w:pPr>
          </w:p>
        </w:tc>
        <w:tc>
          <w:tcPr>
            <w:tcW w:w="210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4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4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4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771657764"/>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1771657764"/>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771657764"/>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771657764"/>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771657764"/>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771657764"/>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771657764"/>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771657764"/>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divId w:val="1143547451"/>
        <w:rPr>
          <w:rFonts w:eastAsia="Times New Roman"/>
        </w:rPr>
      </w:pPr>
    </w:p>
    <w:p w:rsidR="00000000" w:rsidRDefault="00480785">
      <w:pPr>
        <w:jc w:val="both"/>
        <w:rPr>
          <w:rFonts w:eastAsia="Times New Roman"/>
        </w:rPr>
      </w:pPr>
      <w:r>
        <w:rPr>
          <w:rFonts w:eastAsia="Times New Roman"/>
          <w:b/>
          <w:bCs/>
          <w:color w:val="000000"/>
          <w:sz w:val="20"/>
          <w:szCs w:val="20"/>
        </w:rPr>
        <w:t>Note 12 – New Accounting Pronouncements</w:t>
      </w:r>
      <w:r>
        <w:rPr>
          <w:rFonts w:eastAsia="Times New Roman"/>
          <w:b/>
          <w:bCs/>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i/>
          <w:iCs/>
          <w:color w:val="000000"/>
          <w:sz w:val="20"/>
          <w:szCs w:val="20"/>
        </w:rPr>
        <w:t>New Accounting Pronouncements Recently Adopte</w:t>
      </w:r>
      <w:r>
        <w:rPr>
          <w:rFonts w:eastAsia="Times New Roman"/>
          <w:i/>
          <w:iCs/>
          <w:color w:val="000000"/>
          <w:sz w:val="20"/>
          <w:szCs w:val="20"/>
        </w:rPr>
        <w:t>d</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In June 2016, the Financial Accounting Standards Board (“FASB”) issued Accounting Standards Update (“ASU”) 2016-13, “Financial Instruments-Credit Losses (Topic 326): Measurement of Credit Losses on Financial Instruments” which amends the impairment model t</w:t>
      </w:r>
      <w:r>
        <w:rPr>
          <w:rFonts w:eastAsia="Times New Roman"/>
          <w:color w:val="000000"/>
          <w:sz w:val="20"/>
          <w:szCs w:val="20"/>
        </w:rPr>
        <w:t>o utilize an expected loss methodology in place of the currently used incurred loss methodology, which will result in more timely recognition of losses. The new guidance applies to financial assets measured at amortized cost basis, including receivables th</w:t>
      </w:r>
      <w:r>
        <w:rPr>
          <w:rFonts w:eastAsia="Times New Roman"/>
          <w:color w:val="000000"/>
          <w:sz w:val="20"/>
          <w:szCs w:val="20"/>
        </w:rPr>
        <w:t>at result from revenue transactions and held-to-maturity debt securities. This guidance is effective for fiscal years, and interim periods within those fiscal years, beginning after December 15, 2019, and early adoption was permitted for fiscal years begin</w:t>
      </w:r>
      <w:r>
        <w:rPr>
          <w:rFonts w:eastAsia="Times New Roman"/>
          <w:color w:val="000000"/>
          <w:sz w:val="20"/>
          <w:szCs w:val="20"/>
        </w:rPr>
        <w:t>ning after December 15, 2018. The Company adopted this guidance in the first quarter of fiscal 2020. The adoption of this guidance did not have a material impact on our Condensed Consolidated Financial Statements and related disclosures.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In August 2018,</w:t>
      </w:r>
      <w:r>
        <w:rPr>
          <w:rFonts w:eastAsia="Times New Roman"/>
          <w:color w:val="000000"/>
          <w:sz w:val="20"/>
          <w:szCs w:val="20"/>
        </w:rPr>
        <w:t xml:space="preserve"> the FASB issued ASU 2018-13, “Fair Value Measurement (Topic 820): Disclosure Framework - Changes to the Disclosure Requirements for Fair Value Measurement,” which amends the disclosure requirements for fair value measurements by removing, modifying and ad</w:t>
      </w:r>
      <w:r>
        <w:rPr>
          <w:rFonts w:eastAsia="Times New Roman"/>
          <w:color w:val="000000"/>
          <w:sz w:val="20"/>
          <w:szCs w:val="20"/>
        </w:rPr>
        <w:t>ding certain disclosures.  This guidance is effective for fiscal years, and interim periods within those years, beginning after December 15, 2019, with early adoption permitted. The Company adopted this guidance in the first quarter of fiscal 2020. The ado</w:t>
      </w:r>
      <w:r>
        <w:rPr>
          <w:rFonts w:eastAsia="Times New Roman"/>
          <w:color w:val="000000"/>
          <w:sz w:val="20"/>
          <w:szCs w:val="20"/>
        </w:rPr>
        <w:t>ption of this guidance did not have a material impact on our Condensed Consolidated Financial Statements and related disclosures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In August 2018, the FASB issued ASU 2018-15, “Intangibles – Goodwill and Other – Internal-Use Software (Subtopic 350-40): Cu</w:t>
      </w:r>
      <w:r>
        <w:rPr>
          <w:rFonts w:eastAsia="Times New Roman"/>
          <w:color w:val="000000"/>
          <w:sz w:val="20"/>
          <w:szCs w:val="20"/>
        </w:rPr>
        <w:t>stomer’s Accounting for Implementation Costs Incurred in a Cloud Computing Arrangement That Is a Service Contract.” This update clarifies the accounting treatment for fees paid by a customer in a cloud computing arrangement (hosting arrangement) by providi</w:t>
      </w:r>
      <w:r>
        <w:rPr>
          <w:rFonts w:eastAsia="Times New Roman"/>
          <w:color w:val="000000"/>
          <w:sz w:val="20"/>
          <w:szCs w:val="20"/>
        </w:rPr>
        <w:t>ng guidance for determining when the arrangement includes a software license. This guidance is effective for public business entities for fiscal years, and interim periods within those years, beginning after December 15, 2019, with early adoption permitted</w:t>
      </w:r>
      <w:r>
        <w:rPr>
          <w:rFonts w:eastAsia="Times New Roman"/>
          <w:color w:val="000000"/>
          <w:sz w:val="20"/>
          <w:szCs w:val="20"/>
        </w:rPr>
        <w:t>.  The amendments may be applied either retrospectively or prospectively to all implementation costs incurred after the date of adoption. The Company adopted this guidance on a prospective basis in the first quarter of fiscal 2020. The adoption of this gui</w:t>
      </w:r>
      <w:r>
        <w:rPr>
          <w:rFonts w:eastAsia="Times New Roman"/>
          <w:color w:val="000000"/>
          <w:sz w:val="20"/>
          <w:szCs w:val="20"/>
        </w:rPr>
        <w:t>dance did not have a material impact on our Condensed Consolidated Financial Statements and related disclosures</w:t>
      </w:r>
      <w:r>
        <w:rPr>
          <w:rFonts w:eastAsia="Times New Roman"/>
          <w:color w:val="000000"/>
          <w:sz w:val="20"/>
          <w:szCs w:val="20"/>
        </w:rPr>
        <w:t>.</w:t>
      </w:r>
    </w:p>
    <w:p w:rsidR="00000000" w:rsidRDefault="00480785">
      <w:pPr>
        <w:jc w:val="both"/>
        <w:rPr>
          <w:rFonts w:eastAsia="Times New Roman"/>
        </w:rPr>
      </w:pPr>
    </w:p>
    <w:p w:rsidR="00000000" w:rsidRDefault="00480785">
      <w:pPr>
        <w:jc w:val="center"/>
        <w:divId w:val="1262756687"/>
        <w:rPr>
          <w:rFonts w:eastAsia="Times New Roman"/>
        </w:rPr>
      </w:pPr>
      <w:r>
        <w:rPr>
          <w:rFonts w:eastAsia="Times New Roman"/>
          <w:color w:val="000000"/>
          <w:sz w:val="20"/>
          <w:szCs w:val="20"/>
        </w:rPr>
        <w:t>Page 1</w:t>
      </w:r>
      <w:r>
        <w:rPr>
          <w:rFonts w:eastAsia="Times New Roman"/>
          <w:color w:val="000000"/>
          <w:sz w:val="20"/>
          <w:szCs w:val="20"/>
        </w:rPr>
        <w:t>7</w:t>
      </w:r>
    </w:p>
    <w:p w:rsidR="00000000" w:rsidRDefault="00480785">
      <w:pPr>
        <w:rPr>
          <w:rFonts w:eastAsia="Times New Roman"/>
        </w:rPr>
      </w:pPr>
      <w:r>
        <w:rPr>
          <w:rFonts w:eastAsia="Times New Roman"/>
        </w:rPr>
        <w:pict>
          <v:rect id="_x0000_i1042" style="width:0;height:1.5pt" o:hralign="center" o:hrstd="t" o:hr="t" fillcolor="#a0a0a0" stroked="f"/>
        </w:pict>
      </w:r>
    </w:p>
    <w:p w:rsidR="00000000" w:rsidRDefault="00480785">
      <w:pPr>
        <w:divId w:val="484395977"/>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i/>
          <w:iCs/>
          <w:color w:val="000000"/>
          <w:sz w:val="20"/>
          <w:szCs w:val="20"/>
        </w:rPr>
        <w:t>New Accounting Pronouncements No</w:t>
      </w:r>
      <w:r>
        <w:rPr>
          <w:rFonts w:eastAsia="Times New Roman"/>
          <w:i/>
          <w:iCs/>
          <w:color w:val="000000"/>
          <w:sz w:val="20"/>
          <w:szCs w:val="20"/>
        </w:rPr>
        <w:t>t Yet Adopte</w:t>
      </w:r>
      <w:r>
        <w:rPr>
          <w:rFonts w:eastAsia="Times New Roman"/>
          <w:i/>
          <w:iCs/>
          <w:color w:val="000000"/>
          <w:sz w:val="20"/>
          <w:szCs w:val="20"/>
        </w:rPr>
        <w:t>d</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In March 2020, the FASB issued ASU 2020-04, “</w:t>
      </w:r>
      <w:r>
        <w:rPr>
          <w:rFonts w:eastAsia="Times New Roman"/>
          <w:color w:val="000000"/>
          <w:sz w:val="20"/>
          <w:szCs w:val="20"/>
        </w:rPr>
        <w:t>Reference Rate Reform (Topic 848): Facilitation of the Effects of Reference Rate Reform on Financial Reporting.” This guidance is in response to accounting concerns regarding contract modifications and hedge accounting because of impending rate reform asso</w:t>
      </w:r>
      <w:r>
        <w:rPr>
          <w:rFonts w:eastAsia="Times New Roman"/>
          <w:color w:val="000000"/>
          <w:sz w:val="20"/>
          <w:szCs w:val="20"/>
        </w:rPr>
        <w:t>ciated with structural risks of interbank offered rates (IBORs), and, particularly, the risk of cessation of LIBOR related to regulators in several jurisdictions around the world having undertaken reference rate reform initiatives to identify alternative r</w:t>
      </w:r>
      <w:r>
        <w:rPr>
          <w:rFonts w:eastAsia="Times New Roman"/>
          <w:color w:val="000000"/>
          <w:sz w:val="20"/>
          <w:szCs w:val="20"/>
        </w:rPr>
        <w:t>eference rates. The guidance provides optional expedients and exceptions for applying U.S. GAAP to contracts, hedging relationships, and other transactions affected by reference rate reform if certain criteria are met. The adoption of this guidance is effe</w:t>
      </w:r>
      <w:r>
        <w:rPr>
          <w:rFonts w:eastAsia="Times New Roman"/>
          <w:color w:val="000000"/>
          <w:sz w:val="20"/>
          <w:szCs w:val="20"/>
        </w:rPr>
        <w:t>ctive for all entities as of March 12, 2020 through December 31, 2022. The Company does not expect the adoption of this guidance to have a material impact on its Condensed Consolidated Financial Statements and related disclosures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p>
    <w:p w:rsidR="00000000" w:rsidRDefault="00480785">
      <w:pPr>
        <w:jc w:val="center"/>
        <w:divId w:val="2086145389"/>
        <w:rPr>
          <w:rFonts w:eastAsia="Times New Roman"/>
        </w:rPr>
      </w:pPr>
      <w:r>
        <w:rPr>
          <w:rFonts w:eastAsia="Times New Roman"/>
          <w:color w:val="000000"/>
          <w:sz w:val="20"/>
          <w:szCs w:val="20"/>
        </w:rPr>
        <w:t>Page 1</w:t>
      </w:r>
      <w:r>
        <w:rPr>
          <w:rFonts w:eastAsia="Times New Roman"/>
          <w:color w:val="000000"/>
          <w:sz w:val="20"/>
          <w:szCs w:val="20"/>
        </w:rPr>
        <w:t>8</w:t>
      </w:r>
    </w:p>
    <w:p w:rsidR="00000000" w:rsidRDefault="00480785">
      <w:pPr>
        <w:rPr>
          <w:rFonts w:eastAsia="Times New Roman"/>
        </w:rPr>
      </w:pPr>
      <w:r>
        <w:rPr>
          <w:rFonts w:eastAsia="Times New Roman"/>
        </w:rPr>
        <w:pict>
          <v:rect id="_x0000_i1043" style="width:0;height:1.5pt" o:hralign="center" o:hrstd="t" o:hr="t" fillcolor="#a0a0a0" stroked="f"/>
        </w:pict>
      </w:r>
    </w:p>
    <w:p w:rsidR="00000000" w:rsidRDefault="00480785">
      <w:pPr>
        <w:divId w:val="2116243093"/>
        <w:rPr>
          <w:rFonts w:eastAsia="Times New Roman"/>
        </w:rPr>
      </w:pPr>
      <w:hyperlink w:anchor="i28e74bea7b4a44c78304596dc3e51779_7" w:history="1">
        <w:r>
          <w:rPr>
            <w:rStyle w:val="a3"/>
            <w:rFonts w:eastAsia="Times New Roman"/>
            <w:sz w:val="16"/>
            <w:szCs w:val="16"/>
          </w:rPr>
          <w:t>Index</w:t>
        </w:r>
      </w:hyperlink>
    </w:p>
    <w:p w:rsidR="00000000" w:rsidRDefault="00480785">
      <w:pPr>
        <w:divId w:val="1747919947"/>
        <w:rPr>
          <w:rFonts w:eastAsia="Times New Roman"/>
        </w:rPr>
      </w:pPr>
      <w:r>
        <w:rPr>
          <w:rFonts w:eastAsia="Times New Roman"/>
          <w:b/>
          <w:bCs/>
          <w:color w:val="000000"/>
          <w:sz w:val="20"/>
          <w:szCs w:val="20"/>
          <w:u w:val="single"/>
        </w:rPr>
        <w:t>Item 2.  Management’s Discussion and Analysis of Financial Condition and Results of Operation</w:t>
      </w:r>
      <w:r>
        <w:rPr>
          <w:rFonts w:eastAsia="Times New Roman"/>
          <w:b/>
          <w:bCs/>
          <w:color w:val="000000"/>
          <w:sz w:val="20"/>
          <w:szCs w:val="20"/>
          <w:u w:val="single"/>
        </w:rPr>
        <w:t>s</w:t>
      </w:r>
    </w:p>
    <w:p w:rsidR="00000000" w:rsidRDefault="00480785">
      <w:pPr>
        <w:divId w:val="1790203642"/>
        <w:rPr>
          <w:rFonts w:eastAsia="Times New Roman"/>
        </w:rPr>
      </w:pPr>
    </w:p>
    <w:p w:rsidR="00000000" w:rsidRDefault="00480785">
      <w:pPr>
        <w:jc w:val="both"/>
        <w:rPr>
          <w:rFonts w:eastAsia="Times New Roman"/>
        </w:rPr>
      </w:pPr>
      <w:r>
        <w:rPr>
          <w:rFonts w:eastAsia="Times New Roman"/>
          <w:b/>
          <w:bCs/>
          <w:color w:val="000000"/>
          <w:sz w:val="20"/>
          <w:szCs w:val="20"/>
        </w:rPr>
        <w:t>Genera</w:t>
      </w:r>
      <w:r>
        <w:rPr>
          <w:rFonts w:eastAsia="Times New Roman"/>
          <w:b/>
          <w:bCs/>
          <w:color w:val="000000"/>
          <w:sz w:val="20"/>
          <w:szCs w:val="20"/>
        </w:rPr>
        <w:t>l</w:t>
      </w:r>
    </w:p>
    <w:p w:rsidR="00000000" w:rsidRDefault="00480785">
      <w:pPr>
        <w:divId w:val="1607343509"/>
        <w:rPr>
          <w:rFonts w:eastAsia="Times New Roman"/>
        </w:rPr>
      </w:pPr>
    </w:p>
    <w:p w:rsidR="00000000" w:rsidRDefault="00480785">
      <w:pPr>
        <w:jc w:val="both"/>
        <w:rPr>
          <w:rFonts w:eastAsia="Times New Roman"/>
        </w:rPr>
      </w:pPr>
      <w:r>
        <w:rPr>
          <w:rFonts w:eastAsia="Times New Roman"/>
          <w:color w:val="000000"/>
          <w:sz w:val="20"/>
          <w:szCs w:val="20"/>
        </w:rPr>
        <w:t>The following discussion and analysis should be read in conju</w:t>
      </w:r>
      <w:r>
        <w:rPr>
          <w:rFonts w:eastAsia="Times New Roman"/>
          <w:color w:val="000000"/>
          <w:sz w:val="20"/>
          <w:szCs w:val="20"/>
        </w:rPr>
        <w:t>nction with our Annual Report on Form 10-K for the fiscal year ended December 28, 2019 (the "2019 10-K"). This Quarterly Report on Form 10-Q also contains forward-looking statements and information. The forward-looking statements included herein are made p</w:t>
      </w:r>
      <w:r>
        <w:rPr>
          <w:rFonts w:eastAsia="Times New Roman"/>
          <w:color w:val="000000"/>
          <w:sz w:val="20"/>
          <w:szCs w:val="20"/>
        </w:rPr>
        <w:t>ursuant to the safe harbor provisions of the Private Securities Litigation Reform Act of 1995 (the “Act”).  All statements, other than statements of historical facts, which address activities, events, or developments that we expect or anticipate will or ma</w:t>
      </w:r>
      <w:r>
        <w:rPr>
          <w:rFonts w:eastAsia="Times New Roman"/>
          <w:color w:val="000000"/>
          <w:sz w:val="20"/>
          <w:szCs w:val="20"/>
        </w:rPr>
        <w:t>y occur in the future, including sales and earnings growth, estimated results of operations in future periods, the declaration and payment of dividends, future capital expenditures (including their amount and nature), business strategy, expansion and growt</w:t>
      </w:r>
      <w:r>
        <w:rPr>
          <w:rFonts w:eastAsia="Times New Roman"/>
          <w:color w:val="000000"/>
          <w:sz w:val="20"/>
          <w:szCs w:val="20"/>
        </w:rPr>
        <w:t>h of our business operations, and other such matters are forward-looking statements.  These forward-looking statements may be affected by certain risks and uncertainties, any one, or a combination of which, could materially affect the results of our operat</w:t>
      </w:r>
      <w:r>
        <w:rPr>
          <w:rFonts w:eastAsia="Times New Roman"/>
          <w:color w:val="000000"/>
          <w:sz w:val="20"/>
          <w:szCs w:val="20"/>
        </w:rPr>
        <w:t>ions. To take advantage of the safe harbor provided by the Act, we are identifying certain factors that could cause actual results to differ materially from those expressed in any forward-looking statements, whether oral or written</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As with any business,</w:t>
      </w:r>
      <w:r>
        <w:rPr>
          <w:rFonts w:eastAsia="Times New Roman"/>
          <w:color w:val="000000"/>
          <w:sz w:val="20"/>
          <w:szCs w:val="20"/>
        </w:rPr>
        <w:t xml:space="preserve"> many aspects of our operations are subject to influences outside our control. These factors include, without limitation, national, regional, and local economic conditions affecting consumer spending, including the effects of the COVID-19 pandemic, the tim</w:t>
      </w:r>
      <w:r>
        <w:rPr>
          <w:rFonts w:eastAsia="Times New Roman"/>
          <w:color w:val="000000"/>
          <w:sz w:val="20"/>
          <w:szCs w:val="20"/>
        </w:rPr>
        <w:t>ing and acceptance of new products, the timing and mix of goods sold, purchase price volatility (including inflationary and deflationary pressures), the ability to increase sales at existing stores, the ability to manage growth and identify suitable locati</w:t>
      </w:r>
      <w:r>
        <w:rPr>
          <w:rFonts w:eastAsia="Times New Roman"/>
          <w:color w:val="000000"/>
          <w:sz w:val="20"/>
          <w:szCs w:val="20"/>
        </w:rPr>
        <w:t>ons, failure of an acquisition to produce anticipated results, the ability to successfully manage expenses (including increased expenses as a result of operating as an essential retailer during the COVID-19 pandemic) and execute our key gross margin enhanc</w:t>
      </w:r>
      <w:r>
        <w:rPr>
          <w:rFonts w:eastAsia="Times New Roman"/>
          <w:color w:val="000000"/>
          <w:sz w:val="20"/>
          <w:szCs w:val="20"/>
        </w:rPr>
        <w:t>ing initiatives, the availability of favorable credit sources, capital market conditions in general, the ability to open new stores in the time, manner and number currently contemplated, particularly in light of the COVID-19 pandemic, the impact of new sto</w:t>
      </w:r>
      <w:r>
        <w:rPr>
          <w:rFonts w:eastAsia="Times New Roman"/>
          <w:color w:val="000000"/>
          <w:sz w:val="20"/>
          <w:szCs w:val="20"/>
        </w:rPr>
        <w:t>res on our business, competition, including that from online competitors, weather conditions, the seasonal nature of our business, effective merchandising initiatives and marketing emphasis, the ability to retain vendors, reliance on foreign suppliers, the</w:t>
      </w:r>
      <w:r>
        <w:rPr>
          <w:rFonts w:eastAsia="Times New Roman"/>
          <w:color w:val="000000"/>
          <w:sz w:val="20"/>
          <w:szCs w:val="20"/>
        </w:rPr>
        <w:t xml:space="preserve"> ability to attract, train, and retain qualified employees, product liability and other claims, changes in federal, state, or local regulations, the effects that “shelter in place” and similar federal, state, and local regulations and protocols could have </w:t>
      </w:r>
      <w:r>
        <w:rPr>
          <w:rFonts w:eastAsia="Times New Roman"/>
          <w:color w:val="000000"/>
          <w:sz w:val="20"/>
          <w:szCs w:val="20"/>
        </w:rPr>
        <w:t xml:space="preserve">on our business, including our supply chain and employees, the imposition of tariffs on imported products or the disallowance of tax deductions on imported products, potential judgments, fines, legal fees, and other costs, breach of information systems or </w:t>
      </w:r>
      <w:r>
        <w:rPr>
          <w:rFonts w:eastAsia="Times New Roman"/>
          <w:color w:val="000000"/>
          <w:sz w:val="20"/>
          <w:szCs w:val="20"/>
        </w:rPr>
        <w:t>theft of employee or customer data, ongoing and potential future legal or regulatory proceedings, management of our information systems, failure to develop and implement new technologies, the failure of customer-facing technology systems, business disrupti</w:t>
      </w:r>
      <w:r>
        <w:rPr>
          <w:rFonts w:eastAsia="Times New Roman"/>
          <w:color w:val="000000"/>
          <w:sz w:val="20"/>
          <w:szCs w:val="20"/>
        </w:rPr>
        <w:t>on including from the implementation of supply chain technologies, effective tax rate changes and results of examination by taxing authorities, the ability to maintain an effective system of internal control over financial reporting, and changes in account</w:t>
      </w:r>
      <w:r>
        <w:rPr>
          <w:rFonts w:eastAsia="Times New Roman"/>
          <w:color w:val="000000"/>
          <w:sz w:val="20"/>
          <w:szCs w:val="20"/>
        </w:rPr>
        <w:t xml:space="preserve">ing standards, assumptions, and estimates. We discuss in greater detail risk factors relating to our business in Item 1A of our 2019 10-K and in Part II, Item 1A of this Quarterly Report on Form 10-Q.  Forward-looking statements are based on our knowledge </w:t>
      </w:r>
      <w:r>
        <w:rPr>
          <w:rFonts w:eastAsia="Times New Roman"/>
          <w:color w:val="000000"/>
          <w:sz w:val="20"/>
          <w:szCs w:val="20"/>
        </w:rPr>
        <w:t>of our business and the environment in which we operate, but because of the factors listed above or other factors, actual results could differ materially from those reflected by any forward-looking statements. Consequently, all of the forward-looking state</w:t>
      </w:r>
      <w:r>
        <w:rPr>
          <w:rFonts w:eastAsia="Times New Roman"/>
          <w:color w:val="000000"/>
          <w:sz w:val="20"/>
          <w:szCs w:val="20"/>
        </w:rPr>
        <w:t>ments made are qualified by these cautionary statements and there can be no assurance that the actual results or developments anticipated will be realized or, even if substantially realized, that they will have the expected consequences to or effects on ou</w:t>
      </w:r>
      <w:r>
        <w:rPr>
          <w:rFonts w:eastAsia="Times New Roman"/>
          <w:color w:val="000000"/>
          <w:sz w:val="20"/>
          <w:szCs w:val="20"/>
        </w:rPr>
        <w:t>r business and operations. Readers are cautioned not to place undue reliance on these forward-looking statements, which speak only as of the date hereof.  We undertake no obligation to release publicly any revisions to these forward-looking statements to r</w:t>
      </w:r>
      <w:r>
        <w:rPr>
          <w:rFonts w:eastAsia="Times New Roman"/>
          <w:color w:val="000000"/>
          <w:sz w:val="20"/>
          <w:szCs w:val="20"/>
        </w:rPr>
        <w:t>eflect events or circumstances after the date hereof or to reflect the occurrence of unanticipated events</w:t>
      </w:r>
      <w:r>
        <w:rPr>
          <w:rFonts w:eastAsia="Times New Roman"/>
          <w:color w:val="000000"/>
          <w:sz w:val="20"/>
          <w:szCs w:val="20"/>
        </w:rPr>
        <w:t>.</w:t>
      </w:r>
    </w:p>
    <w:p w:rsidR="00000000" w:rsidRDefault="00480785">
      <w:pPr>
        <w:jc w:val="both"/>
        <w:rPr>
          <w:rFonts w:eastAsia="Times New Roman"/>
        </w:rPr>
      </w:pPr>
    </w:p>
    <w:p w:rsidR="00000000" w:rsidRDefault="00480785">
      <w:pPr>
        <w:divId w:val="2052881372"/>
        <w:rPr>
          <w:rFonts w:eastAsia="Times New Roman"/>
        </w:rPr>
      </w:pPr>
      <w:r>
        <w:rPr>
          <w:rFonts w:eastAsia="Times New Roman"/>
          <w:b/>
          <w:bCs/>
          <w:color w:val="000000"/>
          <w:sz w:val="20"/>
          <w:szCs w:val="20"/>
        </w:rPr>
        <w:t>Information Regarding COVID-19 Coronavirus Pandemi</w:t>
      </w:r>
      <w:r>
        <w:rPr>
          <w:rFonts w:eastAsia="Times New Roman"/>
          <w:b/>
          <w:bCs/>
          <w:color w:val="000000"/>
          <w:sz w:val="20"/>
          <w:szCs w:val="20"/>
        </w:rPr>
        <w:t>c</w:t>
      </w:r>
    </w:p>
    <w:p w:rsidR="00000000" w:rsidRDefault="00480785">
      <w:pPr>
        <w:divId w:val="1355032013"/>
        <w:rPr>
          <w:rFonts w:eastAsia="Times New Roman"/>
        </w:rPr>
      </w:pPr>
    </w:p>
    <w:p w:rsidR="00000000" w:rsidRDefault="00480785">
      <w:pPr>
        <w:jc w:val="both"/>
        <w:rPr>
          <w:rFonts w:eastAsia="Times New Roman"/>
        </w:rPr>
      </w:pPr>
      <w:r>
        <w:rPr>
          <w:rFonts w:eastAsia="Times New Roman"/>
          <w:color w:val="000000"/>
          <w:sz w:val="20"/>
          <w:szCs w:val="20"/>
        </w:rPr>
        <w:t>The Company has been and continues to closely monitor the impact of the COVID-19 pandemic on all facets of our business. This includes the impact on our team members, customers, suppliers, vendors, business partners, and supply chain networks.</w:t>
      </w:r>
      <w:r>
        <w:rPr>
          <w:rFonts w:eastAsia="Times New Roman"/>
          <w:color w:val="000000"/>
          <w:sz w:val="20"/>
          <w:szCs w:val="20"/>
        </w:rPr>
        <w:t xml:space="preserve"> </w:t>
      </w:r>
    </w:p>
    <w:p w:rsidR="00000000" w:rsidRDefault="00480785">
      <w:pPr>
        <w:divId w:val="846866546"/>
        <w:rPr>
          <w:rFonts w:eastAsia="Times New Roman"/>
        </w:rPr>
      </w:pPr>
    </w:p>
    <w:p w:rsidR="00000000" w:rsidRDefault="00480785">
      <w:pPr>
        <w:jc w:val="both"/>
        <w:rPr>
          <w:rFonts w:eastAsia="Times New Roman"/>
        </w:rPr>
      </w:pPr>
      <w:r>
        <w:rPr>
          <w:rFonts w:eastAsia="Times New Roman"/>
          <w:color w:val="000000"/>
          <w:sz w:val="20"/>
          <w:szCs w:val="20"/>
        </w:rPr>
        <w:t>The healt</w:t>
      </w:r>
      <w:r>
        <w:rPr>
          <w:rFonts w:eastAsia="Times New Roman"/>
          <w:color w:val="000000"/>
          <w:sz w:val="20"/>
          <w:szCs w:val="20"/>
        </w:rPr>
        <w:t>h and safety of our team members and customers are the primary concerns of our management team. We have taken and continue to take numerous actions to promote health and safety, including, rapidly providing personal protective equipment to our team members</w:t>
      </w:r>
      <w:r>
        <w:rPr>
          <w:rFonts w:eastAsia="Times New Roman"/>
          <w:color w:val="000000"/>
          <w:sz w:val="20"/>
          <w:szCs w:val="20"/>
        </w:rPr>
        <w:t>, requiring the use of masks in our facilities, rolling out additional functionality to support contactless shopping experiences, adding services for cleaning and sanitation in our stores and distribution centers, hiring additional team members to assist i</w:t>
      </w:r>
      <w:r>
        <w:rPr>
          <w:rFonts w:eastAsia="Times New Roman"/>
          <w:color w:val="000000"/>
          <w:sz w:val="20"/>
          <w:szCs w:val="20"/>
        </w:rPr>
        <w:t>n promoting social distancing and cleaning actions in our stores, and implementing remote work plans at our store support center.</w:t>
      </w:r>
      <w:r>
        <w:rPr>
          <w:rFonts w:eastAsia="Times New Roman"/>
          <w:color w:val="000000"/>
          <w:sz w:val="20"/>
          <w:szCs w:val="20"/>
        </w:rPr>
        <w:t xml:space="preserve"> </w:t>
      </w:r>
    </w:p>
    <w:p w:rsidR="00000000" w:rsidRDefault="00480785">
      <w:pPr>
        <w:divId w:val="1023289508"/>
        <w:rPr>
          <w:rFonts w:eastAsia="Times New Roman"/>
        </w:rPr>
      </w:pPr>
    </w:p>
    <w:p w:rsidR="00000000" w:rsidRDefault="00480785">
      <w:pPr>
        <w:jc w:val="both"/>
        <w:rPr>
          <w:rFonts w:eastAsia="Times New Roman"/>
        </w:rPr>
      </w:pPr>
      <w:r>
        <w:rPr>
          <w:rFonts w:eastAsia="Times New Roman"/>
          <w:color w:val="000000"/>
          <w:sz w:val="20"/>
          <w:szCs w:val="20"/>
        </w:rPr>
        <w:t>Additionally, we have taken significant actions to support our team members during this pandemic including COVID-19 paid me</w:t>
      </w:r>
      <w:r>
        <w:rPr>
          <w:rFonts w:eastAsia="Times New Roman"/>
          <w:color w:val="000000"/>
          <w:sz w:val="20"/>
          <w:szCs w:val="20"/>
        </w:rPr>
        <w:t>dical leave, 100% coverage of COVID-19 testing and treatment under our medical plan, and the payment of incremental</w:t>
      </w:r>
      <w:r>
        <w:rPr>
          <w:rFonts w:eastAsia="Times New Roman"/>
          <w:color w:val="000000"/>
          <w:sz w:val="20"/>
          <w:szCs w:val="20"/>
        </w:rPr>
        <w:t xml:space="preserve"> </w:t>
      </w:r>
    </w:p>
    <w:p w:rsidR="00000000" w:rsidRDefault="00480785">
      <w:pPr>
        <w:jc w:val="center"/>
        <w:divId w:val="492140138"/>
        <w:rPr>
          <w:rFonts w:eastAsia="Times New Roman"/>
        </w:rPr>
      </w:pPr>
      <w:r>
        <w:rPr>
          <w:rFonts w:eastAsia="Times New Roman"/>
          <w:color w:val="000000"/>
          <w:sz w:val="20"/>
          <w:szCs w:val="20"/>
        </w:rPr>
        <w:t>Page 1</w:t>
      </w:r>
      <w:r>
        <w:rPr>
          <w:rFonts w:eastAsia="Times New Roman"/>
          <w:color w:val="000000"/>
          <w:sz w:val="20"/>
          <w:szCs w:val="20"/>
        </w:rPr>
        <w:t>9</w:t>
      </w:r>
    </w:p>
    <w:p w:rsidR="00000000" w:rsidRDefault="00480785">
      <w:pPr>
        <w:rPr>
          <w:rFonts w:eastAsia="Times New Roman"/>
        </w:rPr>
      </w:pPr>
      <w:r>
        <w:rPr>
          <w:rFonts w:eastAsia="Times New Roman"/>
        </w:rPr>
        <w:pict>
          <v:rect id="_x0000_i1044" style="width:0;height:1.5pt" o:hralign="center" o:hrstd="t" o:hr="t" fillcolor="#a0a0a0" stroked="f"/>
        </w:pict>
      </w:r>
    </w:p>
    <w:p w:rsidR="00000000" w:rsidRDefault="00480785">
      <w:pPr>
        <w:divId w:val="1112476880"/>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appreciation bonuses for front</w:t>
      </w:r>
      <w:r>
        <w:rPr>
          <w:rFonts w:eastAsia="Times New Roman"/>
          <w:color w:val="000000"/>
          <w:sz w:val="20"/>
          <w:szCs w:val="20"/>
        </w:rPr>
        <w:t>line team members of approximately $35 million from March 16 to June 27. Effective June 28 we have implemented permanent wage increases for all of our hourly team members in our stores and distribution centers of a minimum of $1 per hour and are now provid</w:t>
      </w:r>
      <w:r>
        <w:rPr>
          <w:rFonts w:eastAsia="Times New Roman"/>
          <w:color w:val="000000"/>
          <w:sz w:val="20"/>
          <w:szCs w:val="20"/>
        </w:rPr>
        <w:t xml:space="preserve">ing a new benefit package for part-time team members, including medical, vision and dental coverage, paid sick time and life insurance. Further, we have also implemented annual restricted stock unit grants to more than 2,000 frontline salaried managers in </w:t>
      </w:r>
      <w:r>
        <w:rPr>
          <w:rFonts w:eastAsia="Times New Roman"/>
          <w:color w:val="000000"/>
          <w:sz w:val="20"/>
          <w:szCs w:val="20"/>
        </w:rPr>
        <w:t>our stores and distribution centers. These actions, among others, are intended to support our team members both during and after the COVID-19 pandemic.</w:t>
      </w:r>
      <w:r>
        <w:rPr>
          <w:rFonts w:eastAsia="Times New Roman"/>
          <w:color w:val="000000"/>
          <w:sz w:val="20"/>
          <w:szCs w:val="20"/>
        </w:rPr>
        <w:t xml:space="preserve"> </w:t>
      </w:r>
    </w:p>
    <w:p w:rsidR="00000000" w:rsidRDefault="00480785">
      <w:pPr>
        <w:divId w:val="1271283150"/>
        <w:rPr>
          <w:rFonts w:eastAsia="Times New Roman"/>
        </w:rPr>
      </w:pPr>
    </w:p>
    <w:p w:rsidR="00000000" w:rsidRDefault="00480785">
      <w:pPr>
        <w:jc w:val="both"/>
        <w:rPr>
          <w:rFonts w:eastAsia="Times New Roman"/>
        </w:rPr>
      </w:pPr>
      <w:r>
        <w:rPr>
          <w:rFonts w:eastAsia="Times New Roman"/>
          <w:color w:val="000000"/>
          <w:sz w:val="20"/>
          <w:szCs w:val="20"/>
        </w:rPr>
        <w:t>As further described in the results of operations for the three and nine fiscal months ended Septembe</w:t>
      </w:r>
      <w:r>
        <w:rPr>
          <w:rFonts w:eastAsia="Times New Roman"/>
          <w:color w:val="000000"/>
          <w:sz w:val="20"/>
          <w:szCs w:val="20"/>
        </w:rPr>
        <w:t>r 26, 2020, our net sales have significantly increased due to unprecedented customer demand across all major product categories, channels, and geographic regions. However, the net incremental costs of doing business during this crisis have increased as a r</w:t>
      </w:r>
      <w:r>
        <w:rPr>
          <w:rFonts w:eastAsia="Times New Roman"/>
          <w:color w:val="000000"/>
          <w:sz w:val="20"/>
          <w:szCs w:val="20"/>
        </w:rPr>
        <w:t>esult of the aforementioned actions we have taken to support and ensure the safety and well-being of our team members and customers, and we believe these incremental costs will continue after the pandemic is over.</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On October 22, 2020 we provided financi</w:t>
      </w:r>
      <w:r>
        <w:rPr>
          <w:rFonts w:eastAsia="Times New Roman"/>
          <w:color w:val="000000"/>
          <w:sz w:val="20"/>
          <w:szCs w:val="20"/>
        </w:rPr>
        <w:t xml:space="preserve">al guidance for the results of operations expected for the fourth fiscal quarter ending December 26, 2020 which reflected a continuation of the strong consumer demand for our products, albeit to a lesser extent than experienced during our second and third </w:t>
      </w:r>
      <w:r>
        <w:rPr>
          <w:rFonts w:eastAsia="Times New Roman"/>
          <w:color w:val="000000"/>
          <w:sz w:val="20"/>
          <w:szCs w:val="20"/>
        </w:rPr>
        <w:t>fiscal quarters. Additionally, we anticipate incurring incremental costs to respond to the COVID-19 pandemic, as well as costs associated with the previously announced permanent increase in compensation and benefits for our frontline team members, and incr</w:t>
      </w:r>
      <w:r>
        <w:rPr>
          <w:rFonts w:eastAsia="Times New Roman"/>
          <w:color w:val="000000"/>
          <w:sz w:val="20"/>
          <w:szCs w:val="20"/>
        </w:rPr>
        <w:t>emental costs for strategic investments in our business.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However, there are numerous uncertainties surrounding the pandemic and its impact on the economy and our business, as further described in the Risk Factors section of our 2019 10-K (as updated in </w:t>
      </w:r>
      <w:r>
        <w:rPr>
          <w:rFonts w:eastAsia="Times New Roman"/>
          <w:color w:val="000000"/>
          <w:sz w:val="20"/>
          <w:szCs w:val="20"/>
        </w:rPr>
        <w:t>Part II, Item 1A of this Quarterly Report on Form 10-Q), which make it difficult to predict the impact on our business, financial position, or results of operations for the remainder of fiscal 2020 and beyond. While our stores, distribution centers, and e-</w:t>
      </w:r>
      <w:r>
        <w:rPr>
          <w:rFonts w:eastAsia="Times New Roman"/>
          <w:color w:val="000000"/>
          <w:sz w:val="20"/>
          <w:szCs w:val="20"/>
        </w:rPr>
        <w:t>commerce operations are open and plan to remain open, we cannot predict the uncertainties, or the corresponding impacts on our business, at this time.</w:t>
      </w:r>
      <w:r>
        <w:rPr>
          <w:rFonts w:eastAsia="Times New Roman"/>
          <w:color w:val="000000"/>
          <w:sz w:val="20"/>
          <w:szCs w:val="20"/>
        </w:rPr>
        <w:t xml:space="preserve"> </w:t>
      </w:r>
    </w:p>
    <w:p w:rsidR="00000000" w:rsidRDefault="00480785">
      <w:pPr>
        <w:divId w:val="759911825"/>
        <w:rPr>
          <w:rFonts w:eastAsia="Times New Roman"/>
        </w:rPr>
      </w:pPr>
    </w:p>
    <w:p w:rsidR="00000000" w:rsidRDefault="00480785">
      <w:pPr>
        <w:jc w:val="both"/>
        <w:rPr>
          <w:rFonts w:eastAsia="Times New Roman"/>
        </w:rPr>
      </w:pPr>
      <w:r>
        <w:rPr>
          <w:rFonts w:eastAsia="Times New Roman"/>
          <w:color w:val="000000"/>
          <w:sz w:val="20"/>
          <w:szCs w:val="20"/>
        </w:rPr>
        <w:t>Therefore, as previously disclosed, in an effort to strengthen our liquidity and preserve cash while n</w:t>
      </w:r>
      <w:r>
        <w:rPr>
          <w:rFonts w:eastAsia="Times New Roman"/>
          <w:color w:val="000000"/>
          <w:sz w:val="20"/>
          <w:szCs w:val="20"/>
        </w:rPr>
        <w:t>avigating the COVID-19 pandemic, we suspended our share repurchase program effective March 12, 2020 and increased borrowings under our debt facilities as described in Note 5 to the Condensed Consolidated Financial Statements.</w:t>
      </w:r>
      <w:r>
        <w:rPr>
          <w:rFonts w:eastAsia="Times New Roman"/>
          <w:color w:val="000000"/>
          <w:sz w:val="20"/>
          <w:szCs w:val="20"/>
        </w:rPr>
        <w:t xml:space="preserve"> </w:t>
      </w:r>
    </w:p>
    <w:p w:rsidR="00000000" w:rsidRDefault="00480785">
      <w:pPr>
        <w:divId w:val="1274946913"/>
        <w:rPr>
          <w:rFonts w:eastAsia="Times New Roman"/>
        </w:rPr>
      </w:pPr>
    </w:p>
    <w:p w:rsidR="00000000" w:rsidRDefault="00480785">
      <w:pPr>
        <w:jc w:val="both"/>
        <w:rPr>
          <w:rFonts w:eastAsia="Times New Roman"/>
        </w:rPr>
      </w:pPr>
      <w:r>
        <w:rPr>
          <w:rFonts w:eastAsia="Times New Roman"/>
          <w:b/>
          <w:bCs/>
          <w:color w:val="000000"/>
          <w:sz w:val="20"/>
          <w:szCs w:val="20"/>
        </w:rPr>
        <w:t>Seasonality and Weathe</w:t>
      </w:r>
      <w:r>
        <w:rPr>
          <w:rFonts w:eastAsia="Times New Roman"/>
          <w:b/>
          <w:bCs/>
          <w:color w:val="000000"/>
          <w:sz w:val="20"/>
          <w:szCs w:val="20"/>
        </w:rPr>
        <w:t>r</w:t>
      </w:r>
    </w:p>
    <w:p w:rsidR="00000000" w:rsidRDefault="00480785">
      <w:pPr>
        <w:divId w:val="365178422"/>
        <w:rPr>
          <w:rFonts w:eastAsia="Times New Roman"/>
        </w:rPr>
      </w:pPr>
    </w:p>
    <w:p w:rsidR="00000000" w:rsidRDefault="00480785">
      <w:pPr>
        <w:jc w:val="both"/>
        <w:rPr>
          <w:rFonts w:eastAsia="Times New Roman"/>
        </w:rPr>
      </w:pPr>
      <w:r>
        <w:rPr>
          <w:rFonts w:eastAsia="Times New Roman"/>
          <w:color w:val="000000"/>
          <w:sz w:val="20"/>
          <w:szCs w:val="20"/>
        </w:rPr>
        <w:t>O</w:t>
      </w:r>
      <w:r>
        <w:rPr>
          <w:rFonts w:eastAsia="Times New Roman"/>
          <w:color w:val="000000"/>
          <w:sz w:val="20"/>
          <w:szCs w:val="20"/>
        </w:rPr>
        <w:t>ur business is seasonal.  Historically, our sales and profits are the highest in the second and fourth fiscal quarters due to the sale of seasonal products. We usually experience our highest inventory and accounts payable balances during our first fiscal q</w:t>
      </w:r>
      <w:r>
        <w:rPr>
          <w:rFonts w:eastAsia="Times New Roman"/>
          <w:color w:val="000000"/>
          <w:sz w:val="20"/>
          <w:szCs w:val="20"/>
        </w:rPr>
        <w:t xml:space="preserve">uarter for purchases of seasonal products to support the higher sales volume of the spring selling season, and again during our third fiscal quarter to support the higher sales volume of the cold-weather selling season. We believe that our business can be </w:t>
      </w:r>
      <w:r>
        <w:rPr>
          <w:rFonts w:eastAsia="Times New Roman"/>
          <w:color w:val="000000"/>
          <w:sz w:val="20"/>
          <w:szCs w:val="20"/>
        </w:rPr>
        <w:t>more accurately assessed by focusing on the performance of the halves, not the quarters, due to the fact that different weather patterns from year-to-year can shift the timing of sales and profits between quarters, particularly between the first and second</w:t>
      </w:r>
      <w:r>
        <w:rPr>
          <w:rFonts w:eastAsia="Times New Roman"/>
          <w:color w:val="000000"/>
          <w:sz w:val="20"/>
          <w:szCs w:val="20"/>
        </w:rPr>
        <w:t xml:space="preserve"> fiscal quarters and the third and fourth fiscal quarters.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Historically, weather conditions, including unseasonably warm weather in the fall and winter months and unseasonably cool weather in the spring and summer months, have unfavorably affected the t</w:t>
      </w:r>
      <w:r>
        <w:rPr>
          <w:rFonts w:eastAsia="Times New Roman"/>
          <w:color w:val="000000"/>
          <w:sz w:val="20"/>
          <w:szCs w:val="20"/>
        </w:rPr>
        <w:t>iming and volume of our sales and results of operations. In addition, extreme weather conditions, including snow and ice storms, flood and wind damage, hurricanes, tornadoes, extreme rain, and droughts have impacted operating results both negatively and po</w:t>
      </w:r>
      <w:r>
        <w:rPr>
          <w:rFonts w:eastAsia="Times New Roman"/>
          <w:color w:val="000000"/>
          <w:sz w:val="20"/>
          <w:szCs w:val="20"/>
        </w:rPr>
        <w:t>sitively, depending on the severity and length of these conditions. Our strategy is to manage product flow and adjust merchandise assortments and depth of inventory to capitalize on seasonal demand trends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Furthermore, we are not able to predict at this </w:t>
      </w:r>
      <w:r>
        <w:rPr>
          <w:rFonts w:eastAsia="Times New Roman"/>
          <w:color w:val="000000"/>
          <w:sz w:val="20"/>
          <w:szCs w:val="20"/>
        </w:rPr>
        <w:t>time the impact that the COVID-19 pandemic may have on the seasonality of our business in the future</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b/>
          <w:bCs/>
          <w:color w:val="000000"/>
          <w:sz w:val="20"/>
          <w:szCs w:val="20"/>
        </w:rPr>
        <w:t>Comparable Store Metric</w:t>
      </w:r>
      <w:r>
        <w:rPr>
          <w:rFonts w:eastAsia="Times New Roman"/>
          <w:b/>
          <w:bCs/>
          <w:color w:val="000000"/>
          <w:sz w:val="20"/>
          <w:szCs w:val="20"/>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Comparable store metrics are a key performance indicator used in the retail industry to measure the performance of the underlying business. Our comparable store metrics are calculated on an annual basis using sales generated from all stores open at least o</w:t>
      </w:r>
      <w:r>
        <w:rPr>
          <w:rFonts w:eastAsia="Times New Roman"/>
          <w:color w:val="000000"/>
          <w:sz w:val="20"/>
          <w:szCs w:val="20"/>
        </w:rPr>
        <w:t>ne year and all online sales and exclude certain adjustments to net sales. Stores closed during either of the years being compared are removed from our comparable store metrics calculations. Stores relocated during either of the years being compared are no</w:t>
      </w:r>
      <w:r>
        <w:rPr>
          <w:rFonts w:eastAsia="Times New Roman"/>
          <w:color w:val="000000"/>
          <w:sz w:val="20"/>
          <w:szCs w:val="20"/>
        </w:rPr>
        <w:t>t removed from our comparable store metrics calculations. If the effect of relocated stores on our comparable store metrics calculations became material, we would remove relocated stores from the calculations</w:t>
      </w:r>
      <w:r>
        <w:rPr>
          <w:rFonts w:eastAsia="Times New Roman"/>
          <w:color w:val="000000"/>
          <w:sz w:val="20"/>
          <w:szCs w:val="20"/>
        </w:rPr>
        <w:t>.</w:t>
      </w:r>
    </w:p>
    <w:p w:rsidR="00000000" w:rsidRDefault="00480785">
      <w:pPr>
        <w:jc w:val="both"/>
        <w:rPr>
          <w:rFonts w:eastAsia="Times New Roman"/>
        </w:rPr>
      </w:pPr>
    </w:p>
    <w:p w:rsidR="00000000" w:rsidRDefault="00480785">
      <w:pPr>
        <w:jc w:val="center"/>
        <w:divId w:val="1957785156"/>
        <w:rPr>
          <w:rFonts w:eastAsia="Times New Roman"/>
        </w:rPr>
      </w:pPr>
      <w:r>
        <w:rPr>
          <w:rFonts w:eastAsia="Times New Roman"/>
          <w:color w:val="000000"/>
          <w:sz w:val="20"/>
          <w:szCs w:val="20"/>
        </w:rPr>
        <w:t>Page 2</w:t>
      </w:r>
      <w:r>
        <w:rPr>
          <w:rFonts w:eastAsia="Times New Roman"/>
          <w:color w:val="000000"/>
          <w:sz w:val="20"/>
          <w:szCs w:val="20"/>
        </w:rPr>
        <w:t>0</w:t>
      </w:r>
    </w:p>
    <w:p w:rsidR="00000000" w:rsidRDefault="00480785">
      <w:pPr>
        <w:rPr>
          <w:rFonts w:eastAsia="Times New Roman"/>
        </w:rPr>
      </w:pPr>
      <w:r>
        <w:rPr>
          <w:rFonts w:eastAsia="Times New Roman"/>
        </w:rPr>
        <w:pict>
          <v:rect id="_x0000_i1045" style="width:0;height:1.5pt" o:hralign="center" o:hrstd="t" o:hr="t" fillcolor="#a0a0a0" stroked="f"/>
        </w:pict>
      </w:r>
    </w:p>
    <w:p w:rsidR="00000000" w:rsidRDefault="00480785">
      <w:pPr>
        <w:divId w:val="1371999759"/>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rsidR="00000000" w:rsidRDefault="00480785">
      <w:pPr>
        <w:jc w:val="both"/>
        <w:rPr>
          <w:rFonts w:eastAsia="Times New Roman"/>
        </w:rPr>
      </w:pPr>
    </w:p>
    <w:p w:rsidR="00000000" w:rsidRDefault="00480785">
      <w:pPr>
        <w:jc w:val="both"/>
        <w:rPr>
          <w:rFonts w:eastAsia="Times New Roman"/>
        </w:rPr>
      </w:pPr>
      <w:r>
        <w:rPr>
          <w:rFonts w:eastAsia="Times New Roman"/>
          <w:i/>
          <w:iCs/>
          <w:color w:val="000000"/>
          <w:sz w:val="20"/>
          <w:szCs w:val="20"/>
          <w:u w:val="single"/>
        </w:rPr>
        <w:t>Fiscal Three Months (Third Quarter) Ended September 26, 2020 and September 28, 2019</w:t>
      </w:r>
      <w:r>
        <w:rPr>
          <w:rFonts w:eastAsia="Times New Roman"/>
          <w:i/>
          <w:iCs/>
          <w:color w:val="000000"/>
          <w:sz w:val="20"/>
          <w:szCs w:val="20"/>
          <w:u w:val="single"/>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Net sales for the third quarter of fiscal 2020 increased 31.4% to $2.61 billion </w:t>
      </w:r>
      <w:r>
        <w:rPr>
          <w:rFonts w:eastAsia="Times New Roman"/>
          <w:color w:val="000000"/>
          <w:sz w:val="20"/>
          <w:szCs w:val="20"/>
        </w:rPr>
        <w:t>from $1.98 billion for the third quarter of fiscal 2019. Comparable store sales for the third quarter of fiscal 2020 were $2.51 billion, a 26.8% increase as compared to the third quarter of fiscal 2019. Net sales and comparable store sales increased 5.4% a</w:t>
      </w:r>
      <w:r>
        <w:rPr>
          <w:rFonts w:eastAsia="Times New Roman"/>
          <w:color w:val="000000"/>
          <w:sz w:val="20"/>
          <w:szCs w:val="20"/>
        </w:rPr>
        <w:t>nd 2.9% in the third quarter of fiscal 2019, respectively.</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comparable store sales results for the third quarter of fiscal 2020 included an increase in comparable average transaction count of 14.3% and an increase in comparable average transaction va</w:t>
      </w:r>
      <w:r>
        <w:rPr>
          <w:rFonts w:eastAsia="Times New Roman"/>
          <w:color w:val="000000"/>
          <w:sz w:val="20"/>
          <w:szCs w:val="20"/>
        </w:rPr>
        <w:t>lue of 12.5%, each as compared to the third quarter of fiscal 2019. The COVID-19 pandemic continued to have a significant impact on consumer demand in the third quarter of fiscal 2020 across all of the Company’s major product categories as customers focuse</w:t>
      </w:r>
      <w:r>
        <w:rPr>
          <w:rFonts w:eastAsia="Times New Roman"/>
          <w:color w:val="000000"/>
          <w:sz w:val="20"/>
          <w:szCs w:val="20"/>
        </w:rPr>
        <w:t xml:space="preserve">d on the care of their homes, land, and animals. Additionally, consumer demand in the quarter benefited from favorable weather conditions across much of the country as well as growth in new customer acquisition and the re-engagement of lapsed customers as </w:t>
      </w:r>
      <w:r>
        <w:rPr>
          <w:rFonts w:eastAsia="Times New Roman"/>
          <w:color w:val="000000"/>
          <w:sz w:val="20"/>
          <w:szCs w:val="20"/>
        </w:rPr>
        <w:t xml:space="preserve">a result of advertising campaigns focused on brand awareness. These factors all led to a significant increase in comparable store sales which was driven by strong demand for everyday merchandise, including consumable, usable and edible products and robust </w:t>
      </w:r>
      <w:r>
        <w:rPr>
          <w:rFonts w:eastAsia="Times New Roman"/>
          <w:color w:val="000000"/>
          <w:sz w:val="20"/>
          <w:szCs w:val="20"/>
        </w:rPr>
        <w:t>growth for summer seasonal categories. All geographic regions of the Company had robust comparable store sales growth. In addition, the Company’s e-commerce sales experienced triple-digit sales percentage growth as compared to the third quarter of fiscal 2</w:t>
      </w:r>
      <w:r>
        <w:rPr>
          <w:rFonts w:eastAsia="Times New Roman"/>
          <w:color w:val="000000"/>
          <w:sz w:val="20"/>
          <w:szCs w:val="20"/>
        </w:rPr>
        <w:t>019</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In addition to comparable store sales growth for the third quarter of fiscal 2020, sales from stores open less than one year were $93.6 million for the third quarter of fiscal 2020, which represented 4.7 percentage points of the 31.4% increase over </w:t>
      </w:r>
      <w:r>
        <w:rPr>
          <w:rFonts w:eastAsia="Times New Roman"/>
          <w:color w:val="000000"/>
          <w:sz w:val="20"/>
          <w:szCs w:val="20"/>
        </w:rPr>
        <w:t>third quarter fiscal 2019 net sales. For the third quarter of fiscal 2019, sales from stores open less than one year were $50.0 million, which represented 2.7 percentage points of the 5.4% increase over third quarter fiscal 2018 net sales.</w:t>
      </w:r>
      <w:r>
        <w:rPr>
          <w:rFonts w:eastAsia="Times New Roman"/>
          <w:color w:val="000000"/>
          <w:sz w:val="20"/>
          <w:szCs w:val="20"/>
        </w:rPr>
        <w:t xml:space="preserve"> </w:t>
      </w:r>
    </w:p>
    <w:p w:rsidR="00000000" w:rsidRDefault="00480785">
      <w:pPr>
        <w:jc w:val="both"/>
        <w:rPr>
          <w:rFonts w:eastAsia="Times New Roman"/>
        </w:rPr>
      </w:pPr>
    </w:p>
    <w:p w:rsidR="00000000" w:rsidRDefault="00480785">
      <w:pPr>
        <w:divId w:val="1428841515"/>
        <w:rPr>
          <w:rFonts w:eastAsia="Times New Roman"/>
        </w:rPr>
      </w:pPr>
      <w:r>
        <w:rPr>
          <w:rFonts w:eastAsia="Times New Roman"/>
          <w:color w:val="000000"/>
          <w:sz w:val="20"/>
          <w:szCs w:val="20"/>
        </w:rPr>
        <w:t>The following</w:t>
      </w:r>
      <w:r>
        <w:rPr>
          <w:rFonts w:eastAsia="Times New Roman"/>
          <w:color w:val="000000"/>
          <w:sz w:val="20"/>
          <w:szCs w:val="20"/>
        </w:rPr>
        <w:t xml:space="preserve"> table summarizes store growth for the fiscal three months ended September 26, 2020 and September 28, 2019</w:t>
      </w:r>
      <w:r>
        <w:rPr>
          <w:rFonts w:eastAsia="Times New Roman"/>
          <w:color w:val="000000"/>
          <w:sz w:val="20"/>
          <w:szCs w:val="20"/>
        </w:rPr>
        <w:t>:</w:t>
      </w:r>
    </w:p>
    <w:p w:rsidR="00000000" w:rsidRDefault="00480785">
      <w:pPr>
        <w:divId w:val="1499615497"/>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58"/>
        <w:gridCol w:w="5520"/>
        <w:gridCol w:w="36"/>
        <w:gridCol w:w="66"/>
        <w:gridCol w:w="1066"/>
        <w:gridCol w:w="43"/>
        <w:gridCol w:w="37"/>
        <w:gridCol w:w="36"/>
        <w:gridCol w:w="36"/>
        <w:gridCol w:w="66"/>
        <w:gridCol w:w="1059"/>
        <w:gridCol w:w="42"/>
        <w:gridCol w:w="36"/>
        <w:gridCol w:w="36"/>
        <w:gridCol w:w="36"/>
        <w:gridCol w:w="36"/>
        <w:gridCol w:w="36"/>
        <w:gridCol w:w="36"/>
      </w:tblGrid>
      <w:tr w:rsidR="00000000">
        <w:trPr>
          <w:gridAfter w:val="6"/>
          <w:divId w:val="791358946"/>
        </w:trPr>
        <w:tc>
          <w:tcPr>
            <w:tcW w:w="50" w:type="pct"/>
            <w:vAlign w:val="center"/>
            <w:hideMark/>
          </w:tcPr>
          <w:p w:rsidR="00000000" w:rsidRDefault="00480785">
            <w:pPr>
              <w:rPr>
                <w:rFonts w:eastAsia="Times New Roman"/>
              </w:rPr>
            </w:pPr>
          </w:p>
        </w:tc>
        <w:tc>
          <w:tcPr>
            <w:tcW w:w="343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7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8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791358946"/>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791358946"/>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Store Count Information</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i/>
                <w:iCs/>
                <w:color w:val="000000"/>
                <w:sz w:val="20"/>
                <w:szCs w:val="20"/>
                <w:u w:val="single"/>
              </w:rPr>
              <w:t>Tractor Suppl</w:t>
            </w:r>
            <w:r>
              <w:rPr>
                <w:rFonts w:eastAsia="Times New Roman"/>
                <w:i/>
                <w:iCs/>
                <w:color w:val="000000"/>
                <w:sz w:val="20"/>
                <w:szCs w:val="20"/>
                <w:u w:val="single"/>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FFFFFF"/>
            <w:tcMar>
              <w:top w:w="30" w:type="dxa"/>
              <w:left w:w="135" w:type="dxa"/>
              <w:bottom w:w="30" w:type="dxa"/>
              <w:right w:w="20" w:type="dxa"/>
            </w:tcMar>
            <w:vAlign w:val="bottom"/>
            <w:hideMark/>
          </w:tcPr>
          <w:p w:rsidR="00000000" w:rsidRDefault="00480785">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1,790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CCEE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CCEEFF"/>
            <w:tcMar>
              <w:top w:w="30" w:type="dxa"/>
              <w:left w:w="135" w:type="dxa"/>
              <w:bottom w:w="30" w:type="dxa"/>
              <w:right w:w="20" w:type="dxa"/>
            </w:tcMar>
            <w:vAlign w:val="bottom"/>
            <w:hideMark/>
          </w:tcPr>
          <w:p w:rsidR="00000000" w:rsidRDefault="00480785">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1,904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i/>
                <w:iCs/>
                <w:color w:val="000000"/>
                <w:sz w:val="20"/>
                <w:szCs w:val="20"/>
                <w:u w:val="single"/>
              </w:rPr>
              <w:t>Petsens</w:t>
            </w:r>
            <w:r>
              <w:rPr>
                <w:rFonts w:eastAsia="Times New Roman"/>
                <w:i/>
                <w:iCs/>
                <w:color w:val="000000"/>
                <w:sz w:val="20"/>
                <w:szCs w:val="20"/>
                <w:u w:val="single"/>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CCEEFF"/>
            <w:tcMar>
              <w:top w:w="30" w:type="dxa"/>
              <w:left w:w="135" w:type="dxa"/>
              <w:bottom w:w="30" w:type="dxa"/>
              <w:right w:w="20" w:type="dxa"/>
            </w:tcMar>
            <w:vAlign w:val="bottom"/>
            <w:hideMark/>
          </w:tcPr>
          <w:p w:rsidR="00000000" w:rsidRDefault="00480785">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CCEE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FFFFFF"/>
            <w:tcMar>
              <w:top w:w="30" w:type="dxa"/>
              <w:left w:w="135" w:type="dxa"/>
              <w:bottom w:w="30" w:type="dxa"/>
              <w:right w:w="20" w:type="dxa"/>
            </w:tcMar>
            <w:vAlign w:val="bottom"/>
            <w:hideMark/>
          </w:tcPr>
          <w:p w:rsidR="00000000" w:rsidRDefault="00480785">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Consolidated, end of perio</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1,990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791358946"/>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Stores relocate</w:t>
            </w:r>
            <w:r>
              <w:rPr>
                <w:rFonts w:eastAsia="Times New Roman"/>
                <w:color w:val="000000"/>
                <w:sz w:val="20"/>
                <w:szCs w:val="20"/>
              </w:rPr>
              <w:t>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both"/>
        <w:rPr>
          <w:rFonts w:eastAsia="Times New Roman"/>
        </w:rPr>
      </w:pPr>
    </w:p>
    <w:p w:rsidR="00000000" w:rsidRDefault="00480785">
      <w:pPr>
        <w:jc w:val="center"/>
        <w:divId w:val="1044908870"/>
        <w:rPr>
          <w:rFonts w:eastAsia="Times New Roman"/>
        </w:rPr>
      </w:pPr>
      <w:r>
        <w:rPr>
          <w:rFonts w:eastAsia="Times New Roman"/>
          <w:color w:val="000000"/>
          <w:sz w:val="20"/>
          <w:szCs w:val="20"/>
        </w:rPr>
        <w:t>Page 2</w:t>
      </w:r>
      <w:r>
        <w:rPr>
          <w:rFonts w:eastAsia="Times New Roman"/>
          <w:color w:val="000000"/>
          <w:sz w:val="20"/>
          <w:szCs w:val="20"/>
        </w:rPr>
        <w:t>1</w:t>
      </w:r>
    </w:p>
    <w:p w:rsidR="00000000" w:rsidRDefault="00480785">
      <w:pPr>
        <w:rPr>
          <w:rFonts w:eastAsia="Times New Roman"/>
        </w:rPr>
      </w:pPr>
      <w:r>
        <w:rPr>
          <w:rFonts w:eastAsia="Times New Roman"/>
        </w:rPr>
        <w:pict>
          <v:rect id="_x0000_i1046" style="width:0;height:1.5pt" o:hralign="center" o:hrstd="t" o:hr="t" fillcolor="#a0a0a0" stroked="f"/>
        </w:pict>
      </w:r>
    </w:p>
    <w:p w:rsidR="00000000" w:rsidRDefault="00480785">
      <w:pPr>
        <w:divId w:val="1683043625"/>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three months ended September 26, 2020 and September 28, 2019</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281"/>
        <w:gridCol w:w="38"/>
        <w:gridCol w:w="66"/>
        <w:gridCol w:w="952"/>
        <w:gridCol w:w="204"/>
        <w:gridCol w:w="37"/>
        <w:gridCol w:w="37"/>
        <w:gridCol w:w="36"/>
        <w:gridCol w:w="66"/>
        <w:gridCol w:w="890"/>
        <w:gridCol w:w="203"/>
        <w:gridCol w:w="36"/>
        <w:gridCol w:w="36"/>
        <w:gridCol w:w="36"/>
        <w:gridCol w:w="36"/>
        <w:gridCol w:w="36"/>
        <w:gridCol w:w="36"/>
        <w:gridCol w:w="36"/>
        <w:gridCol w:w="36"/>
        <w:gridCol w:w="36"/>
        <w:gridCol w:w="36"/>
        <w:gridCol w:w="36"/>
        <w:gridCol w:w="36"/>
      </w:tblGrid>
      <w:tr w:rsidR="00000000">
        <w:trPr>
          <w:gridAfter w:val="12"/>
          <w:divId w:val="463431168"/>
          <w:jc w:val="center"/>
        </w:trPr>
        <w:tc>
          <w:tcPr>
            <w:tcW w:w="50" w:type="pct"/>
            <w:vAlign w:val="center"/>
            <w:hideMark/>
          </w:tcPr>
          <w:p w:rsidR="00000000" w:rsidRDefault="00480785">
            <w:pPr>
              <w:jc w:val="both"/>
              <w:rPr>
                <w:rFonts w:eastAsia="Times New Roman"/>
              </w:rPr>
            </w:pPr>
          </w:p>
        </w:tc>
        <w:tc>
          <w:tcPr>
            <w:tcW w:w="342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8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8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gridAfter w:val="6"/>
          <w:divId w:val="463431168"/>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Percent of Net Sale</w:t>
            </w:r>
            <w:r>
              <w:rPr>
                <w:rFonts w:eastAsia="Times New Roman"/>
                <w:b/>
                <w:bCs/>
                <w:color w:val="000000"/>
                <w:sz w:val="20"/>
                <w:szCs w:val="20"/>
              </w:rPr>
              <w:t>s</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gridAfter w:val="6"/>
          <w:divId w:val="463431168"/>
          <w:jc w:val="center"/>
        </w:trPr>
        <w:tc>
          <w:tcPr>
            <w:tcW w:w="0" w:type="auto"/>
            <w:gridSpan w:val="3"/>
            <w:vMerge w:val="restart"/>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463431168"/>
          <w:jc w:val="center"/>
        </w:trPr>
        <w:tc>
          <w:tcPr>
            <w:tcW w:w="0" w:type="auto"/>
            <w:gridSpan w:val="3"/>
            <w:vMerge/>
            <w:vAlign w:val="center"/>
            <w:hideMark/>
          </w:tcPr>
          <w:p w:rsidR="00000000" w:rsidRDefault="00480785">
            <w:pPr>
              <w:rPr>
                <w:rFonts w:eastAsia="Times New Roman"/>
              </w:rPr>
            </w:pPr>
          </w:p>
        </w:tc>
        <w:tc>
          <w:tcPr>
            <w:tcW w:w="0" w:type="auto"/>
            <w:gridSpan w:val="9"/>
            <w:vMerge/>
            <w:vAlign w:val="center"/>
            <w:hideMark/>
          </w:tcPr>
          <w:p w:rsidR="00000000" w:rsidRDefault="00480785">
            <w:pP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463431168"/>
          <w:jc w:val="center"/>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63431168"/>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63431168"/>
          <w:jc w:val="center"/>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63431168"/>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63431168"/>
          <w:jc w:val="center"/>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63431168"/>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463431168"/>
          <w:jc w:val="center"/>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center"/>
        <w:rPr>
          <w:rFonts w:eastAsia="Times New Roman"/>
        </w:rPr>
      </w:pPr>
      <w:r>
        <w:rPr>
          <w:rFonts w:eastAsia="Times New Roman"/>
          <w:color w:val="000000"/>
          <w:sz w:val="20"/>
          <w:szCs w:val="20"/>
        </w:rPr>
        <w:t> </w:t>
      </w:r>
    </w:p>
    <w:p w:rsidR="00000000" w:rsidRDefault="00480785">
      <w:pPr>
        <w:jc w:val="both"/>
        <w:rPr>
          <w:rFonts w:eastAsia="Times New Roman"/>
        </w:rPr>
      </w:pPr>
      <w:r>
        <w:rPr>
          <w:rFonts w:eastAsia="Times New Roman"/>
          <w:color w:val="000000"/>
          <w:sz w:val="20"/>
          <w:szCs w:val="20"/>
        </w:rPr>
        <w:t>Gross profit increased 36.6% to $948.0 million for the third quarter of fiscal 2020 from $694.2 million for the third quarter of fiscal 2019. As a percent of net sales, gross margin in the third quarter of fiscal 2020 increased 138 basis points to 36.37% f</w:t>
      </w:r>
      <w:r>
        <w:rPr>
          <w:rFonts w:eastAsia="Times New Roman"/>
          <w:color w:val="000000"/>
          <w:sz w:val="20"/>
          <w:szCs w:val="20"/>
        </w:rPr>
        <w:t>rom 34.99% in the third quarter of fiscal 2019. The increase in gross margin was driven by lower depth and frequency of sales promotions, less clearance activity, and lower transportation costs as a percent of net sales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Selling, general and administrati</w:t>
      </w:r>
      <w:r>
        <w:rPr>
          <w:rFonts w:eastAsia="Times New Roman"/>
          <w:color w:val="000000"/>
          <w:sz w:val="20"/>
          <w:szCs w:val="20"/>
        </w:rPr>
        <w:t>ve (“SG&amp;A”) expenses, including depreciation and amortization, increased 30.7% to $695.8 million for the third quarter of fiscal 2020 from $532.4 million for the third quarter of fiscal 2019. As a percent of net sales, SG&amp;A expenses improved 14 basis point</w:t>
      </w:r>
      <w:r>
        <w:rPr>
          <w:rFonts w:eastAsia="Times New Roman"/>
          <w:color w:val="000000"/>
          <w:sz w:val="20"/>
          <w:szCs w:val="20"/>
        </w:rPr>
        <w:t xml:space="preserve">s to 26.69% for the third quarter of fiscal 2020 from 26.83% for the third quarter of fiscal 2019. The decrease in SG&amp;A as a percent of net sales was primarily attributable to leverage in occupancy, personnel and other operating costs from the increase in </w:t>
      </w:r>
      <w:r>
        <w:rPr>
          <w:rFonts w:eastAsia="Times New Roman"/>
          <w:color w:val="000000"/>
          <w:sz w:val="20"/>
          <w:szCs w:val="20"/>
        </w:rPr>
        <w:t xml:space="preserve">comparable store sales. The leverage in our personnel costs year-over-year was inclusive of the permanent wage and benefit increases for our store and distribution center team members that went into effect in the third quarter of fiscal 2020. The leverage </w:t>
      </w:r>
      <w:r>
        <w:rPr>
          <w:rFonts w:eastAsia="Times New Roman"/>
          <w:color w:val="000000"/>
          <w:sz w:val="20"/>
          <w:szCs w:val="20"/>
        </w:rPr>
        <w:t>from these SG&amp;A expenses was partially offset by incremental costs related to the COVID-19 pandemic, investments in strategic initiatives including advertising and increased incentive compensation given the record sales and profit performance in the quarte</w:t>
      </w:r>
      <w:r>
        <w:rPr>
          <w:rFonts w:eastAsia="Times New Roman"/>
          <w:color w:val="000000"/>
          <w:sz w:val="20"/>
          <w:szCs w:val="20"/>
        </w:rPr>
        <w:t xml:space="preserve">r with the majority allocated to the store teams. The incremental costs related to the COVID-19 pandemic of approximately $20 million included additional labor hours and supply costs dedicated to cleaning and sanitation to enhance the health and safety of </w:t>
      </w:r>
      <w:r>
        <w:rPr>
          <w:rFonts w:eastAsia="Times New Roman"/>
          <w:color w:val="000000"/>
          <w:sz w:val="20"/>
          <w:szCs w:val="20"/>
        </w:rPr>
        <w:t>team members and customers.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Operating income for the third quarter of fiscal 2020 increased 55.8% to $252.2 million compared to $161.8 million in the third quarter of fiscal 2019.</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effective income tax rate was 22.2% for the third quarter of both fiscal 2020 and 2019.</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As a r</w:t>
      </w:r>
      <w:r>
        <w:rPr>
          <w:rFonts w:eastAsia="Times New Roman"/>
          <w:color w:val="000000"/>
          <w:sz w:val="20"/>
          <w:szCs w:val="20"/>
        </w:rPr>
        <w:t>esult of the foregoing factors, net income for the third quarter of fiscal 2020 increased 56.1% to $190.6 million, or $1.62 per diluted share, as compared to net income of $122.1 million, or $1.02 per diluted share, for the third quarter of fiscal 2019</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i/>
          <w:iCs/>
          <w:color w:val="000000"/>
          <w:sz w:val="20"/>
          <w:szCs w:val="20"/>
          <w:u w:val="single"/>
        </w:rPr>
        <w:t>Fiscal Nine Months (Third Quarter) Ended September 26, 2020 and September 28, 2019</w:t>
      </w:r>
      <w:r>
        <w:rPr>
          <w:rFonts w:eastAsia="Times New Roman"/>
          <w:i/>
          <w:iCs/>
          <w:color w:val="000000"/>
          <w:sz w:val="20"/>
          <w:szCs w:val="20"/>
          <w:u w:val="single"/>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Net sales increased 25.7% to $7.74 billion for the first nine months of fiscal 2020 from $6.16 billion for the first nine months of fiscal 2019. Comparable store sales fo</w:t>
      </w:r>
      <w:r>
        <w:rPr>
          <w:rFonts w:eastAsia="Times New Roman"/>
          <w:color w:val="000000"/>
          <w:sz w:val="20"/>
          <w:szCs w:val="20"/>
        </w:rPr>
        <w:t>r the first nine months of fiscal 2020 were $7.49 billion, a 21.5% increase over the first nine months of fiscal 2019. Net sales and comparable store sales increased 6.6% and 3.6% in the first nine months of fiscal 2019, respectively</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For the first nine </w:t>
      </w:r>
      <w:r>
        <w:rPr>
          <w:rFonts w:eastAsia="Times New Roman"/>
          <w:color w:val="000000"/>
          <w:sz w:val="20"/>
          <w:szCs w:val="20"/>
        </w:rPr>
        <w:t>months of fiscal 2020, the comparable store sales results included an increase in comparable average transaction value of 12.0% and comparable average transaction count of 9.6%. Beginning in March 2020, the COVID-19 pandemic had a significant impact on con</w:t>
      </w:r>
      <w:r>
        <w:rPr>
          <w:rFonts w:eastAsia="Times New Roman"/>
          <w:color w:val="000000"/>
          <w:sz w:val="20"/>
          <w:szCs w:val="20"/>
        </w:rPr>
        <w:t>sumer demand across all of the Company’s major product categories and geographic regions. All geographic regions of the Company had robust comparable store sales growth during the first nine months of fiscal 2020. The increase in comparable store sales was</w:t>
      </w:r>
      <w:r>
        <w:rPr>
          <w:rFonts w:eastAsia="Times New Roman"/>
          <w:color w:val="000000"/>
          <w:sz w:val="20"/>
          <w:szCs w:val="20"/>
        </w:rPr>
        <w:t xml:space="preserve"> driven by unprecedented demand for spring and summer seasonal categories along with exceptional growth in everyday merchandise, including consumable, usable and edible products.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In addition to comparable store sales growth in the first nine months of f</w:t>
      </w:r>
      <w:r>
        <w:rPr>
          <w:rFonts w:eastAsia="Times New Roman"/>
          <w:color w:val="000000"/>
          <w:sz w:val="20"/>
          <w:szCs w:val="20"/>
        </w:rPr>
        <w:t xml:space="preserve">iscal 2020, sales from stores open less than one year were $264.0 million in the first nine months of fiscal 2020, which represented 4.3 percentage points of the 25.7% increase over the first nine months of fiscal 2019 net sales. For the first nine months </w:t>
      </w:r>
      <w:r>
        <w:rPr>
          <w:rFonts w:eastAsia="Times New Roman"/>
          <w:color w:val="000000"/>
          <w:sz w:val="20"/>
          <w:szCs w:val="20"/>
        </w:rPr>
        <w:t>of fiscal 2019, sales from stores open less than one year</w:t>
      </w:r>
      <w:r>
        <w:rPr>
          <w:rFonts w:eastAsia="Times New Roman"/>
          <w:color w:val="000000"/>
          <w:sz w:val="20"/>
          <w:szCs w:val="20"/>
        </w:rPr>
        <w:t xml:space="preserve"> </w:t>
      </w:r>
    </w:p>
    <w:p w:rsidR="00000000" w:rsidRDefault="00480785">
      <w:pPr>
        <w:jc w:val="center"/>
        <w:divId w:val="1036852901"/>
        <w:rPr>
          <w:rFonts w:eastAsia="Times New Roman"/>
        </w:rPr>
      </w:pPr>
      <w:r>
        <w:rPr>
          <w:rFonts w:eastAsia="Times New Roman"/>
          <w:color w:val="000000"/>
          <w:sz w:val="20"/>
          <w:szCs w:val="20"/>
        </w:rPr>
        <w:t>Page 2</w:t>
      </w:r>
      <w:r>
        <w:rPr>
          <w:rFonts w:eastAsia="Times New Roman"/>
          <w:color w:val="000000"/>
          <w:sz w:val="20"/>
          <w:szCs w:val="20"/>
        </w:rPr>
        <w:t>2</w:t>
      </w:r>
    </w:p>
    <w:p w:rsidR="00000000" w:rsidRDefault="00480785">
      <w:pPr>
        <w:rPr>
          <w:rFonts w:eastAsia="Times New Roman"/>
        </w:rPr>
      </w:pPr>
      <w:r>
        <w:rPr>
          <w:rFonts w:eastAsia="Times New Roman"/>
        </w:rPr>
        <w:pict>
          <v:rect id="_x0000_i1047" style="width:0;height:1.5pt" o:hralign="center" o:hrstd="t" o:hr="t" fillcolor="#a0a0a0" stroked="f"/>
        </w:pict>
      </w:r>
    </w:p>
    <w:p w:rsidR="00000000" w:rsidRDefault="00480785">
      <w:pPr>
        <w:divId w:val="1016342979"/>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were $179.6 million, which represented 3.1 percentage points of the 6.6% increase over t</w:t>
      </w:r>
      <w:r>
        <w:rPr>
          <w:rFonts w:eastAsia="Times New Roman"/>
          <w:color w:val="000000"/>
          <w:sz w:val="20"/>
          <w:szCs w:val="20"/>
        </w:rPr>
        <w:t>he first nine months of fiscal 2018 net sales.</w:t>
      </w:r>
      <w:r>
        <w:rPr>
          <w:rFonts w:eastAsia="Times New Roman"/>
          <w:color w:val="000000"/>
          <w:sz w:val="20"/>
          <w:szCs w:val="20"/>
        </w:rPr>
        <w:t xml:space="preserve"> </w:t>
      </w:r>
    </w:p>
    <w:p w:rsidR="00000000" w:rsidRDefault="00480785">
      <w:pPr>
        <w:jc w:val="both"/>
        <w:rPr>
          <w:rFonts w:eastAsia="Times New Roman"/>
        </w:rPr>
      </w:pPr>
    </w:p>
    <w:p w:rsidR="00000000" w:rsidRDefault="00480785">
      <w:pPr>
        <w:divId w:val="1131946052"/>
        <w:rPr>
          <w:rFonts w:eastAsia="Times New Roman"/>
        </w:rPr>
      </w:pPr>
      <w:r>
        <w:rPr>
          <w:rFonts w:eastAsia="Times New Roman"/>
          <w:color w:val="000000"/>
          <w:sz w:val="20"/>
          <w:szCs w:val="20"/>
        </w:rPr>
        <w:t>The following table summarizes store growth for the fiscal nine months ended September 26, 2020 and September 28, 2019</w:t>
      </w:r>
      <w:r>
        <w:rPr>
          <w:rFonts w:eastAsia="Times New Roman"/>
          <w:color w:val="000000"/>
          <w:sz w:val="20"/>
          <w:szCs w:val="20"/>
        </w:rPr>
        <w:t>:</w:t>
      </w:r>
    </w:p>
    <w:p w:rsidR="00000000" w:rsidRDefault="00480785">
      <w:pPr>
        <w:divId w:val="145787266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9"/>
        <w:gridCol w:w="5508"/>
        <w:gridCol w:w="36"/>
        <w:gridCol w:w="64"/>
        <w:gridCol w:w="1101"/>
        <w:gridCol w:w="43"/>
        <w:gridCol w:w="37"/>
        <w:gridCol w:w="37"/>
        <w:gridCol w:w="36"/>
        <w:gridCol w:w="66"/>
        <w:gridCol w:w="1061"/>
        <w:gridCol w:w="42"/>
        <w:gridCol w:w="36"/>
        <w:gridCol w:w="36"/>
        <w:gridCol w:w="36"/>
        <w:gridCol w:w="36"/>
        <w:gridCol w:w="36"/>
        <w:gridCol w:w="36"/>
      </w:tblGrid>
      <w:tr w:rsidR="00000000">
        <w:trPr>
          <w:gridAfter w:val="6"/>
          <w:divId w:val="2058697993"/>
        </w:trPr>
        <w:tc>
          <w:tcPr>
            <w:tcW w:w="50" w:type="pct"/>
            <w:vAlign w:val="center"/>
            <w:hideMark/>
          </w:tcPr>
          <w:p w:rsidR="00000000" w:rsidRDefault="00480785">
            <w:pPr>
              <w:rPr>
                <w:rFonts w:eastAsia="Times New Roman"/>
              </w:rPr>
            </w:pPr>
          </w:p>
        </w:tc>
        <w:tc>
          <w:tcPr>
            <w:tcW w:w="341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9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8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2058697993"/>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2058697993"/>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Store Count Information</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i/>
                <w:iCs/>
                <w:color w:val="000000"/>
                <w:sz w:val="20"/>
                <w:szCs w:val="20"/>
                <w:u w:val="single"/>
              </w:rPr>
              <w:t>Tractor Suppl</w:t>
            </w:r>
            <w:r>
              <w:rPr>
                <w:rFonts w:eastAsia="Times New Roman"/>
                <w:i/>
                <w:iCs/>
                <w:color w:val="000000"/>
                <w:sz w:val="20"/>
                <w:szCs w:val="20"/>
                <w:u w:val="single"/>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tcMar>
              <w:top w:w="30" w:type="dxa"/>
              <w:left w:w="135" w:type="dxa"/>
              <w:bottom w:w="30" w:type="dxa"/>
              <w:right w:w="20" w:type="dxa"/>
            </w:tcMar>
            <w:vAlign w:val="bottom"/>
            <w:hideMark/>
          </w:tcPr>
          <w:p w:rsidR="00000000" w:rsidRDefault="00480785">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1,844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1,765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shd w:val="clear" w:color="auto" w:fill="CCEE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shd w:val="clear" w:color="auto" w:fill="CCEEFF"/>
            <w:tcMar>
              <w:top w:w="30" w:type="dxa"/>
              <w:left w:w="135" w:type="dxa"/>
              <w:bottom w:w="30" w:type="dxa"/>
              <w:right w:w="20" w:type="dxa"/>
            </w:tcMar>
            <w:vAlign w:val="bottom"/>
            <w:hideMark/>
          </w:tcPr>
          <w:p w:rsidR="00000000" w:rsidRDefault="00480785">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1,904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i/>
                <w:iCs/>
                <w:color w:val="000000"/>
                <w:sz w:val="20"/>
                <w:szCs w:val="20"/>
                <w:u w:val="single"/>
              </w:rPr>
              <w:t>Petsens</w:t>
            </w:r>
            <w:r>
              <w:rPr>
                <w:rFonts w:eastAsia="Times New Roman"/>
                <w:i/>
                <w:iCs/>
                <w:color w:val="000000"/>
                <w:sz w:val="20"/>
                <w:szCs w:val="20"/>
                <w:u w:val="single"/>
              </w:rPr>
              <w:t>e</w:t>
            </w: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shd w:val="clear" w:color="auto" w:fill="CCEEFF"/>
            <w:tcMar>
              <w:top w:w="30" w:type="dxa"/>
              <w:left w:w="135" w:type="dxa"/>
              <w:bottom w:w="30" w:type="dxa"/>
              <w:right w:w="20" w:type="dxa"/>
            </w:tcMar>
            <w:vAlign w:val="bottom"/>
            <w:hideMark/>
          </w:tcPr>
          <w:p w:rsidR="00000000" w:rsidRDefault="00480785">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shd w:val="clear" w:color="auto" w:fill="CCEE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tcMar>
              <w:top w:w="30" w:type="dxa"/>
              <w:left w:w="135" w:type="dxa"/>
              <w:bottom w:w="30" w:type="dxa"/>
              <w:right w:w="20" w:type="dxa"/>
            </w:tcMar>
            <w:vAlign w:val="bottom"/>
            <w:hideMark/>
          </w:tcPr>
          <w:p w:rsidR="00000000" w:rsidRDefault="00480785">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183</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Consolidated, end of perio</w:t>
            </w:r>
            <w:r>
              <w:rPr>
                <w:rFonts w:eastAsia="Times New Roman"/>
                <w:color w:val="000000"/>
                <w:sz w:val="20"/>
                <w:szCs w:val="20"/>
              </w:rPr>
              <w:t>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2,087</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1,990</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058697993"/>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Stores relocate</w:t>
            </w:r>
            <w:r>
              <w:rPr>
                <w:rFonts w:eastAsia="Times New Roman"/>
                <w:color w:val="000000"/>
                <w:sz w:val="20"/>
                <w:szCs w:val="20"/>
              </w:rPr>
              <w:t>d</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Borders>
              <w:top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nine months ended September 26, 2020 and September 28, 2019</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281"/>
        <w:gridCol w:w="38"/>
        <w:gridCol w:w="66"/>
        <w:gridCol w:w="952"/>
        <w:gridCol w:w="204"/>
        <w:gridCol w:w="37"/>
        <w:gridCol w:w="37"/>
        <w:gridCol w:w="36"/>
        <w:gridCol w:w="66"/>
        <w:gridCol w:w="890"/>
        <w:gridCol w:w="203"/>
        <w:gridCol w:w="36"/>
        <w:gridCol w:w="36"/>
        <w:gridCol w:w="36"/>
        <w:gridCol w:w="36"/>
        <w:gridCol w:w="36"/>
        <w:gridCol w:w="36"/>
        <w:gridCol w:w="36"/>
        <w:gridCol w:w="36"/>
        <w:gridCol w:w="36"/>
        <w:gridCol w:w="36"/>
        <w:gridCol w:w="36"/>
        <w:gridCol w:w="36"/>
      </w:tblGrid>
      <w:tr w:rsidR="00000000">
        <w:trPr>
          <w:gridAfter w:val="12"/>
          <w:divId w:val="1969621938"/>
          <w:jc w:val="center"/>
        </w:trPr>
        <w:tc>
          <w:tcPr>
            <w:tcW w:w="50" w:type="pct"/>
            <w:vAlign w:val="center"/>
            <w:hideMark/>
          </w:tcPr>
          <w:p w:rsidR="00000000" w:rsidRDefault="00480785">
            <w:pPr>
              <w:jc w:val="both"/>
              <w:rPr>
                <w:rFonts w:eastAsia="Times New Roman"/>
              </w:rPr>
            </w:pPr>
          </w:p>
        </w:tc>
        <w:tc>
          <w:tcPr>
            <w:tcW w:w="342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8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8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gridAfter w:val="6"/>
          <w:divId w:val="1969621938"/>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Percent of Net Sale</w:t>
            </w:r>
            <w:r>
              <w:rPr>
                <w:rFonts w:eastAsia="Times New Roman"/>
                <w:b/>
                <w:bCs/>
                <w:color w:val="000000"/>
                <w:sz w:val="20"/>
                <w:szCs w:val="20"/>
              </w:rPr>
              <w:t>s</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gridAfter w:val="6"/>
          <w:divId w:val="1969621938"/>
          <w:jc w:val="center"/>
        </w:trPr>
        <w:tc>
          <w:tcPr>
            <w:tcW w:w="0" w:type="auto"/>
            <w:gridSpan w:val="3"/>
            <w:vMerge w:val="restart"/>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1969621938"/>
          <w:jc w:val="center"/>
        </w:trPr>
        <w:tc>
          <w:tcPr>
            <w:tcW w:w="0" w:type="auto"/>
            <w:gridSpan w:val="3"/>
            <w:vMerge/>
            <w:vAlign w:val="center"/>
            <w:hideMark/>
          </w:tcPr>
          <w:p w:rsidR="00000000" w:rsidRDefault="00480785">
            <w:pPr>
              <w:rPr>
                <w:rFonts w:eastAsia="Times New Roman"/>
              </w:rPr>
            </w:pPr>
          </w:p>
        </w:tc>
        <w:tc>
          <w:tcPr>
            <w:tcW w:w="0" w:type="auto"/>
            <w:gridSpan w:val="9"/>
            <w:vMerge/>
            <w:vAlign w:val="center"/>
            <w:hideMark/>
          </w:tcPr>
          <w:p w:rsidR="00000000" w:rsidRDefault="00480785">
            <w:pP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1969621938"/>
          <w:jc w:val="center"/>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969621938"/>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969621938"/>
          <w:jc w:val="center"/>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969621938"/>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969621938"/>
          <w:jc w:val="center"/>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969621938"/>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969621938"/>
          <w:jc w:val="center"/>
        </w:trPr>
        <w:tc>
          <w:tcPr>
            <w:tcW w:w="0" w:type="auto"/>
            <w:gridSpan w:val="3"/>
            <w:shd w:val="clear" w:color="auto" w:fill="FFFFFF"/>
            <w:tcMar>
              <w:top w:w="30" w:type="dxa"/>
              <w:left w:w="495"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center"/>
        <w:rPr>
          <w:rFonts w:eastAsia="Times New Roman"/>
        </w:rPr>
      </w:pPr>
    </w:p>
    <w:p w:rsidR="00000000" w:rsidRDefault="00480785">
      <w:pPr>
        <w:jc w:val="both"/>
        <w:rPr>
          <w:rFonts w:eastAsia="Times New Roman"/>
        </w:rPr>
      </w:pPr>
      <w:r>
        <w:rPr>
          <w:rFonts w:eastAsia="Times New Roman"/>
          <w:color w:val="000000"/>
          <w:sz w:val="20"/>
          <w:szCs w:val="20"/>
        </w:rPr>
        <w:t xml:space="preserve">Gross profit increased 29.9% to $2.77 billion from $2.13 billion in the first nine months of fiscal 2019, and gross margin increased 115 basis points to 35.73% from 34.58% in the first nine months of fiscal 2019. The increase in gross margin was driven by </w:t>
      </w:r>
      <w:r>
        <w:rPr>
          <w:rFonts w:eastAsia="Times New Roman"/>
          <w:color w:val="000000"/>
          <w:sz w:val="20"/>
          <w:szCs w:val="20"/>
        </w:rPr>
        <w:t>lower depth and frequency of sales promotions, less clearance merchandise and, to a lesser extent, favorable product mix and lower transportation costs as a percent of net sales.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Total SG&amp;A expenses, including depreciation and amortization, increased 23</w:t>
      </w:r>
      <w:r>
        <w:rPr>
          <w:rFonts w:eastAsia="Times New Roman"/>
          <w:color w:val="000000"/>
          <w:sz w:val="20"/>
          <w:szCs w:val="20"/>
        </w:rPr>
        <w:t xml:space="preserve">.9% to $1.95 billion from $1.58 billion in the first nine months of fiscal 2019. As a percent of net sales, SG&amp;A expenses decreased to 25.23% from 25.60% in the first nine months of fiscal 2019. The decrease in SG&amp;A as a percent of net sales was primarily </w:t>
      </w:r>
      <w:r>
        <w:rPr>
          <w:rFonts w:eastAsia="Times New Roman"/>
          <w:color w:val="000000"/>
          <w:sz w:val="20"/>
          <w:szCs w:val="20"/>
        </w:rPr>
        <w:t>attributable to leverage in occupancy, personnel, and other operating costs from the increase in comparable store sales. The leverage in our personnel costs year-over-year was inclusive of the permanent wage and benefit increases for our store and distribu</w:t>
      </w:r>
      <w:r>
        <w:rPr>
          <w:rFonts w:eastAsia="Times New Roman"/>
          <w:color w:val="000000"/>
          <w:sz w:val="20"/>
          <w:szCs w:val="20"/>
        </w:rPr>
        <w:t>tion center team members that went into effect in the third quarter of fiscal 2020. These improvements in our SG&amp;A as a percent of net sales were partially offset by incremental costs related to the COVID-19 pandemic, increased incentive compensation given</w:t>
      </w:r>
      <w:r>
        <w:rPr>
          <w:rFonts w:eastAsia="Times New Roman"/>
          <w:color w:val="000000"/>
          <w:sz w:val="20"/>
          <w:szCs w:val="20"/>
        </w:rPr>
        <w:t xml:space="preserve"> the Company’s strong financial performance, and investments in strategic initiatives. The costs related to the COVID-19 pandemic were approximately $82 million during the first nine months of fiscal 2020 which includes appreciation wages for frontline tea</w:t>
      </w:r>
      <w:r>
        <w:rPr>
          <w:rFonts w:eastAsia="Times New Roman"/>
          <w:color w:val="000000"/>
          <w:sz w:val="20"/>
          <w:szCs w:val="20"/>
        </w:rPr>
        <w:t>m members as well as additional labor hours and supply costs dedicated to cleaning and sanitation to enhance the health and safety of team members and customers.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Operating income for the first nine months of fiscal 2020 increased 47.0% to $812.5 million compared to $552.8 million in the first nine months of fiscal 2019.</w:t>
      </w:r>
      <w:r>
        <w:rPr>
          <w:rFonts w:eastAsia="Times New Roman"/>
          <w:color w:val="000000"/>
          <w:sz w:val="20"/>
          <w:szCs w:val="20"/>
        </w:rPr>
        <w:t xml:space="preserve"> </w:t>
      </w:r>
    </w:p>
    <w:p w:rsidR="00000000" w:rsidRDefault="00480785">
      <w:pPr>
        <w:jc w:val="center"/>
        <w:divId w:val="711421738"/>
        <w:rPr>
          <w:rFonts w:eastAsia="Times New Roman"/>
        </w:rPr>
      </w:pPr>
      <w:r>
        <w:rPr>
          <w:rFonts w:eastAsia="Times New Roman"/>
          <w:color w:val="000000"/>
          <w:sz w:val="20"/>
          <w:szCs w:val="20"/>
        </w:rPr>
        <w:t>Page 2</w:t>
      </w:r>
      <w:r>
        <w:rPr>
          <w:rFonts w:eastAsia="Times New Roman"/>
          <w:color w:val="000000"/>
          <w:sz w:val="20"/>
          <w:szCs w:val="20"/>
        </w:rPr>
        <w:t>3</w:t>
      </w:r>
    </w:p>
    <w:p w:rsidR="00000000" w:rsidRDefault="00480785">
      <w:pPr>
        <w:rPr>
          <w:rFonts w:eastAsia="Times New Roman"/>
        </w:rPr>
      </w:pPr>
      <w:r>
        <w:rPr>
          <w:rFonts w:eastAsia="Times New Roman"/>
        </w:rPr>
        <w:pict>
          <v:rect id="_x0000_i1048" style="width:0;height:1.5pt" o:hralign="center" o:hrstd="t" o:hr="t" fillcolor="#a0a0a0" stroked="f"/>
        </w:pict>
      </w:r>
    </w:p>
    <w:p w:rsidR="00000000" w:rsidRDefault="00480785">
      <w:pPr>
        <w:divId w:val="1037775800"/>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effective income tax rate was 22.6% in the first nine months of fiscal 2020 compared to 22.2% in the first nine months of fiscal 2019.  The primary driver for the increase in the Company’s effective income tax rate was attributable to a</w:t>
      </w:r>
      <w:r>
        <w:rPr>
          <w:rFonts w:eastAsia="Times New Roman"/>
          <w:color w:val="000000"/>
          <w:sz w:val="20"/>
          <w:szCs w:val="20"/>
        </w:rPr>
        <w:t xml:space="preserve"> reduction in the impact of the tax benefit associated with share-based compensation. The Company expects the full fiscal year 2020 effective tax rate to be in a range between 22.5% and 22.7%. The CARES Act was enacted in the U.S. on March 27, 2020. We do </w:t>
      </w:r>
      <w:r>
        <w:rPr>
          <w:rFonts w:eastAsia="Times New Roman"/>
          <w:color w:val="000000"/>
          <w:sz w:val="20"/>
          <w:szCs w:val="20"/>
        </w:rPr>
        <w:t>not anticipate that the enactment of this legislation will significantly impact our full year effective tax rate in fiscal 2020; however, the legislation resulted in the deferral of certain tax payments.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As a result of the foregoing factors, net income </w:t>
      </w:r>
      <w:r>
        <w:rPr>
          <w:rFonts w:eastAsia="Times New Roman"/>
          <w:color w:val="000000"/>
          <w:sz w:val="20"/>
          <w:szCs w:val="20"/>
        </w:rPr>
        <w:t>increased 46.6% to $613.1 million from $418.2 million in the first nine months of fiscal 2019, and diluted earnings per share increased 51.6% to $5.23 from $3.45 in the first nine months of fiscal 2019</w:t>
      </w:r>
      <w:r>
        <w:rPr>
          <w:rFonts w:eastAsia="Times New Roman"/>
          <w:color w:val="000000"/>
          <w:sz w:val="20"/>
          <w:szCs w:val="20"/>
        </w:rPr>
        <w:t>.</w:t>
      </w:r>
    </w:p>
    <w:p w:rsidR="00000000" w:rsidRDefault="00480785">
      <w:pPr>
        <w:jc w:val="both"/>
        <w:rPr>
          <w:rFonts w:eastAsia="Times New Roman"/>
        </w:rPr>
      </w:pPr>
    </w:p>
    <w:p w:rsidR="00000000" w:rsidRDefault="00480785">
      <w:pPr>
        <w:divId w:val="1755590754"/>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In addition to no</w:t>
      </w:r>
      <w:r>
        <w:rPr>
          <w:rFonts w:eastAsia="Times New Roman"/>
          <w:color w:val="000000"/>
          <w:sz w:val="20"/>
          <w:szCs w:val="20"/>
        </w:rPr>
        <w:t>rmal operating expenses, our primary ongoing cash requirements are for new store expansion, remodeling and relocation programs, distribution facility capacity and improvements, information technology, inventory purchases, repayment of existing borrowings u</w:t>
      </w:r>
      <w:r>
        <w:rPr>
          <w:rFonts w:eastAsia="Times New Roman"/>
          <w:color w:val="000000"/>
          <w:sz w:val="20"/>
          <w:szCs w:val="20"/>
        </w:rPr>
        <w:t>nder our debt facilities, share repurchases, cash dividends, and selective acquisitions as opportunities arise. </w:t>
      </w:r>
      <w:r>
        <w:rPr>
          <w:rFonts w:eastAsia="Times New Roman"/>
          <w:color w:val="000000"/>
          <w:sz w:val="20"/>
          <w:szCs w:val="20"/>
        </w:rPr>
        <w:t>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Our primary ongoing sources of liquidity are existing cash balances, cash provided from operations, remaining funds available under our debt</w:t>
      </w:r>
      <w:r>
        <w:rPr>
          <w:rFonts w:eastAsia="Times New Roman"/>
          <w:color w:val="000000"/>
          <w:sz w:val="20"/>
          <w:szCs w:val="20"/>
        </w:rPr>
        <w:t xml:space="preserve"> facilities, finance and operating leases, and normal trade credit.  Our inventory and accounts payable levels typically build in the first and third fiscal quarters to support the higher sales volume of the spring and cold-weather selling seasons, respect</w:t>
      </w:r>
      <w:r>
        <w:rPr>
          <w:rFonts w:eastAsia="Times New Roman"/>
          <w:color w:val="000000"/>
          <w:sz w:val="20"/>
          <w:szCs w:val="20"/>
        </w:rPr>
        <w:t>ively</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The Company believes that its existing cash balances, expected cash flow from future operations, funds available under its debt facilities, finance and operating leases, and normal trade credit will be sufficient to fund its operations, including </w:t>
      </w:r>
      <w:r>
        <w:rPr>
          <w:rFonts w:eastAsia="Times New Roman"/>
          <w:color w:val="000000"/>
          <w:sz w:val="20"/>
          <w:szCs w:val="20"/>
        </w:rPr>
        <w:t>increased expenses associated with COVID-19, and its capital expenditure needs, including new store openings, store acquisitions, relocations and renovations, distribution facility capacity, and information technology improvements, through the end of fisca</w:t>
      </w:r>
      <w:r>
        <w:rPr>
          <w:rFonts w:eastAsia="Times New Roman"/>
          <w:color w:val="000000"/>
          <w:sz w:val="20"/>
          <w:szCs w:val="20"/>
        </w:rPr>
        <w:t>l 2020</w:t>
      </w:r>
      <w:r>
        <w:rPr>
          <w:rFonts w:eastAsia="Times New Roman"/>
          <w:color w:val="000000"/>
          <w:sz w:val="20"/>
          <w:szCs w:val="20"/>
        </w:rPr>
        <w:t>.</w:t>
      </w:r>
    </w:p>
    <w:p w:rsidR="00000000" w:rsidRDefault="00480785">
      <w:pPr>
        <w:jc w:val="both"/>
        <w:rPr>
          <w:rFonts w:eastAsia="Times New Roman"/>
        </w:rPr>
      </w:pPr>
    </w:p>
    <w:p w:rsidR="00000000" w:rsidRDefault="00480785">
      <w:pPr>
        <w:divId w:val="918170070"/>
        <w:rPr>
          <w:rFonts w:eastAsia="Times New Roman"/>
        </w:rPr>
      </w:pPr>
      <w:r>
        <w:rPr>
          <w:rFonts w:eastAsia="Times New Roman"/>
          <w:b/>
          <w:bCs/>
          <w:color w:val="000000"/>
          <w:sz w:val="20"/>
          <w:szCs w:val="20"/>
        </w:rPr>
        <w:t>Working Capita</w:t>
      </w:r>
      <w:r>
        <w:rPr>
          <w:rFonts w:eastAsia="Times New Roman"/>
          <w:b/>
          <w:bCs/>
          <w:color w:val="000000"/>
          <w:sz w:val="20"/>
          <w:szCs w:val="20"/>
        </w:rPr>
        <w:t>l</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At September 26, 2020, the Company had working capital of $1.04 billion, which increased $498.0 million from December 28, 2019, and increased $284.5 million from September 28, 2019.  The shifts in working capital were attributab</w:t>
      </w:r>
      <w:r>
        <w:rPr>
          <w:rFonts w:eastAsia="Times New Roman"/>
          <w:color w:val="000000"/>
          <w:sz w:val="20"/>
          <w:szCs w:val="20"/>
        </w:rPr>
        <w:t>le to changes in the following components of current assets and current liabilities (in millions)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39"/>
        <w:gridCol w:w="2945"/>
        <w:gridCol w:w="38"/>
        <w:gridCol w:w="136"/>
        <w:gridCol w:w="888"/>
        <w:gridCol w:w="41"/>
        <w:gridCol w:w="36"/>
        <w:gridCol w:w="36"/>
        <w:gridCol w:w="36"/>
        <w:gridCol w:w="136"/>
        <w:gridCol w:w="833"/>
        <w:gridCol w:w="41"/>
        <w:gridCol w:w="36"/>
        <w:gridCol w:w="36"/>
        <w:gridCol w:w="36"/>
        <w:gridCol w:w="135"/>
        <w:gridCol w:w="665"/>
        <w:gridCol w:w="41"/>
        <w:gridCol w:w="36"/>
        <w:gridCol w:w="36"/>
        <w:gridCol w:w="36"/>
        <w:gridCol w:w="136"/>
        <w:gridCol w:w="881"/>
        <w:gridCol w:w="41"/>
        <w:gridCol w:w="36"/>
        <w:gridCol w:w="36"/>
        <w:gridCol w:w="36"/>
        <w:gridCol w:w="135"/>
        <w:gridCol w:w="665"/>
        <w:gridCol w:w="41"/>
      </w:tblGrid>
      <w:tr w:rsidR="00000000">
        <w:trPr>
          <w:divId w:val="643004168"/>
        </w:trPr>
        <w:tc>
          <w:tcPr>
            <w:tcW w:w="50" w:type="pct"/>
            <w:vAlign w:val="center"/>
            <w:hideMark/>
          </w:tcPr>
          <w:p w:rsidR="00000000" w:rsidRDefault="00480785">
            <w:pPr>
              <w:jc w:val="both"/>
              <w:rPr>
                <w:rFonts w:eastAsia="Times New Roman"/>
              </w:rPr>
            </w:pPr>
          </w:p>
        </w:tc>
        <w:tc>
          <w:tcPr>
            <w:tcW w:w="185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3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643004168"/>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r>
      <w:tr w:rsidR="00000000">
        <w:trPr>
          <w:divId w:val="643004168"/>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Current assets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r>
      <w:tr w:rsidR="00000000">
        <w:trPr>
          <w:divId w:val="643004168"/>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1,112.0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1,027.8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1,029.4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1,915.0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1,602.8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312.2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1,812.8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136.1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Income taxes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FFFFFF"/>
            <w:tcMar>
              <w:top w:w="30" w:type="dxa"/>
              <w:left w:w="585"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3,170.9</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1,787.9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1,383.0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2,005.5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1,165.4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Current liabilities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right"/>
              <w:rPr>
                <w:rFonts w:eastAsia="Times New Roman"/>
              </w:rPr>
            </w:pPr>
            <w:r>
              <w:rPr>
                <w:rFonts w:eastAsia="Times New Roman"/>
                <w:color w:val="000000"/>
                <w:sz w:val="20"/>
                <w:szCs w:val="20"/>
              </w:rPr>
              <w:t> </w:t>
            </w:r>
          </w:p>
        </w:tc>
      </w:tr>
      <w:tr w:rsidR="00000000">
        <w:trPr>
          <w:divId w:val="643004168"/>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1,056.9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643.0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679.8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377.1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274.2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247.7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218.8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Current portion of 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380.0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Current portion of finance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Current portion of operating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294.8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277.1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270.0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Income taxes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vAlign w:val="center"/>
            <w:hideMark/>
          </w:tcPr>
          <w:p w:rsidR="00000000" w:rsidRDefault="00480785">
            <w:pPr>
              <w:jc w:val="right"/>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643004168"/>
        </w:trPr>
        <w:tc>
          <w:tcPr>
            <w:tcW w:w="0" w:type="auto"/>
            <w:gridSpan w:val="3"/>
            <w:shd w:val="clear" w:color="auto" w:fill="CCEEFF"/>
            <w:tcMar>
              <w:top w:w="30" w:type="dxa"/>
              <w:left w:w="585"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2,132.6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1,247.6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885.0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1,251.7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880.9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643004168"/>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Working capita</w:t>
            </w:r>
            <w:r>
              <w:rPr>
                <w:rFonts w:eastAsia="Times New Roman"/>
                <w:b/>
                <w:bCs/>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1,038.3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540.3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498.0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753.8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284.5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bl>
    <w:p w:rsidR="00000000" w:rsidRDefault="00480785">
      <w:pPr>
        <w:jc w:val="both"/>
        <w:rPr>
          <w:rFonts w:eastAsia="Times New Roman"/>
        </w:rPr>
      </w:pPr>
    </w:p>
    <w:p w:rsidR="00000000" w:rsidRDefault="00480785">
      <w:pPr>
        <w:jc w:val="center"/>
        <w:divId w:val="649362756"/>
        <w:rPr>
          <w:rFonts w:eastAsia="Times New Roman"/>
        </w:rPr>
      </w:pPr>
      <w:r>
        <w:rPr>
          <w:rFonts w:eastAsia="Times New Roman"/>
          <w:color w:val="000000"/>
          <w:sz w:val="20"/>
          <w:szCs w:val="20"/>
        </w:rPr>
        <w:t>Page 2</w:t>
      </w:r>
      <w:r>
        <w:rPr>
          <w:rFonts w:eastAsia="Times New Roman"/>
          <w:color w:val="000000"/>
          <w:sz w:val="20"/>
          <w:szCs w:val="20"/>
        </w:rPr>
        <w:t>4</w:t>
      </w:r>
    </w:p>
    <w:p w:rsidR="00000000" w:rsidRDefault="00480785">
      <w:pPr>
        <w:rPr>
          <w:rFonts w:eastAsia="Times New Roman"/>
        </w:rPr>
      </w:pPr>
      <w:r>
        <w:rPr>
          <w:rFonts w:eastAsia="Times New Roman"/>
        </w:rPr>
        <w:pict>
          <v:rect id="_x0000_i1049" style="width:0;height:1.5pt" o:hralign="center" o:hrstd="t" o:hr="t" fillcolor="#a0a0a0" stroked="f"/>
        </w:pict>
      </w:r>
    </w:p>
    <w:p w:rsidR="00000000" w:rsidRDefault="00480785">
      <w:pPr>
        <w:divId w:val="1963918712"/>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In comparison to December 28, 2019, working capital as of September 26, 2020, was impacted most significantly by changes in cash and cash equivalents, inventories, accounts payable, current portion of long-term debt, and accrued emplo</w:t>
      </w:r>
      <w:r>
        <w:rPr>
          <w:rFonts w:eastAsia="Times New Roman"/>
          <w:color w:val="000000"/>
          <w:sz w:val="20"/>
          <w:szCs w:val="20"/>
        </w:rPr>
        <w:t>yee compensation</w:t>
      </w:r>
      <w:r>
        <w:rPr>
          <w:rFonts w:eastAsia="Times New Roman"/>
          <w:color w:val="000000"/>
          <w:sz w:val="20"/>
          <w:szCs w:val="20"/>
        </w:rPr>
        <w:t>.</w:t>
      </w:r>
    </w:p>
    <w:p w:rsidR="00000000" w:rsidRDefault="00480785">
      <w:pPr>
        <w:jc w:val="both"/>
        <w:rPr>
          <w:rFonts w:eastAsia="Times New Roman"/>
        </w:rPr>
      </w:pPr>
    </w:p>
    <w:p w:rsidR="00000000" w:rsidRDefault="00480785">
      <w:pPr>
        <w:ind w:hanging="180"/>
        <w:jc w:val="both"/>
        <w:rPr>
          <w:rFonts w:eastAsia="Times New Roman"/>
        </w:rPr>
      </w:pPr>
      <w:r>
        <w:rPr>
          <w:rFonts w:eastAsia="Times New Roman"/>
          <w:color w:val="000000"/>
          <w:sz w:val="20"/>
          <w:szCs w:val="20"/>
        </w:rPr>
        <w:t>•</w:t>
      </w:r>
      <w:r>
        <w:rPr>
          <w:rFonts w:eastAsia="Times New Roman"/>
          <w:color w:val="000000"/>
          <w:sz w:val="20"/>
          <w:szCs w:val="20"/>
        </w:rPr>
        <w:t>The increase in cash and cash equivalents was driven by significant net cash provided by operating activities in the first nine months of fiscal 2020 and an increase in borrowings, net of repayments, under our debt facilities as we sought to strengthen liq</w:t>
      </w:r>
      <w:r>
        <w:rPr>
          <w:rFonts w:eastAsia="Times New Roman"/>
          <w:color w:val="000000"/>
          <w:sz w:val="20"/>
          <w:szCs w:val="20"/>
        </w:rPr>
        <w:t>uidity and preserve cash while navigating the COVID-19 pandemic. These increases in cash and cash equivalents were partially offset by share repurchases, capital expenditures to support our strategic growth, and cash dividends paid to stockholders</w:t>
      </w:r>
      <w:r>
        <w:rPr>
          <w:rFonts w:eastAsia="Times New Roman"/>
          <w:color w:val="000000"/>
          <w:sz w:val="20"/>
          <w:szCs w:val="20"/>
        </w:rPr>
        <w:t>.</w:t>
      </w:r>
    </w:p>
    <w:p w:rsidR="00000000" w:rsidRDefault="00480785">
      <w:pPr>
        <w:ind w:hanging="180"/>
        <w:jc w:val="both"/>
        <w:rPr>
          <w:rFonts w:eastAsia="Times New Roman"/>
        </w:rPr>
      </w:pPr>
      <w:r>
        <w:rPr>
          <w:rFonts w:eastAsia="Times New Roman"/>
          <w:color w:val="000000"/>
          <w:sz w:val="20"/>
          <w:szCs w:val="20"/>
        </w:rPr>
        <w:t>•</w:t>
      </w:r>
      <w:r>
        <w:rPr>
          <w:rFonts w:eastAsia="Times New Roman"/>
          <w:color w:val="000000"/>
          <w:sz w:val="20"/>
          <w:szCs w:val="20"/>
        </w:rPr>
        <w:t>The in</w:t>
      </w:r>
      <w:r>
        <w:rPr>
          <w:rFonts w:eastAsia="Times New Roman"/>
          <w:color w:val="000000"/>
          <w:sz w:val="20"/>
          <w:szCs w:val="20"/>
        </w:rPr>
        <w:t>crease in inventories resulted primarily from an increase in average inventory per store due to normal seasonal patterns as well as the purchase of additional inventory to support new store growth.</w:t>
      </w:r>
      <w:r>
        <w:rPr>
          <w:rFonts w:eastAsia="Times New Roman"/>
          <w:color w:val="000000"/>
          <w:sz w:val="20"/>
          <w:szCs w:val="20"/>
        </w:rPr>
        <w:t xml:space="preserve"> </w:t>
      </w:r>
    </w:p>
    <w:p w:rsidR="00000000" w:rsidRDefault="00480785">
      <w:pPr>
        <w:ind w:hanging="180"/>
        <w:jc w:val="both"/>
        <w:rPr>
          <w:rFonts w:eastAsia="Times New Roman"/>
        </w:rPr>
      </w:pPr>
      <w:r>
        <w:rPr>
          <w:rFonts w:eastAsia="Times New Roman"/>
          <w:color w:val="000000"/>
          <w:sz w:val="20"/>
          <w:szCs w:val="20"/>
        </w:rPr>
        <w:t>•</w:t>
      </w:r>
      <w:r>
        <w:rPr>
          <w:rFonts w:eastAsia="Times New Roman"/>
          <w:color w:val="000000"/>
          <w:sz w:val="20"/>
          <w:szCs w:val="20"/>
        </w:rPr>
        <w:t>The increase in accounts payable was strongly correlated</w:t>
      </w:r>
      <w:r>
        <w:rPr>
          <w:rFonts w:eastAsia="Times New Roman"/>
          <w:color w:val="000000"/>
          <w:sz w:val="20"/>
          <w:szCs w:val="20"/>
        </w:rPr>
        <w:t xml:space="preserve"> to the significant increase in inventory as well as strong comparable store sales during the third quarter of fiscal 2020. The sales performance during the third quarter drove an increase in inventory purchases and produced high inventory turns, resulting</w:t>
      </w:r>
      <w:r>
        <w:rPr>
          <w:rFonts w:eastAsia="Times New Roman"/>
          <w:color w:val="000000"/>
          <w:sz w:val="20"/>
          <w:szCs w:val="20"/>
        </w:rPr>
        <w:t xml:space="preserve"> in an increase in the amount of inventory purchases that remain in accounts payable at quarter end.</w:t>
      </w:r>
      <w:r>
        <w:rPr>
          <w:rFonts w:eastAsia="Times New Roman"/>
          <w:color w:val="000000"/>
          <w:sz w:val="20"/>
          <w:szCs w:val="20"/>
        </w:rPr>
        <w:t xml:space="preserve"> </w:t>
      </w:r>
    </w:p>
    <w:p w:rsidR="00000000" w:rsidRDefault="00480785">
      <w:pPr>
        <w:ind w:hanging="180"/>
        <w:divId w:val="627274708"/>
        <w:rPr>
          <w:rFonts w:eastAsia="Times New Roman"/>
        </w:rPr>
      </w:pPr>
      <w:r>
        <w:rPr>
          <w:rFonts w:eastAsia="Times New Roman"/>
          <w:color w:val="000000"/>
          <w:sz w:val="20"/>
          <w:szCs w:val="20"/>
        </w:rPr>
        <w:t>•</w:t>
      </w:r>
      <w:r>
        <w:rPr>
          <w:rFonts w:eastAsia="Times New Roman"/>
          <w:color w:val="000000"/>
          <w:sz w:val="20"/>
          <w:szCs w:val="20"/>
        </w:rPr>
        <w:t xml:space="preserve">The increase in the current portion of long-term debt was related to the new $350 million April 2020 Term Loan borrowing, which was executed in order to </w:t>
      </w:r>
      <w:r>
        <w:rPr>
          <w:rFonts w:eastAsia="Times New Roman"/>
          <w:color w:val="000000"/>
          <w:sz w:val="20"/>
          <w:szCs w:val="20"/>
        </w:rPr>
        <w:t>strengthen liquidity and preserve cash while navigating the COVID-19 pandemic</w:t>
      </w:r>
      <w:r>
        <w:rPr>
          <w:rFonts w:eastAsia="Times New Roman"/>
          <w:color w:val="000000"/>
          <w:sz w:val="20"/>
          <w:szCs w:val="20"/>
        </w:rPr>
        <w:t>.</w:t>
      </w:r>
    </w:p>
    <w:p w:rsidR="00000000" w:rsidRDefault="00480785">
      <w:pPr>
        <w:ind w:hanging="180"/>
        <w:divId w:val="1098673937"/>
        <w:rPr>
          <w:rFonts w:eastAsia="Times New Roman"/>
        </w:rPr>
      </w:pPr>
      <w:r>
        <w:rPr>
          <w:rFonts w:eastAsia="Times New Roman"/>
          <w:color w:val="000000"/>
          <w:sz w:val="20"/>
          <w:szCs w:val="20"/>
        </w:rPr>
        <w:t>•</w:t>
      </w:r>
      <w:r>
        <w:rPr>
          <w:rFonts w:eastAsia="Times New Roman"/>
          <w:color w:val="000000"/>
          <w:sz w:val="20"/>
          <w:szCs w:val="20"/>
        </w:rPr>
        <w:t>The increase in accrued employee compensation was primarily due to incentive accruals given the strong year-to-date financial performance in fiscal 2020 and, to a lesser extent</w:t>
      </w:r>
      <w:r>
        <w:rPr>
          <w:rFonts w:eastAsia="Times New Roman"/>
          <w:color w:val="000000"/>
          <w:sz w:val="20"/>
          <w:szCs w:val="20"/>
        </w:rPr>
        <w:t>, the timing of other payroll accruals and related payments.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In comparison to September 28, 2019, working capital as of September </w:t>
      </w:r>
      <w:r>
        <w:rPr>
          <w:rFonts w:eastAsia="Times New Roman"/>
          <w:color w:val="000000"/>
          <w:sz w:val="20"/>
          <w:szCs w:val="20"/>
        </w:rPr>
        <w:t>26, 2020, was impacted most significantly by changes in cash and cash equivalents, inventories, accounts payable, current portion of long-term debt, and accrued employee compensation</w:t>
      </w:r>
      <w:r>
        <w:rPr>
          <w:rFonts w:eastAsia="Times New Roman"/>
          <w:color w:val="000000"/>
          <w:sz w:val="20"/>
          <w:szCs w:val="20"/>
        </w:rPr>
        <w:t>.</w:t>
      </w:r>
    </w:p>
    <w:p w:rsidR="00000000" w:rsidRDefault="00480785">
      <w:pPr>
        <w:jc w:val="both"/>
        <w:rPr>
          <w:rFonts w:eastAsia="Times New Roman"/>
        </w:rPr>
      </w:pPr>
    </w:p>
    <w:p w:rsidR="00000000" w:rsidRDefault="00480785">
      <w:pPr>
        <w:ind w:hanging="180"/>
        <w:jc w:val="both"/>
        <w:rPr>
          <w:rFonts w:eastAsia="Times New Roman"/>
        </w:rPr>
      </w:pPr>
      <w:r>
        <w:rPr>
          <w:rFonts w:eastAsia="Times New Roman"/>
          <w:color w:val="000000"/>
          <w:sz w:val="20"/>
          <w:szCs w:val="20"/>
        </w:rPr>
        <w:t>•</w:t>
      </w:r>
      <w:r>
        <w:rPr>
          <w:rFonts w:eastAsia="Times New Roman"/>
          <w:color w:val="000000"/>
          <w:sz w:val="20"/>
          <w:szCs w:val="20"/>
        </w:rPr>
        <w:t>The increase in cash and cash equivalents was driven by a significant</w:t>
      </w:r>
      <w:r>
        <w:rPr>
          <w:rFonts w:eastAsia="Times New Roman"/>
          <w:color w:val="000000"/>
          <w:sz w:val="20"/>
          <w:szCs w:val="20"/>
        </w:rPr>
        <w:t xml:space="preserve"> year-over-year increase in net cash provided by operating activities as well as an increase in borrowings, net of repayments, under our debt facilities and a reduced amount of year-over-year share repurchases as we sought to strengthen liquidity and prese</w:t>
      </w:r>
      <w:r>
        <w:rPr>
          <w:rFonts w:eastAsia="Times New Roman"/>
          <w:color w:val="000000"/>
          <w:sz w:val="20"/>
          <w:szCs w:val="20"/>
        </w:rPr>
        <w:t>rve cash while navigating the COVID-19 pandemic.</w:t>
      </w:r>
      <w:r>
        <w:rPr>
          <w:rFonts w:eastAsia="Times New Roman"/>
          <w:color w:val="000000"/>
          <w:sz w:val="20"/>
          <w:szCs w:val="20"/>
        </w:rPr>
        <w:t xml:space="preserve"> </w:t>
      </w:r>
    </w:p>
    <w:p w:rsidR="00000000" w:rsidRDefault="00480785">
      <w:pPr>
        <w:ind w:hanging="180"/>
        <w:jc w:val="both"/>
        <w:rPr>
          <w:rFonts w:eastAsia="Times New Roman"/>
        </w:rPr>
      </w:pPr>
      <w:r>
        <w:rPr>
          <w:rFonts w:eastAsia="Times New Roman"/>
          <w:color w:val="000000"/>
          <w:sz w:val="20"/>
          <w:szCs w:val="20"/>
        </w:rPr>
        <w:t>•</w:t>
      </w:r>
      <w:r>
        <w:rPr>
          <w:rFonts w:eastAsia="Times New Roman"/>
          <w:color w:val="000000"/>
          <w:sz w:val="20"/>
          <w:szCs w:val="20"/>
        </w:rPr>
        <w:t>The increase in inventories resulted primarily from the purchase of additional inventory to support new store growth as average inventory per store did not fluctuate significantly year-over-year.</w:t>
      </w:r>
      <w:r>
        <w:rPr>
          <w:rFonts w:eastAsia="Times New Roman"/>
          <w:color w:val="000000"/>
          <w:sz w:val="20"/>
          <w:szCs w:val="20"/>
        </w:rPr>
        <w:t xml:space="preserve"> </w:t>
      </w:r>
    </w:p>
    <w:p w:rsidR="00000000" w:rsidRDefault="00480785">
      <w:pPr>
        <w:ind w:hanging="180"/>
        <w:jc w:val="both"/>
        <w:rPr>
          <w:rFonts w:eastAsia="Times New Roman"/>
        </w:rPr>
      </w:pPr>
      <w:r>
        <w:rPr>
          <w:rFonts w:eastAsia="Times New Roman"/>
          <w:color w:val="000000"/>
          <w:sz w:val="20"/>
          <w:szCs w:val="20"/>
        </w:rPr>
        <w:t>•</w:t>
      </w:r>
      <w:r>
        <w:rPr>
          <w:rFonts w:eastAsia="Times New Roman"/>
          <w:color w:val="000000"/>
          <w:sz w:val="20"/>
          <w:szCs w:val="20"/>
        </w:rPr>
        <w:t>The inc</w:t>
      </w:r>
      <w:r>
        <w:rPr>
          <w:rFonts w:eastAsia="Times New Roman"/>
          <w:color w:val="000000"/>
          <w:sz w:val="20"/>
          <w:szCs w:val="20"/>
        </w:rPr>
        <w:t>rease in accounts payable resulted primarily from the purchase of additional inventory to support new store growth and increased sales volumes during the third quarter of fiscal 2020. However, the inventory balance did not increase at the same rate as acco</w:t>
      </w:r>
      <w:r>
        <w:rPr>
          <w:rFonts w:eastAsia="Times New Roman"/>
          <w:color w:val="000000"/>
          <w:sz w:val="20"/>
          <w:szCs w:val="20"/>
        </w:rPr>
        <w:t>unts payable due to the significant increase in sales and inventory turns in the third quarter of fiscal 2020 which resulted in a year-over-year increase in the amount of inventory purchases that remain in accounts payable at quarter end</w:t>
      </w:r>
      <w:r>
        <w:rPr>
          <w:rFonts w:eastAsia="Times New Roman"/>
          <w:color w:val="000000"/>
          <w:sz w:val="20"/>
          <w:szCs w:val="20"/>
        </w:rPr>
        <w:t>.</w:t>
      </w:r>
    </w:p>
    <w:p w:rsidR="00000000" w:rsidRDefault="00480785">
      <w:pPr>
        <w:ind w:hanging="180"/>
        <w:jc w:val="both"/>
        <w:rPr>
          <w:rFonts w:eastAsia="Times New Roman"/>
        </w:rPr>
      </w:pPr>
      <w:r>
        <w:rPr>
          <w:rFonts w:eastAsia="Times New Roman"/>
          <w:color w:val="000000"/>
          <w:sz w:val="20"/>
          <w:szCs w:val="20"/>
        </w:rPr>
        <w:t>•</w:t>
      </w:r>
      <w:r>
        <w:rPr>
          <w:rFonts w:eastAsia="Times New Roman"/>
          <w:color w:val="000000"/>
          <w:sz w:val="20"/>
          <w:szCs w:val="20"/>
        </w:rPr>
        <w:t xml:space="preserve">The increase in </w:t>
      </w:r>
      <w:r>
        <w:rPr>
          <w:rFonts w:eastAsia="Times New Roman"/>
          <w:color w:val="000000"/>
          <w:sz w:val="20"/>
          <w:szCs w:val="20"/>
        </w:rPr>
        <w:t>the current portion of long-term debt was related to the new $350 million April 2020 Term Loan borrowing, which was executed in order to strengthen liquidity and preserve cash while navigating the COVID-19 pandemic</w:t>
      </w:r>
      <w:r>
        <w:rPr>
          <w:rFonts w:eastAsia="Times New Roman"/>
          <w:color w:val="000000"/>
          <w:sz w:val="20"/>
          <w:szCs w:val="20"/>
        </w:rPr>
        <w:t>.</w:t>
      </w:r>
    </w:p>
    <w:p w:rsidR="00000000" w:rsidRDefault="00480785">
      <w:pPr>
        <w:ind w:hanging="180"/>
        <w:jc w:val="both"/>
        <w:rPr>
          <w:rFonts w:eastAsia="Times New Roman"/>
        </w:rPr>
      </w:pPr>
      <w:r>
        <w:rPr>
          <w:rFonts w:eastAsia="Times New Roman"/>
          <w:color w:val="000000"/>
          <w:sz w:val="20"/>
          <w:szCs w:val="20"/>
        </w:rPr>
        <w:t>•</w:t>
      </w:r>
      <w:r>
        <w:rPr>
          <w:rFonts w:eastAsia="Times New Roman"/>
          <w:color w:val="000000"/>
          <w:sz w:val="20"/>
          <w:szCs w:val="20"/>
        </w:rPr>
        <w:t>The increase in accrued employee compen</w:t>
      </w:r>
      <w:r>
        <w:rPr>
          <w:rFonts w:eastAsia="Times New Roman"/>
          <w:color w:val="000000"/>
          <w:sz w:val="20"/>
          <w:szCs w:val="20"/>
        </w:rPr>
        <w:t>sation was primarily due to higher year-over-year incentive accruals given the strong year-to-date financial performance in fiscal 2020.</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center"/>
        <w:divId w:val="420413836"/>
        <w:rPr>
          <w:rFonts w:eastAsia="Times New Roman"/>
        </w:rPr>
      </w:pPr>
      <w:r>
        <w:rPr>
          <w:rFonts w:eastAsia="Times New Roman"/>
          <w:color w:val="000000"/>
          <w:sz w:val="20"/>
          <w:szCs w:val="20"/>
        </w:rPr>
        <w:t>Page 2</w:t>
      </w:r>
      <w:r>
        <w:rPr>
          <w:rFonts w:eastAsia="Times New Roman"/>
          <w:color w:val="000000"/>
          <w:sz w:val="20"/>
          <w:szCs w:val="20"/>
        </w:rPr>
        <w:t>5</w:t>
      </w:r>
    </w:p>
    <w:p w:rsidR="00000000" w:rsidRDefault="00480785">
      <w:pPr>
        <w:rPr>
          <w:rFonts w:eastAsia="Times New Roman"/>
        </w:rPr>
      </w:pPr>
      <w:r>
        <w:rPr>
          <w:rFonts w:eastAsia="Times New Roman"/>
        </w:rPr>
        <w:pict>
          <v:rect id="_x0000_i1050" style="width:0;height:1.5pt" o:hralign="center" o:hrstd="t" o:hr="t" fillcolor="#a0a0a0" stroked="f"/>
        </w:pict>
      </w:r>
    </w:p>
    <w:p w:rsidR="00000000" w:rsidRDefault="00480785">
      <w:pPr>
        <w:divId w:val="1394113000"/>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b/>
          <w:bCs/>
          <w:color w:val="000000"/>
          <w:sz w:val="20"/>
          <w:szCs w:val="20"/>
        </w:rPr>
        <w:t>Deb</w:t>
      </w:r>
      <w:r>
        <w:rPr>
          <w:rFonts w:eastAsia="Times New Roman"/>
          <w:b/>
          <w:bCs/>
          <w:color w:val="000000"/>
          <w:sz w:val="20"/>
          <w:szCs w:val="20"/>
        </w:rPr>
        <w:t>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w:t>
      </w:r>
      <w:r>
        <w:rPr>
          <w:rFonts w:eastAsia="Times New Roman"/>
          <w:color w:val="000000"/>
          <w:sz w:val="20"/>
          <w:szCs w:val="20"/>
        </w:rPr>
        <w:t>he following table summarizes the Company’s outstanding debt as of the dates indicated (in millions)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4296"/>
        <w:gridCol w:w="39"/>
        <w:gridCol w:w="36"/>
        <w:gridCol w:w="36"/>
        <w:gridCol w:w="36"/>
        <w:gridCol w:w="136"/>
        <w:gridCol w:w="1016"/>
        <w:gridCol w:w="41"/>
        <w:gridCol w:w="36"/>
        <w:gridCol w:w="36"/>
        <w:gridCol w:w="36"/>
        <w:gridCol w:w="136"/>
        <w:gridCol w:w="1017"/>
        <w:gridCol w:w="41"/>
        <w:gridCol w:w="36"/>
        <w:gridCol w:w="36"/>
        <w:gridCol w:w="36"/>
        <w:gridCol w:w="136"/>
        <w:gridCol w:w="1018"/>
        <w:gridCol w:w="41"/>
      </w:tblGrid>
      <w:tr w:rsidR="00000000">
        <w:trPr>
          <w:divId w:val="1547066104"/>
          <w:jc w:val="center"/>
        </w:trPr>
        <w:tc>
          <w:tcPr>
            <w:tcW w:w="50" w:type="pct"/>
            <w:vAlign w:val="center"/>
            <w:hideMark/>
          </w:tcPr>
          <w:p w:rsidR="00000000" w:rsidRDefault="00480785">
            <w:pPr>
              <w:jc w:val="both"/>
              <w:rPr>
                <w:rFonts w:eastAsia="Times New Roman"/>
              </w:rPr>
            </w:pPr>
          </w:p>
        </w:tc>
        <w:tc>
          <w:tcPr>
            <w:tcW w:w="263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7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7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7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547066104"/>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r>
      <w:tr w:rsidR="00000000">
        <w:trPr>
          <w:divId w:val="1547066104"/>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Senior Note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Senior Credit Facility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547066104"/>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February 2016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jc w:val="center"/>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June 2017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March 2020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jc w:val="center"/>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April 2020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jc w:val="center"/>
        </w:trPr>
        <w:tc>
          <w:tcPr>
            <w:tcW w:w="0" w:type="auto"/>
            <w:gridSpan w:val="3"/>
            <w:shd w:val="clear" w:color="auto" w:fill="CCEE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Revolving credit loan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255.0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Total outstanding borrowing</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910.0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397.5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645.0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Less: unamortized debt issuance cost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Total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909.3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396.5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643.9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Less: current portion of long-term deb</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(380.0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b/>
                <w:bCs/>
                <w:color w:val="000000"/>
                <w:sz w:val="20"/>
                <w:szCs w:val="20"/>
              </w:rPr>
              <w:t>Long-term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529.3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366.5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613.9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1547066104"/>
          <w:trHeight w:val="160"/>
          <w:jc w:val="center"/>
        </w:trPr>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547066104"/>
          <w:jc w:val="center"/>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Outstanding letters of credi</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bl>
    <w:p w:rsidR="00000000" w:rsidRDefault="00480785">
      <w:pPr>
        <w:jc w:val="both"/>
        <w:rPr>
          <w:rFonts w:eastAsia="Times New Roman"/>
        </w:rPr>
      </w:pPr>
      <w:r>
        <w:rPr>
          <w:rFonts w:eastAsia="Times New Roman"/>
          <w:color w:val="000000"/>
          <w:sz w:val="20"/>
          <w:szCs w:val="20"/>
        </w:rPr>
        <w:t>For additional information about the Company’s debt and credit facilities, refer to Note 5 to the Condensed Consolidated Financial Statements. Refer to Note 6 to the Condensed Consolidated Financial Statemen</w:t>
      </w:r>
      <w:r>
        <w:rPr>
          <w:rFonts w:eastAsia="Times New Roman"/>
          <w:color w:val="000000"/>
          <w:sz w:val="20"/>
          <w:szCs w:val="20"/>
        </w:rPr>
        <w:t>ts for information about the Company’s interest rate swap agreements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b/>
          <w:bCs/>
          <w:color w:val="000000"/>
          <w:sz w:val="20"/>
          <w:szCs w:val="20"/>
        </w:rPr>
        <w:t>Operating Activitie</w:t>
      </w:r>
      <w:r>
        <w:rPr>
          <w:rFonts w:eastAsia="Times New Roman"/>
          <w:b/>
          <w:bCs/>
          <w:color w:val="000000"/>
          <w:sz w:val="20"/>
          <w:szCs w:val="20"/>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Operating activities provided net cash of $1.0 billion and $414.3 million in the first nine months of fiscal 2020 and fiscal 2019, respectively.  The $590.7 mill</w:t>
      </w:r>
      <w:r>
        <w:rPr>
          <w:rFonts w:eastAsia="Times New Roman"/>
          <w:color w:val="000000"/>
          <w:sz w:val="20"/>
          <w:szCs w:val="20"/>
        </w:rPr>
        <w:t>ion increase in net cash provided by operating activities in the first nine months of fiscal 2020 compared to the first nine months of fiscal 2019 is due to changes in the following operating activities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4528"/>
        <w:gridCol w:w="37"/>
        <w:gridCol w:w="136"/>
        <w:gridCol w:w="881"/>
        <w:gridCol w:w="41"/>
        <w:gridCol w:w="36"/>
        <w:gridCol w:w="36"/>
        <w:gridCol w:w="36"/>
        <w:gridCol w:w="136"/>
        <w:gridCol w:w="881"/>
        <w:gridCol w:w="41"/>
        <w:gridCol w:w="36"/>
        <w:gridCol w:w="36"/>
        <w:gridCol w:w="36"/>
        <w:gridCol w:w="136"/>
        <w:gridCol w:w="736"/>
        <w:gridCol w:w="41"/>
        <w:gridCol w:w="36"/>
        <w:gridCol w:w="36"/>
        <w:gridCol w:w="36"/>
        <w:gridCol w:w="36"/>
        <w:gridCol w:w="36"/>
        <w:gridCol w:w="36"/>
        <w:gridCol w:w="36"/>
        <w:gridCol w:w="36"/>
        <w:gridCol w:w="36"/>
        <w:gridCol w:w="36"/>
        <w:gridCol w:w="36"/>
        <w:gridCol w:w="36"/>
      </w:tblGrid>
      <w:tr w:rsidR="00000000">
        <w:trPr>
          <w:gridAfter w:val="12"/>
          <w:divId w:val="1260602427"/>
        </w:trPr>
        <w:tc>
          <w:tcPr>
            <w:tcW w:w="50" w:type="pct"/>
            <w:vAlign w:val="center"/>
            <w:hideMark/>
          </w:tcPr>
          <w:p w:rsidR="00000000" w:rsidRDefault="00480785">
            <w:pPr>
              <w:jc w:val="both"/>
              <w:rPr>
                <w:rFonts w:eastAsia="Times New Roman"/>
              </w:rPr>
            </w:pPr>
          </w:p>
        </w:tc>
        <w:tc>
          <w:tcPr>
            <w:tcW w:w="301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260602427"/>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1260602427"/>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60602427"/>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613.1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194.9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60602427"/>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60602427"/>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Share-based compensation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60602427"/>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60602427"/>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Inventories and 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265.0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60602427"/>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(35.2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(45.2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60602427"/>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(26.4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60602427"/>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(8.6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60602427"/>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260602427"/>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1,005.0</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414.3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590.7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$590.7 million increase in net cash provided by operating activities in the first nine months of fiscal 2020 compared with the first nine months of fiscal 2019 resulted from a year-over-year increase in our net income as well as the net impact of chang</w:t>
      </w:r>
      <w:r>
        <w:rPr>
          <w:rFonts w:eastAsia="Times New Roman"/>
          <w:color w:val="000000"/>
          <w:sz w:val="20"/>
          <w:szCs w:val="20"/>
        </w:rPr>
        <w:t>es in our operating assets and liabilities, principally due to the timing of accruals and related payments and a significant increase in inventory that remains in accounts payable due to the increased sales volume and inventory turns in the third quarter o</w:t>
      </w:r>
      <w:r>
        <w:rPr>
          <w:rFonts w:eastAsia="Times New Roman"/>
          <w:color w:val="000000"/>
          <w:sz w:val="20"/>
          <w:szCs w:val="20"/>
        </w:rPr>
        <w:t>f fiscal 2020</w:t>
      </w:r>
      <w:r>
        <w:rPr>
          <w:rFonts w:eastAsia="Times New Roman"/>
          <w:color w:val="000000"/>
          <w:sz w:val="20"/>
          <w:szCs w:val="20"/>
        </w:rPr>
        <w:t>.</w:t>
      </w:r>
    </w:p>
    <w:p w:rsidR="00000000" w:rsidRDefault="00480785">
      <w:pPr>
        <w:divId w:val="577715842"/>
        <w:rPr>
          <w:rFonts w:eastAsia="Times New Roman"/>
        </w:rPr>
      </w:pPr>
    </w:p>
    <w:p w:rsidR="00000000" w:rsidRDefault="00480785">
      <w:pPr>
        <w:jc w:val="center"/>
        <w:divId w:val="609162083"/>
        <w:rPr>
          <w:rFonts w:eastAsia="Times New Roman"/>
        </w:rPr>
      </w:pPr>
      <w:r>
        <w:rPr>
          <w:rFonts w:eastAsia="Times New Roman"/>
          <w:color w:val="000000"/>
          <w:sz w:val="20"/>
          <w:szCs w:val="20"/>
        </w:rPr>
        <w:t>Page 2</w:t>
      </w:r>
      <w:r>
        <w:rPr>
          <w:rFonts w:eastAsia="Times New Roman"/>
          <w:color w:val="000000"/>
          <w:sz w:val="20"/>
          <w:szCs w:val="20"/>
        </w:rPr>
        <w:t>6</w:t>
      </w:r>
    </w:p>
    <w:p w:rsidR="00000000" w:rsidRDefault="00480785">
      <w:pPr>
        <w:rPr>
          <w:rFonts w:eastAsia="Times New Roman"/>
        </w:rPr>
      </w:pPr>
      <w:r>
        <w:rPr>
          <w:rFonts w:eastAsia="Times New Roman"/>
        </w:rPr>
        <w:pict>
          <v:rect id="_x0000_i1051" style="width:0;height:1.5pt" o:hralign="center" o:hrstd="t" o:hr="t" fillcolor="#a0a0a0" stroked="f"/>
        </w:pict>
      </w:r>
    </w:p>
    <w:p w:rsidR="00000000" w:rsidRDefault="00480785">
      <w:pPr>
        <w:divId w:val="2098942546"/>
        <w:rPr>
          <w:rFonts w:eastAsia="Times New Roman"/>
        </w:rPr>
      </w:pPr>
      <w:hyperlink w:anchor="i28e74bea7b4a44c78304596dc3e51779_7" w:history="1">
        <w:r>
          <w:rPr>
            <w:rStyle w:val="a3"/>
            <w:rFonts w:eastAsia="Times New Roman"/>
            <w:sz w:val="16"/>
            <w:szCs w:val="16"/>
          </w:rPr>
          <w:t>Index</w:t>
        </w:r>
      </w:hyperlink>
    </w:p>
    <w:p w:rsidR="00000000" w:rsidRDefault="00480785">
      <w:pPr>
        <w:divId w:val="1172141425"/>
        <w:rPr>
          <w:rFonts w:eastAsia="Times New Roman"/>
        </w:rPr>
      </w:pPr>
      <w:r>
        <w:rPr>
          <w:rFonts w:eastAsia="Times New Roman"/>
          <w:b/>
          <w:bCs/>
          <w:color w:val="000000"/>
          <w:sz w:val="20"/>
          <w:szCs w:val="20"/>
        </w:rPr>
        <w:t>Investing Activitie</w:t>
      </w:r>
      <w:r>
        <w:rPr>
          <w:rFonts w:eastAsia="Times New Roman"/>
          <w:b/>
          <w:bCs/>
          <w:color w:val="000000"/>
          <w:sz w:val="20"/>
          <w:szCs w:val="20"/>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Investing activities used net cash of $160.2 million and $142.0 million in the first nine months of fiscal </w:t>
      </w:r>
      <w:r>
        <w:rPr>
          <w:rFonts w:eastAsia="Times New Roman"/>
          <w:color w:val="000000"/>
          <w:sz w:val="20"/>
          <w:szCs w:val="20"/>
        </w:rPr>
        <w:t>2020 and fiscal 2019, respectively. The $18.1 million increase in net cash used in investing activities primarily reflects an increase in capital expenditures in the first nine months of fiscal 2020 compared to fiscal 2019.</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Capital expenditures for the </w:t>
      </w:r>
      <w:r>
        <w:rPr>
          <w:rFonts w:eastAsia="Times New Roman"/>
          <w:color w:val="000000"/>
          <w:sz w:val="20"/>
          <w:szCs w:val="20"/>
        </w:rPr>
        <w:t>first nine months of fiscal 2020 and fiscal 2019 were as follows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8"/>
        <w:gridCol w:w="5743"/>
        <w:gridCol w:w="37"/>
        <w:gridCol w:w="136"/>
        <w:gridCol w:w="903"/>
        <w:gridCol w:w="42"/>
        <w:gridCol w:w="36"/>
        <w:gridCol w:w="36"/>
        <w:gridCol w:w="36"/>
        <w:gridCol w:w="136"/>
        <w:gridCol w:w="880"/>
        <w:gridCol w:w="42"/>
        <w:gridCol w:w="36"/>
        <w:gridCol w:w="36"/>
        <w:gridCol w:w="36"/>
        <w:gridCol w:w="36"/>
        <w:gridCol w:w="36"/>
        <w:gridCol w:w="36"/>
      </w:tblGrid>
      <w:tr w:rsidR="00000000">
        <w:trPr>
          <w:gridAfter w:val="6"/>
          <w:divId w:val="1342467476"/>
        </w:trPr>
        <w:tc>
          <w:tcPr>
            <w:tcW w:w="50" w:type="pct"/>
            <w:vAlign w:val="center"/>
            <w:hideMark/>
          </w:tcPr>
          <w:p w:rsidR="00000000" w:rsidRDefault="00480785">
            <w:pPr>
              <w:jc w:val="both"/>
              <w:rPr>
                <w:rFonts w:eastAsia="Times New Roman"/>
              </w:rPr>
            </w:pPr>
          </w:p>
        </w:tc>
        <w:tc>
          <w:tcPr>
            <w:tcW w:w="360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342467476"/>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1342467476"/>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34246747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Information technolog</w:t>
            </w:r>
            <w:r>
              <w:rPr>
                <w:rFonts w:eastAsia="Times New Roman"/>
                <w:color w:val="000000"/>
                <w:sz w:val="20"/>
                <w:szCs w:val="20"/>
              </w:rPr>
              <w:t>y</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342467476"/>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New and relocated stores and stores not yet opene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34246747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Existing store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342467476"/>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Distribution center capacity and improvement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342467476"/>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Corporate and 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342467476"/>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r>
              <w:rPr>
                <w:rFonts w:eastAsia="Times New Roman"/>
                <w:color w:val="000000"/>
                <w:sz w:val="20"/>
                <w:szCs w:val="20"/>
              </w:rPr>
              <w:t>Total capital expenditure</w:t>
            </w:r>
            <w:r>
              <w:rPr>
                <w:rFonts w:eastAsia="Times New Roman"/>
                <w:color w:val="000000"/>
                <w:sz w:val="20"/>
                <w:szCs w:val="20"/>
              </w:rPr>
              <w:t>s</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161.3</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144.3</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1342467476"/>
        </w:trPr>
        <w:tc>
          <w:tcPr>
            <w:tcW w:w="0" w:type="auto"/>
            <w:gridSpan w:val="3"/>
            <w:vAlign w:val="center"/>
            <w:hideMark/>
          </w:tcPr>
          <w:p w:rsidR="00000000" w:rsidRDefault="00480785">
            <w:pPr>
              <w:jc w:val="right"/>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The spending on information technology represents continued support of our store growth and our omni-channel initiatives, as well as improvements in security and compliance, enhancements to our customer relationship management program, and other strategic </w:t>
      </w:r>
      <w:r>
        <w:rPr>
          <w:rFonts w:eastAsia="Times New Roman"/>
          <w:color w:val="000000"/>
          <w:sz w:val="20"/>
          <w:szCs w:val="20"/>
        </w:rPr>
        <w:t>initiatives. As we continue throughout fiscal 2020, we intend to prioritize our information technology capital expenditures to accelerate initiatives to enhance safety and convenience for customers, including initiatives such as Buy Online, Pickup In Store</w:t>
      </w:r>
      <w:r>
        <w:rPr>
          <w:rFonts w:eastAsia="Times New Roman"/>
          <w:color w:val="000000"/>
          <w:sz w:val="20"/>
          <w:szCs w:val="20"/>
        </w:rPr>
        <w:t>; Buy Online, Deliver from Store; Contactless Curbside Pickup; Contactless Payment capabilities; additional Mobile POS devices in all stores; and improvements to our in-store wireless internet</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In the first nine months of fiscal 2020, the Company opened </w:t>
      </w:r>
      <w:r>
        <w:rPr>
          <w:rFonts w:eastAsia="Times New Roman"/>
          <w:color w:val="000000"/>
          <w:sz w:val="20"/>
          <w:szCs w:val="20"/>
        </w:rPr>
        <w:t xml:space="preserve">61 new Tractor Supply stores compared to 50 new Tractor Supply stores during the first nine months of fiscal 2019. The Company also opened six new Petsense stores during the first nine months of fiscal 2020 compared to three new Petsense stores during the </w:t>
      </w:r>
      <w:r>
        <w:rPr>
          <w:rFonts w:eastAsia="Times New Roman"/>
          <w:color w:val="000000"/>
          <w:sz w:val="20"/>
          <w:szCs w:val="20"/>
        </w:rPr>
        <w:t>first nine months of fiscal 2019. We expect to open approximately 80 new Tractor Supply stores and approximately 10 new Petsense stores during fiscal 2020, but the timing of new store openings in some areas may be delayed as a result of the COVID-19 pandem</w:t>
      </w:r>
      <w:r>
        <w:rPr>
          <w:rFonts w:eastAsia="Times New Roman"/>
          <w:color w:val="000000"/>
          <w:sz w:val="20"/>
          <w:szCs w:val="20"/>
        </w:rPr>
        <w:t>ic, including local and state orders.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Spending for existing stores principally reflects routine refresh activity. However, the increased spend for existing stores in the first nine months of fiscal 2020 as compared to the first nine months of fiscal 201</w:t>
      </w:r>
      <w:r>
        <w:rPr>
          <w:rFonts w:eastAsia="Times New Roman"/>
          <w:color w:val="000000"/>
          <w:sz w:val="20"/>
          <w:szCs w:val="20"/>
        </w:rPr>
        <w:t>9 is driven by strategic initiatives in select stores including security enhancements, space productivity and side lot improvements.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For fiscal 2020, the Company expects capital expenditures to be approximately $300 million to $325 million, as we contin</w:t>
      </w:r>
      <w:r>
        <w:rPr>
          <w:rFonts w:eastAsia="Times New Roman"/>
          <w:color w:val="000000"/>
          <w:sz w:val="20"/>
          <w:szCs w:val="20"/>
        </w:rPr>
        <w:t>ue to support our strategic growth initiatives related to space productivity and side lot improvements in certain existing store locations as well as new technology and service enhancements that are being implemented across the enterprise</w:t>
      </w:r>
      <w:r>
        <w:rPr>
          <w:rFonts w:eastAsia="Times New Roman"/>
          <w:color w:val="000000"/>
          <w:sz w:val="20"/>
          <w:szCs w:val="20"/>
        </w:rPr>
        <w:t>.</w:t>
      </w:r>
    </w:p>
    <w:p w:rsidR="00000000" w:rsidRDefault="00480785">
      <w:pPr>
        <w:jc w:val="both"/>
        <w:rPr>
          <w:rFonts w:eastAsia="Times New Roman"/>
        </w:rPr>
      </w:pPr>
    </w:p>
    <w:p w:rsidR="00000000" w:rsidRDefault="00480785">
      <w:pPr>
        <w:divId w:val="1806777567"/>
        <w:rPr>
          <w:rFonts w:eastAsia="Times New Roman"/>
        </w:rPr>
      </w:pPr>
      <w:r>
        <w:rPr>
          <w:rFonts w:eastAsia="Times New Roman"/>
          <w:b/>
          <w:bCs/>
          <w:color w:val="000000"/>
          <w:sz w:val="20"/>
          <w:szCs w:val="20"/>
        </w:rPr>
        <w:t>Financing Acti</w:t>
      </w:r>
      <w:r>
        <w:rPr>
          <w:rFonts w:eastAsia="Times New Roman"/>
          <w:b/>
          <w:bCs/>
          <w:color w:val="000000"/>
          <w:sz w:val="20"/>
          <w:szCs w:val="20"/>
        </w:rPr>
        <w:t>vitie</w:t>
      </w:r>
      <w:r>
        <w:rPr>
          <w:rFonts w:eastAsia="Times New Roman"/>
          <w:b/>
          <w:bCs/>
          <w:color w:val="000000"/>
          <w:sz w:val="20"/>
          <w:szCs w:val="20"/>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Financing activities provided net cash of $182.9 million in the first nine months of fiscal 2020 compared to using net cash of $276.0 million in the first nine months of fiscal 2019. The $458.9 million change in net cash provided by financing acti</w:t>
      </w:r>
      <w:r>
        <w:rPr>
          <w:rFonts w:eastAsia="Times New Roman"/>
          <w:color w:val="000000"/>
          <w:sz w:val="20"/>
          <w:szCs w:val="20"/>
        </w:rPr>
        <w:t>vities in the first nine months of fiscal 2020 compared to the first nine months of fiscal 2019 is due to changes in the following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8"/>
        <w:gridCol w:w="4529"/>
        <w:gridCol w:w="37"/>
        <w:gridCol w:w="136"/>
        <w:gridCol w:w="881"/>
        <w:gridCol w:w="41"/>
        <w:gridCol w:w="36"/>
        <w:gridCol w:w="36"/>
        <w:gridCol w:w="36"/>
        <w:gridCol w:w="136"/>
        <w:gridCol w:w="881"/>
        <w:gridCol w:w="41"/>
        <w:gridCol w:w="36"/>
        <w:gridCol w:w="36"/>
        <w:gridCol w:w="36"/>
        <w:gridCol w:w="136"/>
        <w:gridCol w:w="736"/>
        <w:gridCol w:w="41"/>
        <w:gridCol w:w="36"/>
        <w:gridCol w:w="36"/>
        <w:gridCol w:w="36"/>
        <w:gridCol w:w="36"/>
        <w:gridCol w:w="36"/>
        <w:gridCol w:w="36"/>
        <w:gridCol w:w="36"/>
        <w:gridCol w:w="36"/>
        <w:gridCol w:w="36"/>
        <w:gridCol w:w="36"/>
        <w:gridCol w:w="36"/>
        <w:gridCol w:w="36"/>
      </w:tblGrid>
      <w:tr w:rsidR="00000000">
        <w:trPr>
          <w:gridAfter w:val="12"/>
          <w:divId w:val="219635423"/>
        </w:trPr>
        <w:tc>
          <w:tcPr>
            <w:tcW w:w="50" w:type="pct"/>
            <w:vAlign w:val="center"/>
            <w:hideMark/>
          </w:tcPr>
          <w:p w:rsidR="00000000" w:rsidRDefault="00480785">
            <w:pPr>
              <w:jc w:val="both"/>
              <w:rPr>
                <w:rFonts w:eastAsia="Times New Roman"/>
              </w:rPr>
            </w:pPr>
          </w:p>
        </w:tc>
        <w:tc>
          <w:tcPr>
            <w:tcW w:w="301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9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9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219635423"/>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r w:rsidR="00000000">
        <w:trPr>
          <w:divId w:val="219635423"/>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19635423"/>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borrowings and repayments under debt facilitie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512.5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236.3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276.2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19635423"/>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Repurchase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(263.2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(490.0</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226.8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19635423"/>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proceeds from issuance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73.8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(31.7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19635423"/>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Cash dividends paid to stockholder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(128.0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19635423"/>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(6.6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(5.6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219635423"/>
        </w:trPr>
        <w:tc>
          <w:tcPr>
            <w:tcW w:w="0" w:type="auto"/>
            <w:gridSpan w:val="3"/>
            <w:shd w:val="clear" w:color="auto" w:fill="FFFFFF"/>
            <w:tcMar>
              <w:top w:w="30" w:type="dxa"/>
              <w:left w:w="225" w:type="dxa"/>
              <w:bottom w:w="30" w:type="dxa"/>
              <w:right w:w="20" w:type="dxa"/>
            </w:tcMar>
            <w:vAlign w:val="bottom"/>
            <w:hideMark/>
          </w:tcPr>
          <w:p w:rsidR="00000000" w:rsidRDefault="00480785">
            <w:pPr>
              <w:rPr>
                <w:rFonts w:eastAsia="Times New Roman"/>
              </w:rPr>
            </w:pPr>
            <w:r>
              <w:rPr>
                <w:rFonts w:eastAsia="Times New Roman"/>
                <w:color w:val="000000"/>
                <w:sz w:val="20"/>
                <w:szCs w:val="20"/>
              </w:rPr>
              <w:t>Net cash provided by/(used in) financing activitie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182.9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(276.0</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458.9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both"/>
        <w:rPr>
          <w:rFonts w:eastAsia="Times New Roman"/>
        </w:rPr>
      </w:pPr>
    </w:p>
    <w:p w:rsidR="00000000" w:rsidRDefault="00480785">
      <w:pPr>
        <w:jc w:val="center"/>
        <w:divId w:val="888149277"/>
        <w:rPr>
          <w:rFonts w:eastAsia="Times New Roman"/>
        </w:rPr>
      </w:pPr>
      <w:r>
        <w:rPr>
          <w:rFonts w:eastAsia="Times New Roman"/>
          <w:color w:val="000000"/>
          <w:sz w:val="20"/>
          <w:szCs w:val="20"/>
        </w:rPr>
        <w:t>Page 2</w:t>
      </w:r>
      <w:r>
        <w:rPr>
          <w:rFonts w:eastAsia="Times New Roman"/>
          <w:color w:val="000000"/>
          <w:sz w:val="20"/>
          <w:szCs w:val="20"/>
        </w:rPr>
        <w:t>7</w:t>
      </w:r>
    </w:p>
    <w:p w:rsidR="00000000" w:rsidRDefault="00480785">
      <w:pPr>
        <w:rPr>
          <w:rFonts w:eastAsia="Times New Roman"/>
        </w:rPr>
      </w:pPr>
      <w:r>
        <w:rPr>
          <w:rFonts w:eastAsia="Times New Roman"/>
        </w:rPr>
        <w:pict>
          <v:rect id="_x0000_i1052" style="width:0;height:1.5pt" o:hralign="center" o:hrstd="t" o:hr="t" fillcolor="#a0a0a0" stroked="f"/>
        </w:pict>
      </w:r>
    </w:p>
    <w:p w:rsidR="00000000" w:rsidRDefault="00480785">
      <w:pPr>
        <w:divId w:val="1008288585"/>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 xml:space="preserve">The $458.9 million change in net cash provided by financing activities in the first nine months of fiscal 2020 compared with the first nine months of fiscal 2019 is due to an increase in net borrowings under debt facilities, which included the addition of </w:t>
      </w:r>
      <w:r>
        <w:rPr>
          <w:rFonts w:eastAsia="Times New Roman"/>
          <w:color w:val="000000"/>
          <w:sz w:val="20"/>
          <w:szCs w:val="20"/>
        </w:rPr>
        <w:t>the $200 million March 2020 Term Loan and the $350 million April 2020 Term Loan as described in Note 5 to the Condensed Consolidated Financial Statements. Additionally, we used less cash for the repurchase of common stock as we have suspended our share rep</w:t>
      </w:r>
      <w:r>
        <w:rPr>
          <w:rFonts w:eastAsia="Times New Roman"/>
          <w:color w:val="000000"/>
          <w:sz w:val="20"/>
          <w:szCs w:val="20"/>
        </w:rPr>
        <w:t>urchase program effective March 12, 2020. The incremental borrowings and suspension of our share repurchase program were both intended to strengthen our liquidity and preserve cash while navigating the COVID-19 pandemic</w:t>
      </w:r>
      <w:r>
        <w:rPr>
          <w:rFonts w:eastAsia="Times New Roman"/>
          <w:color w:val="000000"/>
          <w:sz w:val="20"/>
          <w:szCs w:val="20"/>
        </w:rPr>
        <w:t>.</w:t>
      </w:r>
    </w:p>
    <w:p w:rsidR="00000000" w:rsidRDefault="00480785">
      <w:pPr>
        <w:jc w:val="both"/>
        <w:rPr>
          <w:rFonts w:eastAsia="Times New Roman"/>
        </w:rPr>
      </w:pPr>
    </w:p>
    <w:p w:rsidR="00000000" w:rsidRDefault="00480785">
      <w:pPr>
        <w:divId w:val="941956126"/>
        <w:rPr>
          <w:rFonts w:eastAsia="Times New Roman"/>
        </w:rPr>
      </w:pPr>
      <w:r>
        <w:rPr>
          <w:rFonts w:eastAsia="Times New Roman"/>
          <w:b/>
          <w:bCs/>
          <w:color w:val="000000"/>
          <w:sz w:val="20"/>
          <w:szCs w:val="20"/>
        </w:rPr>
        <w:t>Dividend</w:t>
      </w:r>
      <w:r>
        <w:rPr>
          <w:rFonts w:eastAsia="Times New Roman"/>
          <w:b/>
          <w:bCs/>
          <w:color w:val="000000"/>
          <w:sz w:val="20"/>
          <w:szCs w:val="20"/>
        </w:rPr>
        <w:t>s</w:t>
      </w:r>
    </w:p>
    <w:p w:rsidR="00000000" w:rsidRDefault="00480785">
      <w:pPr>
        <w:divId w:val="1035733408"/>
        <w:rPr>
          <w:rFonts w:eastAsia="Times New Roman"/>
        </w:rPr>
      </w:pPr>
    </w:p>
    <w:p w:rsidR="00000000" w:rsidRDefault="00480785">
      <w:pPr>
        <w:jc w:val="both"/>
        <w:rPr>
          <w:rFonts w:eastAsia="Times New Roman"/>
        </w:rPr>
      </w:pPr>
      <w:r>
        <w:rPr>
          <w:rFonts w:eastAsia="Times New Roman"/>
          <w:color w:val="000000"/>
          <w:sz w:val="20"/>
          <w:szCs w:val="20"/>
        </w:rPr>
        <w:t>During the first nine</w:t>
      </w:r>
      <w:r>
        <w:rPr>
          <w:rFonts w:eastAsia="Times New Roman"/>
          <w:color w:val="000000"/>
          <w:sz w:val="20"/>
          <w:szCs w:val="20"/>
        </w:rPr>
        <w:t xml:space="preserve"> months of fiscal 2020 and fiscal 2019, the Company's Board of Directors declared the following cash dividends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9"/>
        <w:gridCol w:w="2207"/>
        <w:gridCol w:w="36"/>
        <w:gridCol w:w="36"/>
        <w:gridCol w:w="36"/>
        <w:gridCol w:w="36"/>
        <w:gridCol w:w="136"/>
        <w:gridCol w:w="1246"/>
        <w:gridCol w:w="41"/>
        <w:gridCol w:w="36"/>
        <w:gridCol w:w="36"/>
        <w:gridCol w:w="36"/>
        <w:gridCol w:w="38"/>
        <w:gridCol w:w="2239"/>
        <w:gridCol w:w="37"/>
        <w:gridCol w:w="36"/>
        <w:gridCol w:w="36"/>
        <w:gridCol w:w="36"/>
        <w:gridCol w:w="38"/>
        <w:gridCol w:w="1854"/>
        <w:gridCol w:w="36"/>
      </w:tblGrid>
      <w:tr w:rsidR="00000000">
        <w:trPr>
          <w:divId w:val="1913159272"/>
        </w:trPr>
        <w:tc>
          <w:tcPr>
            <w:tcW w:w="50" w:type="pct"/>
            <w:vAlign w:val="center"/>
            <w:hideMark/>
          </w:tcPr>
          <w:p w:rsidR="00000000" w:rsidRDefault="00480785">
            <w:pPr>
              <w:jc w:val="both"/>
              <w:rPr>
                <w:rFonts w:eastAsia="Times New Roman"/>
              </w:rPr>
            </w:pPr>
          </w:p>
        </w:tc>
        <w:tc>
          <w:tcPr>
            <w:tcW w:w="135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78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381"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14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913159272"/>
        </w:trPr>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Date Declare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w:t>
            </w:r>
            <w:r>
              <w:rPr>
                <w:rFonts w:eastAsia="Times New Roman"/>
                <w:b/>
                <w:bCs/>
                <w:color w:val="000000"/>
                <w:sz w:val="20"/>
                <w:szCs w:val="20"/>
              </w:rPr>
              <w:t>k</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Record Dat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Date Pai</w:t>
            </w:r>
            <w:r>
              <w:rPr>
                <w:rFonts w:eastAsia="Times New Roman"/>
                <w:b/>
                <w:bCs/>
                <w:color w:val="000000"/>
                <w:sz w:val="20"/>
                <w:szCs w:val="20"/>
              </w:rPr>
              <w:t>d</w:t>
            </w:r>
          </w:p>
        </w:tc>
      </w:tr>
      <w:tr w:rsidR="00000000">
        <w:trPr>
          <w:divId w:val="191315927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August 5,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August 24,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September 9, 202</w:t>
            </w:r>
            <w:r>
              <w:rPr>
                <w:rFonts w:eastAsia="Times New Roman"/>
                <w:color w:val="000000"/>
                <w:sz w:val="20"/>
                <w:szCs w:val="20"/>
              </w:rPr>
              <w:t>0</w:t>
            </w:r>
          </w:p>
        </w:tc>
      </w:tr>
      <w:tr w:rsidR="00000000">
        <w:trPr>
          <w:divId w:val="1913159272"/>
        </w:trPr>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May 6,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May 26,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June 9, 202</w:t>
            </w:r>
            <w:r>
              <w:rPr>
                <w:rFonts w:eastAsia="Times New Roman"/>
                <w:color w:val="000000"/>
                <w:sz w:val="20"/>
                <w:szCs w:val="20"/>
              </w:rPr>
              <w:t>0</w:t>
            </w:r>
          </w:p>
        </w:tc>
      </w:tr>
      <w:tr w:rsidR="00000000">
        <w:trPr>
          <w:divId w:val="1913159272"/>
        </w:trPr>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February 5,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February 24,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March 10, 202</w:t>
            </w:r>
            <w:r>
              <w:rPr>
                <w:rFonts w:eastAsia="Times New Roman"/>
                <w:color w:val="000000"/>
                <w:sz w:val="20"/>
                <w:szCs w:val="20"/>
              </w:rPr>
              <w:t>0</w:t>
            </w:r>
          </w:p>
        </w:tc>
      </w:tr>
      <w:tr w:rsidR="00000000">
        <w:trPr>
          <w:divId w:val="1913159272"/>
          <w:trHeight w:val="280"/>
        </w:trPr>
        <w:tc>
          <w:tcPr>
            <w:tcW w:w="0" w:type="auto"/>
            <w:gridSpan w:val="3"/>
            <w:shd w:val="clear" w:color="auto" w:fill="FFFF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sz w:val="20"/>
                <w:szCs w:val="20"/>
              </w:rPr>
            </w:pPr>
          </w:p>
        </w:tc>
      </w:tr>
      <w:tr w:rsidR="00000000">
        <w:trPr>
          <w:divId w:val="1913159272"/>
        </w:trPr>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August 7,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August 26,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September 10, 201</w:t>
            </w:r>
            <w:r>
              <w:rPr>
                <w:rFonts w:eastAsia="Times New Roman"/>
                <w:color w:val="000000"/>
                <w:sz w:val="20"/>
                <w:szCs w:val="20"/>
              </w:rPr>
              <w:t>9</w:t>
            </w:r>
          </w:p>
        </w:tc>
      </w:tr>
      <w:tr w:rsidR="00000000">
        <w:trPr>
          <w:divId w:val="1913159272"/>
        </w:trPr>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May 8,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May 28,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June 11, 201</w:t>
            </w:r>
            <w:r>
              <w:rPr>
                <w:rFonts w:eastAsia="Times New Roman"/>
                <w:color w:val="000000"/>
                <w:sz w:val="20"/>
                <w:szCs w:val="20"/>
              </w:rPr>
              <w:t>9</w:t>
            </w:r>
          </w:p>
        </w:tc>
      </w:tr>
      <w:tr w:rsidR="00000000">
        <w:trPr>
          <w:divId w:val="1913159272"/>
        </w:trPr>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February 6,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February 25,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color w:val="000000"/>
                <w:sz w:val="20"/>
                <w:szCs w:val="20"/>
              </w:rPr>
              <w:t>March 12, 201</w:t>
            </w:r>
            <w:r>
              <w:rPr>
                <w:rFonts w:eastAsia="Times New Roman"/>
                <w:color w:val="000000"/>
                <w:sz w:val="20"/>
                <w:szCs w:val="20"/>
              </w:rPr>
              <w:t>9</w:t>
            </w:r>
          </w:p>
        </w:tc>
      </w:tr>
      <w:tr w:rsidR="00000000">
        <w:trPr>
          <w:divId w:val="1913159272"/>
        </w:trPr>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c>
          <w:tcPr>
            <w:tcW w:w="0" w:type="auto"/>
            <w:gridSpan w:val="3"/>
            <w:vAlign w:val="center"/>
            <w:hideMark/>
          </w:tcPr>
          <w:p w:rsidR="00000000" w:rsidRDefault="00480785">
            <w:pPr>
              <w:rPr>
                <w:rFonts w:eastAsia="Times New Roman"/>
                <w:sz w:val="20"/>
                <w:szCs w:val="20"/>
              </w:rPr>
            </w:pPr>
          </w:p>
        </w:tc>
      </w:tr>
    </w:tbl>
    <w:p w:rsidR="00000000" w:rsidRDefault="00480785">
      <w:pPr>
        <w:divId w:val="325287548"/>
        <w:rPr>
          <w:rFonts w:eastAsia="Times New Roman"/>
        </w:rPr>
      </w:pPr>
    </w:p>
    <w:p w:rsidR="00000000" w:rsidRDefault="00480785">
      <w:pPr>
        <w:jc w:val="both"/>
        <w:rPr>
          <w:rFonts w:eastAsia="Times New Roman"/>
        </w:rPr>
      </w:pPr>
      <w:r>
        <w:rPr>
          <w:rFonts w:eastAsia="Times New Roman"/>
          <w:color w:val="000000"/>
          <w:sz w:val="20"/>
          <w:szCs w:val="20"/>
        </w:rPr>
        <w:t>It is the present intention of the Company's Board of Directors to continue to pay a quarterly cash dividend; however, the declaration and payment of future dividends will be determined by the Company's Board of Directors in its sole discretion and will de</w:t>
      </w:r>
      <w:r>
        <w:rPr>
          <w:rFonts w:eastAsia="Times New Roman"/>
          <w:color w:val="000000"/>
          <w:sz w:val="20"/>
          <w:szCs w:val="20"/>
        </w:rPr>
        <w:t>pend upon the earnings, financial condition and capital needs of the Company, along with any other factors that the Company's Board of Directors deems relevant</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b/>
          <w:bCs/>
          <w:color w:val="000000"/>
          <w:sz w:val="20"/>
          <w:szCs w:val="20"/>
        </w:rPr>
        <w:t>Share Repurchase Progra</w:t>
      </w:r>
      <w:r>
        <w:rPr>
          <w:rFonts w:eastAsia="Times New Roman"/>
          <w:b/>
          <w:bCs/>
          <w:color w:val="000000"/>
          <w:sz w:val="20"/>
          <w:szCs w:val="20"/>
        </w:rPr>
        <w:t>m</w:t>
      </w:r>
    </w:p>
    <w:p w:rsidR="00000000" w:rsidRDefault="00480785">
      <w:pPr>
        <w:divId w:val="63378308"/>
        <w:rPr>
          <w:rFonts w:eastAsia="Times New Roman"/>
        </w:rPr>
      </w:pPr>
    </w:p>
    <w:p w:rsidR="00000000" w:rsidRDefault="00480785">
      <w:pPr>
        <w:jc w:val="both"/>
        <w:rPr>
          <w:rFonts w:eastAsia="Times New Roman"/>
        </w:rPr>
      </w:pPr>
      <w:r>
        <w:rPr>
          <w:rFonts w:eastAsia="Times New Roman"/>
          <w:color w:val="000000"/>
          <w:sz w:val="20"/>
          <w:szCs w:val="20"/>
        </w:rPr>
        <w:t>The Company’s Board of Directors has authorized common stock repur</w:t>
      </w:r>
      <w:r>
        <w:rPr>
          <w:rFonts w:eastAsia="Times New Roman"/>
          <w:color w:val="000000"/>
          <w:sz w:val="20"/>
          <w:szCs w:val="20"/>
        </w:rPr>
        <w:t>chases under a share repurchase program up to $4.5 billion, exclusive of any fees, commissions, or other expenses related to such repurchases. The repurchases may be made from time to time on the open market or in privately negotiated transactions.  The ti</w:t>
      </w:r>
      <w:r>
        <w:rPr>
          <w:rFonts w:eastAsia="Times New Roman"/>
          <w:color w:val="000000"/>
          <w:sz w:val="20"/>
          <w:szCs w:val="20"/>
        </w:rPr>
        <w:t>ming and amount of any shares repurchased under the program will depend on a variety of factors, including price, corporate and regulatory requirements, capital availability, and other market conditions.  Repurchased shares are accounted for at cost and wi</w:t>
      </w:r>
      <w:r>
        <w:rPr>
          <w:rFonts w:eastAsia="Times New Roman"/>
          <w:color w:val="000000"/>
          <w:sz w:val="20"/>
          <w:szCs w:val="20"/>
        </w:rPr>
        <w:t xml:space="preserve">ll be held in treasury for future issuance.  The program may be limited or terminated at any time without prior notice. As of September 26, 2020, the Company had remaining authorization under the share repurchase program of $1.22 billion, exclusive of any </w:t>
      </w:r>
      <w:r>
        <w:rPr>
          <w:rFonts w:eastAsia="Times New Roman"/>
          <w:color w:val="000000"/>
          <w:sz w:val="20"/>
          <w:szCs w:val="20"/>
        </w:rPr>
        <w:t>fees, commissions, or other expenses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Company has suspended the share repurchase program effective March 12, 2020, in order to strengthen its liquidity and preserve cash while navigating the COVID-19 pandemic</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following table provides the numbe</w:t>
      </w:r>
      <w:r>
        <w:rPr>
          <w:rFonts w:eastAsia="Times New Roman"/>
          <w:color w:val="000000"/>
          <w:sz w:val="20"/>
          <w:szCs w:val="20"/>
        </w:rPr>
        <w:t>r of shares repurchased, average price paid per share, and total amount paid for share repurchases during the fiscal three and nine months ended September 26, 2020 and September 28, 2019, respectively (in thousands, except per share amounts)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213"/>
        <w:gridCol w:w="36"/>
        <w:gridCol w:w="136"/>
        <w:gridCol w:w="896"/>
        <w:gridCol w:w="41"/>
        <w:gridCol w:w="36"/>
        <w:gridCol w:w="36"/>
        <w:gridCol w:w="36"/>
        <w:gridCol w:w="136"/>
        <w:gridCol w:w="884"/>
        <w:gridCol w:w="42"/>
        <w:gridCol w:w="36"/>
        <w:gridCol w:w="36"/>
        <w:gridCol w:w="36"/>
        <w:gridCol w:w="136"/>
        <w:gridCol w:w="887"/>
        <w:gridCol w:w="41"/>
        <w:gridCol w:w="36"/>
        <w:gridCol w:w="36"/>
        <w:gridCol w:w="36"/>
        <w:gridCol w:w="136"/>
        <w:gridCol w:w="887"/>
        <w:gridCol w:w="42"/>
        <w:gridCol w:w="36"/>
        <w:gridCol w:w="36"/>
        <w:gridCol w:w="36"/>
        <w:gridCol w:w="36"/>
        <w:gridCol w:w="36"/>
        <w:gridCol w:w="36"/>
        <w:gridCol w:w="36"/>
        <w:gridCol w:w="36"/>
        <w:gridCol w:w="36"/>
        <w:gridCol w:w="36"/>
        <w:gridCol w:w="36"/>
        <w:gridCol w:w="36"/>
      </w:tblGrid>
      <w:tr w:rsidR="00000000">
        <w:trPr>
          <w:gridAfter w:val="12"/>
          <w:divId w:val="843327197"/>
          <w:jc w:val="center"/>
        </w:trPr>
        <w:tc>
          <w:tcPr>
            <w:tcW w:w="50" w:type="pct"/>
            <w:vAlign w:val="center"/>
            <w:hideMark/>
          </w:tcPr>
          <w:p w:rsidR="00000000" w:rsidRDefault="00480785">
            <w:pPr>
              <w:jc w:val="both"/>
              <w:rPr>
                <w:rFonts w:eastAsia="Times New Roman"/>
              </w:rPr>
            </w:pPr>
          </w:p>
        </w:tc>
        <w:tc>
          <w:tcPr>
            <w:tcW w:w="209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10"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1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4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64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843327197"/>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Fiscal Nine Months Ende</w:t>
            </w:r>
            <w:r>
              <w:rPr>
                <w:rFonts w:eastAsia="Times New Roman"/>
                <w:b/>
                <w:bCs/>
                <w:color w:val="000000"/>
                <w:sz w:val="20"/>
                <w:szCs w:val="20"/>
              </w:rPr>
              <w:t>d</w:t>
            </w:r>
          </w:p>
        </w:tc>
        <w:tc>
          <w:tcPr>
            <w:tcW w:w="0" w:type="auto"/>
            <w:gridSpan w:val="3"/>
            <w:vAlign w:val="center"/>
            <w:hideMark/>
          </w:tcPr>
          <w:p w:rsidR="00000000" w:rsidRDefault="00480785">
            <w:pPr>
              <w:jc w:val="center"/>
              <w:rPr>
                <w:rFonts w:eastAsia="Times New Roman"/>
              </w:rPr>
            </w:pPr>
          </w:p>
        </w:tc>
        <w:tc>
          <w:tcPr>
            <w:tcW w:w="0" w:type="auto"/>
            <w:gridSpan w:val="3"/>
            <w:vAlign w:val="center"/>
            <w:hideMark/>
          </w:tcPr>
          <w:p w:rsidR="00000000" w:rsidRDefault="00480785">
            <w:pPr>
              <w:rPr>
                <w:rFonts w:eastAsia="Times New Roman"/>
                <w:sz w:val="20"/>
                <w:szCs w:val="20"/>
              </w:rPr>
            </w:pPr>
          </w:p>
        </w:tc>
      </w:tr>
      <w:tr w:rsidR="00000000">
        <w:trPr>
          <w:divId w:val="843327197"/>
          <w:jc w:val="center"/>
        </w:trPr>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26,</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September 28,</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843327197"/>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Total number of shares repurchase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2,853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4,926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843327197"/>
          <w:jc w:val="center"/>
        </w:trPr>
        <w:tc>
          <w:tcPr>
            <w:tcW w:w="0" w:type="auto"/>
            <w:gridSpan w:val="3"/>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Average price paid per shar</w:t>
            </w:r>
            <w:r>
              <w:rPr>
                <w:rFonts w:eastAsia="Times New Roman"/>
                <w:color w:val="000000"/>
                <w:sz w:val="20"/>
                <w:szCs w:val="20"/>
              </w:rPr>
              <w:t>e</w:t>
            </w:r>
          </w:p>
        </w:tc>
        <w:tc>
          <w:tcPr>
            <w:tcW w:w="0" w:type="auto"/>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105.97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92.28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99.46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r w:rsidR="00000000">
        <w:trPr>
          <w:divId w:val="843327197"/>
          <w:jc w:val="center"/>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Total cash paid for share repurchase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155,742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263,219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489,977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c>
          <w:tcPr>
            <w:tcW w:w="0" w:type="auto"/>
            <w:vAlign w:val="center"/>
            <w:hideMark/>
          </w:tcPr>
          <w:p w:rsidR="00000000" w:rsidRDefault="00480785">
            <w:pPr>
              <w:rPr>
                <w:rFonts w:eastAsia="Times New Roman"/>
                <w:sz w:val="20"/>
                <w:szCs w:val="20"/>
              </w:rPr>
            </w:pPr>
          </w:p>
        </w:tc>
      </w:tr>
    </w:tbl>
    <w:p w:rsidR="00000000" w:rsidRDefault="00480785">
      <w:pPr>
        <w:jc w:val="both"/>
        <w:rPr>
          <w:rFonts w:eastAsia="Times New Roman"/>
        </w:rPr>
      </w:pPr>
    </w:p>
    <w:p w:rsidR="00000000" w:rsidRDefault="00480785">
      <w:pPr>
        <w:jc w:val="both"/>
        <w:rPr>
          <w:rFonts w:eastAsia="Times New Roman"/>
        </w:rPr>
      </w:pPr>
      <w:r>
        <w:rPr>
          <w:rFonts w:eastAsia="Times New Roman"/>
          <w:b/>
          <w:bCs/>
          <w:color w:val="000000"/>
          <w:sz w:val="20"/>
          <w:szCs w:val="20"/>
        </w:rPr>
        <w:t>Off-Balance Sheet Arran</w:t>
      </w:r>
      <w:r>
        <w:rPr>
          <w:rFonts w:eastAsia="Times New Roman"/>
          <w:b/>
          <w:bCs/>
          <w:color w:val="000000"/>
          <w:sz w:val="20"/>
          <w:szCs w:val="20"/>
        </w:rPr>
        <w:t>gement</w:t>
      </w:r>
      <w:r>
        <w:rPr>
          <w:rFonts w:eastAsia="Times New Roman"/>
          <w:b/>
          <w:bCs/>
          <w:color w:val="000000"/>
          <w:sz w:val="20"/>
          <w:szCs w:val="20"/>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Company’s off-balance sheet arrangements are limited to outstanding letters of credit.  Letters of credit allow the Company to purchase inventory, primarily sourced overseas, in a timely manner and support certain risk management programs</w:t>
      </w:r>
      <w:r>
        <w:rPr>
          <w:rFonts w:eastAsia="Times New Roman"/>
          <w:color w:val="000000"/>
          <w:sz w:val="20"/>
          <w:szCs w:val="20"/>
        </w:rPr>
        <w:t>.</w:t>
      </w:r>
    </w:p>
    <w:p w:rsidR="00000000" w:rsidRDefault="00480785">
      <w:pPr>
        <w:jc w:val="both"/>
        <w:rPr>
          <w:rFonts w:eastAsia="Times New Roman"/>
        </w:rPr>
      </w:pPr>
    </w:p>
    <w:p w:rsidR="00000000" w:rsidRDefault="00480785">
      <w:pPr>
        <w:jc w:val="center"/>
        <w:divId w:val="224416720"/>
        <w:rPr>
          <w:rFonts w:eastAsia="Times New Roman"/>
        </w:rPr>
      </w:pPr>
      <w:r>
        <w:rPr>
          <w:rFonts w:eastAsia="Times New Roman"/>
          <w:color w:val="000000"/>
          <w:sz w:val="20"/>
          <w:szCs w:val="20"/>
        </w:rPr>
        <w:t>Page 2</w:t>
      </w:r>
      <w:r>
        <w:rPr>
          <w:rFonts w:eastAsia="Times New Roman"/>
          <w:color w:val="000000"/>
          <w:sz w:val="20"/>
          <w:szCs w:val="20"/>
        </w:rPr>
        <w:t>8</w:t>
      </w:r>
    </w:p>
    <w:p w:rsidR="00000000" w:rsidRDefault="00480785">
      <w:pPr>
        <w:rPr>
          <w:rFonts w:eastAsia="Times New Roman"/>
        </w:rPr>
      </w:pPr>
      <w:r>
        <w:rPr>
          <w:rFonts w:eastAsia="Times New Roman"/>
        </w:rPr>
        <w:pict>
          <v:rect id="_x0000_i1053" style="width:0;height:1.5pt" o:hralign="center" o:hrstd="t" o:hr="t" fillcolor="#a0a0a0" stroked="f"/>
        </w:pict>
      </w:r>
    </w:p>
    <w:p w:rsidR="00000000" w:rsidRDefault="00480785">
      <w:pPr>
        <w:divId w:val="454756089"/>
        <w:rPr>
          <w:rFonts w:eastAsia="Times New Roman"/>
        </w:rPr>
      </w:pPr>
      <w:hyperlink w:anchor="i28e74bea7b4a44c78304596dc3e51779_7" w:history="1">
        <w:r>
          <w:rPr>
            <w:rStyle w:val="a3"/>
            <w:rFonts w:eastAsia="Times New Roman"/>
            <w:sz w:val="16"/>
            <w:szCs w:val="16"/>
          </w:rPr>
          <w:t>Index</w:t>
        </w:r>
      </w:hyperlink>
    </w:p>
    <w:p w:rsidR="00000000" w:rsidRDefault="00480785">
      <w:pPr>
        <w:divId w:val="1760759300"/>
        <w:rPr>
          <w:rFonts w:eastAsia="Times New Roman"/>
        </w:rPr>
      </w:pPr>
      <w:r>
        <w:rPr>
          <w:rFonts w:eastAsia="Times New Roman"/>
          <w:b/>
          <w:bCs/>
          <w:color w:val="000000"/>
          <w:sz w:val="20"/>
          <w:szCs w:val="20"/>
        </w:rPr>
        <w:t>Significant Contractual Obligations and Commercial Commitment</w:t>
      </w:r>
      <w:r>
        <w:rPr>
          <w:rFonts w:eastAsia="Times New Roman"/>
          <w:b/>
          <w:bCs/>
          <w:color w:val="000000"/>
          <w:sz w:val="20"/>
          <w:szCs w:val="20"/>
        </w:rPr>
        <w:t>s</w:t>
      </w:r>
    </w:p>
    <w:p w:rsidR="00000000" w:rsidRDefault="00480785">
      <w:pPr>
        <w:divId w:val="1230657658"/>
        <w:rPr>
          <w:rFonts w:eastAsia="Times New Roman"/>
        </w:rPr>
      </w:pPr>
    </w:p>
    <w:p w:rsidR="00000000" w:rsidRDefault="00480785">
      <w:pPr>
        <w:jc w:val="both"/>
        <w:rPr>
          <w:rFonts w:eastAsia="Times New Roman"/>
        </w:rPr>
      </w:pPr>
      <w:r>
        <w:rPr>
          <w:rFonts w:eastAsia="Times New Roman"/>
          <w:color w:val="000000"/>
          <w:sz w:val="20"/>
          <w:szCs w:val="20"/>
        </w:rPr>
        <w:t>At September 26, 2020, there were no material commitments related to real estate or</w:t>
      </w:r>
      <w:r>
        <w:rPr>
          <w:rFonts w:eastAsia="Times New Roman"/>
          <w:color w:val="000000"/>
          <w:sz w:val="20"/>
          <w:szCs w:val="20"/>
        </w:rPr>
        <w:t xml:space="preserve"> construction projects extending greater than twelve months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At September 26, 2020, there were $50.4 million of outstanding letters of credit under the 2016 Senior Credit Facility</w:t>
      </w:r>
      <w:r>
        <w:rPr>
          <w:rFonts w:eastAsia="Times New Roman"/>
          <w:color w:val="000000"/>
          <w:sz w:val="20"/>
          <w:szCs w:val="20"/>
        </w:rPr>
        <w:t>.</w:t>
      </w:r>
    </w:p>
    <w:p w:rsidR="00000000" w:rsidRDefault="00480785">
      <w:pPr>
        <w:jc w:val="both"/>
        <w:rPr>
          <w:rFonts w:eastAsia="Times New Roman"/>
        </w:rPr>
      </w:pPr>
    </w:p>
    <w:p w:rsidR="00000000" w:rsidRDefault="00480785">
      <w:pPr>
        <w:divId w:val="1915239891"/>
        <w:rPr>
          <w:rFonts w:eastAsia="Times New Roman"/>
        </w:rPr>
      </w:pPr>
      <w:r>
        <w:rPr>
          <w:rFonts w:eastAsia="Times New Roman"/>
          <w:b/>
          <w:bCs/>
          <w:color w:val="000000"/>
          <w:sz w:val="20"/>
          <w:szCs w:val="20"/>
        </w:rPr>
        <w:t>Significant Accounting Policies and Estimate</w:t>
      </w:r>
      <w:r>
        <w:rPr>
          <w:rFonts w:eastAsia="Times New Roman"/>
          <w:b/>
          <w:bCs/>
          <w:color w:val="000000"/>
          <w:sz w:val="20"/>
          <w:szCs w:val="20"/>
        </w:rPr>
        <w:t>s</w:t>
      </w:r>
    </w:p>
    <w:p w:rsidR="00000000" w:rsidRDefault="00480785">
      <w:pPr>
        <w:divId w:val="1341808963"/>
        <w:rPr>
          <w:rFonts w:eastAsia="Times New Roman"/>
        </w:rPr>
      </w:pPr>
    </w:p>
    <w:p w:rsidR="00000000" w:rsidRDefault="00480785">
      <w:pPr>
        <w:jc w:val="both"/>
        <w:rPr>
          <w:rFonts w:eastAsia="Times New Roman"/>
        </w:rPr>
      </w:pPr>
      <w:r>
        <w:rPr>
          <w:rFonts w:eastAsia="Times New Roman"/>
          <w:color w:val="000000"/>
          <w:sz w:val="20"/>
          <w:szCs w:val="20"/>
        </w:rPr>
        <w:t>Management’s discussion</w:t>
      </w:r>
      <w:r>
        <w:rPr>
          <w:rFonts w:eastAsia="Times New Roman"/>
          <w:color w:val="000000"/>
          <w:sz w:val="20"/>
          <w:szCs w:val="20"/>
        </w:rPr>
        <w:t xml:space="preserve"> and analysis of the Company’s financial position and results of operations are based upon its Condensed Consolidated Financial Statements, which have been prepared in accordance with U.S. GAAP. The preparation of these financial statements requires manage</w:t>
      </w:r>
      <w:r>
        <w:rPr>
          <w:rFonts w:eastAsia="Times New Roman"/>
          <w:color w:val="000000"/>
          <w:sz w:val="20"/>
          <w:szCs w:val="20"/>
        </w:rPr>
        <w:t>ment to make informed estimates and judgments that affect the reported amounts of assets, liabilities, revenues and expenses, and related disclosure of contingent assets and liabilities.  The Company’s significant accounting policies, including areas of cr</w:t>
      </w:r>
      <w:r>
        <w:rPr>
          <w:rFonts w:eastAsia="Times New Roman"/>
          <w:color w:val="000000"/>
          <w:sz w:val="20"/>
          <w:szCs w:val="20"/>
        </w:rPr>
        <w:t>itical management judgments and estimates, have primary impact on the following financial statement areas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9"/>
        <w:gridCol w:w="283"/>
        <w:gridCol w:w="36"/>
        <w:gridCol w:w="69"/>
        <w:gridCol w:w="2845"/>
        <w:gridCol w:w="36"/>
        <w:gridCol w:w="69"/>
        <w:gridCol w:w="222"/>
        <w:gridCol w:w="36"/>
        <w:gridCol w:w="69"/>
        <w:gridCol w:w="4523"/>
        <w:gridCol w:w="36"/>
      </w:tblGrid>
      <w:tr w:rsidR="00000000">
        <w:trPr>
          <w:divId w:val="110441035"/>
        </w:trPr>
        <w:tc>
          <w:tcPr>
            <w:tcW w:w="50" w:type="pct"/>
            <w:vAlign w:val="center"/>
            <w:hideMark/>
          </w:tcPr>
          <w:p w:rsidR="00000000" w:rsidRDefault="00480785">
            <w:pPr>
              <w:jc w:val="both"/>
              <w:rPr>
                <w:rFonts w:eastAsia="Times New Roman"/>
              </w:rPr>
            </w:pPr>
          </w:p>
        </w:tc>
        <w:tc>
          <w:tcPr>
            <w:tcW w:w="17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723"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4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273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110441035"/>
        </w:trPr>
        <w:tc>
          <w:tcPr>
            <w:tcW w:w="0" w:type="auto"/>
            <w:gridSpan w:val="3"/>
            <w:shd w:val="clear" w:color="auto" w:fill="CCEEFF"/>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Inventory valuatio</w:t>
            </w:r>
            <w:r>
              <w:rPr>
                <w:rFonts w:eastAsia="Times New Roman"/>
                <w:color w:val="000000"/>
                <w:sz w:val="20"/>
                <w:szCs w:val="20"/>
              </w:rPr>
              <w:t>n</w:t>
            </w:r>
          </w:p>
        </w:tc>
        <w:tc>
          <w:tcPr>
            <w:tcW w:w="0" w:type="auto"/>
            <w:gridSpan w:val="3"/>
            <w:shd w:val="clear" w:color="auto" w:fill="CCEEFF"/>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Impairment of long-lived asset</w:t>
            </w:r>
            <w:r>
              <w:rPr>
                <w:rFonts w:eastAsia="Times New Roman"/>
                <w:color w:val="000000"/>
                <w:sz w:val="20"/>
                <w:szCs w:val="20"/>
              </w:rPr>
              <w:t>s</w:t>
            </w:r>
          </w:p>
        </w:tc>
      </w:tr>
      <w:tr w:rsidR="00000000">
        <w:trPr>
          <w:divId w:val="110441035"/>
        </w:trPr>
        <w:tc>
          <w:tcPr>
            <w:tcW w:w="0" w:type="auto"/>
            <w:gridSpan w:val="3"/>
            <w:shd w:val="clear" w:color="auto" w:fill="FFFFFF"/>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Self-insurance reserve</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Impairment of goodwill and other indefinite-lived intangible asset</w:t>
            </w:r>
            <w:r>
              <w:rPr>
                <w:rFonts w:eastAsia="Times New Roman"/>
                <w:color w:val="000000"/>
                <w:sz w:val="20"/>
                <w:szCs w:val="20"/>
              </w:rPr>
              <w:t>s</w:t>
            </w:r>
          </w:p>
        </w:tc>
      </w:tr>
      <w:tr w:rsidR="00000000">
        <w:trPr>
          <w:divId w:val="110441035"/>
          <w:trHeight w:val="120"/>
        </w:trPr>
        <w:tc>
          <w:tcPr>
            <w:tcW w:w="0" w:type="auto"/>
            <w:gridSpan w:val="3"/>
            <w:tcMar>
              <w:top w:w="15" w:type="dxa"/>
              <w:left w:w="20" w:type="dxa"/>
              <w:bottom w:w="15" w:type="dxa"/>
              <w:right w:w="20" w:type="dxa"/>
            </w:tcMar>
            <w:vAlign w:val="bottom"/>
            <w:hideMark/>
          </w:tcPr>
          <w:p w:rsidR="00000000" w:rsidRDefault="00480785">
            <w:pPr>
              <w:rPr>
                <w:rFonts w:eastAsia="Times New Roman"/>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480785">
            <w:pPr>
              <w:rPr>
                <w:rFonts w:eastAsia="Times New Roman"/>
                <w:sz w:val="20"/>
                <w:szCs w:val="20"/>
              </w:rPr>
            </w:pPr>
          </w:p>
        </w:tc>
      </w:tr>
    </w:tbl>
    <w:p w:rsidR="00000000" w:rsidRDefault="00480785">
      <w:pPr>
        <w:jc w:val="both"/>
        <w:rPr>
          <w:rFonts w:eastAsia="Times New Roman"/>
        </w:rPr>
      </w:pPr>
      <w:r>
        <w:rPr>
          <w:rFonts w:eastAsia="Times New Roman"/>
          <w:color w:val="000000"/>
          <w:sz w:val="20"/>
          <w:szCs w:val="20"/>
        </w:rPr>
        <w:t>See the Notes to the Consolidated Financial Statements in our Annual Report on Form 10-K for the fiscal year ended December </w:t>
      </w:r>
      <w:r>
        <w:rPr>
          <w:rFonts w:eastAsia="Times New Roman"/>
          <w:color w:val="000000"/>
          <w:sz w:val="20"/>
          <w:szCs w:val="20"/>
        </w:rPr>
        <w:t>28, 2019, for a discussion of the Company’s critical accounting policies.  The Company’s financial position and/or results of operations may be materially different when reported under different conditions or when using different assumptions in the applica</w:t>
      </w:r>
      <w:r>
        <w:rPr>
          <w:rFonts w:eastAsia="Times New Roman"/>
          <w:color w:val="000000"/>
          <w:sz w:val="20"/>
          <w:szCs w:val="20"/>
        </w:rPr>
        <w:t>tion of such policies.  In the event estimates or assumptions prove to be different from actual amounts, adjustments are made in subsequent periods to reflect more current information</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b/>
          <w:bCs/>
          <w:color w:val="000000"/>
          <w:sz w:val="20"/>
          <w:szCs w:val="20"/>
        </w:rPr>
        <w:t>New Accounting Pronouncements   </w:t>
      </w:r>
      <w:r>
        <w:rPr>
          <w:rFonts w:eastAsia="Times New Roman"/>
          <w:b/>
          <w:bCs/>
          <w:color w:val="000000"/>
          <w:sz w:val="20"/>
          <w:szCs w:val="20"/>
        </w:rPr>
        <w:t>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Refer to Note 12 to the Condensed Consolidated Financial Statements for recently adopted accounting pronouncements and recently issued accounting pronouncements not yet adopted as of September 26, 2020</w:t>
      </w:r>
      <w:r>
        <w:rPr>
          <w:rFonts w:eastAsia="Times New Roman"/>
          <w:color w:val="000000"/>
          <w:sz w:val="20"/>
          <w:szCs w:val="20"/>
        </w:rPr>
        <w:t>.</w:t>
      </w:r>
    </w:p>
    <w:p w:rsidR="00000000" w:rsidRDefault="00480785">
      <w:pPr>
        <w:jc w:val="both"/>
        <w:rPr>
          <w:rFonts w:eastAsia="Times New Roman"/>
        </w:rPr>
      </w:pPr>
    </w:p>
    <w:p w:rsidR="00000000" w:rsidRDefault="00480785">
      <w:pPr>
        <w:divId w:val="2002391077"/>
        <w:rPr>
          <w:rFonts w:eastAsia="Times New Roman"/>
        </w:rPr>
      </w:pPr>
      <w:r>
        <w:rPr>
          <w:rFonts w:eastAsia="Times New Roman"/>
          <w:b/>
          <w:bCs/>
          <w:color w:val="000000"/>
          <w:sz w:val="20"/>
          <w:szCs w:val="20"/>
          <w:u w:val="single"/>
        </w:rPr>
        <w:t>Item 3.  Quantitative and Qualitative Disclosures A</w:t>
      </w:r>
      <w:r>
        <w:rPr>
          <w:rFonts w:eastAsia="Times New Roman"/>
          <w:b/>
          <w:bCs/>
          <w:color w:val="000000"/>
          <w:sz w:val="20"/>
          <w:szCs w:val="20"/>
          <w:u w:val="single"/>
        </w:rPr>
        <w:t>bout Market Ris</w:t>
      </w:r>
      <w:r>
        <w:rPr>
          <w:rFonts w:eastAsia="Times New Roman"/>
          <w:b/>
          <w:bCs/>
          <w:color w:val="000000"/>
          <w:sz w:val="20"/>
          <w:szCs w:val="20"/>
          <w:u w:val="single"/>
        </w:rPr>
        <w:t>k</w:t>
      </w:r>
    </w:p>
    <w:p w:rsidR="00000000" w:rsidRDefault="00480785">
      <w:pPr>
        <w:divId w:val="1482382697"/>
        <w:rPr>
          <w:rFonts w:eastAsia="Times New Roman"/>
        </w:rPr>
      </w:pPr>
    </w:p>
    <w:p w:rsidR="00000000" w:rsidRDefault="00480785">
      <w:pPr>
        <w:jc w:val="both"/>
        <w:rPr>
          <w:rFonts w:eastAsia="Times New Roman"/>
        </w:rPr>
      </w:pPr>
      <w:r>
        <w:rPr>
          <w:rFonts w:eastAsia="Times New Roman"/>
          <w:b/>
          <w:bCs/>
          <w:color w:val="000000"/>
          <w:sz w:val="20"/>
          <w:szCs w:val="20"/>
        </w:rPr>
        <w:t>Interest Rate Ris</w:t>
      </w:r>
      <w:r>
        <w:rPr>
          <w:rFonts w:eastAsia="Times New Roman"/>
          <w:b/>
          <w:bCs/>
          <w:color w:val="000000"/>
          <w:sz w:val="20"/>
          <w:szCs w:val="20"/>
        </w:rPr>
        <w:t>k</w:t>
      </w:r>
    </w:p>
    <w:p w:rsidR="00000000" w:rsidRDefault="00480785">
      <w:pPr>
        <w:divId w:val="957487808"/>
        <w:rPr>
          <w:rFonts w:eastAsia="Times New Roman"/>
        </w:rPr>
      </w:pPr>
    </w:p>
    <w:p w:rsidR="00000000" w:rsidRDefault="00480785">
      <w:pPr>
        <w:jc w:val="both"/>
        <w:rPr>
          <w:rFonts w:eastAsia="Times New Roman"/>
        </w:rPr>
      </w:pPr>
      <w:r>
        <w:rPr>
          <w:rFonts w:eastAsia="Times New Roman"/>
          <w:color w:val="000000"/>
          <w:sz w:val="20"/>
          <w:szCs w:val="20"/>
        </w:rPr>
        <w:t>We are exposed to interest rate changes, primarily as a result of borrowings under our 2016 Senior Credit Facility (as discussed in Note 5 to the Condensed Consolidated Financial Statements) which bear interest based</w:t>
      </w:r>
      <w:r>
        <w:rPr>
          <w:rFonts w:eastAsia="Times New Roman"/>
          <w:color w:val="000000"/>
          <w:sz w:val="20"/>
          <w:szCs w:val="20"/>
        </w:rPr>
        <w:t xml:space="preserve"> on variable rates.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As discussed in Note 6 to the Condensed Consolidated Financial Statements, we entered into interest rate swap agreements which are intended to mitigate interest rate risk associated with future changes in interest rates for the term </w:t>
      </w:r>
      <w:r>
        <w:rPr>
          <w:rFonts w:eastAsia="Times New Roman"/>
          <w:color w:val="000000"/>
          <w:sz w:val="20"/>
          <w:szCs w:val="20"/>
        </w:rPr>
        <w:t>loan borrowings under the 2016 Senior Credit Facility. As a result of these interest rate swaps, our exposure to interest rate volatility is minimized. The interest rate swap agreements have been executed for risk management purposes and are not held for t</w:t>
      </w:r>
      <w:r>
        <w:rPr>
          <w:rFonts w:eastAsia="Times New Roman"/>
          <w:color w:val="000000"/>
          <w:sz w:val="20"/>
          <w:szCs w:val="20"/>
        </w:rPr>
        <w:t>rading purposes.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 1% change in interest rates on our variable rate debt in excess of that amount covered by the interest rate swaps would have affected interest expense by approximately $0.4 million and $0.4 million for the three months ended September</w:t>
      </w:r>
      <w:r>
        <w:rPr>
          <w:rFonts w:eastAsia="Times New Roman"/>
          <w:color w:val="000000"/>
          <w:sz w:val="20"/>
          <w:szCs w:val="20"/>
        </w:rPr>
        <w:t> 26, 2020 and September 28, 2019, respectively, and $2.1 million and $1.3 million for the nine months ended September 26, 2020 and September 28, 2019, respectively</w:t>
      </w:r>
      <w:r>
        <w:rPr>
          <w:rFonts w:eastAsia="Times New Roman"/>
          <w:color w:val="000000"/>
          <w:sz w:val="20"/>
          <w:szCs w:val="20"/>
        </w:rPr>
        <w:t>.</w:t>
      </w:r>
    </w:p>
    <w:p w:rsidR="00000000" w:rsidRDefault="00480785">
      <w:pPr>
        <w:divId w:val="1316907976"/>
        <w:rPr>
          <w:rFonts w:eastAsia="Times New Roman"/>
        </w:rPr>
      </w:pPr>
    </w:p>
    <w:p w:rsidR="00000000" w:rsidRDefault="00480785">
      <w:pPr>
        <w:divId w:val="107043502"/>
        <w:rPr>
          <w:rFonts w:eastAsia="Times New Roman"/>
        </w:rPr>
      </w:pPr>
      <w:r>
        <w:rPr>
          <w:rFonts w:eastAsia="Times New Roman"/>
          <w:b/>
          <w:bCs/>
          <w:color w:val="000000"/>
          <w:sz w:val="20"/>
          <w:szCs w:val="20"/>
        </w:rPr>
        <w:t>Purchase Price Volatilit</w:t>
      </w:r>
      <w:r>
        <w:rPr>
          <w:rFonts w:eastAsia="Times New Roman"/>
          <w:b/>
          <w:bCs/>
          <w:color w:val="000000"/>
          <w:sz w:val="20"/>
          <w:szCs w:val="20"/>
        </w:rPr>
        <w:t>y</w:t>
      </w:r>
    </w:p>
    <w:p w:rsidR="00000000" w:rsidRDefault="00480785">
      <w:pPr>
        <w:divId w:val="1694263985"/>
        <w:rPr>
          <w:rFonts w:eastAsia="Times New Roman"/>
        </w:rPr>
      </w:pPr>
    </w:p>
    <w:p w:rsidR="00000000" w:rsidRDefault="00480785">
      <w:pPr>
        <w:jc w:val="both"/>
        <w:rPr>
          <w:rFonts w:eastAsia="Times New Roman"/>
        </w:rPr>
      </w:pPr>
      <w:r>
        <w:rPr>
          <w:rFonts w:eastAsia="Times New Roman"/>
          <w:color w:val="000000"/>
          <w:sz w:val="20"/>
          <w:szCs w:val="20"/>
        </w:rPr>
        <w:t>Although we cannot determine the full effect of inflation and</w:t>
      </w:r>
      <w:r>
        <w:rPr>
          <w:rFonts w:eastAsia="Times New Roman"/>
          <w:color w:val="000000"/>
          <w:sz w:val="20"/>
          <w:szCs w:val="20"/>
        </w:rPr>
        <w:t xml:space="preserve"> deflation on our operations, we believe our sales and results of operations are affected by both.  We are subject to market risk with respect to the pricing of certain products and services, which include, among other items, grain, corn, steel, petroleum,</w:t>
      </w:r>
      <w:r>
        <w:rPr>
          <w:rFonts w:eastAsia="Times New Roman"/>
          <w:color w:val="000000"/>
          <w:sz w:val="20"/>
          <w:szCs w:val="20"/>
        </w:rPr>
        <w:t xml:space="preserve"> cotton, and other commodities, as well as transportation services.  Therefore, we may experience both inflationary and deflationary pressure on product cost, which may impact consumer demand and, as a result, sales and gross margin. Our strategy is to red</w:t>
      </w:r>
      <w:r>
        <w:rPr>
          <w:rFonts w:eastAsia="Times New Roman"/>
          <w:color w:val="000000"/>
          <w:sz w:val="20"/>
          <w:szCs w:val="20"/>
        </w:rPr>
        <w:t>uce or mitigate the effects of purchase price volatility principally by taking advantage of vendor incentive programs, growing economies of scale from increased volume of purchases, adjusting retail prices and selectively buying from the most competitive v</w:t>
      </w:r>
      <w:r>
        <w:rPr>
          <w:rFonts w:eastAsia="Times New Roman"/>
          <w:color w:val="000000"/>
          <w:sz w:val="20"/>
          <w:szCs w:val="20"/>
        </w:rPr>
        <w:t>endors without sacrificing quality.</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center"/>
        <w:divId w:val="905722795"/>
        <w:rPr>
          <w:rFonts w:eastAsia="Times New Roman"/>
        </w:rPr>
      </w:pPr>
      <w:r>
        <w:rPr>
          <w:rFonts w:eastAsia="Times New Roman"/>
          <w:color w:val="000000"/>
          <w:sz w:val="20"/>
          <w:szCs w:val="20"/>
        </w:rPr>
        <w:t>Page 2</w:t>
      </w:r>
      <w:r>
        <w:rPr>
          <w:rFonts w:eastAsia="Times New Roman"/>
          <w:color w:val="000000"/>
          <w:sz w:val="20"/>
          <w:szCs w:val="20"/>
        </w:rPr>
        <w:t>9</w:t>
      </w:r>
    </w:p>
    <w:p w:rsidR="00000000" w:rsidRDefault="00480785">
      <w:pPr>
        <w:rPr>
          <w:rFonts w:eastAsia="Times New Roman"/>
        </w:rPr>
      </w:pPr>
      <w:r>
        <w:rPr>
          <w:rFonts w:eastAsia="Times New Roman"/>
        </w:rPr>
        <w:pict>
          <v:rect id="_x0000_i1054" style="width:0;height:1.5pt" o:hralign="center" o:hrstd="t" o:hr="t" fillcolor="#a0a0a0" stroked="f"/>
        </w:pict>
      </w:r>
    </w:p>
    <w:p w:rsidR="00000000" w:rsidRDefault="00480785">
      <w:pPr>
        <w:divId w:val="1529484250"/>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b/>
          <w:bCs/>
          <w:color w:val="000000"/>
          <w:sz w:val="20"/>
          <w:szCs w:val="20"/>
          <w:u w:val="single"/>
        </w:rPr>
        <w:t>Item 4.  Controls and Procedure</w:t>
      </w:r>
      <w:r>
        <w:rPr>
          <w:rFonts w:eastAsia="Times New Roman"/>
          <w:b/>
          <w:bCs/>
          <w:color w:val="000000"/>
          <w:sz w:val="20"/>
          <w:szCs w:val="20"/>
          <w:u w:val="single"/>
        </w:rPr>
        <w:t>s</w:t>
      </w:r>
    </w:p>
    <w:p w:rsidR="00000000" w:rsidRDefault="00480785">
      <w:pPr>
        <w:jc w:val="both"/>
        <w:rPr>
          <w:rFonts w:eastAsia="Times New Roman"/>
        </w:rPr>
      </w:pPr>
      <w:r>
        <w:rPr>
          <w:rFonts w:eastAsia="Times New Roman"/>
          <w:color w:val="000000"/>
          <w:sz w:val="20"/>
          <w:szCs w:val="20"/>
        </w:rPr>
        <w:t> </w:t>
      </w:r>
    </w:p>
    <w:p w:rsidR="00000000" w:rsidRDefault="00480785">
      <w:pPr>
        <w:jc w:val="both"/>
        <w:rPr>
          <w:rFonts w:eastAsia="Times New Roman"/>
        </w:rPr>
      </w:pPr>
      <w:r>
        <w:rPr>
          <w:rFonts w:eastAsia="Times New Roman"/>
          <w:b/>
          <w:bCs/>
          <w:color w:val="000000"/>
          <w:sz w:val="20"/>
          <w:szCs w:val="20"/>
        </w:rPr>
        <w:t>Disclosure Controls and Procedure</w:t>
      </w:r>
      <w:r>
        <w:rPr>
          <w:rFonts w:eastAsia="Times New Roman"/>
          <w:b/>
          <w:bCs/>
          <w:color w:val="000000"/>
          <w:sz w:val="20"/>
          <w:szCs w:val="20"/>
        </w:rPr>
        <w:t>s</w:t>
      </w:r>
    </w:p>
    <w:p w:rsidR="00000000" w:rsidRDefault="00480785">
      <w:pPr>
        <w:divId w:val="1938556141"/>
        <w:rPr>
          <w:rFonts w:eastAsia="Times New Roman"/>
        </w:rPr>
      </w:pPr>
    </w:p>
    <w:p w:rsidR="00000000" w:rsidRDefault="00480785">
      <w:pPr>
        <w:jc w:val="both"/>
        <w:rPr>
          <w:rFonts w:eastAsia="Times New Roman"/>
        </w:rPr>
      </w:pPr>
      <w:r>
        <w:rPr>
          <w:rFonts w:eastAsia="Times New Roman"/>
          <w:color w:val="000000"/>
          <w:sz w:val="20"/>
          <w:szCs w:val="20"/>
        </w:rPr>
        <w:t>We carried out an evaluation require</w:t>
      </w:r>
      <w:r>
        <w:rPr>
          <w:rFonts w:eastAsia="Times New Roman"/>
          <w:color w:val="000000"/>
          <w:sz w:val="20"/>
          <w:szCs w:val="20"/>
        </w:rPr>
        <w:t>d by the Securities Exchange Act of 1934, as amended (the “1934 Act”), under the supervision and with the participation of our principal executive officer and principal financial officer, of the effectiveness of the design and operation of our disclosure c</w:t>
      </w:r>
      <w:r>
        <w:rPr>
          <w:rFonts w:eastAsia="Times New Roman"/>
          <w:color w:val="000000"/>
          <w:sz w:val="20"/>
          <w:szCs w:val="20"/>
        </w:rPr>
        <w:t>ontrols and procedures (as defined in Rule 13a-15(e) and 15d-15(e) under the 1934 Act) as of September 26, 2020.  Based on this evaluation, our principal executive officer and principal financial officer concluded that, as of September 26, 2020, our disclo</w:t>
      </w:r>
      <w:r>
        <w:rPr>
          <w:rFonts w:eastAsia="Times New Roman"/>
          <w:color w:val="000000"/>
          <w:sz w:val="20"/>
          <w:szCs w:val="20"/>
        </w:rPr>
        <w:t>sure controls and procedures were effective</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b/>
          <w:bCs/>
          <w:color w:val="000000"/>
          <w:sz w:val="20"/>
          <w:szCs w:val="20"/>
        </w:rPr>
        <w:t>Internal Control over Financial Reportin</w:t>
      </w:r>
      <w:r>
        <w:rPr>
          <w:rFonts w:eastAsia="Times New Roman"/>
          <w:b/>
          <w:bCs/>
          <w:color w:val="000000"/>
          <w:sz w:val="20"/>
          <w:szCs w:val="20"/>
        </w:rPr>
        <w:t>g</w:t>
      </w:r>
    </w:p>
    <w:p w:rsidR="00000000" w:rsidRDefault="00480785">
      <w:pPr>
        <w:divId w:val="2008365311"/>
        <w:rPr>
          <w:rFonts w:eastAsia="Times New Roman"/>
        </w:rPr>
      </w:pPr>
    </w:p>
    <w:p w:rsidR="00000000" w:rsidRDefault="00480785">
      <w:pPr>
        <w:jc w:val="both"/>
        <w:rPr>
          <w:rFonts w:eastAsia="Times New Roman"/>
        </w:rPr>
      </w:pPr>
      <w:r>
        <w:rPr>
          <w:rFonts w:eastAsia="Times New Roman"/>
          <w:color w:val="000000"/>
          <w:sz w:val="20"/>
          <w:szCs w:val="20"/>
        </w:rPr>
        <w:t>There were no changes in our internal control over financial reporting that occurred during our last fiscal quarter that have materially affected, or are reasonably likely to materially affect, our internal control over financial reporting</w:t>
      </w:r>
      <w:r>
        <w:rPr>
          <w:rFonts w:eastAsia="Times New Roman"/>
          <w:color w:val="000000"/>
          <w:sz w:val="20"/>
          <w:szCs w:val="20"/>
        </w:rPr>
        <w:t>.</w:t>
      </w:r>
    </w:p>
    <w:p w:rsidR="00000000" w:rsidRDefault="00480785">
      <w:pPr>
        <w:jc w:val="both"/>
        <w:rPr>
          <w:rFonts w:eastAsia="Times New Roman"/>
        </w:rPr>
      </w:pPr>
    </w:p>
    <w:p w:rsidR="00000000" w:rsidRDefault="00480785">
      <w:pPr>
        <w:jc w:val="center"/>
        <w:rPr>
          <w:rFonts w:eastAsia="Times New Roman"/>
        </w:rPr>
      </w:pPr>
      <w:r>
        <w:rPr>
          <w:rFonts w:eastAsia="Times New Roman"/>
          <w:b/>
          <w:bCs/>
          <w:color w:val="000000"/>
          <w:sz w:val="20"/>
          <w:szCs w:val="20"/>
          <w:u w:val="single"/>
        </w:rPr>
        <w:t>PART II.  OTH</w:t>
      </w:r>
      <w:r>
        <w:rPr>
          <w:rFonts w:eastAsia="Times New Roman"/>
          <w:b/>
          <w:bCs/>
          <w:color w:val="000000"/>
          <w:sz w:val="20"/>
          <w:szCs w:val="20"/>
          <w:u w:val="single"/>
        </w:rPr>
        <w:t>ER INFORMATIO</w:t>
      </w:r>
      <w:r>
        <w:rPr>
          <w:rFonts w:eastAsia="Times New Roman"/>
          <w:b/>
          <w:bCs/>
          <w:color w:val="000000"/>
          <w:sz w:val="20"/>
          <w:szCs w:val="20"/>
          <w:u w:val="single"/>
        </w:rPr>
        <w:t>N</w:t>
      </w:r>
    </w:p>
    <w:p w:rsidR="00000000" w:rsidRDefault="00480785">
      <w:pPr>
        <w:divId w:val="832599739"/>
        <w:rPr>
          <w:rFonts w:eastAsia="Times New Roman"/>
        </w:rPr>
      </w:pPr>
    </w:p>
    <w:p w:rsidR="00000000" w:rsidRDefault="00480785">
      <w:pPr>
        <w:jc w:val="both"/>
        <w:rPr>
          <w:rFonts w:eastAsia="Times New Roman"/>
        </w:rPr>
      </w:pPr>
      <w:r>
        <w:rPr>
          <w:rFonts w:eastAsia="Times New Roman"/>
          <w:b/>
          <w:bCs/>
          <w:color w:val="000000"/>
          <w:sz w:val="20"/>
          <w:szCs w:val="20"/>
          <w:u w:val="single"/>
        </w:rPr>
        <w:t>Item 1.  Legal Proceeding</w:t>
      </w:r>
      <w:r>
        <w:rPr>
          <w:rFonts w:eastAsia="Times New Roman"/>
          <w:b/>
          <w:bCs/>
          <w:color w:val="000000"/>
          <w:sz w:val="20"/>
          <w:szCs w:val="20"/>
          <w:u w:val="single"/>
        </w:rPr>
        <w:t>s</w:t>
      </w:r>
    </w:p>
    <w:p w:rsidR="00000000" w:rsidRDefault="00480785">
      <w:pPr>
        <w:divId w:val="282612479"/>
        <w:rPr>
          <w:rFonts w:eastAsia="Times New Roman"/>
        </w:rPr>
      </w:pPr>
    </w:p>
    <w:p w:rsidR="00000000" w:rsidRDefault="00480785">
      <w:pPr>
        <w:jc w:val="both"/>
        <w:rPr>
          <w:rFonts w:eastAsia="Times New Roman"/>
        </w:rPr>
      </w:pPr>
      <w:r>
        <w:rPr>
          <w:rFonts w:eastAsia="Times New Roman"/>
          <w:color w:val="000000"/>
          <w:sz w:val="20"/>
          <w:szCs w:val="20"/>
        </w:rPr>
        <w:t>On October 9, 2020, an alleged stockholder filed a derivative lawsuit in the U.S. District Court for the Middle District of Tennessee, purportedly on the Company's behalf, against all current and two former mem</w:t>
      </w:r>
      <w:r>
        <w:rPr>
          <w:rFonts w:eastAsia="Times New Roman"/>
          <w:color w:val="000000"/>
          <w:sz w:val="20"/>
          <w:szCs w:val="20"/>
        </w:rPr>
        <w:t>bers of our Board of Directors, and the Company as a nominal defendant, seeking monetary damages, interest, corporate governance changes, disgorgement, restitution, mandated community investment, punitive damages, and an award of attorneys' fees, expert fe</w:t>
      </w:r>
      <w:r>
        <w:rPr>
          <w:rFonts w:eastAsia="Times New Roman"/>
          <w:color w:val="000000"/>
          <w:sz w:val="20"/>
          <w:szCs w:val="20"/>
        </w:rPr>
        <w:t xml:space="preserve">es, and costs. Plaintiffs allege that: (a) defendants misrepresented and omitted material facts in the Company's proxy statements with respect to diversity; (b) defendants breached their fiduciary duties by permitting the Company to disseminate materially </w:t>
      </w:r>
      <w:r>
        <w:rPr>
          <w:rFonts w:eastAsia="Times New Roman"/>
          <w:color w:val="000000"/>
          <w:sz w:val="20"/>
          <w:szCs w:val="20"/>
        </w:rPr>
        <w:t xml:space="preserve">misleading and inaccurate information regarding the Company’s commitment to diversity; and (c) defendants received unjust compensation and were unjustly enriched. While the Company continues to evaluate these claims, we do not believe this litigation will </w:t>
      </w:r>
      <w:r>
        <w:rPr>
          <w:rFonts w:eastAsia="Times New Roman"/>
          <w:color w:val="000000"/>
          <w:sz w:val="20"/>
          <w:szCs w:val="20"/>
        </w:rPr>
        <w:t>have a material impact on our financial position or results of operations</w:t>
      </w:r>
      <w:r>
        <w:rPr>
          <w:rFonts w:eastAsia="Times New Roman"/>
          <w:color w:val="000000"/>
          <w:sz w:val="20"/>
          <w:szCs w:val="20"/>
        </w:rPr>
        <w:t>.</w:t>
      </w:r>
    </w:p>
    <w:p w:rsidR="00000000" w:rsidRDefault="00480785">
      <w:pPr>
        <w:divId w:val="262609428"/>
        <w:rPr>
          <w:rFonts w:eastAsia="Times New Roman"/>
        </w:rPr>
      </w:pPr>
    </w:p>
    <w:p w:rsidR="00000000" w:rsidRDefault="00480785">
      <w:pPr>
        <w:jc w:val="both"/>
        <w:rPr>
          <w:rFonts w:eastAsia="Times New Roman"/>
        </w:rPr>
      </w:pPr>
      <w:r>
        <w:rPr>
          <w:rFonts w:eastAsia="Times New Roman"/>
          <w:color w:val="000000"/>
          <w:sz w:val="20"/>
          <w:szCs w:val="20"/>
        </w:rPr>
        <w:t>The Company is also involved in various other litigation matters arising in the ordinary course of business. The Company believes that, based upon information currently available,</w:t>
      </w:r>
      <w:r>
        <w:rPr>
          <w:rFonts w:eastAsia="Times New Roman"/>
          <w:color w:val="000000"/>
          <w:sz w:val="20"/>
          <w:szCs w:val="20"/>
        </w:rPr>
        <w:t xml:space="preserve"> any estimated loss related to such matters has been adequately provided for in accrued liabilities to the extent probable and reasonably estimable. Accordingly, the Company currently expects these matters will be resolved without material adverse effect o</w:t>
      </w:r>
      <w:r>
        <w:rPr>
          <w:rFonts w:eastAsia="Times New Roman"/>
          <w:color w:val="000000"/>
          <w:sz w:val="20"/>
          <w:szCs w:val="20"/>
        </w:rPr>
        <w:t>n its consolidated financial position, results of operations, or cash flows.  However, litigation and other legal matters involve an element of uncertainty. Future developments in such matters, including adverse decisions or settlements or resulting requir</w:t>
      </w:r>
      <w:r>
        <w:rPr>
          <w:rFonts w:eastAsia="Times New Roman"/>
          <w:color w:val="000000"/>
          <w:sz w:val="20"/>
          <w:szCs w:val="20"/>
        </w:rPr>
        <w:t>ed changes to the Company's business operations, could affect our consolidated operating results when resolved in future periods or could result in liability or other amounts material to the Company's Condensed Consolidated Financial Statements</w:t>
      </w:r>
      <w:r>
        <w:rPr>
          <w:rFonts w:eastAsia="Times New Roman"/>
          <w:color w:val="000000"/>
          <w:sz w:val="20"/>
          <w:szCs w:val="20"/>
        </w:rPr>
        <w:t>.</w:t>
      </w:r>
    </w:p>
    <w:p w:rsidR="00000000" w:rsidRDefault="00480785">
      <w:pPr>
        <w:divId w:val="231277960"/>
        <w:rPr>
          <w:rFonts w:eastAsia="Times New Roman"/>
        </w:rPr>
      </w:pPr>
    </w:p>
    <w:p w:rsidR="00000000" w:rsidRDefault="00480785">
      <w:pPr>
        <w:jc w:val="both"/>
        <w:rPr>
          <w:rFonts w:eastAsia="Times New Roman"/>
        </w:rPr>
      </w:pPr>
      <w:r>
        <w:rPr>
          <w:rFonts w:eastAsia="Times New Roman"/>
          <w:b/>
          <w:bCs/>
          <w:color w:val="000000"/>
          <w:sz w:val="20"/>
          <w:szCs w:val="20"/>
          <w:u w:val="single"/>
        </w:rPr>
        <w:t>Item 1A.</w:t>
      </w:r>
      <w:r>
        <w:rPr>
          <w:rFonts w:eastAsia="Times New Roman"/>
          <w:b/>
          <w:bCs/>
          <w:color w:val="000000"/>
          <w:sz w:val="20"/>
          <w:szCs w:val="20"/>
          <w:u w:val="single"/>
        </w:rPr>
        <w:t>  Risk Factor</w:t>
      </w:r>
      <w:r>
        <w:rPr>
          <w:rFonts w:eastAsia="Times New Roman"/>
          <w:b/>
          <w:bCs/>
          <w:color w:val="000000"/>
          <w:sz w:val="20"/>
          <w:szCs w:val="20"/>
          <w:u w:val="single"/>
        </w:rPr>
        <w:t>s</w:t>
      </w:r>
    </w:p>
    <w:p w:rsidR="00000000" w:rsidRDefault="00480785">
      <w:pPr>
        <w:divId w:val="934635313"/>
        <w:rPr>
          <w:rFonts w:eastAsia="Times New Roman"/>
        </w:rPr>
      </w:pPr>
    </w:p>
    <w:p w:rsidR="00000000" w:rsidRDefault="00480785">
      <w:pPr>
        <w:jc w:val="both"/>
        <w:rPr>
          <w:rFonts w:eastAsia="Times New Roman"/>
        </w:rPr>
      </w:pPr>
      <w:r>
        <w:rPr>
          <w:rFonts w:eastAsia="Times New Roman"/>
          <w:color w:val="000000"/>
          <w:sz w:val="20"/>
          <w:szCs w:val="20"/>
        </w:rPr>
        <w:t>The risk factors described in Part I, Item 1A. “Risk Factors” in our 2019 10-K should be carefully considered, together with the other information contained or incorporated by reference in this Quarterly Report on Form 10-Q and in our othe</w:t>
      </w:r>
      <w:r>
        <w:rPr>
          <w:rFonts w:eastAsia="Times New Roman"/>
          <w:color w:val="000000"/>
          <w:sz w:val="20"/>
          <w:szCs w:val="20"/>
        </w:rPr>
        <w:t>r filings with the SEC, in connection with evaluating the Company, our business, and the forward-looking statements contained in this Quarterly Report on Form 10-Q. Other risks that we do not presently know about or that we presently believe are not materi</w:t>
      </w:r>
      <w:r>
        <w:rPr>
          <w:rFonts w:eastAsia="Times New Roman"/>
          <w:color w:val="000000"/>
          <w:sz w:val="20"/>
          <w:szCs w:val="20"/>
        </w:rPr>
        <w:t>al could also adversely affect us. The risk factors described below update the risk factors disclosed in Part I, Item 1A. “Risk Factors” in our 2019 10-K, to include additional information, and should be read in conjunction with the risk factors in our 201</w:t>
      </w:r>
      <w:r>
        <w:rPr>
          <w:rFonts w:eastAsia="Times New Roman"/>
          <w:color w:val="000000"/>
          <w:sz w:val="20"/>
          <w:szCs w:val="20"/>
        </w:rPr>
        <w:t>9 10-K</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b/>
          <w:bCs/>
          <w:i/>
          <w:iCs/>
          <w:color w:val="000000"/>
          <w:sz w:val="20"/>
          <w:szCs w:val="20"/>
        </w:rPr>
        <w:t>The COVID-19 coronavirus pandemic could have a material negative effect on our results of operations, cash flows, financial position, and business operations</w:t>
      </w:r>
      <w:r>
        <w:rPr>
          <w:rFonts w:eastAsia="Times New Roman"/>
          <w:b/>
          <w:bCs/>
          <w:i/>
          <w:iCs/>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COVID-19 pandemic has created significant public health concerns as well as econo</w:t>
      </w:r>
      <w:r>
        <w:rPr>
          <w:rFonts w:eastAsia="Times New Roman"/>
          <w:color w:val="000000"/>
          <w:sz w:val="20"/>
          <w:szCs w:val="20"/>
        </w:rPr>
        <w:t>mic disruption, uncertainty, and volatility which may negatively affect our business operations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We are unable to predict the impact that COVID-19 will have on our results of operations, cash flows, financial position, and business operations due to nume</w:t>
      </w:r>
      <w:r>
        <w:rPr>
          <w:rFonts w:eastAsia="Times New Roman"/>
          <w:color w:val="000000"/>
          <w:sz w:val="20"/>
          <w:szCs w:val="20"/>
        </w:rPr>
        <w:t>rous uncertainties. These uncertainties include, but are not limited to: the severity of the virus; the duration of the pandemic; governmental actions which include restrictions on our operations up to and including potential closure of our stores and dist</w:t>
      </w:r>
      <w:r>
        <w:rPr>
          <w:rFonts w:eastAsia="Times New Roman"/>
          <w:color w:val="000000"/>
          <w:sz w:val="20"/>
          <w:szCs w:val="20"/>
        </w:rPr>
        <w:t>ribution centers; the duration and degree of quarantine or shelter-in-place measures, including additional measures that may still occur; impacts on our supply chain which include suppliers of our products and our</w:t>
      </w:r>
      <w:r>
        <w:rPr>
          <w:rFonts w:eastAsia="Times New Roman"/>
          <w:color w:val="000000"/>
          <w:sz w:val="20"/>
          <w:szCs w:val="20"/>
        </w:rPr>
        <w:t xml:space="preserve"> </w:t>
      </w:r>
    </w:p>
    <w:p w:rsidR="00000000" w:rsidRDefault="00480785">
      <w:pPr>
        <w:jc w:val="center"/>
        <w:divId w:val="1643923560"/>
        <w:rPr>
          <w:rFonts w:eastAsia="Times New Roman"/>
        </w:rPr>
      </w:pPr>
      <w:r>
        <w:rPr>
          <w:rFonts w:eastAsia="Times New Roman"/>
          <w:color w:val="000000"/>
          <w:sz w:val="20"/>
          <w:szCs w:val="20"/>
        </w:rPr>
        <w:t>Page 3</w:t>
      </w:r>
      <w:r>
        <w:rPr>
          <w:rFonts w:eastAsia="Times New Roman"/>
          <w:color w:val="000000"/>
          <w:sz w:val="20"/>
          <w:szCs w:val="20"/>
        </w:rPr>
        <w:t>0</w:t>
      </w:r>
    </w:p>
    <w:p w:rsidR="00000000" w:rsidRDefault="00480785">
      <w:pPr>
        <w:rPr>
          <w:rFonts w:eastAsia="Times New Roman"/>
        </w:rPr>
      </w:pPr>
      <w:r>
        <w:rPr>
          <w:rFonts w:eastAsia="Times New Roman"/>
        </w:rPr>
        <w:pict>
          <v:rect id="_x0000_i1055" style="width:0;height:1.5pt" o:hralign="center" o:hrstd="t" o:hr="t" fillcolor="#a0a0a0" stroked="f"/>
        </w:pict>
      </w:r>
    </w:p>
    <w:p w:rsidR="00000000" w:rsidRDefault="00480785">
      <w:pPr>
        <w:divId w:val="997461043"/>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transportation vendors; the health of our workforce and our ability to maintain staffing needs to operate our business; how macroeconomic factors evolve including unemployment rates and re</w:t>
      </w:r>
      <w:r>
        <w:rPr>
          <w:rFonts w:eastAsia="Times New Roman"/>
          <w:color w:val="000000"/>
          <w:sz w:val="20"/>
          <w:szCs w:val="20"/>
        </w:rPr>
        <w:t>cessionary pressures; the impact of the crisis on consumer shopping patterns, both during and after the crisis; volatility in the economy as well as the credit and financial markets during and after the pandemic; the incremental costs of doing business dur</w:t>
      </w:r>
      <w:r>
        <w:rPr>
          <w:rFonts w:eastAsia="Times New Roman"/>
          <w:color w:val="000000"/>
          <w:sz w:val="20"/>
          <w:szCs w:val="20"/>
        </w:rPr>
        <w:t>ing the crisis as well as on a long-term basis; potential increases in insurance premiums, medical claims costs, and workers' compensation claim costs; unknown consequences on our business performance and initiatives stemming from the substantial investmen</w:t>
      </w:r>
      <w:r>
        <w:rPr>
          <w:rFonts w:eastAsia="Times New Roman"/>
          <w:color w:val="000000"/>
          <w:sz w:val="20"/>
          <w:szCs w:val="20"/>
        </w:rPr>
        <w:t>t of time and other resources to the pandemic response; potential delays in growth initiatives including the timing of new store openings; potential adverse effects on our internal control environment and information security as a result of changes to a re</w:t>
      </w:r>
      <w:r>
        <w:rPr>
          <w:rFonts w:eastAsia="Times New Roman"/>
          <w:color w:val="000000"/>
          <w:sz w:val="20"/>
          <w:szCs w:val="20"/>
        </w:rPr>
        <w:t>mote work environment; and the long-term impact of the crisis on our business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In addition, we cannot predict the impact that the pandemic will have on our manufacturers and suppliers of our products and other business partners such as service vendors; h</w:t>
      </w:r>
      <w:r>
        <w:rPr>
          <w:rFonts w:eastAsia="Times New Roman"/>
          <w:color w:val="000000"/>
          <w:sz w:val="20"/>
          <w:szCs w:val="20"/>
        </w:rPr>
        <w:t>owever, any material effect on these parties could adversely impact our results of operations and our ability to operate our business effectively</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b/>
          <w:bCs/>
          <w:i/>
          <w:iCs/>
          <w:color w:val="000000"/>
          <w:sz w:val="20"/>
          <w:szCs w:val="20"/>
        </w:rPr>
        <w:t>The COVID-19 coronavirus pandemic could have a material negative effect on our supply chain</w:t>
      </w:r>
      <w:r>
        <w:rPr>
          <w:rFonts w:eastAsia="Times New Roman"/>
          <w:b/>
          <w:bCs/>
          <w:i/>
          <w:iCs/>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Circumstances surrounding and related to the COVID-19 pandemic have created unprecedented impacts on the global supply chain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Our business relies on an efficient</w:t>
      </w:r>
      <w:r>
        <w:rPr>
          <w:rFonts w:eastAsia="Times New Roman"/>
          <w:color w:val="000000"/>
          <w:sz w:val="20"/>
          <w:szCs w:val="20"/>
        </w:rPr>
        <w:t xml:space="preserve"> and effective supply chain, including the manufacture and transportation of our products as well as the effective functioning of our distribution centers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Impacts related to the COVID-19 pandemic are placing strain on the domestic and international supply</w:t>
      </w:r>
      <w:r>
        <w:rPr>
          <w:rFonts w:eastAsia="Times New Roman"/>
          <w:color w:val="000000"/>
          <w:sz w:val="20"/>
          <w:szCs w:val="20"/>
        </w:rPr>
        <w:t xml:space="preserve"> chain that could negatively affect the flow or availability of our products and result in higher out-of-stock inventory positions due to difficulties in timely obtaining product from the manufacturers and suppliers of our products as well as transportatio</w:t>
      </w:r>
      <w:r>
        <w:rPr>
          <w:rFonts w:eastAsia="Times New Roman"/>
          <w:color w:val="000000"/>
          <w:sz w:val="20"/>
          <w:szCs w:val="20"/>
        </w:rPr>
        <w:t>n of those products to our distribution centers and stores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Further, we may have to source products from different manufacturers or geographic locations which could result in, among other things, higher product costs, increased transportation costs, delays</w:t>
      </w:r>
      <w:r>
        <w:rPr>
          <w:rFonts w:eastAsia="Times New Roman"/>
          <w:color w:val="000000"/>
          <w:sz w:val="20"/>
          <w:szCs w:val="20"/>
        </w:rPr>
        <w:t xml:space="preserve"> in receiving products or lower quality of the products</w:t>
      </w:r>
      <w:r>
        <w:rPr>
          <w:rFonts w:eastAsia="Times New Roman"/>
          <w:color w:val="000000"/>
          <w:sz w:val="20"/>
          <w:szCs w:val="20"/>
        </w:rPr>
        <w:t>.</w:t>
      </w:r>
      <w:r>
        <w:rPr>
          <w:rFonts w:eastAsia="Times New Roman"/>
          <w:color w:val="00000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Additionally, the operation of our distribution centers is crucial to our business operations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 xml:space="preserve">If our distribution centers experience closures or worker shortages, whether temporary or sustained, </w:t>
      </w:r>
      <w:r>
        <w:rPr>
          <w:rFonts w:eastAsia="Times New Roman"/>
          <w:color w:val="000000"/>
          <w:sz w:val="20"/>
          <w:szCs w:val="20"/>
        </w:rPr>
        <w:t>we could sustain significant adverse impacts related to the flow or availability of products to our stores and customers.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Any of these circumstances could adversely affect our ability to deliver inventory in a timely manner, which could impair our abili</w:t>
      </w:r>
      <w:r>
        <w:rPr>
          <w:rFonts w:eastAsia="Times New Roman"/>
          <w:color w:val="000000"/>
          <w:sz w:val="20"/>
          <w:szCs w:val="20"/>
        </w:rPr>
        <w:t>ty to meet customer demand for products and result in lost sales, increased supply chain costs, or damage to our reputation</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b/>
          <w:bCs/>
          <w:i/>
          <w:iCs/>
          <w:color w:val="000000"/>
          <w:sz w:val="20"/>
          <w:szCs w:val="20"/>
        </w:rPr>
        <w:t>Economic impacts stemming from the COVID-19 coronavirus pandemic could significantly impact our financial position, including liq</w:t>
      </w:r>
      <w:r>
        <w:rPr>
          <w:rFonts w:eastAsia="Times New Roman"/>
          <w:b/>
          <w:bCs/>
          <w:i/>
          <w:iCs/>
          <w:color w:val="000000"/>
          <w:sz w:val="20"/>
          <w:szCs w:val="20"/>
        </w:rPr>
        <w:t>uidity, capital allocation, and access to capital markets for additional funds to operate our business</w:t>
      </w:r>
      <w:r>
        <w:rPr>
          <w:rFonts w:eastAsia="Times New Roman"/>
          <w:b/>
          <w:bCs/>
          <w:i/>
          <w:iCs/>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In an effort to strengthen our liquidity and preserve cash while navigating the COVID-19 pandemic, we have taken preemptive actions, including increme</w:t>
      </w:r>
      <w:r>
        <w:rPr>
          <w:rFonts w:eastAsia="Times New Roman"/>
          <w:color w:val="000000"/>
          <w:sz w:val="20"/>
          <w:szCs w:val="20"/>
        </w:rPr>
        <w:t>ntal borrowings under our debt facilities and suspension of our share repurchase program</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increased debt levels have increased our interest expense costs and could place us at higher risk of default or limit our future financial flexibility. Further,</w:t>
      </w:r>
      <w:r>
        <w:rPr>
          <w:rFonts w:eastAsia="Times New Roman"/>
          <w:color w:val="000000"/>
          <w:sz w:val="20"/>
          <w:szCs w:val="20"/>
        </w:rPr>
        <w:t xml:space="preserve"> the financial and credit markets have and may continue to experience significant volatility and turmoil</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Whether due to our increased debt levels or to ongoing changes in the financial and credit markets, our ability to access capital on favorable terms a</w:t>
      </w:r>
      <w:r>
        <w:rPr>
          <w:rFonts w:eastAsia="Times New Roman"/>
          <w:color w:val="000000"/>
          <w:sz w:val="20"/>
          <w:szCs w:val="20"/>
        </w:rPr>
        <w:t>nd continue to meet our liquidity needs could be adversely affected</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Additionally, changes in our capital allocation strategy could have significant adverse impacts, both short- and long-term, on our business, results of operations, and financial positio</w:t>
      </w:r>
      <w:r>
        <w:rPr>
          <w:rFonts w:eastAsia="Times New Roman"/>
          <w:color w:val="000000"/>
          <w:sz w:val="20"/>
          <w:szCs w:val="20"/>
        </w:rPr>
        <w:t>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Suspension of our share repurchase program, depending on duration, will negatively impact our earnings per share which in turn could adversely impact our common stock price</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While not contemplated at this time, any potential suspension or reduction in our dividend declaration could have an adverse impact on investor perception and our common stock price.</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b/>
          <w:bCs/>
          <w:i/>
          <w:iCs/>
          <w:color w:val="000000"/>
          <w:sz w:val="20"/>
          <w:szCs w:val="20"/>
        </w:rPr>
        <w:t>Actions taken to protect the health and safety of our team members and</w:t>
      </w:r>
      <w:r>
        <w:rPr>
          <w:rFonts w:eastAsia="Times New Roman"/>
          <w:b/>
          <w:bCs/>
          <w:i/>
          <w:iCs/>
          <w:color w:val="000000"/>
          <w:sz w:val="20"/>
          <w:szCs w:val="20"/>
        </w:rPr>
        <w:t xml:space="preserve"> customers during the COVID-19 coronavirus pandemic have increased our operating costs and may not be sufficient to protect against operational or reputational harm to our business</w:t>
      </w:r>
      <w:r>
        <w:rPr>
          <w:rFonts w:eastAsia="Times New Roman"/>
          <w:b/>
          <w:bCs/>
          <w:i/>
          <w:iCs/>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 xml:space="preserve">In response to the COVID-19 pandemic, we have taken a number of actions </w:t>
      </w:r>
      <w:r>
        <w:rPr>
          <w:rFonts w:eastAsia="Times New Roman"/>
          <w:color w:val="000000"/>
          <w:sz w:val="20"/>
          <w:szCs w:val="20"/>
        </w:rPr>
        <w:t>across our business to help protect our team members, customers, and others in the communities we serve.</w:t>
      </w:r>
      <w:r>
        <w:rPr>
          <w:rFonts w:eastAsia="Times New Roman"/>
          <w:color w:val="000000"/>
          <w:sz w:val="20"/>
          <w:szCs w:val="20"/>
        </w:rPr>
        <w:t xml:space="preserve"> </w:t>
      </w:r>
      <w:r>
        <w:rPr>
          <w:rFonts w:eastAsia="Times New Roman"/>
          <w:color w:val="000000"/>
          <w:sz w:val="20"/>
          <w:szCs w:val="20"/>
        </w:rPr>
        <w:t>These measures include personal protective equipment for our team members, a requirement to wear masks in our facilities, increased staffing in order t</w:t>
      </w:r>
      <w:r>
        <w:rPr>
          <w:rFonts w:eastAsia="Times New Roman"/>
          <w:color w:val="000000"/>
          <w:sz w:val="20"/>
          <w:szCs w:val="20"/>
        </w:rPr>
        <w:t>o provide contact-free curbside pickup from stores, expansion of our capabilities to support delivery to customer homes, increased cleaning and sanitizing measures, and monitoring for “social distancing” directives, as well as additional cleaning materials</w:t>
      </w:r>
      <w:r>
        <w:rPr>
          <w:rFonts w:eastAsia="Times New Roman"/>
          <w:color w:val="000000"/>
          <w:sz w:val="20"/>
          <w:szCs w:val="20"/>
        </w:rPr>
        <w:t xml:space="preserve"> in our facilities. Additionally, we have provided appreciation bonuses as well as permanent increases in compensation and benefits for our team members in our</w:t>
      </w:r>
      <w:r>
        <w:rPr>
          <w:rFonts w:eastAsia="Times New Roman"/>
          <w:color w:val="000000"/>
          <w:sz w:val="20"/>
          <w:szCs w:val="20"/>
        </w:rPr>
        <w:t xml:space="preserve"> </w:t>
      </w:r>
    </w:p>
    <w:p w:rsidR="00000000" w:rsidRDefault="00480785">
      <w:pPr>
        <w:jc w:val="center"/>
        <w:divId w:val="1140004605"/>
        <w:rPr>
          <w:rFonts w:eastAsia="Times New Roman"/>
        </w:rPr>
      </w:pPr>
      <w:r>
        <w:rPr>
          <w:rFonts w:eastAsia="Times New Roman"/>
          <w:color w:val="000000"/>
          <w:sz w:val="20"/>
          <w:szCs w:val="20"/>
        </w:rPr>
        <w:t>Page 3</w:t>
      </w:r>
      <w:r>
        <w:rPr>
          <w:rFonts w:eastAsia="Times New Roman"/>
          <w:color w:val="000000"/>
          <w:sz w:val="20"/>
          <w:szCs w:val="20"/>
        </w:rPr>
        <w:t>1</w:t>
      </w:r>
    </w:p>
    <w:p w:rsidR="00000000" w:rsidRDefault="00480785">
      <w:pPr>
        <w:rPr>
          <w:rFonts w:eastAsia="Times New Roman"/>
        </w:rPr>
      </w:pPr>
      <w:r>
        <w:rPr>
          <w:rFonts w:eastAsia="Times New Roman"/>
        </w:rPr>
        <w:pict>
          <v:rect id="_x0000_i1056" style="width:0;height:1.5pt" o:hralign="center" o:hrstd="t" o:hr="t" fillcolor="#a0a0a0" stroked="f"/>
        </w:pict>
      </w:r>
    </w:p>
    <w:p w:rsidR="00000000" w:rsidRDefault="00480785">
      <w:pPr>
        <w:divId w:val="1993412308"/>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color w:val="000000"/>
          <w:sz w:val="20"/>
          <w:szCs w:val="20"/>
        </w:rPr>
        <w:t xml:space="preserve">stores and distribution centers to further support them during and after the COVID-19 pandemic. Actions such as these have resulted in significant incremental costs and we expect that we will continue to incur these costs for the foreseeable </w:t>
      </w:r>
      <w:r>
        <w:rPr>
          <w:rFonts w:eastAsia="Times New Roman"/>
          <w:color w:val="000000"/>
          <w:sz w:val="20"/>
          <w:szCs w:val="20"/>
        </w:rPr>
        <w:t>future, which in turn will have an adverse impact on our results of operations</w:t>
      </w:r>
      <w:r>
        <w:rPr>
          <w:rFonts w:eastAsia="Times New Roman"/>
          <w:color w:val="000000"/>
          <w:sz w:val="20"/>
          <w:szCs w:val="20"/>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The health and safety of our team members and customers are of primary concern to our management team</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However, due to the unpredictable nature of this virus and the conseque</w:t>
      </w:r>
      <w:r>
        <w:rPr>
          <w:rFonts w:eastAsia="Times New Roman"/>
          <w:color w:val="000000"/>
          <w:sz w:val="20"/>
          <w:szCs w:val="20"/>
        </w:rPr>
        <w:t>nces of our actions, we may see unexpected outcomes notwithstanding our added safety measures.</w:t>
      </w:r>
      <w:r>
        <w:rPr>
          <w:rFonts w:eastAsia="Times New Roman"/>
          <w:color w:val="000000"/>
          <w:sz w:val="20"/>
          <w:szCs w:val="20"/>
        </w:rPr>
        <w:t xml:space="preserve"> </w:t>
      </w:r>
      <w:r>
        <w:rPr>
          <w:rFonts w:eastAsia="Times New Roman"/>
          <w:color w:val="000000"/>
          <w:sz w:val="20"/>
          <w:szCs w:val="20"/>
        </w:rPr>
        <w:t>For instance, if we do not respond appropriately to the pandemic, or if our customers do not participate in “social distancing” and other safety measures, the we</w:t>
      </w:r>
      <w:r>
        <w:rPr>
          <w:rFonts w:eastAsia="Times New Roman"/>
          <w:color w:val="000000"/>
          <w:sz w:val="20"/>
          <w:szCs w:val="20"/>
        </w:rPr>
        <w:t>ll-being of our team members and customers could be jeopardized. Furthermore, any failure to appropriately respond, or the perception of an inadequate response, could cause reputational harm to our brand and subject us to claims and litigation from team me</w:t>
      </w:r>
      <w:r>
        <w:rPr>
          <w:rFonts w:eastAsia="Times New Roman"/>
          <w:color w:val="000000"/>
          <w:sz w:val="20"/>
          <w:szCs w:val="20"/>
        </w:rPr>
        <w:t>mbers, customers and service providers.</w:t>
      </w:r>
      <w:r>
        <w:rPr>
          <w:rFonts w:eastAsia="Times New Roman"/>
          <w:color w:val="000000"/>
          <w:sz w:val="20"/>
          <w:szCs w:val="20"/>
        </w:rPr>
        <w:t xml:space="preserve"> </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Additionally, an outbreak of confirmed cases of COVID-19 in our stores or distribution centers could result in temporary or sustained workforce shortages or facility closures which would negatively impact our unde</w:t>
      </w:r>
      <w:r>
        <w:rPr>
          <w:rFonts w:eastAsia="Times New Roman"/>
          <w:color w:val="000000"/>
          <w:sz w:val="20"/>
          <w:szCs w:val="20"/>
        </w:rPr>
        <w:t>rlying business and results of operations</w:t>
      </w:r>
      <w:r>
        <w:rPr>
          <w:rFonts w:eastAsia="Times New Roman"/>
          <w:color w:val="000000"/>
          <w:sz w:val="20"/>
          <w:szCs w:val="20"/>
        </w:rPr>
        <w:t>.</w:t>
      </w:r>
    </w:p>
    <w:p w:rsidR="00000000" w:rsidRDefault="00480785">
      <w:pPr>
        <w:divId w:val="2101832682"/>
        <w:rPr>
          <w:rFonts w:eastAsia="Times New Roman"/>
        </w:rPr>
      </w:pPr>
    </w:p>
    <w:p w:rsidR="00000000" w:rsidRDefault="00480785">
      <w:pPr>
        <w:jc w:val="both"/>
        <w:rPr>
          <w:rFonts w:eastAsia="Times New Roman"/>
        </w:rPr>
      </w:pPr>
      <w:r>
        <w:rPr>
          <w:rFonts w:eastAsia="Times New Roman"/>
          <w:b/>
          <w:bCs/>
          <w:color w:val="000000"/>
          <w:sz w:val="20"/>
          <w:szCs w:val="20"/>
          <w:u w:val="single"/>
        </w:rPr>
        <w:t>Item 2.  Unregistered Sales of Equity Securities and Use of Proceed</w:t>
      </w:r>
      <w:r>
        <w:rPr>
          <w:rFonts w:eastAsia="Times New Roman"/>
          <w:b/>
          <w:bCs/>
          <w:color w:val="000000"/>
          <w:sz w:val="20"/>
          <w:szCs w:val="20"/>
          <w:u w:val="single"/>
        </w:rPr>
        <w:t>s</w:t>
      </w:r>
    </w:p>
    <w:p w:rsidR="00000000" w:rsidRDefault="00480785">
      <w:pPr>
        <w:divId w:val="568657569"/>
        <w:rPr>
          <w:rFonts w:eastAsia="Times New Roman"/>
        </w:rPr>
      </w:pPr>
    </w:p>
    <w:p w:rsidR="00000000" w:rsidRDefault="00480785">
      <w:pPr>
        <w:jc w:val="both"/>
        <w:rPr>
          <w:rFonts w:eastAsia="Times New Roman"/>
        </w:rPr>
      </w:pPr>
      <w:r>
        <w:rPr>
          <w:rFonts w:eastAsia="Times New Roman"/>
          <w:b/>
          <w:bCs/>
          <w:color w:val="000000"/>
          <w:sz w:val="20"/>
          <w:szCs w:val="20"/>
        </w:rPr>
        <w:t>Issuer Purchases of Equity Securitie</w:t>
      </w:r>
      <w:r>
        <w:rPr>
          <w:rFonts w:eastAsia="Times New Roman"/>
          <w:b/>
          <w:bCs/>
          <w:color w:val="000000"/>
          <w:sz w:val="20"/>
          <w:szCs w:val="20"/>
        </w:rPr>
        <w:t>s</w:t>
      </w:r>
    </w:p>
    <w:p w:rsidR="00000000" w:rsidRDefault="00480785">
      <w:pPr>
        <w:divId w:val="1527601720"/>
        <w:rPr>
          <w:rFonts w:eastAsia="Times New Roman"/>
        </w:rPr>
      </w:pPr>
    </w:p>
    <w:p w:rsidR="00000000" w:rsidRDefault="00480785">
      <w:pPr>
        <w:jc w:val="both"/>
        <w:rPr>
          <w:rFonts w:eastAsia="Times New Roman"/>
        </w:rPr>
      </w:pPr>
      <w:r>
        <w:rPr>
          <w:rFonts w:eastAsia="Times New Roman"/>
          <w:color w:val="000000"/>
          <w:sz w:val="20"/>
          <w:szCs w:val="20"/>
        </w:rPr>
        <w:t>Stock repurchase activity during the third quarter of fiscal 2020 was as follows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2"/>
        <w:gridCol w:w="2541"/>
        <w:gridCol w:w="37"/>
        <w:gridCol w:w="37"/>
        <w:gridCol w:w="173"/>
        <w:gridCol w:w="36"/>
        <w:gridCol w:w="81"/>
        <w:gridCol w:w="851"/>
        <w:gridCol w:w="41"/>
        <w:gridCol w:w="36"/>
        <w:gridCol w:w="36"/>
        <w:gridCol w:w="36"/>
        <w:gridCol w:w="135"/>
        <w:gridCol w:w="658"/>
        <w:gridCol w:w="41"/>
        <w:gridCol w:w="36"/>
        <w:gridCol w:w="36"/>
        <w:gridCol w:w="36"/>
        <w:gridCol w:w="54"/>
        <w:gridCol w:w="1392"/>
        <w:gridCol w:w="41"/>
        <w:gridCol w:w="36"/>
        <w:gridCol w:w="36"/>
        <w:gridCol w:w="36"/>
        <w:gridCol w:w="135"/>
        <w:gridCol w:w="1621"/>
        <w:gridCol w:w="41"/>
      </w:tblGrid>
      <w:tr w:rsidR="00000000">
        <w:trPr>
          <w:divId w:val="820118031"/>
        </w:trPr>
        <w:tc>
          <w:tcPr>
            <w:tcW w:w="50" w:type="pct"/>
            <w:vAlign w:val="center"/>
            <w:hideMark/>
          </w:tcPr>
          <w:p w:rsidR="00000000" w:rsidRDefault="00480785">
            <w:pPr>
              <w:jc w:val="both"/>
              <w:rPr>
                <w:rFonts w:eastAsia="Times New Roman"/>
              </w:rPr>
            </w:pPr>
          </w:p>
        </w:tc>
        <w:tc>
          <w:tcPr>
            <w:tcW w:w="1557"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129"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531"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47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890"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2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022"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820118031"/>
        </w:trPr>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Perio</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Total Number of Shares Purchase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Averag</w:t>
            </w:r>
            <w:r>
              <w:rPr>
                <w:rFonts w:eastAsia="Times New Roman"/>
                <w:b/>
                <w:bCs/>
                <w:color w:val="000000"/>
                <w:sz w:val="20"/>
                <w:szCs w:val="20"/>
              </w:rPr>
              <w:t>e</w:t>
            </w:r>
          </w:p>
          <w:p w:rsidR="00000000" w:rsidRDefault="00480785">
            <w:pPr>
              <w:jc w:val="center"/>
              <w:rPr>
                <w:rFonts w:eastAsia="Times New Roman"/>
              </w:rPr>
            </w:pPr>
            <w:r>
              <w:rPr>
                <w:rFonts w:eastAsia="Times New Roman"/>
                <w:b/>
                <w:bCs/>
                <w:color w:val="000000"/>
                <w:sz w:val="20"/>
                <w:szCs w:val="20"/>
              </w:rPr>
              <w:t>Price Pai</w:t>
            </w:r>
            <w:r>
              <w:rPr>
                <w:rFonts w:eastAsia="Times New Roman"/>
                <w:b/>
                <w:bCs/>
                <w:color w:val="000000"/>
                <w:sz w:val="20"/>
                <w:szCs w:val="20"/>
              </w:rPr>
              <w:t>d</w:t>
            </w:r>
          </w:p>
          <w:p w:rsidR="00000000" w:rsidRDefault="00480785">
            <w:pPr>
              <w:jc w:val="center"/>
              <w:rPr>
                <w:rFonts w:eastAsia="Times New Roman"/>
              </w:rPr>
            </w:pPr>
            <w:r>
              <w:rPr>
                <w:rFonts w:eastAsia="Times New Roman"/>
                <w:b/>
                <w:bCs/>
                <w:color w:val="000000"/>
                <w:sz w:val="20"/>
                <w:szCs w:val="20"/>
              </w:rPr>
              <w:t>Per Shar</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Total Number of Shares Purchased as Part of Publicly Announced Plans or Program</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480785">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480785">
            <w:pPr>
              <w:jc w:val="center"/>
              <w:rPr>
                <w:rFonts w:eastAsia="Times New Roman"/>
              </w:rPr>
            </w:pPr>
            <w:r>
              <w:rPr>
                <w:rFonts w:eastAsia="Times New Roman"/>
                <w:b/>
                <w:bCs/>
                <w:color w:val="000000"/>
                <w:sz w:val="20"/>
                <w:szCs w:val="20"/>
              </w:rPr>
              <w:t>Maximum Dolla</w:t>
            </w:r>
            <w:r>
              <w:rPr>
                <w:rFonts w:eastAsia="Times New Roman"/>
                <w:b/>
                <w:bCs/>
                <w:color w:val="000000"/>
                <w:sz w:val="20"/>
                <w:szCs w:val="20"/>
              </w:rPr>
              <w:t>r</w:t>
            </w:r>
          </w:p>
          <w:p w:rsidR="00000000" w:rsidRDefault="00480785">
            <w:pPr>
              <w:jc w:val="center"/>
              <w:rPr>
                <w:rFonts w:eastAsia="Times New Roman"/>
              </w:rPr>
            </w:pPr>
            <w:r>
              <w:rPr>
                <w:rFonts w:eastAsia="Times New Roman"/>
                <w:b/>
                <w:bCs/>
                <w:color w:val="000000"/>
                <w:sz w:val="20"/>
                <w:szCs w:val="20"/>
              </w:rPr>
              <w:t>Value of Shares That May Yet Be Purchased Under the Plans or Program</w:t>
            </w:r>
            <w:r>
              <w:rPr>
                <w:rFonts w:eastAsia="Times New Roman"/>
                <w:b/>
                <w:bCs/>
                <w:color w:val="000000"/>
                <w:sz w:val="20"/>
                <w:szCs w:val="20"/>
              </w:rPr>
              <w:t>s</w:t>
            </w:r>
          </w:p>
        </w:tc>
      </w:tr>
      <w:tr w:rsidR="00000000">
        <w:trPr>
          <w:divId w:val="82011803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June 28, 2020 - July 25,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1,223,586,890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820118031"/>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July 26, 2020 - August 22, 202</w:t>
            </w:r>
            <w:r>
              <w:rPr>
                <w:rFonts w:eastAsia="Times New Roman"/>
                <w:color w:val="000000"/>
                <w:sz w:val="20"/>
                <w:szCs w:val="20"/>
              </w:rPr>
              <w:t>0</w:t>
            </w:r>
          </w:p>
        </w:tc>
        <w:tc>
          <w:tcPr>
            <w:tcW w:w="0" w:type="auto"/>
            <w:gridSpan w:val="3"/>
            <w:shd w:val="clear" w:color="auto" w:fill="FFFFFF"/>
            <w:tcMar>
              <w:top w:w="30" w:type="dxa"/>
              <w:left w:w="20" w:type="dxa"/>
              <w:bottom w:w="30" w:type="dxa"/>
              <w:right w:w="20" w:type="dxa"/>
            </w:tcMar>
            <w:vAlign w:val="bottom"/>
            <w:hideMark/>
          </w:tcPr>
          <w:p w:rsidR="00000000" w:rsidRDefault="00480785">
            <w:pPr>
              <w:divId w:val="950940047"/>
              <w:rPr>
                <w:rFonts w:eastAsia="Times New Roman"/>
              </w:rPr>
            </w:pPr>
            <w:r>
              <w:rPr>
                <w:rFonts w:eastAsia="Times New Roman"/>
                <w:color w:val="000000"/>
                <w:sz w:val="13"/>
                <w:szCs w:val="13"/>
                <w:vertAlign w:val="superscript"/>
              </w:rPr>
              <w:t>(a)</w:t>
            </w: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2,305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147.94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1,223,586,890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820118031"/>
        </w:trPr>
        <w:tc>
          <w:tcPr>
            <w:tcW w:w="0" w:type="auto"/>
            <w:gridSpan w:val="3"/>
            <w:shd w:val="clear" w:color="auto" w:fill="CCEE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August 23, 2020 - September 26, 2020</w:t>
            </w:r>
            <w:r>
              <w:rPr>
                <w:rFonts w:eastAsia="Times New Roman"/>
                <w:color w:val="000000"/>
                <w:sz w:val="20"/>
                <w:szCs w:val="20"/>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1,223,586,890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480785">
            <w:pPr>
              <w:jc w:val="right"/>
              <w:rPr>
                <w:rFonts w:eastAsia="Times New Roman"/>
              </w:rPr>
            </w:pPr>
          </w:p>
        </w:tc>
      </w:tr>
      <w:tr w:rsidR="00000000">
        <w:trPr>
          <w:divId w:val="820118031"/>
        </w:trPr>
        <w:tc>
          <w:tcPr>
            <w:tcW w:w="0" w:type="auto"/>
            <w:gridSpan w:val="3"/>
            <w:shd w:val="clear" w:color="auto" w:fill="FFFFFF"/>
            <w:tcMar>
              <w:top w:w="30" w:type="dxa"/>
              <w:left w:w="20" w:type="dxa"/>
              <w:bottom w:w="30" w:type="dxa"/>
              <w:right w:w="20" w:type="dxa"/>
            </w:tcMar>
            <w:vAlign w:val="bottom"/>
            <w:hideMark/>
          </w:tcPr>
          <w:p w:rsidR="00000000" w:rsidRDefault="00480785">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480785">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2,305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147.94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480785">
            <w:pPr>
              <w:jc w:val="right"/>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480785">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480785">
            <w:pPr>
              <w:jc w:val="right"/>
              <w:rPr>
                <w:rFonts w:eastAsia="Times New Roman"/>
              </w:rPr>
            </w:pPr>
            <w:r>
              <w:rPr>
                <w:rFonts w:eastAsia="Times New Roman"/>
                <w:color w:val="000000"/>
                <w:sz w:val="20"/>
                <w:szCs w:val="20"/>
              </w:rPr>
              <w:t>1,223,586,890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480785">
            <w:pPr>
              <w:jc w:val="right"/>
              <w:rPr>
                <w:rFonts w:eastAsia="Times New Roman"/>
              </w:rPr>
            </w:pPr>
          </w:p>
        </w:tc>
      </w:tr>
    </w:tbl>
    <w:p w:rsidR="00000000" w:rsidRDefault="00480785">
      <w:pPr>
        <w:ind w:hanging="270"/>
        <w:jc w:val="both"/>
        <w:rPr>
          <w:rFonts w:eastAsia="Times New Roman"/>
        </w:rPr>
      </w:pPr>
      <w:r>
        <w:rPr>
          <w:rFonts w:eastAsia="Times New Roman"/>
          <w:color w:val="000000"/>
          <w:sz w:val="16"/>
          <w:szCs w:val="16"/>
        </w:rPr>
        <w:t xml:space="preserve">(a) The number of shares purchased and average price paid per share includes 2,305 shares withheld from vested stock awards to satisfy employees’ minimum statutory tax withholding requirements for </w:t>
      </w:r>
      <w:r>
        <w:rPr>
          <w:rFonts w:eastAsia="Times New Roman"/>
          <w:color w:val="000000"/>
          <w:sz w:val="16"/>
          <w:szCs w:val="16"/>
        </w:rPr>
        <w:t>the period of July 26, 2020 - August 22, 2020</w:t>
      </w:r>
      <w:r>
        <w:rPr>
          <w:rFonts w:eastAsia="Times New Roman"/>
          <w:color w:val="000000"/>
          <w:sz w:val="16"/>
          <w:szCs w:val="16"/>
        </w:rPr>
        <w:t>.</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rPr>
        <w:t>Share repurchases were made pursuant to the share repurchase program described under Part I Item 2. Management’s Discussion and Analysis of Financial Conditions and Results of Operations. We expect to implement the balance of the repurchase program through</w:t>
      </w:r>
      <w:r>
        <w:rPr>
          <w:rFonts w:eastAsia="Times New Roman"/>
          <w:color w:val="000000"/>
          <w:sz w:val="20"/>
          <w:szCs w:val="20"/>
        </w:rPr>
        <w:t xml:space="preserve"> purchases made from time to time either in the open market or through private transactions, in accordance with regulations of the SEC and other applicable legal requirements</w:t>
      </w:r>
      <w:r>
        <w:rPr>
          <w:rFonts w:eastAsia="Times New Roman"/>
          <w:color w:val="000000"/>
          <w:sz w:val="20"/>
          <w:szCs w:val="20"/>
        </w:rPr>
        <w:t>.</w:t>
      </w:r>
    </w:p>
    <w:p w:rsidR="00000000" w:rsidRDefault="00480785">
      <w:pPr>
        <w:divId w:val="1940676094"/>
        <w:rPr>
          <w:rFonts w:eastAsia="Times New Roman"/>
        </w:rPr>
      </w:pPr>
    </w:p>
    <w:p w:rsidR="00000000" w:rsidRDefault="00480785">
      <w:pPr>
        <w:jc w:val="both"/>
        <w:rPr>
          <w:rFonts w:eastAsia="Times New Roman"/>
        </w:rPr>
      </w:pPr>
      <w:r>
        <w:rPr>
          <w:rFonts w:eastAsia="Times New Roman"/>
          <w:b/>
          <w:bCs/>
          <w:color w:val="000000"/>
          <w:sz w:val="20"/>
          <w:szCs w:val="20"/>
          <w:u w:val="single"/>
        </w:rPr>
        <w:t>Item 3.  Defaults Upon Senior Securitie</w:t>
      </w:r>
      <w:r>
        <w:rPr>
          <w:rFonts w:eastAsia="Times New Roman"/>
          <w:b/>
          <w:bCs/>
          <w:color w:val="000000"/>
          <w:sz w:val="20"/>
          <w:szCs w:val="20"/>
          <w:u w:val="single"/>
        </w:rPr>
        <w:t>s</w:t>
      </w:r>
    </w:p>
    <w:p w:rsidR="00000000" w:rsidRDefault="00480785">
      <w:pPr>
        <w:divId w:val="27687230"/>
        <w:rPr>
          <w:rFonts w:eastAsia="Times New Roman"/>
        </w:rPr>
      </w:pPr>
    </w:p>
    <w:p w:rsidR="00000000" w:rsidRDefault="00480785">
      <w:pPr>
        <w:divId w:val="1528060823"/>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480785">
      <w:pPr>
        <w:divId w:val="1091313934"/>
        <w:rPr>
          <w:rFonts w:eastAsia="Times New Roman"/>
        </w:rPr>
      </w:pPr>
    </w:p>
    <w:p w:rsidR="00000000" w:rsidRDefault="00480785">
      <w:pPr>
        <w:jc w:val="both"/>
        <w:rPr>
          <w:rFonts w:eastAsia="Times New Roman"/>
        </w:rPr>
      </w:pPr>
      <w:r>
        <w:rPr>
          <w:rFonts w:eastAsia="Times New Roman"/>
          <w:b/>
          <w:bCs/>
          <w:color w:val="000000"/>
          <w:sz w:val="20"/>
          <w:szCs w:val="20"/>
          <w:u w:val="single"/>
        </w:rPr>
        <w:t>Item 4.  </w:t>
      </w:r>
      <w:r>
        <w:rPr>
          <w:rFonts w:eastAsia="Times New Roman"/>
          <w:b/>
          <w:bCs/>
          <w:color w:val="000000"/>
          <w:sz w:val="20"/>
          <w:szCs w:val="20"/>
          <w:u w:val="single"/>
        </w:rPr>
        <w:t>Mine Safety Disclosure</w:t>
      </w:r>
      <w:r>
        <w:rPr>
          <w:rFonts w:eastAsia="Times New Roman"/>
          <w:b/>
          <w:bCs/>
          <w:color w:val="000000"/>
          <w:sz w:val="20"/>
          <w:szCs w:val="20"/>
          <w:u w:val="single"/>
        </w:rPr>
        <w:t>s</w:t>
      </w:r>
    </w:p>
    <w:p w:rsidR="00000000" w:rsidRDefault="00480785">
      <w:pPr>
        <w:divId w:val="574241690"/>
        <w:rPr>
          <w:rFonts w:eastAsia="Times New Roman"/>
        </w:rPr>
      </w:pPr>
    </w:p>
    <w:p w:rsidR="00000000" w:rsidRDefault="00480785">
      <w:pPr>
        <w:divId w:val="757823038"/>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480785">
      <w:pPr>
        <w:divId w:val="1440300792"/>
        <w:rPr>
          <w:rFonts w:eastAsia="Times New Roman"/>
        </w:rPr>
      </w:pPr>
    </w:p>
    <w:p w:rsidR="00000000" w:rsidRDefault="00480785">
      <w:pPr>
        <w:jc w:val="both"/>
        <w:rPr>
          <w:rFonts w:eastAsia="Times New Roman"/>
        </w:rPr>
      </w:pPr>
      <w:r>
        <w:rPr>
          <w:rFonts w:eastAsia="Times New Roman"/>
          <w:b/>
          <w:bCs/>
          <w:color w:val="000000"/>
          <w:sz w:val="20"/>
          <w:szCs w:val="20"/>
          <w:u w:val="single"/>
        </w:rPr>
        <w:t>Item 5.  Other Informatio</w:t>
      </w:r>
      <w:r>
        <w:rPr>
          <w:rFonts w:eastAsia="Times New Roman"/>
          <w:b/>
          <w:bCs/>
          <w:color w:val="000000"/>
          <w:sz w:val="20"/>
          <w:szCs w:val="20"/>
          <w:u w:val="single"/>
        </w:rPr>
        <w:t>n</w:t>
      </w:r>
    </w:p>
    <w:p w:rsidR="00000000" w:rsidRDefault="00480785">
      <w:pPr>
        <w:divId w:val="1092778587"/>
        <w:rPr>
          <w:rFonts w:eastAsia="Times New Roman"/>
        </w:rPr>
      </w:pPr>
    </w:p>
    <w:p w:rsidR="00000000" w:rsidRDefault="00480785">
      <w:pPr>
        <w:divId w:val="319357766"/>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480785">
      <w:pPr>
        <w:divId w:val="423262576"/>
        <w:rPr>
          <w:rFonts w:eastAsia="Times New Roman"/>
        </w:rPr>
      </w:pPr>
    </w:p>
    <w:p w:rsidR="00000000" w:rsidRDefault="00480785">
      <w:pPr>
        <w:jc w:val="center"/>
        <w:divId w:val="1900050931"/>
        <w:rPr>
          <w:rFonts w:eastAsia="Times New Roman"/>
        </w:rPr>
      </w:pPr>
      <w:r>
        <w:rPr>
          <w:rFonts w:eastAsia="Times New Roman"/>
          <w:color w:val="000000"/>
          <w:sz w:val="20"/>
          <w:szCs w:val="20"/>
        </w:rPr>
        <w:t>Page 3</w:t>
      </w:r>
      <w:r>
        <w:rPr>
          <w:rFonts w:eastAsia="Times New Roman"/>
          <w:color w:val="000000"/>
          <w:sz w:val="20"/>
          <w:szCs w:val="20"/>
        </w:rPr>
        <w:t>2</w:t>
      </w:r>
    </w:p>
    <w:p w:rsidR="00000000" w:rsidRDefault="00480785">
      <w:pPr>
        <w:rPr>
          <w:rFonts w:eastAsia="Times New Roman"/>
        </w:rPr>
      </w:pPr>
      <w:r>
        <w:rPr>
          <w:rFonts w:eastAsia="Times New Roman"/>
        </w:rPr>
        <w:pict>
          <v:rect id="_x0000_i1057" style="width:0;height:1.5pt" o:hralign="center" o:hrstd="t" o:hr="t" fillcolor="#a0a0a0" stroked="f"/>
        </w:pict>
      </w:r>
    </w:p>
    <w:p w:rsidR="00000000" w:rsidRDefault="00480785">
      <w:pPr>
        <w:divId w:val="643317040"/>
        <w:rPr>
          <w:rFonts w:eastAsia="Times New Roman"/>
        </w:rPr>
      </w:pPr>
      <w:hyperlink w:anchor="i28e74bea7b4a44c78304596dc3e51779_7" w:history="1">
        <w:r>
          <w:rPr>
            <w:rStyle w:val="a3"/>
            <w:rFonts w:eastAsia="Times New Roman"/>
            <w:sz w:val="16"/>
            <w:szCs w:val="16"/>
          </w:rPr>
          <w:t>Index</w:t>
        </w:r>
      </w:hyperlink>
    </w:p>
    <w:p w:rsidR="00000000" w:rsidRDefault="00480785">
      <w:pPr>
        <w:jc w:val="both"/>
        <w:rPr>
          <w:rFonts w:eastAsia="Times New Roman"/>
        </w:rPr>
      </w:pPr>
      <w:r>
        <w:rPr>
          <w:rFonts w:eastAsia="Times New Roman"/>
          <w:b/>
          <w:bCs/>
          <w:color w:val="000000"/>
          <w:sz w:val="20"/>
          <w:szCs w:val="20"/>
          <w:u w:val="single"/>
        </w:rPr>
        <w:t>Item 6.  Exhibit</w:t>
      </w:r>
      <w:r>
        <w:rPr>
          <w:rFonts w:eastAsia="Times New Roman"/>
          <w:b/>
          <w:bCs/>
          <w:color w:val="000000"/>
          <w:sz w:val="20"/>
          <w:szCs w:val="20"/>
          <w:u w:val="single"/>
        </w:rPr>
        <w:t>s</w:t>
      </w:r>
    </w:p>
    <w:p w:rsidR="00000000" w:rsidRDefault="00480785">
      <w:pPr>
        <w:jc w:val="both"/>
        <w:rPr>
          <w:rFonts w:eastAsia="Times New Roman"/>
        </w:rPr>
      </w:pPr>
    </w:p>
    <w:p w:rsidR="00000000" w:rsidRDefault="00480785">
      <w:pPr>
        <w:jc w:val="both"/>
        <w:rPr>
          <w:rFonts w:eastAsia="Times New Roman"/>
        </w:rPr>
      </w:pPr>
      <w:r>
        <w:rPr>
          <w:rFonts w:eastAsia="Times New Roman"/>
          <w:color w:val="000000"/>
          <w:sz w:val="20"/>
          <w:szCs w:val="20"/>
          <w:u w:val="single"/>
        </w:rPr>
        <w:t>Exhibi</w:t>
      </w:r>
      <w:r>
        <w:rPr>
          <w:rFonts w:eastAsia="Times New Roman"/>
          <w:color w:val="000000"/>
          <w:sz w:val="20"/>
          <w:szCs w:val="20"/>
          <w:u w:val="single"/>
        </w:rPr>
        <w:t>t</w:t>
      </w:r>
    </w:p>
    <w:p w:rsidR="00000000" w:rsidRDefault="00480785">
      <w:pPr>
        <w:ind w:hanging="1440"/>
        <w:divId w:val="201673107"/>
        <w:rPr>
          <w:rFonts w:eastAsia="Times New Roman"/>
        </w:rPr>
      </w:pPr>
      <w:r>
        <w:rPr>
          <w:rFonts w:eastAsia="Times New Roman"/>
          <w:color w:val="000000"/>
          <w:sz w:val="20"/>
          <w:szCs w:val="20"/>
        </w:rPr>
        <w:t>3.1*       </w:t>
      </w:r>
      <w:r>
        <w:rPr>
          <w:rFonts w:eastAsia="Times New Roman"/>
          <w:color w:val="000000"/>
          <w:sz w:val="20"/>
          <w:szCs w:val="20"/>
        </w:rPr>
        <w:t> </w:t>
      </w:r>
      <w:hyperlink r:id="rId5" w:history="1">
        <w:r>
          <w:rPr>
            <w:rStyle w:val="a3"/>
            <w:rFonts w:eastAsia="Times New Roman"/>
            <w:sz w:val="20"/>
            <w:szCs w:val="20"/>
          </w:rPr>
          <w:t>Restated Certificate of Incorporation, as amended, of the Company (restated for SEC filing purposes only).</w:t>
        </w:r>
      </w:hyperlink>
    </w:p>
    <w:p w:rsidR="00000000" w:rsidRDefault="00480785">
      <w:pPr>
        <w:ind w:hanging="1440"/>
        <w:divId w:val="639959828"/>
        <w:rPr>
          <w:rFonts w:eastAsia="Times New Roman"/>
        </w:rPr>
      </w:pPr>
    </w:p>
    <w:p w:rsidR="00000000" w:rsidRDefault="00480785">
      <w:pPr>
        <w:ind w:hanging="1440"/>
        <w:jc w:val="both"/>
        <w:rPr>
          <w:rFonts w:eastAsia="Times New Roman"/>
        </w:rPr>
      </w:pPr>
      <w:r>
        <w:rPr>
          <w:rFonts w:eastAsia="Times New Roman"/>
          <w:color w:val="000000"/>
          <w:sz w:val="20"/>
          <w:szCs w:val="20"/>
        </w:rPr>
        <w:t>3.2       </w:t>
      </w:r>
      <w:r>
        <w:rPr>
          <w:rFonts w:eastAsia="Times New Roman"/>
          <w:color w:val="000000"/>
          <w:sz w:val="20"/>
          <w:szCs w:val="20"/>
        </w:rPr>
        <w:t> </w:t>
      </w:r>
      <w:hyperlink r:id="rId6" w:history="1">
        <w:r>
          <w:rPr>
            <w:rStyle w:val="a3"/>
            <w:rFonts w:eastAsia="Times New Roman"/>
            <w:sz w:val="20"/>
            <w:szCs w:val="20"/>
          </w:rPr>
          <w:t>Fifth Amend</w:t>
        </w:r>
        <w:r>
          <w:rPr>
            <w:rStyle w:val="a3"/>
            <w:rFonts w:eastAsia="Times New Roman"/>
            <w:sz w:val="20"/>
            <w:szCs w:val="20"/>
          </w:rPr>
          <w:t>ed and Restated By-laws, as amended (filed as Exhibit 3.1 to the Company’s Quarterly Report on Form 10-Q, filed with the Commission on May 7, 2020, Commission File No. 000-23314, and incorporated herein by reference).</w:t>
        </w:r>
      </w:hyperlink>
    </w:p>
    <w:p w:rsidR="00000000" w:rsidRDefault="00480785">
      <w:pPr>
        <w:ind w:hanging="1440"/>
        <w:jc w:val="both"/>
        <w:rPr>
          <w:rFonts w:eastAsia="Times New Roman"/>
        </w:rPr>
      </w:pPr>
    </w:p>
    <w:p w:rsidR="00000000" w:rsidRDefault="00480785">
      <w:pPr>
        <w:ind w:hanging="1440"/>
        <w:jc w:val="both"/>
        <w:rPr>
          <w:rFonts w:eastAsia="Times New Roman"/>
        </w:rPr>
      </w:pPr>
      <w:r>
        <w:rPr>
          <w:rFonts w:eastAsia="Times New Roman"/>
          <w:color w:val="000000"/>
          <w:sz w:val="20"/>
          <w:szCs w:val="20"/>
        </w:rPr>
        <w:t>4.1*       </w:t>
      </w:r>
      <w:r>
        <w:rPr>
          <w:rFonts w:eastAsia="Times New Roman"/>
          <w:color w:val="000000"/>
          <w:sz w:val="20"/>
          <w:szCs w:val="20"/>
        </w:rPr>
        <w:t> </w:t>
      </w:r>
      <w:hyperlink r:id="rId7" w:history="1">
        <w:r>
          <w:rPr>
            <w:rStyle w:val="a3"/>
            <w:rFonts w:eastAsia="Times New Roman"/>
            <w:sz w:val="20"/>
            <w:szCs w:val="20"/>
          </w:rPr>
          <w:t>Description of the Registrant’s Securities Registered Pursuant to Section 12 of the Securities Exchange Act of 1934, as amended: our common stock.</w:t>
        </w:r>
      </w:hyperlink>
    </w:p>
    <w:p w:rsidR="00000000" w:rsidRDefault="00480785">
      <w:pPr>
        <w:ind w:hanging="1440"/>
        <w:jc w:val="both"/>
        <w:rPr>
          <w:rFonts w:eastAsia="Times New Roman"/>
        </w:rPr>
      </w:pPr>
    </w:p>
    <w:p w:rsidR="00000000" w:rsidRDefault="00480785">
      <w:pPr>
        <w:ind w:hanging="1440"/>
        <w:jc w:val="both"/>
        <w:rPr>
          <w:rFonts w:eastAsia="Times New Roman"/>
        </w:rPr>
      </w:pPr>
      <w:r>
        <w:rPr>
          <w:rFonts w:eastAsia="Times New Roman"/>
          <w:color w:val="000000"/>
          <w:sz w:val="20"/>
          <w:szCs w:val="20"/>
        </w:rPr>
        <w:t>10.1       </w:t>
      </w:r>
      <w:r>
        <w:rPr>
          <w:rFonts w:eastAsia="Times New Roman"/>
          <w:color w:val="000000"/>
          <w:sz w:val="20"/>
          <w:szCs w:val="20"/>
        </w:rPr>
        <w:t> </w:t>
      </w:r>
      <w:hyperlink r:id="rId8" w:history="1">
        <w:r>
          <w:rPr>
            <w:rStyle w:val="a3"/>
            <w:rFonts w:eastAsia="Times New Roman"/>
            <w:sz w:val="20"/>
            <w:szCs w:val="20"/>
          </w:rPr>
          <w:t>Form of Change in Control Agreement by and between Tractor Supply Company and Melissa Kersey (filed as exhibit 10.1 to Current Report on Form 8-K, filed with the Commission on March 1, 2019, Commission File No. 000-23314, and incorporated herein by referen</w:t>
        </w:r>
        <w:r>
          <w:rPr>
            <w:rStyle w:val="a3"/>
            <w:rFonts w:eastAsia="Times New Roman"/>
            <w:sz w:val="20"/>
            <w:szCs w:val="20"/>
          </w:rPr>
          <w:t xml:space="preserve">ce).+ </w:t>
        </w:r>
      </w:hyperlink>
    </w:p>
    <w:p w:rsidR="00000000" w:rsidRDefault="00480785">
      <w:pPr>
        <w:ind w:hanging="1440"/>
        <w:jc w:val="both"/>
        <w:rPr>
          <w:rFonts w:eastAsia="Times New Roman"/>
        </w:rPr>
      </w:pPr>
    </w:p>
    <w:p w:rsidR="00000000" w:rsidRDefault="00480785">
      <w:pPr>
        <w:ind w:hanging="1440"/>
        <w:jc w:val="both"/>
        <w:rPr>
          <w:rFonts w:eastAsia="Times New Roman"/>
        </w:rPr>
      </w:pPr>
      <w:r>
        <w:rPr>
          <w:rFonts w:eastAsia="Times New Roman"/>
          <w:color w:val="000000"/>
          <w:sz w:val="20"/>
          <w:szCs w:val="20"/>
        </w:rPr>
        <w:t>10.2       </w:t>
      </w:r>
      <w:r>
        <w:rPr>
          <w:rFonts w:eastAsia="Times New Roman"/>
          <w:color w:val="000000"/>
          <w:sz w:val="20"/>
          <w:szCs w:val="20"/>
        </w:rPr>
        <w:t> </w:t>
      </w:r>
      <w:hyperlink r:id="rId9" w:history="1">
        <w:r>
          <w:rPr>
            <w:rStyle w:val="a3"/>
            <w:rFonts w:eastAsia="Times New Roman"/>
            <w:sz w:val="20"/>
            <w:szCs w:val="20"/>
          </w:rPr>
          <w:t xml:space="preserve">Transition Agreement, dated October 14, 2020, by and between Tractor Supply Company and Benjamin F. Parrish (filed as exhibit </w:t>
        </w:r>
        <w:r>
          <w:rPr>
            <w:rStyle w:val="a3"/>
            <w:rFonts w:eastAsia="Times New Roman"/>
            <w:sz w:val="20"/>
            <w:szCs w:val="20"/>
          </w:rPr>
          <w:t xml:space="preserve">10.1 to Current Report on Form 8-K, filed with the Commission on October 16, 2020, Commission File No. 000-23314, and incorporated herein by reference).+ </w:t>
        </w:r>
      </w:hyperlink>
    </w:p>
    <w:p w:rsidR="00000000" w:rsidRDefault="00480785">
      <w:pPr>
        <w:ind w:hanging="1440"/>
        <w:jc w:val="both"/>
        <w:rPr>
          <w:rFonts w:eastAsia="Times New Roman"/>
        </w:rPr>
      </w:pPr>
    </w:p>
    <w:p w:rsidR="00000000" w:rsidRDefault="00480785">
      <w:pPr>
        <w:ind w:hanging="1440"/>
        <w:jc w:val="both"/>
        <w:rPr>
          <w:rFonts w:eastAsia="Times New Roman"/>
        </w:rPr>
      </w:pPr>
      <w:r>
        <w:rPr>
          <w:rFonts w:eastAsia="Times New Roman"/>
          <w:color w:val="000000"/>
          <w:sz w:val="20"/>
          <w:szCs w:val="20"/>
        </w:rPr>
        <w:t>10.3*       </w:t>
      </w:r>
      <w:r>
        <w:rPr>
          <w:rFonts w:eastAsia="Times New Roman"/>
          <w:color w:val="000000"/>
          <w:sz w:val="20"/>
          <w:szCs w:val="20"/>
        </w:rPr>
        <w:t> </w:t>
      </w:r>
      <w:hyperlink r:id="rId10" w:history="1">
        <w:r>
          <w:rPr>
            <w:rStyle w:val="a3"/>
            <w:rFonts w:eastAsia="Times New Roman"/>
            <w:sz w:val="20"/>
            <w:szCs w:val="20"/>
          </w:rPr>
          <w:t>Third Amendment to Credit Agreement and Rel</w:t>
        </w:r>
        <w:r>
          <w:rPr>
            <w:rStyle w:val="a3"/>
            <w:rFonts w:eastAsia="Times New Roman"/>
            <w:sz w:val="20"/>
            <w:szCs w:val="20"/>
          </w:rPr>
          <w:t>ease of Guarantors, dated October 16, 2020, by and among Tractor Supply Company, as Borrower, certain subsidiaries of Tractor Supply Company, certain lenders, and Wells Fargo Bank, National Association, as Administrative Agent and Lender.</w:t>
        </w:r>
      </w:hyperlink>
    </w:p>
    <w:p w:rsidR="00000000" w:rsidRDefault="00480785">
      <w:pPr>
        <w:ind w:hanging="1440"/>
        <w:jc w:val="both"/>
        <w:rPr>
          <w:rFonts w:eastAsia="Times New Roman"/>
        </w:rPr>
      </w:pPr>
    </w:p>
    <w:p w:rsidR="00000000" w:rsidRDefault="00480785">
      <w:pPr>
        <w:ind w:hanging="1440"/>
        <w:jc w:val="both"/>
        <w:rPr>
          <w:rFonts w:eastAsia="Times New Roman"/>
        </w:rPr>
      </w:pPr>
      <w:r>
        <w:rPr>
          <w:rFonts w:eastAsia="Times New Roman"/>
          <w:color w:val="000000"/>
          <w:sz w:val="20"/>
          <w:szCs w:val="20"/>
        </w:rPr>
        <w:t>10.4*       </w:t>
      </w:r>
      <w:r>
        <w:rPr>
          <w:rFonts w:eastAsia="Times New Roman"/>
          <w:color w:val="000000"/>
          <w:sz w:val="20"/>
          <w:szCs w:val="20"/>
        </w:rPr>
        <w:t> </w:t>
      </w:r>
      <w:hyperlink r:id="rId11" w:history="1">
        <w:r>
          <w:rPr>
            <w:rStyle w:val="a3"/>
            <w:rFonts w:eastAsia="Times New Roman"/>
            <w:sz w:val="20"/>
            <w:szCs w:val="20"/>
          </w:rPr>
          <w:t>First Amendment to Note Purchase and Private Shelf Agreement, dated October 16, 2020, by and among Tractor Supply Company, certain subsidiaries of Tractor Supply Company, PGIM, Inc. and certain affiliates of PGIM, I</w:t>
        </w:r>
        <w:r>
          <w:rPr>
            <w:rStyle w:val="a3"/>
            <w:rFonts w:eastAsia="Times New Roman"/>
            <w:sz w:val="20"/>
            <w:szCs w:val="20"/>
          </w:rPr>
          <w:t>nc.</w:t>
        </w:r>
      </w:hyperlink>
      <w:r>
        <w:rPr>
          <w:rFonts w:eastAsia="Times New Roman"/>
          <w:color w:val="000000"/>
          <w:sz w:val="20"/>
          <w:szCs w:val="20"/>
        </w:rPr>
        <w:t xml:space="preserve"> </w:t>
      </w:r>
    </w:p>
    <w:p w:rsidR="00000000" w:rsidRDefault="00480785">
      <w:pPr>
        <w:ind w:hanging="1440"/>
        <w:jc w:val="both"/>
        <w:rPr>
          <w:rFonts w:eastAsia="Times New Roman"/>
        </w:rPr>
      </w:pPr>
    </w:p>
    <w:p w:rsidR="00000000" w:rsidRDefault="00480785">
      <w:pPr>
        <w:ind w:hanging="1440"/>
        <w:jc w:val="both"/>
        <w:rPr>
          <w:rFonts w:eastAsia="Times New Roman"/>
        </w:rPr>
      </w:pPr>
      <w:r>
        <w:rPr>
          <w:rFonts w:eastAsia="Times New Roman"/>
          <w:color w:val="000000"/>
          <w:sz w:val="20"/>
          <w:szCs w:val="20"/>
        </w:rPr>
        <w:t>31.1*       </w:t>
      </w:r>
      <w:r>
        <w:rPr>
          <w:rFonts w:eastAsia="Times New Roman"/>
          <w:color w:val="000000"/>
          <w:sz w:val="20"/>
          <w:szCs w:val="20"/>
        </w:rPr>
        <w:t> </w:t>
      </w:r>
      <w:hyperlink r:id="rId12" w:history="1">
        <w:r>
          <w:rPr>
            <w:rStyle w:val="a3"/>
            <w:rFonts w:eastAsia="Times New Roman"/>
            <w:sz w:val="20"/>
            <w:szCs w:val="20"/>
          </w:rPr>
          <w:t>Certification of Chief Executive Officer under Section 302 of the Sarbanes-Oxley Act of 2002.</w:t>
        </w:r>
      </w:hyperlink>
    </w:p>
    <w:p w:rsidR="00000000" w:rsidRDefault="00480785">
      <w:pPr>
        <w:ind w:hanging="1440"/>
        <w:jc w:val="both"/>
        <w:rPr>
          <w:rFonts w:eastAsia="Times New Roman"/>
        </w:rPr>
      </w:pPr>
    </w:p>
    <w:p w:rsidR="00000000" w:rsidRDefault="00480785">
      <w:pPr>
        <w:ind w:hanging="1440"/>
        <w:jc w:val="both"/>
        <w:rPr>
          <w:rFonts w:eastAsia="Times New Roman"/>
        </w:rPr>
      </w:pPr>
      <w:r>
        <w:rPr>
          <w:rFonts w:eastAsia="Times New Roman"/>
          <w:color w:val="000000"/>
          <w:sz w:val="20"/>
          <w:szCs w:val="20"/>
        </w:rPr>
        <w:t>31.2*       </w:t>
      </w:r>
      <w:r>
        <w:rPr>
          <w:rFonts w:eastAsia="Times New Roman"/>
          <w:color w:val="000000"/>
          <w:sz w:val="20"/>
          <w:szCs w:val="20"/>
        </w:rPr>
        <w:t> </w:t>
      </w:r>
      <w:hyperlink r:id="rId13" w:history="1">
        <w:r>
          <w:rPr>
            <w:rStyle w:val="a3"/>
            <w:rFonts w:eastAsia="Times New Roman"/>
            <w:sz w:val="20"/>
            <w:szCs w:val="20"/>
          </w:rPr>
          <w:t>Certification of Chief Financial Officer under Section 30</w:t>
        </w:r>
        <w:r>
          <w:rPr>
            <w:rStyle w:val="a3"/>
            <w:rFonts w:eastAsia="Times New Roman"/>
            <w:sz w:val="20"/>
            <w:szCs w:val="20"/>
          </w:rPr>
          <w:t>2 of the Sarbanes-Oxley Act of 2002.</w:t>
        </w:r>
      </w:hyperlink>
    </w:p>
    <w:p w:rsidR="00000000" w:rsidRDefault="00480785">
      <w:pPr>
        <w:ind w:hanging="1440"/>
        <w:jc w:val="both"/>
        <w:rPr>
          <w:rFonts w:eastAsia="Times New Roman"/>
        </w:rPr>
      </w:pPr>
    </w:p>
    <w:p w:rsidR="00000000" w:rsidRDefault="00480785">
      <w:pPr>
        <w:ind w:hanging="1440"/>
        <w:jc w:val="both"/>
        <w:rPr>
          <w:rFonts w:eastAsia="Times New Roman"/>
        </w:rPr>
      </w:pPr>
      <w:r>
        <w:rPr>
          <w:rFonts w:eastAsia="Times New Roman"/>
          <w:color w:val="000000"/>
          <w:sz w:val="20"/>
          <w:szCs w:val="20"/>
        </w:rPr>
        <w:t>32.1*       </w:t>
      </w:r>
      <w:r>
        <w:rPr>
          <w:rFonts w:eastAsia="Times New Roman"/>
          <w:color w:val="000000"/>
          <w:sz w:val="20"/>
          <w:szCs w:val="20"/>
        </w:rPr>
        <w:t> </w:t>
      </w:r>
      <w:hyperlink r:id="rId14" w:history="1">
        <w:r>
          <w:rPr>
            <w:rStyle w:val="a3"/>
            <w:rFonts w:eastAsia="Times New Roman"/>
            <w:sz w:val="20"/>
            <w:szCs w:val="20"/>
          </w:rPr>
          <w:t>Certification of Chief Executive Officer and Chief Financial Officer under Section 906 of the Sarbanes-Oxley Act of 2002.</w:t>
        </w:r>
      </w:hyperlink>
    </w:p>
    <w:p w:rsidR="00000000" w:rsidRDefault="00480785">
      <w:pPr>
        <w:ind w:hanging="1440"/>
        <w:jc w:val="both"/>
        <w:rPr>
          <w:rFonts w:eastAsia="Times New Roman"/>
        </w:rPr>
      </w:pPr>
    </w:p>
    <w:p w:rsidR="00000000" w:rsidRDefault="00480785">
      <w:pPr>
        <w:ind w:hanging="1440"/>
        <w:jc w:val="both"/>
        <w:rPr>
          <w:rFonts w:eastAsia="Times New Roman"/>
        </w:rPr>
      </w:pPr>
      <w:r>
        <w:rPr>
          <w:rFonts w:eastAsia="Times New Roman"/>
          <w:color w:val="000000"/>
          <w:sz w:val="20"/>
          <w:szCs w:val="20"/>
        </w:rPr>
        <w:t>101*        The following financial informati</w:t>
      </w:r>
      <w:r>
        <w:rPr>
          <w:rFonts w:eastAsia="Times New Roman"/>
          <w:color w:val="000000"/>
          <w:sz w:val="20"/>
          <w:szCs w:val="20"/>
        </w:rPr>
        <w:t>on from the Company’s Quarterly Report on Form 10-Q for the quarter ended September 26, 2020, formatted in Inline XBRL (Extensible Business Reporting Language) includes: (i) the Condensed Consolidated Balance Sheets, (ii) the Condensed Consolidated Stateme</w:t>
      </w:r>
      <w:r>
        <w:rPr>
          <w:rFonts w:eastAsia="Times New Roman"/>
          <w:color w:val="000000"/>
          <w:sz w:val="20"/>
          <w:szCs w:val="20"/>
        </w:rPr>
        <w:t>nts of Income, (iii) the Condensed Consolidated Statements of Comprehensive Income, (iv) the Condensed Consolidated Statements of Stockholders' Equity, (v) the Condensed Consolidated Statements of Cash Flows, and (vi) the Notes to Consolidated Financial St</w:t>
      </w:r>
      <w:r>
        <w:rPr>
          <w:rFonts w:eastAsia="Times New Roman"/>
          <w:color w:val="000000"/>
          <w:sz w:val="20"/>
          <w:szCs w:val="20"/>
        </w:rPr>
        <w:t>atements. The instance document does not appear in the interactive data file because its XBRL tags are embedded within the Inline XBRL document</w:t>
      </w:r>
      <w:r>
        <w:rPr>
          <w:rFonts w:eastAsia="Times New Roman"/>
          <w:color w:val="000000"/>
          <w:sz w:val="20"/>
          <w:szCs w:val="20"/>
        </w:rPr>
        <w:t>.</w:t>
      </w:r>
    </w:p>
    <w:p w:rsidR="00000000" w:rsidRDefault="00480785">
      <w:pPr>
        <w:ind w:hanging="720"/>
        <w:jc w:val="both"/>
        <w:rPr>
          <w:rFonts w:eastAsia="Times New Roman"/>
        </w:rPr>
      </w:pPr>
    </w:p>
    <w:p w:rsidR="00000000" w:rsidRDefault="00480785">
      <w:pPr>
        <w:ind w:hanging="1440"/>
        <w:jc w:val="both"/>
        <w:rPr>
          <w:rFonts w:eastAsia="Times New Roman"/>
        </w:rPr>
      </w:pPr>
      <w:r>
        <w:rPr>
          <w:rFonts w:eastAsia="Times New Roman"/>
          <w:color w:val="000000"/>
          <w:sz w:val="20"/>
          <w:szCs w:val="20"/>
        </w:rPr>
        <w:t>104*        The cover page from the Company’s Quarterly Report on Form 10-Q for the quarter ended September 2</w:t>
      </w:r>
      <w:r>
        <w:rPr>
          <w:rFonts w:eastAsia="Times New Roman"/>
          <w:color w:val="000000"/>
          <w:sz w:val="20"/>
          <w:szCs w:val="20"/>
        </w:rPr>
        <w:t>6, 2020, formatted in Inline XBRL (included in Exhibit 101)</w:t>
      </w:r>
      <w:r>
        <w:rPr>
          <w:rFonts w:eastAsia="Times New Roman"/>
          <w:color w:val="000000"/>
          <w:sz w:val="20"/>
          <w:szCs w:val="20"/>
        </w:rPr>
        <w:t>.</w:t>
      </w:r>
    </w:p>
    <w:p w:rsidR="00000000" w:rsidRDefault="00480785">
      <w:pPr>
        <w:jc w:val="both"/>
        <w:rPr>
          <w:rFonts w:eastAsia="Times New Roman"/>
        </w:rPr>
      </w:pPr>
    </w:p>
    <w:p w:rsidR="00000000" w:rsidRDefault="00480785">
      <w:pPr>
        <w:ind w:hanging="1440"/>
        <w:divId w:val="370568586"/>
        <w:rPr>
          <w:rFonts w:eastAsia="Times New Roman"/>
        </w:rPr>
      </w:pPr>
      <w:r>
        <w:rPr>
          <w:rFonts w:eastAsia="Times New Roman"/>
          <w:color w:val="000000"/>
          <w:sz w:val="20"/>
          <w:szCs w:val="20"/>
        </w:rPr>
        <w:t>*     Filed herewit</w:t>
      </w:r>
      <w:r>
        <w:rPr>
          <w:rFonts w:eastAsia="Times New Roman"/>
          <w:color w:val="000000"/>
          <w:sz w:val="20"/>
          <w:szCs w:val="20"/>
        </w:rPr>
        <w:t>h</w:t>
      </w:r>
    </w:p>
    <w:p w:rsidR="00000000" w:rsidRDefault="00480785">
      <w:pPr>
        <w:ind w:hanging="1440"/>
        <w:divId w:val="1659385823"/>
        <w:rPr>
          <w:rFonts w:eastAsia="Times New Roman"/>
        </w:rPr>
      </w:pPr>
      <w:r>
        <w:rPr>
          <w:rFonts w:eastAsia="Times New Roman"/>
          <w:color w:val="000000"/>
          <w:sz w:val="20"/>
          <w:szCs w:val="20"/>
        </w:rPr>
        <w:t>+    Management contract or compensatory plan or arrangemen</w:t>
      </w:r>
      <w:r>
        <w:rPr>
          <w:rFonts w:eastAsia="Times New Roman"/>
          <w:color w:val="000000"/>
          <w:sz w:val="20"/>
          <w:szCs w:val="20"/>
        </w:rPr>
        <w:t>t</w:t>
      </w:r>
    </w:p>
    <w:p w:rsidR="00000000" w:rsidRDefault="00480785">
      <w:pPr>
        <w:divId w:val="1998148482"/>
        <w:rPr>
          <w:rFonts w:eastAsia="Times New Roman"/>
        </w:rPr>
      </w:pPr>
    </w:p>
    <w:p w:rsidR="00000000" w:rsidRDefault="00480785">
      <w:pPr>
        <w:divId w:val="1153911518"/>
        <w:rPr>
          <w:rFonts w:eastAsia="Times New Roman"/>
        </w:rPr>
      </w:pPr>
    </w:p>
    <w:p w:rsidR="00000000" w:rsidRDefault="00480785">
      <w:pPr>
        <w:jc w:val="center"/>
        <w:divId w:val="995187534"/>
        <w:rPr>
          <w:rFonts w:eastAsia="Times New Roman"/>
        </w:rPr>
      </w:pPr>
      <w:r>
        <w:rPr>
          <w:rFonts w:eastAsia="Times New Roman"/>
          <w:color w:val="000000"/>
          <w:sz w:val="20"/>
          <w:szCs w:val="20"/>
        </w:rPr>
        <w:t>Page 3</w:t>
      </w:r>
      <w:r>
        <w:rPr>
          <w:rFonts w:eastAsia="Times New Roman"/>
          <w:color w:val="000000"/>
          <w:sz w:val="20"/>
          <w:szCs w:val="20"/>
        </w:rPr>
        <w:t>3</w:t>
      </w:r>
    </w:p>
    <w:p w:rsidR="00000000" w:rsidRDefault="00480785">
      <w:pPr>
        <w:rPr>
          <w:rFonts w:eastAsia="Times New Roman"/>
        </w:rPr>
      </w:pPr>
      <w:r>
        <w:rPr>
          <w:rFonts w:eastAsia="Times New Roman"/>
        </w:rPr>
        <w:pict>
          <v:rect id="_x0000_i1058" style="width:0;height:1.5pt" o:hralign="center" o:hrstd="t" o:hr="t" fillcolor="#a0a0a0" stroked="f"/>
        </w:pict>
      </w:r>
    </w:p>
    <w:p w:rsidR="00000000" w:rsidRDefault="00480785">
      <w:pPr>
        <w:divId w:val="1784379013"/>
        <w:rPr>
          <w:rFonts w:eastAsia="Times New Roman"/>
        </w:rPr>
      </w:pPr>
      <w:hyperlink w:anchor="i28e74bea7b4a44c78304596dc3e51779_7" w:history="1">
        <w:r>
          <w:rPr>
            <w:rStyle w:val="a3"/>
            <w:rFonts w:eastAsia="Times New Roman"/>
            <w:sz w:val="16"/>
            <w:szCs w:val="16"/>
          </w:rPr>
          <w:t>Index</w:t>
        </w:r>
      </w:hyperlink>
    </w:p>
    <w:p w:rsidR="00000000" w:rsidRDefault="00480785">
      <w:pPr>
        <w:jc w:val="center"/>
        <w:rPr>
          <w:rFonts w:eastAsia="Times New Roman"/>
        </w:rPr>
      </w:pPr>
      <w:r>
        <w:rPr>
          <w:rFonts w:eastAsia="Times New Roman"/>
          <w:b/>
          <w:bCs/>
          <w:color w:val="000000"/>
          <w:sz w:val="20"/>
          <w:szCs w:val="20"/>
          <w:u w:val="single"/>
        </w:rPr>
        <w:t>SIGNATUR</w:t>
      </w:r>
      <w:r>
        <w:rPr>
          <w:rFonts w:eastAsia="Times New Roman"/>
          <w:b/>
          <w:bCs/>
          <w:color w:val="000000"/>
          <w:sz w:val="20"/>
          <w:szCs w:val="20"/>
          <w:u w:val="single"/>
        </w:rPr>
        <w:t>E</w:t>
      </w:r>
    </w:p>
    <w:p w:rsidR="00000000" w:rsidRDefault="00480785">
      <w:pPr>
        <w:divId w:val="1611547137"/>
        <w:rPr>
          <w:rFonts w:eastAsia="Times New Roman"/>
        </w:rPr>
      </w:pPr>
    </w:p>
    <w:p w:rsidR="00000000" w:rsidRDefault="00480785">
      <w:pPr>
        <w:jc w:val="both"/>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r>
        <w:rPr>
          <w:rFonts w:eastAsia="Times New Roman"/>
          <w:color w:val="000000"/>
          <w:sz w:val="20"/>
          <w:szCs w:val="20"/>
        </w:rPr>
        <w:t>.</w:t>
      </w:r>
    </w:p>
    <w:p w:rsidR="00000000" w:rsidRDefault="00480785">
      <w:pPr>
        <w:divId w:val="762844460"/>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81"/>
        <w:gridCol w:w="385"/>
        <w:gridCol w:w="36"/>
        <w:gridCol w:w="52"/>
        <w:gridCol w:w="2373"/>
        <w:gridCol w:w="36"/>
        <w:gridCol w:w="69"/>
        <w:gridCol w:w="294"/>
        <w:gridCol w:w="36"/>
        <w:gridCol w:w="69"/>
        <w:gridCol w:w="4814"/>
        <w:gridCol w:w="36"/>
      </w:tblGrid>
      <w:tr w:rsidR="00000000">
        <w:trPr>
          <w:divId w:val="913472287"/>
        </w:trPr>
        <w:tc>
          <w:tcPr>
            <w:tcW w:w="50" w:type="pct"/>
            <w:vAlign w:val="center"/>
            <w:hideMark/>
          </w:tcPr>
          <w:p w:rsidR="00000000" w:rsidRDefault="00480785">
            <w:pPr>
              <w:rPr>
                <w:rFonts w:eastAsia="Times New Roman"/>
              </w:rPr>
            </w:pPr>
          </w:p>
        </w:tc>
        <w:tc>
          <w:tcPr>
            <w:tcW w:w="238"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440"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186"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c>
          <w:tcPr>
            <w:tcW w:w="50" w:type="pct"/>
            <w:vAlign w:val="center"/>
            <w:hideMark/>
          </w:tcPr>
          <w:p w:rsidR="00000000" w:rsidRDefault="00480785">
            <w:pPr>
              <w:rPr>
                <w:rFonts w:eastAsia="Times New Roman"/>
                <w:sz w:val="20"/>
                <w:szCs w:val="20"/>
              </w:rPr>
            </w:pPr>
          </w:p>
        </w:tc>
        <w:tc>
          <w:tcPr>
            <w:tcW w:w="2914" w:type="pct"/>
            <w:vAlign w:val="center"/>
            <w:hideMark/>
          </w:tcPr>
          <w:p w:rsidR="00000000" w:rsidRDefault="00480785">
            <w:pPr>
              <w:rPr>
                <w:rFonts w:eastAsia="Times New Roman"/>
                <w:sz w:val="20"/>
                <w:szCs w:val="20"/>
              </w:rPr>
            </w:pPr>
          </w:p>
        </w:tc>
        <w:tc>
          <w:tcPr>
            <w:tcW w:w="5" w:type="pct"/>
            <w:vAlign w:val="center"/>
            <w:hideMark/>
          </w:tcPr>
          <w:p w:rsidR="00000000" w:rsidRDefault="00480785">
            <w:pPr>
              <w:rPr>
                <w:rFonts w:eastAsia="Times New Roman"/>
                <w:sz w:val="20"/>
                <w:szCs w:val="20"/>
              </w:rPr>
            </w:pPr>
          </w:p>
        </w:tc>
      </w:tr>
      <w:tr w:rsidR="00000000">
        <w:trPr>
          <w:divId w:val="913472287"/>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TRACTOR SUPPLY COMPAN</w:t>
            </w:r>
            <w:r>
              <w:rPr>
                <w:rFonts w:eastAsia="Times New Roman"/>
                <w:color w:val="000000"/>
                <w:sz w:val="20"/>
                <w:szCs w:val="20"/>
              </w:rPr>
              <w:t>Y</w:t>
            </w:r>
          </w:p>
        </w:tc>
      </w:tr>
      <w:tr w:rsidR="00000000">
        <w:trPr>
          <w:divId w:val="913472287"/>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r>
      <w:tr w:rsidR="00000000">
        <w:trPr>
          <w:divId w:val="913472287"/>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u w:val="single"/>
              </w:rPr>
              <w:t>October 22, 202</w:t>
            </w:r>
            <w:r>
              <w:rPr>
                <w:rFonts w:eastAsia="Times New Roman"/>
                <w:color w:val="000000"/>
                <w:sz w:val="20"/>
                <w:szCs w:val="20"/>
                <w:u w:val="single"/>
              </w:rPr>
              <w:t>0</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i/>
                <w:iCs/>
                <w:color w:val="000000"/>
                <w:sz w:val="20"/>
                <w:szCs w:val="20"/>
                <w:u w:val="single"/>
              </w:rPr>
              <w:t>/s/ Kurt D. Barto</w:t>
            </w:r>
            <w:r>
              <w:rPr>
                <w:rFonts w:eastAsia="Times New Roman"/>
                <w:i/>
                <w:iCs/>
                <w:color w:val="000000"/>
                <w:sz w:val="20"/>
                <w:szCs w:val="20"/>
                <w:u w:val="single"/>
              </w:rPr>
              <w:t>n</w:t>
            </w:r>
          </w:p>
        </w:tc>
      </w:tr>
      <w:tr w:rsidR="00000000">
        <w:trPr>
          <w:divId w:val="913472287"/>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Kurt D. Barto</w:t>
            </w:r>
            <w:r>
              <w:rPr>
                <w:rFonts w:eastAsia="Times New Roman"/>
                <w:color w:val="000000"/>
                <w:sz w:val="20"/>
                <w:szCs w:val="20"/>
              </w:rPr>
              <w:t>n</w:t>
            </w:r>
          </w:p>
        </w:tc>
      </w:tr>
      <w:tr w:rsidR="00000000">
        <w:trPr>
          <w:divId w:val="913472287"/>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Executive Vice President - Chief Financial Officer and Treasure</w:t>
            </w:r>
            <w:r>
              <w:rPr>
                <w:rFonts w:eastAsia="Times New Roman"/>
                <w:color w:val="000000"/>
                <w:sz w:val="20"/>
                <w:szCs w:val="20"/>
              </w:rPr>
              <w:t>r</w:t>
            </w:r>
          </w:p>
        </w:tc>
      </w:tr>
      <w:tr w:rsidR="00000000">
        <w:trPr>
          <w:divId w:val="913472287"/>
        </w:trPr>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480785">
            <w:pPr>
              <w:rPr>
                <w:rFonts w:eastAsia="Times New Roman"/>
              </w:rPr>
            </w:pPr>
            <w:r>
              <w:rPr>
                <w:rFonts w:eastAsia="Times New Roman"/>
                <w:color w:val="000000"/>
                <w:sz w:val="20"/>
                <w:szCs w:val="20"/>
              </w:rPr>
              <w:t>(Duly Authorized Officer and Principal Financial Officer</w:t>
            </w:r>
            <w:r>
              <w:rPr>
                <w:rFonts w:eastAsia="Times New Roman"/>
                <w:color w:val="000000"/>
                <w:sz w:val="20"/>
                <w:szCs w:val="20"/>
              </w:rPr>
              <w:t>)</w:t>
            </w:r>
          </w:p>
        </w:tc>
      </w:tr>
    </w:tbl>
    <w:p w:rsidR="00000000" w:rsidRDefault="00480785">
      <w:pPr>
        <w:divId w:val="33389718"/>
        <w:rPr>
          <w:rFonts w:eastAsia="Times New Roman"/>
        </w:rPr>
      </w:pPr>
    </w:p>
    <w:p w:rsidR="00000000" w:rsidRDefault="00480785">
      <w:pPr>
        <w:divId w:val="921110426"/>
        <w:rPr>
          <w:rFonts w:eastAsia="Times New Roman"/>
        </w:rPr>
      </w:pPr>
      <w:r>
        <w:rPr>
          <w:rFonts w:eastAsia="Times New Roman"/>
          <w:color w:val="000000"/>
          <w:sz w:val="20"/>
          <w:szCs w:val="20"/>
        </w:rPr>
        <w:t> </w:t>
      </w:r>
    </w:p>
    <w:p w:rsidR="00000000" w:rsidRDefault="00480785">
      <w:pPr>
        <w:divId w:val="585312737"/>
        <w:rPr>
          <w:rFonts w:eastAsia="Times New Roman"/>
        </w:rPr>
      </w:pPr>
      <w:r>
        <w:rPr>
          <w:rFonts w:eastAsia="Times New Roman"/>
          <w:color w:val="000000"/>
          <w:sz w:val="20"/>
          <w:szCs w:val="20"/>
        </w:rPr>
        <w:t> </w:t>
      </w:r>
    </w:p>
    <w:p w:rsidR="00000000" w:rsidRDefault="00480785">
      <w:pPr>
        <w:divId w:val="1129199452"/>
        <w:rPr>
          <w:rFonts w:eastAsia="Times New Roman"/>
        </w:rPr>
      </w:pPr>
      <w:r>
        <w:rPr>
          <w:rFonts w:eastAsia="Times New Roman"/>
          <w:color w:val="000000"/>
          <w:sz w:val="20"/>
          <w:szCs w:val="20"/>
        </w:rPr>
        <w:t> </w:t>
      </w:r>
    </w:p>
    <w:p w:rsidR="00000000" w:rsidRDefault="00480785">
      <w:pPr>
        <w:jc w:val="center"/>
        <w:rPr>
          <w:rFonts w:eastAsia="Times New Roman"/>
        </w:rPr>
      </w:pPr>
    </w:p>
    <w:p w:rsidR="00480785" w:rsidRDefault="00480785">
      <w:pPr>
        <w:jc w:val="center"/>
        <w:divId w:val="1640380753"/>
        <w:rPr>
          <w:rFonts w:eastAsia="Times New Roman"/>
        </w:rPr>
      </w:pPr>
      <w:r>
        <w:rPr>
          <w:rFonts w:eastAsia="Times New Roman"/>
          <w:color w:val="000000"/>
          <w:sz w:val="20"/>
          <w:szCs w:val="20"/>
        </w:rPr>
        <w:t>Page 3</w:t>
      </w:r>
      <w:r>
        <w:rPr>
          <w:rFonts w:eastAsia="Times New Roman"/>
          <w:color w:val="000000"/>
          <w:sz w:val="20"/>
          <w:szCs w:val="20"/>
        </w:rPr>
        <w:t>4</w:t>
      </w:r>
    </w:p>
    <w:sectPr w:rsidR="0048078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0785"/>
    <w:rsid w:val="00480785"/>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w3.org/1999/xlink"/>
  <w:attachedSchema w:val="http://fasb.org/srt/2020-01-31"/>
  <w:attachedSchema w:val="http://www.xbrl.org/2003/linkbase"/>
  <w:attachedSchema w:val="http://www.sec.gov/inlineXBRL/transformation/2015-08-31"/>
  <w:attachedSchema w:val="http://www.xbrl.org/inlineXBRL/transformation/2015-02-26"/>
  <w:attachedSchema w:val="http://xbrl.sec.gov/dei/2020-01-31"/>
  <w:attachedSchema w:val="http://www.xbrl.org/2003/iso4217"/>
  <w:attachedSchema w:val="http://www.tractorsupply.com/20200926"/>
  <w:attachedSchema w:val="http://www.xbrl.org/2013/inlineXBRL"/>
  <w:attachedSchema w:val="http://fasb.org/us-gaap/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57">
      <w:marLeft w:val="0"/>
      <w:marRight w:val="0"/>
      <w:marTop w:val="0"/>
      <w:marBottom w:val="120"/>
      <w:divBdr>
        <w:top w:val="none" w:sz="0" w:space="0" w:color="auto"/>
        <w:left w:val="none" w:sz="0" w:space="0" w:color="auto"/>
        <w:bottom w:val="none" w:sz="0" w:space="0" w:color="auto"/>
        <w:right w:val="none" w:sz="0" w:space="0" w:color="auto"/>
      </w:divBdr>
    </w:div>
    <w:div w:id="4484029">
      <w:marLeft w:val="0"/>
      <w:marRight w:val="0"/>
      <w:marTop w:val="0"/>
      <w:marBottom w:val="0"/>
      <w:divBdr>
        <w:top w:val="none" w:sz="0" w:space="0" w:color="auto"/>
        <w:left w:val="none" w:sz="0" w:space="0" w:color="auto"/>
        <w:bottom w:val="none" w:sz="0" w:space="0" w:color="auto"/>
        <w:right w:val="none" w:sz="0" w:space="0" w:color="auto"/>
      </w:divBdr>
      <w:divsChild>
        <w:div w:id="1112476880">
          <w:marLeft w:val="0"/>
          <w:marRight w:val="0"/>
          <w:marTop w:val="0"/>
          <w:marBottom w:val="0"/>
          <w:divBdr>
            <w:top w:val="none" w:sz="0" w:space="0" w:color="auto"/>
            <w:left w:val="none" w:sz="0" w:space="0" w:color="auto"/>
            <w:bottom w:val="none" w:sz="0" w:space="0" w:color="auto"/>
            <w:right w:val="none" w:sz="0" w:space="0" w:color="auto"/>
          </w:divBdr>
        </w:div>
      </w:divsChild>
    </w:div>
    <w:div w:id="27687230">
      <w:marLeft w:val="0"/>
      <w:marRight w:val="0"/>
      <w:marTop w:val="0"/>
      <w:marBottom w:val="0"/>
      <w:divBdr>
        <w:top w:val="none" w:sz="0" w:space="0" w:color="auto"/>
        <w:left w:val="none" w:sz="0" w:space="0" w:color="auto"/>
        <w:bottom w:val="none" w:sz="0" w:space="0" w:color="auto"/>
        <w:right w:val="none" w:sz="0" w:space="0" w:color="auto"/>
      </w:divBdr>
    </w:div>
    <w:div w:id="29302018">
      <w:marLeft w:val="0"/>
      <w:marRight w:val="0"/>
      <w:marTop w:val="0"/>
      <w:marBottom w:val="0"/>
      <w:divBdr>
        <w:top w:val="none" w:sz="0" w:space="0" w:color="auto"/>
        <w:left w:val="none" w:sz="0" w:space="0" w:color="auto"/>
        <w:bottom w:val="none" w:sz="0" w:space="0" w:color="auto"/>
        <w:right w:val="none" w:sz="0" w:space="0" w:color="auto"/>
      </w:divBdr>
      <w:divsChild>
        <w:div w:id="1044908870">
          <w:marLeft w:val="0"/>
          <w:marRight w:val="0"/>
          <w:marTop w:val="0"/>
          <w:marBottom w:val="0"/>
          <w:divBdr>
            <w:top w:val="none" w:sz="0" w:space="0" w:color="auto"/>
            <w:left w:val="none" w:sz="0" w:space="0" w:color="auto"/>
            <w:bottom w:val="none" w:sz="0" w:space="0" w:color="auto"/>
            <w:right w:val="none" w:sz="0" w:space="0" w:color="auto"/>
          </w:divBdr>
        </w:div>
      </w:divsChild>
    </w:div>
    <w:div w:id="33389718">
      <w:marLeft w:val="0"/>
      <w:marRight w:val="0"/>
      <w:marTop w:val="0"/>
      <w:marBottom w:val="0"/>
      <w:divBdr>
        <w:top w:val="none" w:sz="0" w:space="0" w:color="auto"/>
        <w:left w:val="none" w:sz="0" w:space="0" w:color="auto"/>
        <w:bottom w:val="none" w:sz="0" w:space="0" w:color="auto"/>
        <w:right w:val="none" w:sz="0" w:space="0" w:color="auto"/>
      </w:divBdr>
    </w:div>
    <w:div w:id="59909228">
      <w:marLeft w:val="0"/>
      <w:marRight w:val="0"/>
      <w:marTop w:val="0"/>
      <w:marBottom w:val="0"/>
      <w:divBdr>
        <w:top w:val="none" w:sz="0" w:space="0" w:color="auto"/>
        <w:left w:val="none" w:sz="0" w:space="0" w:color="auto"/>
        <w:bottom w:val="none" w:sz="0" w:space="0" w:color="auto"/>
        <w:right w:val="none" w:sz="0" w:space="0" w:color="auto"/>
      </w:divBdr>
      <w:divsChild>
        <w:div w:id="1213495698">
          <w:marLeft w:val="0"/>
          <w:marRight w:val="0"/>
          <w:marTop w:val="0"/>
          <w:marBottom w:val="0"/>
          <w:divBdr>
            <w:top w:val="none" w:sz="0" w:space="0" w:color="auto"/>
            <w:left w:val="none" w:sz="0" w:space="0" w:color="auto"/>
            <w:bottom w:val="none" w:sz="0" w:space="0" w:color="auto"/>
            <w:right w:val="none" w:sz="0" w:space="0" w:color="auto"/>
          </w:divBdr>
        </w:div>
      </w:divsChild>
    </w:div>
    <w:div w:id="63378308">
      <w:marLeft w:val="0"/>
      <w:marRight w:val="0"/>
      <w:marTop w:val="0"/>
      <w:marBottom w:val="0"/>
      <w:divBdr>
        <w:top w:val="none" w:sz="0" w:space="0" w:color="auto"/>
        <w:left w:val="none" w:sz="0" w:space="0" w:color="auto"/>
        <w:bottom w:val="none" w:sz="0" w:space="0" w:color="auto"/>
        <w:right w:val="none" w:sz="0" w:space="0" w:color="auto"/>
      </w:divBdr>
    </w:div>
    <w:div w:id="90249920">
      <w:marLeft w:val="0"/>
      <w:marRight w:val="0"/>
      <w:marTop w:val="120"/>
      <w:marBottom w:val="120"/>
      <w:divBdr>
        <w:top w:val="none" w:sz="0" w:space="0" w:color="auto"/>
        <w:left w:val="none" w:sz="0" w:space="0" w:color="auto"/>
        <w:bottom w:val="none" w:sz="0" w:space="0" w:color="auto"/>
        <w:right w:val="none" w:sz="0" w:space="0" w:color="auto"/>
      </w:divBdr>
    </w:div>
    <w:div w:id="103034929">
      <w:marLeft w:val="0"/>
      <w:marRight w:val="0"/>
      <w:marTop w:val="0"/>
      <w:marBottom w:val="0"/>
      <w:divBdr>
        <w:top w:val="none" w:sz="0" w:space="0" w:color="auto"/>
        <w:left w:val="none" w:sz="0" w:space="0" w:color="auto"/>
        <w:bottom w:val="none" w:sz="0" w:space="0" w:color="auto"/>
        <w:right w:val="none" w:sz="0" w:space="0" w:color="auto"/>
      </w:divBdr>
    </w:div>
    <w:div w:id="107043502">
      <w:marLeft w:val="0"/>
      <w:marRight w:val="0"/>
      <w:marTop w:val="0"/>
      <w:marBottom w:val="0"/>
      <w:divBdr>
        <w:top w:val="none" w:sz="0" w:space="0" w:color="auto"/>
        <w:left w:val="none" w:sz="0" w:space="0" w:color="auto"/>
        <w:bottom w:val="none" w:sz="0" w:space="0" w:color="auto"/>
        <w:right w:val="none" w:sz="0" w:space="0" w:color="auto"/>
      </w:divBdr>
    </w:div>
    <w:div w:id="108669333">
      <w:marLeft w:val="0"/>
      <w:marRight w:val="0"/>
      <w:marTop w:val="0"/>
      <w:marBottom w:val="0"/>
      <w:divBdr>
        <w:top w:val="none" w:sz="0" w:space="0" w:color="auto"/>
        <w:left w:val="none" w:sz="0" w:space="0" w:color="auto"/>
        <w:bottom w:val="none" w:sz="0" w:space="0" w:color="auto"/>
        <w:right w:val="none" w:sz="0" w:space="0" w:color="auto"/>
      </w:divBdr>
      <w:divsChild>
        <w:div w:id="2137212326">
          <w:marLeft w:val="0"/>
          <w:marRight w:val="0"/>
          <w:marTop w:val="0"/>
          <w:marBottom w:val="0"/>
          <w:divBdr>
            <w:top w:val="none" w:sz="0" w:space="0" w:color="auto"/>
            <w:left w:val="none" w:sz="0" w:space="0" w:color="auto"/>
            <w:bottom w:val="none" w:sz="0" w:space="0" w:color="auto"/>
            <w:right w:val="none" w:sz="0" w:space="0" w:color="auto"/>
          </w:divBdr>
        </w:div>
      </w:divsChild>
    </w:div>
    <w:div w:id="110441035">
      <w:marLeft w:val="0"/>
      <w:marRight w:val="0"/>
      <w:marTop w:val="0"/>
      <w:marBottom w:val="120"/>
      <w:divBdr>
        <w:top w:val="none" w:sz="0" w:space="0" w:color="auto"/>
        <w:left w:val="none" w:sz="0" w:space="0" w:color="auto"/>
        <w:bottom w:val="none" w:sz="0" w:space="0" w:color="auto"/>
        <w:right w:val="none" w:sz="0" w:space="0" w:color="auto"/>
      </w:divBdr>
    </w:div>
    <w:div w:id="118378081">
      <w:marLeft w:val="0"/>
      <w:marRight w:val="0"/>
      <w:marTop w:val="0"/>
      <w:marBottom w:val="0"/>
      <w:divBdr>
        <w:top w:val="none" w:sz="0" w:space="0" w:color="auto"/>
        <w:left w:val="none" w:sz="0" w:space="0" w:color="auto"/>
        <w:bottom w:val="none" w:sz="0" w:space="0" w:color="auto"/>
        <w:right w:val="none" w:sz="0" w:space="0" w:color="auto"/>
      </w:divBdr>
    </w:div>
    <w:div w:id="123275400">
      <w:marLeft w:val="0"/>
      <w:marRight w:val="0"/>
      <w:marTop w:val="0"/>
      <w:marBottom w:val="0"/>
      <w:divBdr>
        <w:top w:val="none" w:sz="0" w:space="0" w:color="auto"/>
        <w:left w:val="none" w:sz="0" w:space="0" w:color="auto"/>
        <w:bottom w:val="none" w:sz="0" w:space="0" w:color="auto"/>
        <w:right w:val="none" w:sz="0" w:space="0" w:color="auto"/>
      </w:divBdr>
    </w:div>
    <w:div w:id="199392820">
      <w:marLeft w:val="0"/>
      <w:marRight w:val="0"/>
      <w:marTop w:val="0"/>
      <w:marBottom w:val="120"/>
      <w:divBdr>
        <w:top w:val="none" w:sz="0" w:space="0" w:color="auto"/>
        <w:left w:val="none" w:sz="0" w:space="0" w:color="auto"/>
        <w:bottom w:val="none" w:sz="0" w:space="0" w:color="auto"/>
        <w:right w:val="none" w:sz="0" w:space="0" w:color="auto"/>
      </w:divBdr>
    </w:div>
    <w:div w:id="201673107">
      <w:marLeft w:val="0"/>
      <w:marRight w:val="0"/>
      <w:marTop w:val="0"/>
      <w:marBottom w:val="0"/>
      <w:divBdr>
        <w:top w:val="none" w:sz="0" w:space="0" w:color="auto"/>
        <w:left w:val="none" w:sz="0" w:space="0" w:color="auto"/>
        <w:bottom w:val="none" w:sz="0" w:space="0" w:color="auto"/>
        <w:right w:val="none" w:sz="0" w:space="0" w:color="auto"/>
      </w:divBdr>
    </w:div>
    <w:div w:id="215551837">
      <w:marLeft w:val="0"/>
      <w:marRight w:val="0"/>
      <w:marTop w:val="0"/>
      <w:marBottom w:val="120"/>
      <w:divBdr>
        <w:top w:val="none" w:sz="0" w:space="0" w:color="auto"/>
        <w:left w:val="none" w:sz="0" w:space="0" w:color="auto"/>
        <w:bottom w:val="none" w:sz="0" w:space="0" w:color="auto"/>
        <w:right w:val="none" w:sz="0" w:space="0" w:color="auto"/>
      </w:divBdr>
    </w:div>
    <w:div w:id="219635423">
      <w:marLeft w:val="0"/>
      <w:marRight w:val="0"/>
      <w:marTop w:val="0"/>
      <w:marBottom w:val="120"/>
      <w:divBdr>
        <w:top w:val="none" w:sz="0" w:space="0" w:color="auto"/>
        <w:left w:val="none" w:sz="0" w:space="0" w:color="auto"/>
        <w:bottom w:val="none" w:sz="0" w:space="0" w:color="auto"/>
        <w:right w:val="none" w:sz="0" w:space="0" w:color="auto"/>
      </w:divBdr>
    </w:div>
    <w:div w:id="222453515">
      <w:marLeft w:val="0"/>
      <w:marRight w:val="0"/>
      <w:marTop w:val="0"/>
      <w:marBottom w:val="0"/>
      <w:divBdr>
        <w:top w:val="none" w:sz="0" w:space="0" w:color="auto"/>
        <w:left w:val="none" w:sz="0" w:space="0" w:color="auto"/>
        <w:bottom w:val="none" w:sz="0" w:space="0" w:color="auto"/>
        <w:right w:val="none" w:sz="0" w:space="0" w:color="auto"/>
      </w:divBdr>
    </w:div>
    <w:div w:id="231277960">
      <w:marLeft w:val="0"/>
      <w:marRight w:val="0"/>
      <w:marTop w:val="0"/>
      <w:marBottom w:val="0"/>
      <w:divBdr>
        <w:top w:val="none" w:sz="0" w:space="0" w:color="auto"/>
        <w:left w:val="none" w:sz="0" w:space="0" w:color="auto"/>
        <w:bottom w:val="none" w:sz="0" w:space="0" w:color="auto"/>
        <w:right w:val="none" w:sz="0" w:space="0" w:color="auto"/>
      </w:divBdr>
    </w:div>
    <w:div w:id="262609428">
      <w:marLeft w:val="0"/>
      <w:marRight w:val="0"/>
      <w:marTop w:val="0"/>
      <w:marBottom w:val="0"/>
      <w:divBdr>
        <w:top w:val="none" w:sz="0" w:space="0" w:color="auto"/>
        <w:left w:val="none" w:sz="0" w:space="0" w:color="auto"/>
        <w:bottom w:val="none" w:sz="0" w:space="0" w:color="auto"/>
        <w:right w:val="none" w:sz="0" w:space="0" w:color="auto"/>
      </w:divBdr>
    </w:div>
    <w:div w:id="272906769">
      <w:marLeft w:val="0"/>
      <w:marRight w:val="0"/>
      <w:marTop w:val="0"/>
      <w:marBottom w:val="0"/>
      <w:divBdr>
        <w:top w:val="none" w:sz="0" w:space="0" w:color="auto"/>
        <w:left w:val="none" w:sz="0" w:space="0" w:color="auto"/>
        <w:bottom w:val="none" w:sz="0" w:space="0" w:color="auto"/>
        <w:right w:val="none" w:sz="0" w:space="0" w:color="auto"/>
      </w:divBdr>
      <w:divsChild>
        <w:div w:id="888149277">
          <w:marLeft w:val="0"/>
          <w:marRight w:val="0"/>
          <w:marTop w:val="0"/>
          <w:marBottom w:val="0"/>
          <w:divBdr>
            <w:top w:val="none" w:sz="0" w:space="0" w:color="auto"/>
            <w:left w:val="none" w:sz="0" w:space="0" w:color="auto"/>
            <w:bottom w:val="none" w:sz="0" w:space="0" w:color="auto"/>
            <w:right w:val="none" w:sz="0" w:space="0" w:color="auto"/>
          </w:divBdr>
        </w:div>
      </w:divsChild>
    </w:div>
    <w:div w:id="278689173">
      <w:marLeft w:val="0"/>
      <w:marRight w:val="0"/>
      <w:marTop w:val="0"/>
      <w:marBottom w:val="120"/>
      <w:divBdr>
        <w:top w:val="none" w:sz="0" w:space="0" w:color="auto"/>
        <w:left w:val="none" w:sz="0" w:space="0" w:color="auto"/>
        <w:bottom w:val="none" w:sz="0" w:space="0" w:color="auto"/>
        <w:right w:val="none" w:sz="0" w:space="0" w:color="auto"/>
      </w:divBdr>
    </w:div>
    <w:div w:id="282150455">
      <w:marLeft w:val="0"/>
      <w:marRight w:val="0"/>
      <w:marTop w:val="0"/>
      <w:marBottom w:val="0"/>
      <w:divBdr>
        <w:top w:val="none" w:sz="0" w:space="0" w:color="auto"/>
        <w:left w:val="none" w:sz="0" w:space="0" w:color="auto"/>
        <w:bottom w:val="none" w:sz="0" w:space="0" w:color="auto"/>
        <w:right w:val="none" w:sz="0" w:space="0" w:color="auto"/>
      </w:divBdr>
    </w:div>
    <w:div w:id="282612479">
      <w:marLeft w:val="0"/>
      <w:marRight w:val="0"/>
      <w:marTop w:val="0"/>
      <w:marBottom w:val="0"/>
      <w:divBdr>
        <w:top w:val="none" w:sz="0" w:space="0" w:color="auto"/>
        <w:left w:val="none" w:sz="0" w:space="0" w:color="auto"/>
        <w:bottom w:val="none" w:sz="0" w:space="0" w:color="auto"/>
        <w:right w:val="none" w:sz="0" w:space="0" w:color="auto"/>
      </w:divBdr>
    </w:div>
    <w:div w:id="288821402">
      <w:marLeft w:val="0"/>
      <w:marRight w:val="0"/>
      <w:marTop w:val="0"/>
      <w:marBottom w:val="0"/>
      <w:divBdr>
        <w:top w:val="none" w:sz="0" w:space="0" w:color="auto"/>
        <w:left w:val="none" w:sz="0" w:space="0" w:color="auto"/>
        <w:bottom w:val="none" w:sz="0" w:space="0" w:color="auto"/>
        <w:right w:val="none" w:sz="0" w:space="0" w:color="auto"/>
      </w:divBdr>
      <w:divsChild>
        <w:div w:id="454756089">
          <w:marLeft w:val="0"/>
          <w:marRight w:val="0"/>
          <w:marTop w:val="0"/>
          <w:marBottom w:val="0"/>
          <w:divBdr>
            <w:top w:val="none" w:sz="0" w:space="0" w:color="auto"/>
            <w:left w:val="none" w:sz="0" w:space="0" w:color="auto"/>
            <w:bottom w:val="none" w:sz="0" w:space="0" w:color="auto"/>
            <w:right w:val="none" w:sz="0" w:space="0" w:color="auto"/>
          </w:divBdr>
        </w:div>
      </w:divsChild>
    </w:div>
    <w:div w:id="314573331">
      <w:marLeft w:val="0"/>
      <w:marRight w:val="0"/>
      <w:marTop w:val="0"/>
      <w:marBottom w:val="0"/>
      <w:divBdr>
        <w:top w:val="none" w:sz="0" w:space="0" w:color="auto"/>
        <w:left w:val="none" w:sz="0" w:space="0" w:color="auto"/>
        <w:bottom w:val="none" w:sz="0" w:space="0" w:color="auto"/>
        <w:right w:val="none" w:sz="0" w:space="0" w:color="auto"/>
      </w:divBdr>
      <w:divsChild>
        <w:div w:id="808746190">
          <w:marLeft w:val="0"/>
          <w:marRight w:val="0"/>
          <w:marTop w:val="0"/>
          <w:marBottom w:val="0"/>
          <w:divBdr>
            <w:top w:val="none" w:sz="0" w:space="0" w:color="auto"/>
            <w:left w:val="none" w:sz="0" w:space="0" w:color="auto"/>
            <w:bottom w:val="none" w:sz="0" w:space="0" w:color="auto"/>
            <w:right w:val="none" w:sz="0" w:space="0" w:color="auto"/>
          </w:divBdr>
        </w:div>
      </w:divsChild>
    </w:div>
    <w:div w:id="319357766">
      <w:marLeft w:val="0"/>
      <w:marRight w:val="0"/>
      <w:marTop w:val="0"/>
      <w:marBottom w:val="0"/>
      <w:divBdr>
        <w:top w:val="none" w:sz="0" w:space="0" w:color="auto"/>
        <w:left w:val="none" w:sz="0" w:space="0" w:color="auto"/>
        <w:bottom w:val="none" w:sz="0" w:space="0" w:color="auto"/>
        <w:right w:val="none" w:sz="0" w:space="0" w:color="auto"/>
      </w:divBdr>
    </w:div>
    <w:div w:id="324867572">
      <w:marLeft w:val="0"/>
      <w:marRight w:val="0"/>
      <w:marTop w:val="0"/>
      <w:marBottom w:val="0"/>
      <w:divBdr>
        <w:top w:val="none" w:sz="0" w:space="0" w:color="auto"/>
        <w:left w:val="none" w:sz="0" w:space="0" w:color="auto"/>
        <w:bottom w:val="none" w:sz="0" w:space="0" w:color="auto"/>
        <w:right w:val="none" w:sz="0" w:space="0" w:color="auto"/>
      </w:divBdr>
      <w:divsChild>
        <w:div w:id="679820446">
          <w:marLeft w:val="0"/>
          <w:marRight w:val="0"/>
          <w:marTop w:val="0"/>
          <w:marBottom w:val="0"/>
          <w:divBdr>
            <w:top w:val="none" w:sz="0" w:space="0" w:color="auto"/>
            <w:left w:val="none" w:sz="0" w:space="0" w:color="auto"/>
            <w:bottom w:val="none" w:sz="0" w:space="0" w:color="auto"/>
            <w:right w:val="none" w:sz="0" w:space="0" w:color="auto"/>
          </w:divBdr>
        </w:div>
      </w:divsChild>
    </w:div>
    <w:div w:id="325287548">
      <w:marLeft w:val="0"/>
      <w:marRight w:val="0"/>
      <w:marTop w:val="0"/>
      <w:marBottom w:val="0"/>
      <w:divBdr>
        <w:top w:val="none" w:sz="0" w:space="0" w:color="auto"/>
        <w:left w:val="none" w:sz="0" w:space="0" w:color="auto"/>
        <w:bottom w:val="none" w:sz="0" w:space="0" w:color="auto"/>
        <w:right w:val="none" w:sz="0" w:space="0" w:color="auto"/>
      </w:divBdr>
    </w:div>
    <w:div w:id="328025728">
      <w:marLeft w:val="0"/>
      <w:marRight w:val="0"/>
      <w:marTop w:val="0"/>
      <w:marBottom w:val="0"/>
      <w:divBdr>
        <w:top w:val="none" w:sz="0" w:space="0" w:color="auto"/>
        <w:left w:val="none" w:sz="0" w:space="0" w:color="auto"/>
        <w:bottom w:val="none" w:sz="0" w:space="0" w:color="auto"/>
        <w:right w:val="none" w:sz="0" w:space="0" w:color="auto"/>
      </w:divBdr>
      <w:divsChild>
        <w:div w:id="997461043">
          <w:marLeft w:val="0"/>
          <w:marRight w:val="0"/>
          <w:marTop w:val="0"/>
          <w:marBottom w:val="0"/>
          <w:divBdr>
            <w:top w:val="none" w:sz="0" w:space="0" w:color="auto"/>
            <w:left w:val="none" w:sz="0" w:space="0" w:color="auto"/>
            <w:bottom w:val="none" w:sz="0" w:space="0" w:color="auto"/>
            <w:right w:val="none" w:sz="0" w:space="0" w:color="auto"/>
          </w:divBdr>
        </w:div>
      </w:divsChild>
    </w:div>
    <w:div w:id="342168845">
      <w:marLeft w:val="0"/>
      <w:marRight w:val="0"/>
      <w:marTop w:val="0"/>
      <w:marBottom w:val="0"/>
      <w:divBdr>
        <w:top w:val="none" w:sz="0" w:space="0" w:color="auto"/>
        <w:left w:val="none" w:sz="0" w:space="0" w:color="auto"/>
        <w:bottom w:val="none" w:sz="0" w:space="0" w:color="auto"/>
        <w:right w:val="none" w:sz="0" w:space="0" w:color="auto"/>
      </w:divBdr>
      <w:divsChild>
        <w:div w:id="92551279">
          <w:marLeft w:val="0"/>
          <w:marRight w:val="0"/>
          <w:marTop w:val="0"/>
          <w:marBottom w:val="0"/>
          <w:divBdr>
            <w:top w:val="none" w:sz="0" w:space="0" w:color="auto"/>
            <w:left w:val="none" w:sz="0" w:space="0" w:color="auto"/>
            <w:bottom w:val="none" w:sz="0" w:space="0" w:color="auto"/>
            <w:right w:val="none" w:sz="0" w:space="0" w:color="auto"/>
          </w:divBdr>
        </w:div>
      </w:divsChild>
    </w:div>
    <w:div w:id="365178422">
      <w:marLeft w:val="0"/>
      <w:marRight w:val="0"/>
      <w:marTop w:val="0"/>
      <w:marBottom w:val="0"/>
      <w:divBdr>
        <w:top w:val="none" w:sz="0" w:space="0" w:color="auto"/>
        <w:left w:val="none" w:sz="0" w:space="0" w:color="auto"/>
        <w:bottom w:val="none" w:sz="0" w:space="0" w:color="auto"/>
        <w:right w:val="none" w:sz="0" w:space="0" w:color="auto"/>
      </w:divBdr>
    </w:div>
    <w:div w:id="366687725">
      <w:marLeft w:val="0"/>
      <w:marRight w:val="0"/>
      <w:marTop w:val="0"/>
      <w:marBottom w:val="0"/>
      <w:divBdr>
        <w:top w:val="none" w:sz="0" w:space="0" w:color="auto"/>
        <w:left w:val="none" w:sz="0" w:space="0" w:color="auto"/>
        <w:bottom w:val="none" w:sz="0" w:space="0" w:color="auto"/>
        <w:right w:val="none" w:sz="0" w:space="0" w:color="auto"/>
      </w:divBdr>
      <w:divsChild>
        <w:div w:id="211891601">
          <w:marLeft w:val="0"/>
          <w:marRight w:val="0"/>
          <w:marTop w:val="0"/>
          <w:marBottom w:val="0"/>
          <w:divBdr>
            <w:top w:val="none" w:sz="0" w:space="0" w:color="auto"/>
            <w:left w:val="none" w:sz="0" w:space="0" w:color="auto"/>
            <w:bottom w:val="none" w:sz="0" w:space="0" w:color="auto"/>
            <w:right w:val="none" w:sz="0" w:space="0" w:color="auto"/>
          </w:divBdr>
        </w:div>
      </w:divsChild>
    </w:div>
    <w:div w:id="369885565">
      <w:marLeft w:val="0"/>
      <w:marRight w:val="0"/>
      <w:marTop w:val="0"/>
      <w:marBottom w:val="120"/>
      <w:divBdr>
        <w:top w:val="none" w:sz="0" w:space="0" w:color="auto"/>
        <w:left w:val="none" w:sz="0" w:space="0" w:color="auto"/>
        <w:bottom w:val="none" w:sz="0" w:space="0" w:color="auto"/>
        <w:right w:val="none" w:sz="0" w:space="0" w:color="auto"/>
      </w:divBdr>
    </w:div>
    <w:div w:id="370568586">
      <w:marLeft w:val="0"/>
      <w:marRight w:val="0"/>
      <w:marTop w:val="0"/>
      <w:marBottom w:val="0"/>
      <w:divBdr>
        <w:top w:val="none" w:sz="0" w:space="0" w:color="auto"/>
        <w:left w:val="none" w:sz="0" w:space="0" w:color="auto"/>
        <w:bottom w:val="none" w:sz="0" w:space="0" w:color="auto"/>
        <w:right w:val="none" w:sz="0" w:space="0" w:color="auto"/>
      </w:divBdr>
    </w:div>
    <w:div w:id="384765672">
      <w:marLeft w:val="0"/>
      <w:marRight w:val="0"/>
      <w:marTop w:val="0"/>
      <w:marBottom w:val="0"/>
      <w:divBdr>
        <w:top w:val="none" w:sz="0" w:space="0" w:color="auto"/>
        <w:left w:val="none" w:sz="0" w:space="0" w:color="auto"/>
        <w:bottom w:val="none" w:sz="0" w:space="0" w:color="auto"/>
        <w:right w:val="none" w:sz="0" w:space="0" w:color="auto"/>
      </w:divBdr>
    </w:div>
    <w:div w:id="402796629">
      <w:marLeft w:val="0"/>
      <w:marRight w:val="0"/>
      <w:marTop w:val="0"/>
      <w:marBottom w:val="120"/>
      <w:divBdr>
        <w:top w:val="none" w:sz="0" w:space="0" w:color="auto"/>
        <w:left w:val="none" w:sz="0" w:space="0" w:color="auto"/>
        <w:bottom w:val="none" w:sz="0" w:space="0" w:color="auto"/>
        <w:right w:val="none" w:sz="0" w:space="0" w:color="auto"/>
      </w:divBdr>
    </w:div>
    <w:div w:id="409161408">
      <w:marLeft w:val="0"/>
      <w:marRight w:val="0"/>
      <w:marTop w:val="0"/>
      <w:marBottom w:val="0"/>
      <w:divBdr>
        <w:top w:val="none" w:sz="0" w:space="0" w:color="auto"/>
        <w:left w:val="none" w:sz="0" w:space="0" w:color="auto"/>
        <w:bottom w:val="none" w:sz="0" w:space="0" w:color="auto"/>
        <w:right w:val="none" w:sz="0" w:space="0" w:color="auto"/>
      </w:divBdr>
      <w:divsChild>
        <w:div w:id="313922078">
          <w:marLeft w:val="0"/>
          <w:marRight w:val="0"/>
          <w:marTop w:val="0"/>
          <w:marBottom w:val="0"/>
          <w:divBdr>
            <w:top w:val="none" w:sz="0" w:space="0" w:color="auto"/>
            <w:left w:val="none" w:sz="0" w:space="0" w:color="auto"/>
            <w:bottom w:val="none" w:sz="0" w:space="0" w:color="auto"/>
            <w:right w:val="none" w:sz="0" w:space="0" w:color="auto"/>
          </w:divBdr>
        </w:div>
      </w:divsChild>
    </w:div>
    <w:div w:id="423262576">
      <w:marLeft w:val="0"/>
      <w:marRight w:val="0"/>
      <w:marTop w:val="0"/>
      <w:marBottom w:val="0"/>
      <w:divBdr>
        <w:top w:val="none" w:sz="0" w:space="0" w:color="auto"/>
        <w:left w:val="none" w:sz="0" w:space="0" w:color="auto"/>
        <w:bottom w:val="none" w:sz="0" w:space="0" w:color="auto"/>
        <w:right w:val="none" w:sz="0" w:space="0" w:color="auto"/>
      </w:divBdr>
    </w:div>
    <w:div w:id="431970376">
      <w:marLeft w:val="0"/>
      <w:marRight w:val="0"/>
      <w:marTop w:val="0"/>
      <w:marBottom w:val="0"/>
      <w:divBdr>
        <w:top w:val="none" w:sz="0" w:space="0" w:color="auto"/>
        <w:left w:val="none" w:sz="0" w:space="0" w:color="auto"/>
        <w:bottom w:val="none" w:sz="0" w:space="0" w:color="auto"/>
        <w:right w:val="none" w:sz="0" w:space="0" w:color="auto"/>
      </w:divBdr>
      <w:divsChild>
        <w:div w:id="752627072">
          <w:marLeft w:val="0"/>
          <w:marRight w:val="0"/>
          <w:marTop w:val="0"/>
          <w:marBottom w:val="0"/>
          <w:divBdr>
            <w:top w:val="none" w:sz="0" w:space="0" w:color="auto"/>
            <w:left w:val="none" w:sz="0" w:space="0" w:color="auto"/>
            <w:bottom w:val="none" w:sz="0" w:space="0" w:color="auto"/>
            <w:right w:val="none" w:sz="0" w:space="0" w:color="auto"/>
          </w:divBdr>
        </w:div>
      </w:divsChild>
    </w:div>
    <w:div w:id="432165660">
      <w:marLeft w:val="0"/>
      <w:marRight w:val="0"/>
      <w:marTop w:val="0"/>
      <w:marBottom w:val="0"/>
      <w:divBdr>
        <w:top w:val="none" w:sz="0" w:space="0" w:color="auto"/>
        <w:left w:val="none" w:sz="0" w:space="0" w:color="auto"/>
        <w:bottom w:val="none" w:sz="0" w:space="0" w:color="auto"/>
        <w:right w:val="none" w:sz="0" w:space="0" w:color="auto"/>
      </w:divBdr>
      <w:divsChild>
        <w:div w:id="1529484250">
          <w:marLeft w:val="0"/>
          <w:marRight w:val="0"/>
          <w:marTop w:val="0"/>
          <w:marBottom w:val="0"/>
          <w:divBdr>
            <w:top w:val="none" w:sz="0" w:space="0" w:color="auto"/>
            <w:left w:val="none" w:sz="0" w:space="0" w:color="auto"/>
            <w:bottom w:val="none" w:sz="0" w:space="0" w:color="auto"/>
            <w:right w:val="none" w:sz="0" w:space="0" w:color="auto"/>
          </w:divBdr>
        </w:div>
      </w:divsChild>
    </w:div>
    <w:div w:id="436291496">
      <w:marLeft w:val="0"/>
      <w:marRight w:val="0"/>
      <w:marTop w:val="0"/>
      <w:marBottom w:val="120"/>
      <w:divBdr>
        <w:top w:val="none" w:sz="0" w:space="0" w:color="auto"/>
        <w:left w:val="none" w:sz="0" w:space="0" w:color="auto"/>
        <w:bottom w:val="none" w:sz="0" w:space="0" w:color="auto"/>
        <w:right w:val="none" w:sz="0" w:space="0" w:color="auto"/>
      </w:divBdr>
    </w:div>
    <w:div w:id="441804991">
      <w:marLeft w:val="0"/>
      <w:marRight w:val="0"/>
      <w:marTop w:val="0"/>
      <w:marBottom w:val="0"/>
      <w:divBdr>
        <w:top w:val="none" w:sz="0" w:space="0" w:color="auto"/>
        <w:left w:val="none" w:sz="0" w:space="0" w:color="auto"/>
        <w:bottom w:val="none" w:sz="0" w:space="0" w:color="auto"/>
        <w:right w:val="none" w:sz="0" w:space="0" w:color="auto"/>
      </w:divBdr>
      <w:divsChild>
        <w:div w:id="1264877137">
          <w:marLeft w:val="0"/>
          <w:marRight w:val="0"/>
          <w:marTop w:val="0"/>
          <w:marBottom w:val="0"/>
          <w:divBdr>
            <w:top w:val="none" w:sz="0" w:space="0" w:color="auto"/>
            <w:left w:val="none" w:sz="0" w:space="0" w:color="auto"/>
            <w:bottom w:val="none" w:sz="0" w:space="0" w:color="auto"/>
            <w:right w:val="none" w:sz="0" w:space="0" w:color="auto"/>
          </w:divBdr>
        </w:div>
      </w:divsChild>
    </w:div>
    <w:div w:id="444081271">
      <w:marLeft w:val="0"/>
      <w:marRight w:val="0"/>
      <w:marTop w:val="0"/>
      <w:marBottom w:val="0"/>
      <w:divBdr>
        <w:top w:val="none" w:sz="0" w:space="0" w:color="auto"/>
        <w:left w:val="none" w:sz="0" w:space="0" w:color="auto"/>
        <w:bottom w:val="none" w:sz="0" w:space="0" w:color="auto"/>
        <w:right w:val="none" w:sz="0" w:space="0" w:color="auto"/>
      </w:divBdr>
    </w:div>
    <w:div w:id="449473221">
      <w:marLeft w:val="0"/>
      <w:marRight w:val="0"/>
      <w:marTop w:val="0"/>
      <w:marBottom w:val="0"/>
      <w:divBdr>
        <w:top w:val="none" w:sz="0" w:space="0" w:color="auto"/>
        <w:left w:val="none" w:sz="0" w:space="0" w:color="auto"/>
        <w:bottom w:val="none" w:sz="0" w:space="0" w:color="auto"/>
        <w:right w:val="none" w:sz="0" w:space="0" w:color="auto"/>
      </w:divBdr>
      <w:divsChild>
        <w:div w:id="1262756687">
          <w:marLeft w:val="0"/>
          <w:marRight w:val="0"/>
          <w:marTop w:val="0"/>
          <w:marBottom w:val="0"/>
          <w:divBdr>
            <w:top w:val="none" w:sz="0" w:space="0" w:color="auto"/>
            <w:left w:val="none" w:sz="0" w:space="0" w:color="auto"/>
            <w:bottom w:val="none" w:sz="0" w:space="0" w:color="auto"/>
            <w:right w:val="none" w:sz="0" w:space="0" w:color="auto"/>
          </w:divBdr>
        </w:div>
      </w:divsChild>
    </w:div>
    <w:div w:id="454300017">
      <w:marLeft w:val="0"/>
      <w:marRight w:val="0"/>
      <w:marTop w:val="0"/>
      <w:marBottom w:val="0"/>
      <w:divBdr>
        <w:top w:val="none" w:sz="0" w:space="0" w:color="auto"/>
        <w:left w:val="none" w:sz="0" w:space="0" w:color="auto"/>
        <w:bottom w:val="none" w:sz="0" w:space="0" w:color="auto"/>
        <w:right w:val="none" w:sz="0" w:space="0" w:color="auto"/>
      </w:divBdr>
      <w:divsChild>
        <w:div w:id="1900050931">
          <w:marLeft w:val="0"/>
          <w:marRight w:val="0"/>
          <w:marTop w:val="0"/>
          <w:marBottom w:val="0"/>
          <w:divBdr>
            <w:top w:val="none" w:sz="0" w:space="0" w:color="auto"/>
            <w:left w:val="none" w:sz="0" w:space="0" w:color="auto"/>
            <w:bottom w:val="none" w:sz="0" w:space="0" w:color="auto"/>
            <w:right w:val="none" w:sz="0" w:space="0" w:color="auto"/>
          </w:divBdr>
        </w:div>
      </w:divsChild>
    </w:div>
    <w:div w:id="463431168">
      <w:marLeft w:val="0"/>
      <w:marRight w:val="0"/>
      <w:marTop w:val="0"/>
      <w:marBottom w:val="120"/>
      <w:divBdr>
        <w:top w:val="none" w:sz="0" w:space="0" w:color="auto"/>
        <w:left w:val="none" w:sz="0" w:space="0" w:color="auto"/>
        <w:bottom w:val="none" w:sz="0" w:space="0" w:color="auto"/>
        <w:right w:val="none" w:sz="0" w:space="0" w:color="auto"/>
      </w:divBdr>
    </w:div>
    <w:div w:id="567569072">
      <w:marLeft w:val="0"/>
      <w:marRight w:val="0"/>
      <w:marTop w:val="0"/>
      <w:marBottom w:val="0"/>
      <w:divBdr>
        <w:top w:val="none" w:sz="0" w:space="0" w:color="auto"/>
        <w:left w:val="none" w:sz="0" w:space="0" w:color="auto"/>
        <w:bottom w:val="none" w:sz="0" w:space="0" w:color="auto"/>
        <w:right w:val="none" w:sz="0" w:space="0" w:color="auto"/>
      </w:divBdr>
    </w:div>
    <w:div w:id="568657569">
      <w:marLeft w:val="0"/>
      <w:marRight w:val="0"/>
      <w:marTop w:val="0"/>
      <w:marBottom w:val="0"/>
      <w:divBdr>
        <w:top w:val="none" w:sz="0" w:space="0" w:color="auto"/>
        <w:left w:val="none" w:sz="0" w:space="0" w:color="auto"/>
        <w:bottom w:val="none" w:sz="0" w:space="0" w:color="auto"/>
        <w:right w:val="none" w:sz="0" w:space="0" w:color="auto"/>
      </w:divBdr>
    </w:div>
    <w:div w:id="574241690">
      <w:marLeft w:val="0"/>
      <w:marRight w:val="0"/>
      <w:marTop w:val="0"/>
      <w:marBottom w:val="0"/>
      <w:divBdr>
        <w:top w:val="none" w:sz="0" w:space="0" w:color="auto"/>
        <w:left w:val="none" w:sz="0" w:space="0" w:color="auto"/>
        <w:bottom w:val="none" w:sz="0" w:space="0" w:color="auto"/>
        <w:right w:val="none" w:sz="0" w:space="0" w:color="auto"/>
      </w:divBdr>
    </w:div>
    <w:div w:id="577715842">
      <w:marLeft w:val="0"/>
      <w:marRight w:val="0"/>
      <w:marTop w:val="0"/>
      <w:marBottom w:val="0"/>
      <w:divBdr>
        <w:top w:val="none" w:sz="0" w:space="0" w:color="auto"/>
        <w:left w:val="none" w:sz="0" w:space="0" w:color="auto"/>
        <w:bottom w:val="none" w:sz="0" w:space="0" w:color="auto"/>
        <w:right w:val="none" w:sz="0" w:space="0" w:color="auto"/>
      </w:divBdr>
    </w:div>
    <w:div w:id="582834502">
      <w:marLeft w:val="0"/>
      <w:marRight w:val="0"/>
      <w:marTop w:val="0"/>
      <w:marBottom w:val="0"/>
      <w:divBdr>
        <w:top w:val="none" w:sz="0" w:space="0" w:color="auto"/>
        <w:left w:val="none" w:sz="0" w:space="0" w:color="auto"/>
        <w:bottom w:val="none" w:sz="0" w:space="0" w:color="auto"/>
        <w:right w:val="none" w:sz="0" w:space="0" w:color="auto"/>
      </w:divBdr>
      <w:divsChild>
        <w:div w:id="1037775800">
          <w:marLeft w:val="0"/>
          <w:marRight w:val="0"/>
          <w:marTop w:val="0"/>
          <w:marBottom w:val="0"/>
          <w:divBdr>
            <w:top w:val="none" w:sz="0" w:space="0" w:color="auto"/>
            <w:left w:val="none" w:sz="0" w:space="0" w:color="auto"/>
            <w:bottom w:val="none" w:sz="0" w:space="0" w:color="auto"/>
            <w:right w:val="none" w:sz="0" w:space="0" w:color="auto"/>
          </w:divBdr>
        </w:div>
      </w:divsChild>
    </w:div>
    <w:div w:id="583105540">
      <w:marLeft w:val="0"/>
      <w:marRight w:val="0"/>
      <w:marTop w:val="0"/>
      <w:marBottom w:val="0"/>
      <w:divBdr>
        <w:top w:val="none" w:sz="0" w:space="0" w:color="auto"/>
        <w:left w:val="none" w:sz="0" w:space="0" w:color="auto"/>
        <w:bottom w:val="none" w:sz="0" w:space="0" w:color="auto"/>
        <w:right w:val="none" w:sz="0" w:space="0" w:color="auto"/>
      </w:divBdr>
      <w:divsChild>
        <w:div w:id="82075512">
          <w:marLeft w:val="0"/>
          <w:marRight w:val="0"/>
          <w:marTop w:val="0"/>
          <w:marBottom w:val="0"/>
          <w:divBdr>
            <w:top w:val="none" w:sz="0" w:space="0" w:color="auto"/>
            <w:left w:val="none" w:sz="0" w:space="0" w:color="auto"/>
            <w:bottom w:val="none" w:sz="0" w:space="0" w:color="auto"/>
            <w:right w:val="none" w:sz="0" w:space="0" w:color="auto"/>
          </w:divBdr>
        </w:div>
      </w:divsChild>
    </w:div>
    <w:div w:id="585312737">
      <w:marLeft w:val="0"/>
      <w:marRight w:val="0"/>
      <w:marTop w:val="0"/>
      <w:marBottom w:val="0"/>
      <w:divBdr>
        <w:top w:val="none" w:sz="0" w:space="0" w:color="auto"/>
        <w:left w:val="none" w:sz="0" w:space="0" w:color="auto"/>
        <w:bottom w:val="none" w:sz="0" w:space="0" w:color="auto"/>
        <w:right w:val="none" w:sz="0" w:space="0" w:color="auto"/>
      </w:divBdr>
    </w:div>
    <w:div w:id="586885875">
      <w:marLeft w:val="0"/>
      <w:marRight w:val="0"/>
      <w:marTop w:val="0"/>
      <w:marBottom w:val="0"/>
      <w:divBdr>
        <w:top w:val="none" w:sz="0" w:space="0" w:color="auto"/>
        <w:left w:val="none" w:sz="0" w:space="0" w:color="auto"/>
        <w:bottom w:val="none" w:sz="0" w:space="0" w:color="auto"/>
        <w:right w:val="none" w:sz="0" w:space="0" w:color="auto"/>
      </w:divBdr>
      <w:divsChild>
        <w:div w:id="1955211278">
          <w:marLeft w:val="0"/>
          <w:marRight w:val="0"/>
          <w:marTop w:val="0"/>
          <w:marBottom w:val="0"/>
          <w:divBdr>
            <w:top w:val="none" w:sz="0" w:space="0" w:color="auto"/>
            <w:left w:val="none" w:sz="0" w:space="0" w:color="auto"/>
            <w:bottom w:val="none" w:sz="0" w:space="0" w:color="auto"/>
            <w:right w:val="none" w:sz="0" w:space="0" w:color="auto"/>
          </w:divBdr>
        </w:div>
      </w:divsChild>
    </w:div>
    <w:div w:id="587882166">
      <w:marLeft w:val="0"/>
      <w:marRight w:val="0"/>
      <w:marTop w:val="0"/>
      <w:marBottom w:val="120"/>
      <w:divBdr>
        <w:top w:val="none" w:sz="0" w:space="0" w:color="auto"/>
        <w:left w:val="none" w:sz="0" w:space="0" w:color="auto"/>
        <w:bottom w:val="none" w:sz="0" w:space="0" w:color="auto"/>
        <w:right w:val="none" w:sz="0" w:space="0" w:color="auto"/>
      </w:divBdr>
    </w:div>
    <w:div w:id="610011869">
      <w:marLeft w:val="0"/>
      <w:marRight w:val="0"/>
      <w:marTop w:val="0"/>
      <w:marBottom w:val="0"/>
      <w:divBdr>
        <w:top w:val="none" w:sz="0" w:space="0" w:color="auto"/>
        <w:left w:val="none" w:sz="0" w:space="0" w:color="auto"/>
        <w:bottom w:val="none" w:sz="0" w:space="0" w:color="auto"/>
        <w:right w:val="none" w:sz="0" w:space="0" w:color="auto"/>
      </w:divBdr>
    </w:div>
    <w:div w:id="611203386">
      <w:marLeft w:val="0"/>
      <w:marRight w:val="0"/>
      <w:marTop w:val="0"/>
      <w:marBottom w:val="0"/>
      <w:divBdr>
        <w:top w:val="none" w:sz="0" w:space="0" w:color="auto"/>
        <w:left w:val="none" w:sz="0" w:space="0" w:color="auto"/>
        <w:bottom w:val="none" w:sz="0" w:space="0" w:color="auto"/>
        <w:right w:val="none" w:sz="0" w:space="0" w:color="auto"/>
      </w:divBdr>
      <w:divsChild>
        <w:div w:id="1057628213">
          <w:marLeft w:val="0"/>
          <w:marRight w:val="0"/>
          <w:marTop w:val="0"/>
          <w:marBottom w:val="0"/>
          <w:divBdr>
            <w:top w:val="none" w:sz="0" w:space="0" w:color="auto"/>
            <w:left w:val="none" w:sz="0" w:space="0" w:color="auto"/>
            <w:bottom w:val="none" w:sz="0" w:space="0" w:color="auto"/>
            <w:right w:val="none" w:sz="0" w:space="0" w:color="auto"/>
          </w:divBdr>
        </w:div>
      </w:divsChild>
    </w:div>
    <w:div w:id="622999723">
      <w:marLeft w:val="0"/>
      <w:marRight w:val="0"/>
      <w:marTop w:val="0"/>
      <w:marBottom w:val="0"/>
      <w:divBdr>
        <w:top w:val="none" w:sz="0" w:space="0" w:color="auto"/>
        <w:left w:val="none" w:sz="0" w:space="0" w:color="auto"/>
        <w:bottom w:val="none" w:sz="0" w:space="0" w:color="auto"/>
        <w:right w:val="none" w:sz="0" w:space="0" w:color="auto"/>
      </w:divBdr>
      <w:divsChild>
        <w:div w:id="2086145389">
          <w:marLeft w:val="0"/>
          <w:marRight w:val="0"/>
          <w:marTop w:val="0"/>
          <w:marBottom w:val="0"/>
          <w:divBdr>
            <w:top w:val="none" w:sz="0" w:space="0" w:color="auto"/>
            <w:left w:val="none" w:sz="0" w:space="0" w:color="auto"/>
            <w:bottom w:val="none" w:sz="0" w:space="0" w:color="auto"/>
            <w:right w:val="none" w:sz="0" w:space="0" w:color="auto"/>
          </w:divBdr>
        </w:div>
      </w:divsChild>
    </w:div>
    <w:div w:id="627055265">
      <w:marLeft w:val="0"/>
      <w:marRight w:val="0"/>
      <w:marTop w:val="0"/>
      <w:marBottom w:val="120"/>
      <w:divBdr>
        <w:top w:val="none" w:sz="0" w:space="0" w:color="auto"/>
        <w:left w:val="none" w:sz="0" w:space="0" w:color="auto"/>
        <w:bottom w:val="none" w:sz="0" w:space="0" w:color="auto"/>
        <w:right w:val="none" w:sz="0" w:space="0" w:color="auto"/>
      </w:divBdr>
      <w:divsChild>
        <w:div w:id="526717158">
          <w:marLeft w:val="0"/>
          <w:marRight w:val="0"/>
          <w:marTop w:val="0"/>
          <w:marBottom w:val="0"/>
          <w:divBdr>
            <w:top w:val="none" w:sz="0" w:space="0" w:color="auto"/>
            <w:left w:val="none" w:sz="0" w:space="0" w:color="auto"/>
            <w:bottom w:val="none" w:sz="0" w:space="0" w:color="auto"/>
            <w:right w:val="none" w:sz="0" w:space="0" w:color="auto"/>
          </w:divBdr>
        </w:div>
      </w:divsChild>
    </w:div>
    <w:div w:id="627274708">
      <w:marLeft w:val="0"/>
      <w:marRight w:val="0"/>
      <w:marTop w:val="0"/>
      <w:marBottom w:val="0"/>
      <w:divBdr>
        <w:top w:val="none" w:sz="0" w:space="0" w:color="auto"/>
        <w:left w:val="none" w:sz="0" w:space="0" w:color="auto"/>
        <w:bottom w:val="none" w:sz="0" w:space="0" w:color="auto"/>
        <w:right w:val="none" w:sz="0" w:space="0" w:color="auto"/>
      </w:divBdr>
    </w:div>
    <w:div w:id="639959828">
      <w:marLeft w:val="0"/>
      <w:marRight w:val="0"/>
      <w:marTop w:val="0"/>
      <w:marBottom w:val="0"/>
      <w:divBdr>
        <w:top w:val="none" w:sz="0" w:space="0" w:color="auto"/>
        <w:left w:val="none" w:sz="0" w:space="0" w:color="auto"/>
        <w:bottom w:val="none" w:sz="0" w:space="0" w:color="auto"/>
        <w:right w:val="none" w:sz="0" w:space="0" w:color="auto"/>
      </w:divBdr>
    </w:div>
    <w:div w:id="643004168">
      <w:marLeft w:val="0"/>
      <w:marRight w:val="0"/>
      <w:marTop w:val="0"/>
      <w:marBottom w:val="120"/>
      <w:divBdr>
        <w:top w:val="none" w:sz="0" w:space="0" w:color="auto"/>
        <w:left w:val="none" w:sz="0" w:space="0" w:color="auto"/>
        <w:bottom w:val="none" w:sz="0" w:space="0" w:color="auto"/>
        <w:right w:val="none" w:sz="0" w:space="0" w:color="auto"/>
      </w:divBdr>
    </w:div>
    <w:div w:id="645820385">
      <w:marLeft w:val="0"/>
      <w:marRight w:val="0"/>
      <w:marTop w:val="0"/>
      <w:marBottom w:val="0"/>
      <w:divBdr>
        <w:top w:val="none" w:sz="0" w:space="0" w:color="auto"/>
        <w:left w:val="none" w:sz="0" w:space="0" w:color="auto"/>
        <w:bottom w:val="none" w:sz="0" w:space="0" w:color="auto"/>
        <w:right w:val="none" w:sz="0" w:space="0" w:color="auto"/>
      </w:divBdr>
      <w:divsChild>
        <w:div w:id="1036852901">
          <w:marLeft w:val="0"/>
          <w:marRight w:val="0"/>
          <w:marTop w:val="0"/>
          <w:marBottom w:val="0"/>
          <w:divBdr>
            <w:top w:val="none" w:sz="0" w:space="0" w:color="auto"/>
            <w:left w:val="none" w:sz="0" w:space="0" w:color="auto"/>
            <w:bottom w:val="none" w:sz="0" w:space="0" w:color="auto"/>
            <w:right w:val="none" w:sz="0" w:space="0" w:color="auto"/>
          </w:divBdr>
        </w:div>
      </w:divsChild>
    </w:div>
    <w:div w:id="672144365">
      <w:marLeft w:val="0"/>
      <w:marRight w:val="0"/>
      <w:marTop w:val="0"/>
      <w:marBottom w:val="0"/>
      <w:divBdr>
        <w:top w:val="none" w:sz="0" w:space="0" w:color="auto"/>
        <w:left w:val="none" w:sz="0" w:space="0" w:color="auto"/>
        <w:bottom w:val="none" w:sz="0" w:space="0" w:color="auto"/>
        <w:right w:val="none" w:sz="0" w:space="0" w:color="auto"/>
      </w:divBdr>
    </w:div>
    <w:div w:id="689841837">
      <w:marLeft w:val="0"/>
      <w:marRight w:val="0"/>
      <w:marTop w:val="0"/>
      <w:marBottom w:val="0"/>
      <w:divBdr>
        <w:top w:val="none" w:sz="0" w:space="0" w:color="auto"/>
        <w:left w:val="none" w:sz="0" w:space="0" w:color="auto"/>
        <w:bottom w:val="none" w:sz="0" w:space="0" w:color="auto"/>
        <w:right w:val="none" w:sz="0" w:space="0" w:color="auto"/>
      </w:divBdr>
      <w:divsChild>
        <w:div w:id="1016342979">
          <w:marLeft w:val="0"/>
          <w:marRight w:val="0"/>
          <w:marTop w:val="0"/>
          <w:marBottom w:val="0"/>
          <w:divBdr>
            <w:top w:val="none" w:sz="0" w:space="0" w:color="auto"/>
            <w:left w:val="none" w:sz="0" w:space="0" w:color="auto"/>
            <w:bottom w:val="none" w:sz="0" w:space="0" w:color="auto"/>
            <w:right w:val="none" w:sz="0" w:space="0" w:color="auto"/>
          </w:divBdr>
        </w:div>
      </w:divsChild>
    </w:div>
    <w:div w:id="724989045">
      <w:marLeft w:val="0"/>
      <w:marRight w:val="0"/>
      <w:marTop w:val="0"/>
      <w:marBottom w:val="0"/>
      <w:divBdr>
        <w:top w:val="none" w:sz="0" w:space="0" w:color="auto"/>
        <w:left w:val="none" w:sz="0" w:space="0" w:color="auto"/>
        <w:bottom w:val="none" w:sz="0" w:space="0" w:color="auto"/>
        <w:right w:val="none" w:sz="0" w:space="0" w:color="auto"/>
      </w:divBdr>
    </w:div>
    <w:div w:id="730231821">
      <w:marLeft w:val="0"/>
      <w:marRight w:val="0"/>
      <w:marTop w:val="0"/>
      <w:marBottom w:val="0"/>
      <w:divBdr>
        <w:top w:val="none" w:sz="0" w:space="0" w:color="auto"/>
        <w:left w:val="none" w:sz="0" w:space="0" w:color="auto"/>
        <w:bottom w:val="none" w:sz="0" w:space="0" w:color="auto"/>
        <w:right w:val="none" w:sz="0" w:space="0" w:color="auto"/>
      </w:divBdr>
    </w:div>
    <w:div w:id="734162890">
      <w:marLeft w:val="0"/>
      <w:marRight w:val="0"/>
      <w:marTop w:val="0"/>
      <w:marBottom w:val="120"/>
      <w:divBdr>
        <w:top w:val="none" w:sz="0" w:space="0" w:color="auto"/>
        <w:left w:val="none" w:sz="0" w:space="0" w:color="auto"/>
        <w:bottom w:val="none" w:sz="0" w:space="0" w:color="auto"/>
        <w:right w:val="none" w:sz="0" w:space="0" w:color="auto"/>
      </w:divBdr>
    </w:div>
    <w:div w:id="748188031">
      <w:marLeft w:val="0"/>
      <w:marRight w:val="0"/>
      <w:marTop w:val="0"/>
      <w:marBottom w:val="0"/>
      <w:divBdr>
        <w:top w:val="none" w:sz="0" w:space="0" w:color="auto"/>
        <w:left w:val="none" w:sz="0" w:space="0" w:color="auto"/>
        <w:bottom w:val="none" w:sz="0" w:space="0" w:color="auto"/>
        <w:right w:val="none" w:sz="0" w:space="0" w:color="auto"/>
      </w:divBdr>
      <w:divsChild>
        <w:div w:id="1650281945">
          <w:marLeft w:val="0"/>
          <w:marRight w:val="0"/>
          <w:marTop w:val="0"/>
          <w:marBottom w:val="0"/>
          <w:divBdr>
            <w:top w:val="none" w:sz="0" w:space="0" w:color="auto"/>
            <w:left w:val="none" w:sz="0" w:space="0" w:color="auto"/>
            <w:bottom w:val="none" w:sz="0" w:space="0" w:color="auto"/>
            <w:right w:val="none" w:sz="0" w:space="0" w:color="auto"/>
          </w:divBdr>
        </w:div>
      </w:divsChild>
    </w:div>
    <w:div w:id="753935401">
      <w:marLeft w:val="0"/>
      <w:marRight w:val="0"/>
      <w:marTop w:val="0"/>
      <w:marBottom w:val="0"/>
      <w:divBdr>
        <w:top w:val="none" w:sz="0" w:space="0" w:color="auto"/>
        <w:left w:val="none" w:sz="0" w:space="0" w:color="auto"/>
        <w:bottom w:val="none" w:sz="0" w:space="0" w:color="auto"/>
        <w:right w:val="none" w:sz="0" w:space="0" w:color="auto"/>
      </w:divBdr>
    </w:div>
    <w:div w:id="754087338">
      <w:marLeft w:val="0"/>
      <w:marRight w:val="0"/>
      <w:marTop w:val="0"/>
      <w:marBottom w:val="0"/>
      <w:divBdr>
        <w:top w:val="none" w:sz="0" w:space="0" w:color="auto"/>
        <w:left w:val="none" w:sz="0" w:space="0" w:color="auto"/>
        <w:bottom w:val="none" w:sz="0" w:space="0" w:color="auto"/>
        <w:right w:val="none" w:sz="0" w:space="0" w:color="auto"/>
      </w:divBdr>
    </w:div>
    <w:div w:id="757823038">
      <w:marLeft w:val="0"/>
      <w:marRight w:val="0"/>
      <w:marTop w:val="0"/>
      <w:marBottom w:val="0"/>
      <w:divBdr>
        <w:top w:val="none" w:sz="0" w:space="0" w:color="auto"/>
        <w:left w:val="none" w:sz="0" w:space="0" w:color="auto"/>
        <w:bottom w:val="none" w:sz="0" w:space="0" w:color="auto"/>
        <w:right w:val="none" w:sz="0" w:space="0" w:color="auto"/>
      </w:divBdr>
    </w:div>
    <w:div w:id="758214243">
      <w:marLeft w:val="0"/>
      <w:marRight w:val="0"/>
      <w:marTop w:val="0"/>
      <w:marBottom w:val="0"/>
      <w:divBdr>
        <w:top w:val="none" w:sz="0" w:space="0" w:color="auto"/>
        <w:left w:val="none" w:sz="0" w:space="0" w:color="auto"/>
        <w:bottom w:val="none" w:sz="0" w:space="0" w:color="auto"/>
        <w:right w:val="none" w:sz="0" w:space="0" w:color="auto"/>
      </w:divBdr>
    </w:div>
    <w:div w:id="759911825">
      <w:marLeft w:val="0"/>
      <w:marRight w:val="0"/>
      <w:marTop w:val="0"/>
      <w:marBottom w:val="0"/>
      <w:divBdr>
        <w:top w:val="none" w:sz="0" w:space="0" w:color="auto"/>
        <w:left w:val="none" w:sz="0" w:space="0" w:color="auto"/>
        <w:bottom w:val="none" w:sz="0" w:space="0" w:color="auto"/>
        <w:right w:val="none" w:sz="0" w:space="0" w:color="auto"/>
      </w:divBdr>
    </w:div>
    <w:div w:id="762844460">
      <w:marLeft w:val="0"/>
      <w:marRight w:val="0"/>
      <w:marTop w:val="0"/>
      <w:marBottom w:val="0"/>
      <w:divBdr>
        <w:top w:val="none" w:sz="0" w:space="0" w:color="auto"/>
        <w:left w:val="none" w:sz="0" w:space="0" w:color="auto"/>
        <w:bottom w:val="none" w:sz="0" w:space="0" w:color="auto"/>
        <w:right w:val="none" w:sz="0" w:space="0" w:color="auto"/>
      </w:divBdr>
    </w:div>
    <w:div w:id="763694737">
      <w:marLeft w:val="0"/>
      <w:marRight w:val="0"/>
      <w:marTop w:val="0"/>
      <w:marBottom w:val="0"/>
      <w:divBdr>
        <w:top w:val="none" w:sz="0" w:space="0" w:color="auto"/>
        <w:left w:val="none" w:sz="0" w:space="0" w:color="auto"/>
        <w:bottom w:val="none" w:sz="0" w:space="0" w:color="auto"/>
        <w:right w:val="none" w:sz="0" w:space="0" w:color="auto"/>
      </w:divBdr>
    </w:div>
    <w:div w:id="769394000">
      <w:marLeft w:val="0"/>
      <w:marRight w:val="0"/>
      <w:marTop w:val="0"/>
      <w:marBottom w:val="0"/>
      <w:divBdr>
        <w:top w:val="none" w:sz="0" w:space="0" w:color="auto"/>
        <w:left w:val="none" w:sz="0" w:space="0" w:color="auto"/>
        <w:bottom w:val="none" w:sz="0" w:space="0" w:color="auto"/>
        <w:right w:val="none" w:sz="0" w:space="0" w:color="auto"/>
      </w:divBdr>
    </w:div>
    <w:div w:id="791358946">
      <w:marLeft w:val="0"/>
      <w:marRight w:val="0"/>
      <w:marTop w:val="0"/>
      <w:marBottom w:val="120"/>
      <w:divBdr>
        <w:top w:val="none" w:sz="0" w:space="0" w:color="auto"/>
        <w:left w:val="none" w:sz="0" w:space="0" w:color="auto"/>
        <w:bottom w:val="none" w:sz="0" w:space="0" w:color="auto"/>
        <w:right w:val="none" w:sz="0" w:space="0" w:color="auto"/>
      </w:divBdr>
    </w:div>
    <w:div w:id="815341658">
      <w:marLeft w:val="0"/>
      <w:marRight w:val="0"/>
      <w:marTop w:val="0"/>
      <w:marBottom w:val="0"/>
      <w:divBdr>
        <w:top w:val="none" w:sz="0" w:space="0" w:color="auto"/>
        <w:left w:val="none" w:sz="0" w:space="0" w:color="auto"/>
        <w:bottom w:val="none" w:sz="0" w:space="0" w:color="auto"/>
        <w:right w:val="none" w:sz="0" w:space="0" w:color="auto"/>
      </w:divBdr>
      <w:divsChild>
        <w:div w:id="1465390259">
          <w:marLeft w:val="0"/>
          <w:marRight w:val="0"/>
          <w:marTop w:val="0"/>
          <w:marBottom w:val="0"/>
          <w:divBdr>
            <w:top w:val="none" w:sz="0" w:space="0" w:color="auto"/>
            <w:left w:val="none" w:sz="0" w:space="0" w:color="auto"/>
            <w:bottom w:val="none" w:sz="0" w:space="0" w:color="auto"/>
            <w:right w:val="none" w:sz="0" w:space="0" w:color="auto"/>
          </w:divBdr>
        </w:div>
      </w:divsChild>
    </w:div>
    <w:div w:id="817527113">
      <w:marLeft w:val="0"/>
      <w:marRight w:val="0"/>
      <w:marTop w:val="0"/>
      <w:marBottom w:val="0"/>
      <w:divBdr>
        <w:top w:val="none" w:sz="0" w:space="0" w:color="auto"/>
        <w:left w:val="none" w:sz="0" w:space="0" w:color="auto"/>
        <w:bottom w:val="none" w:sz="0" w:space="0" w:color="auto"/>
        <w:right w:val="none" w:sz="0" w:space="0" w:color="auto"/>
      </w:divBdr>
    </w:div>
    <w:div w:id="820118031">
      <w:marLeft w:val="0"/>
      <w:marRight w:val="0"/>
      <w:marTop w:val="0"/>
      <w:marBottom w:val="120"/>
      <w:divBdr>
        <w:top w:val="none" w:sz="0" w:space="0" w:color="auto"/>
        <w:left w:val="none" w:sz="0" w:space="0" w:color="auto"/>
        <w:bottom w:val="none" w:sz="0" w:space="0" w:color="auto"/>
        <w:right w:val="none" w:sz="0" w:space="0" w:color="auto"/>
      </w:divBdr>
      <w:divsChild>
        <w:div w:id="950940047">
          <w:marLeft w:val="0"/>
          <w:marRight w:val="0"/>
          <w:marTop w:val="0"/>
          <w:marBottom w:val="0"/>
          <w:divBdr>
            <w:top w:val="none" w:sz="0" w:space="0" w:color="auto"/>
            <w:left w:val="none" w:sz="0" w:space="0" w:color="auto"/>
            <w:bottom w:val="none" w:sz="0" w:space="0" w:color="auto"/>
            <w:right w:val="none" w:sz="0" w:space="0" w:color="auto"/>
          </w:divBdr>
        </w:div>
      </w:divsChild>
    </w:div>
    <w:div w:id="832599739">
      <w:marLeft w:val="0"/>
      <w:marRight w:val="0"/>
      <w:marTop w:val="0"/>
      <w:marBottom w:val="0"/>
      <w:divBdr>
        <w:top w:val="none" w:sz="0" w:space="0" w:color="auto"/>
        <w:left w:val="none" w:sz="0" w:space="0" w:color="auto"/>
        <w:bottom w:val="none" w:sz="0" w:space="0" w:color="auto"/>
        <w:right w:val="none" w:sz="0" w:space="0" w:color="auto"/>
      </w:divBdr>
    </w:div>
    <w:div w:id="835995081">
      <w:marLeft w:val="0"/>
      <w:marRight w:val="0"/>
      <w:marTop w:val="0"/>
      <w:marBottom w:val="0"/>
      <w:divBdr>
        <w:top w:val="none" w:sz="0" w:space="0" w:color="auto"/>
        <w:left w:val="none" w:sz="0" w:space="0" w:color="auto"/>
        <w:bottom w:val="none" w:sz="0" w:space="0" w:color="auto"/>
        <w:right w:val="none" w:sz="0" w:space="0" w:color="auto"/>
      </w:divBdr>
      <w:divsChild>
        <w:div w:id="2098942546">
          <w:marLeft w:val="0"/>
          <w:marRight w:val="0"/>
          <w:marTop w:val="0"/>
          <w:marBottom w:val="0"/>
          <w:divBdr>
            <w:top w:val="none" w:sz="0" w:space="0" w:color="auto"/>
            <w:left w:val="none" w:sz="0" w:space="0" w:color="auto"/>
            <w:bottom w:val="none" w:sz="0" w:space="0" w:color="auto"/>
            <w:right w:val="none" w:sz="0" w:space="0" w:color="auto"/>
          </w:divBdr>
        </w:div>
      </w:divsChild>
    </w:div>
    <w:div w:id="843327197">
      <w:marLeft w:val="0"/>
      <w:marRight w:val="0"/>
      <w:marTop w:val="0"/>
      <w:marBottom w:val="120"/>
      <w:divBdr>
        <w:top w:val="none" w:sz="0" w:space="0" w:color="auto"/>
        <w:left w:val="none" w:sz="0" w:space="0" w:color="auto"/>
        <w:bottom w:val="none" w:sz="0" w:space="0" w:color="auto"/>
        <w:right w:val="none" w:sz="0" w:space="0" w:color="auto"/>
      </w:divBdr>
    </w:div>
    <w:div w:id="846866546">
      <w:marLeft w:val="0"/>
      <w:marRight w:val="0"/>
      <w:marTop w:val="0"/>
      <w:marBottom w:val="0"/>
      <w:divBdr>
        <w:top w:val="none" w:sz="0" w:space="0" w:color="auto"/>
        <w:left w:val="none" w:sz="0" w:space="0" w:color="auto"/>
        <w:bottom w:val="none" w:sz="0" w:space="0" w:color="auto"/>
        <w:right w:val="none" w:sz="0" w:space="0" w:color="auto"/>
      </w:divBdr>
    </w:div>
    <w:div w:id="853768256">
      <w:marLeft w:val="0"/>
      <w:marRight w:val="0"/>
      <w:marTop w:val="0"/>
      <w:marBottom w:val="0"/>
      <w:divBdr>
        <w:top w:val="none" w:sz="0" w:space="0" w:color="auto"/>
        <w:left w:val="none" w:sz="0" w:space="0" w:color="auto"/>
        <w:bottom w:val="none" w:sz="0" w:space="0" w:color="auto"/>
        <w:right w:val="none" w:sz="0" w:space="0" w:color="auto"/>
      </w:divBdr>
      <w:divsChild>
        <w:div w:id="905722795">
          <w:marLeft w:val="0"/>
          <w:marRight w:val="0"/>
          <w:marTop w:val="0"/>
          <w:marBottom w:val="0"/>
          <w:divBdr>
            <w:top w:val="none" w:sz="0" w:space="0" w:color="auto"/>
            <w:left w:val="none" w:sz="0" w:space="0" w:color="auto"/>
            <w:bottom w:val="none" w:sz="0" w:space="0" w:color="auto"/>
            <w:right w:val="none" w:sz="0" w:space="0" w:color="auto"/>
          </w:divBdr>
        </w:div>
      </w:divsChild>
    </w:div>
    <w:div w:id="865558687">
      <w:marLeft w:val="0"/>
      <w:marRight w:val="0"/>
      <w:marTop w:val="0"/>
      <w:marBottom w:val="0"/>
      <w:divBdr>
        <w:top w:val="none" w:sz="0" w:space="0" w:color="auto"/>
        <w:left w:val="none" w:sz="0" w:space="0" w:color="auto"/>
        <w:bottom w:val="none" w:sz="0" w:space="0" w:color="auto"/>
        <w:right w:val="none" w:sz="0" w:space="0" w:color="auto"/>
      </w:divBdr>
    </w:div>
    <w:div w:id="881133724">
      <w:marLeft w:val="0"/>
      <w:marRight w:val="0"/>
      <w:marTop w:val="0"/>
      <w:marBottom w:val="0"/>
      <w:divBdr>
        <w:top w:val="none" w:sz="0" w:space="0" w:color="auto"/>
        <w:left w:val="none" w:sz="0" w:space="0" w:color="auto"/>
        <w:bottom w:val="none" w:sz="0" w:space="0" w:color="auto"/>
        <w:right w:val="none" w:sz="0" w:space="0" w:color="auto"/>
      </w:divBdr>
    </w:div>
    <w:div w:id="891816844">
      <w:marLeft w:val="0"/>
      <w:marRight w:val="0"/>
      <w:marTop w:val="120"/>
      <w:marBottom w:val="120"/>
      <w:divBdr>
        <w:top w:val="none" w:sz="0" w:space="0" w:color="auto"/>
        <w:left w:val="none" w:sz="0" w:space="0" w:color="auto"/>
        <w:bottom w:val="none" w:sz="0" w:space="0" w:color="auto"/>
        <w:right w:val="none" w:sz="0" w:space="0" w:color="auto"/>
      </w:divBdr>
    </w:div>
    <w:div w:id="913472287">
      <w:marLeft w:val="0"/>
      <w:marRight w:val="0"/>
      <w:marTop w:val="0"/>
      <w:marBottom w:val="120"/>
      <w:divBdr>
        <w:top w:val="none" w:sz="0" w:space="0" w:color="auto"/>
        <w:left w:val="none" w:sz="0" w:space="0" w:color="auto"/>
        <w:bottom w:val="none" w:sz="0" w:space="0" w:color="auto"/>
        <w:right w:val="none" w:sz="0" w:space="0" w:color="auto"/>
      </w:divBdr>
    </w:div>
    <w:div w:id="918170070">
      <w:marLeft w:val="0"/>
      <w:marRight w:val="0"/>
      <w:marTop w:val="0"/>
      <w:marBottom w:val="0"/>
      <w:divBdr>
        <w:top w:val="none" w:sz="0" w:space="0" w:color="auto"/>
        <w:left w:val="none" w:sz="0" w:space="0" w:color="auto"/>
        <w:bottom w:val="none" w:sz="0" w:space="0" w:color="auto"/>
        <w:right w:val="none" w:sz="0" w:space="0" w:color="auto"/>
      </w:divBdr>
    </w:div>
    <w:div w:id="919096961">
      <w:marLeft w:val="0"/>
      <w:marRight w:val="0"/>
      <w:marTop w:val="0"/>
      <w:marBottom w:val="0"/>
      <w:divBdr>
        <w:top w:val="none" w:sz="0" w:space="0" w:color="auto"/>
        <w:left w:val="none" w:sz="0" w:space="0" w:color="auto"/>
        <w:bottom w:val="none" w:sz="0" w:space="0" w:color="auto"/>
        <w:right w:val="none" w:sz="0" w:space="0" w:color="auto"/>
      </w:divBdr>
    </w:div>
    <w:div w:id="919220803">
      <w:marLeft w:val="0"/>
      <w:marRight w:val="0"/>
      <w:marTop w:val="0"/>
      <w:marBottom w:val="120"/>
      <w:divBdr>
        <w:top w:val="none" w:sz="0" w:space="0" w:color="auto"/>
        <w:left w:val="none" w:sz="0" w:space="0" w:color="auto"/>
        <w:bottom w:val="none" w:sz="0" w:space="0" w:color="auto"/>
        <w:right w:val="none" w:sz="0" w:space="0" w:color="auto"/>
      </w:divBdr>
    </w:div>
    <w:div w:id="921110426">
      <w:marLeft w:val="0"/>
      <w:marRight w:val="0"/>
      <w:marTop w:val="0"/>
      <w:marBottom w:val="0"/>
      <w:divBdr>
        <w:top w:val="none" w:sz="0" w:space="0" w:color="auto"/>
        <w:left w:val="none" w:sz="0" w:space="0" w:color="auto"/>
        <w:bottom w:val="none" w:sz="0" w:space="0" w:color="auto"/>
        <w:right w:val="none" w:sz="0" w:space="0" w:color="auto"/>
      </w:divBdr>
    </w:div>
    <w:div w:id="934635313">
      <w:marLeft w:val="0"/>
      <w:marRight w:val="0"/>
      <w:marTop w:val="0"/>
      <w:marBottom w:val="0"/>
      <w:divBdr>
        <w:top w:val="none" w:sz="0" w:space="0" w:color="auto"/>
        <w:left w:val="none" w:sz="0" w:space="0" w:color="auto"/>
        <w:bottom w:val="none" w:sz="0" w:space="0" w:color="auto"/>
        <w:right w:val="none" w:sz="0" w:space="0" w:color="auto"/>
      </w:divBdr>
    </w:div>
    <w:div w:id="941956126">
      <w:marLeft w:val="0"/>
      <w:marRight w:val="0"/>
      <w:marTop w:val="0"/>
      <w:marBottom w:val="0"/>
      <w:divBdr>
        <w:top w:val="none" w:sz="0" w:space="0" w:color="auto"/>
        <w:left w:val="none" w:sz="0" w:space="0" w:color="auto"/>
        <w:bottom w:val="none" w:sz="0" w:space="0" w:color="auto"/>
        <w:right w:val="none" w:sz="0" w:space="0" w:color="auto"/>
      </w:divBdr>
    </w:div>
    <w:div w:id="942876809">
      <w:marLeft w:val="0"/>
      <w:marRight w:val="0"/>
      <w:marTop w:val="0"/>
      <w:marBottom w:val="0"/>
      <w:divBdr>
        <w:top w:val="none" w:sz="0" w:space="0" w:color="auto"/>
        <w:left w:val="none" w:sz="0" w:space="0" w:color="auto"/>
        <w:bottom w:val="none" w:sz="0" w:space="0" w:color="auto"/>
        <w:right w:val="none" w:sz="0" w:space="0" w:color="auto"/>
      </w:divBdr>
    </w:div>
    <w:div w:id="951671576">
      <w:marLeft w:val="0"/>
      <w:marRight w:val="0"/>
      <w:marTop w:val="0"/>
      <w:marBottom w:val="0"/>
      <w:divBdr>
        <w:top w:val="none" w:sz="0" w:space="0" w:color="auto"/>
        <w:left w:val="none" w:sz="0" w:space="0" w:color="auto"/>
        <w:bottom w:val="none" w:sz="0" w:space="0" w:color="auto"/>
        <w:right w:val="none" w:sz="0" w:space="0" w:color="auto"/>
      </w:divBdr>
    </w:div>
    <w:div w:id="957487808">
      <w:marLeft w:val="0"/>
      <w:marRight w:val="0"/>
      <w:marTop w:val="0"/>
      <w:marBottom w:val="0"/>
      <w:divBdr>
        <w:top w:val="none" w:sz="0" w:space="0" w:color="auto"/>
        <w:left w:val="none" w:sz="0" w:space="0" w:color="auto"/>
        <w:bottom w:val="none" w:sz="0" w:space="0" w:color="auto"/>
        <w:right w:val="none" w:sz="0" w:space="0" w:color="auto"/>
      </w:divBdr>
    </w:div>
    <w:div w:id="957680256">
      <w:marLeft w:val="0"/>
      <w:marRight w:val="0"/>
      <w:marTop w:val="0"/>
      <w:marBottom w:val="0"/>
      <w:divBdr>
        <w:top w:val="none" w:sz="0" w:space="0" w:color="auto"/>
        <w:left w:val="none" w:sz="0" w:space="0" w:color="auto"/>
        <w:bottom w:val="none" w:sz="0" w:space="0" w:color="auto"/>
        <w:right w:val="none" w:sz="0" w:space="0" w:color="auto"/>
      </w:divBdr>
    </w:div>
    <w:div w:id="975767151">
      <w:marLeft w:val="0"/>
      <w:marRight w:val="0"/>
      <w:marTop w:val="0"/>
      <w:marBottom w:val="0"/>
      <w:divBdr>
        <w:top w:val="none" w:sz="0" w:space="0" w:color="auto"/>
        <w:left w:val="none" w:sz="0" w:space="0" w:color="auto"/>
        <w:bottom w:val="none" w:sz="0" w:space="0" w:color="auto"/>
        <w:right w:val="none" w:sz="0" w:space="0" w:color="auto"/>
      </w:divBdr>
      <w:divsChild>
        <w:div w:id="707218092">
          <w:marLeft w:val="0"/>
          <w:marRight w:val="0"/>
          <w:marTop w:val="0"/>
          <w:marBottom w:val="0"/>
          <w:divBdr>
            <w:top w:val="none" w:sz="0" w:space="0" w:color="auto"/>
            <w:left w:val="none" w:sz="0" w:space="0" w:color="auto"/>
            <w:bottom w:val="none" w:sz="0" w:space="0" w:color="auto"/>
            <w:right w:val="none" w:sz="0" w:space="0" w:color="auto"/>
          </w:divBdr>
        </w:div>
      </w:divsChild>
    </w:div>
    <w:div w:id="1003895750">
      <w:marLeft w:val="0"/>
      <w:marRight w:val="0"/>
      <w:marTop w:val="0"/>
      <w:marBottom w:val="0"/>
      <w:divBdr>
        <w:top w:val="none" w:sz="0" w:space="0" w:color="auto"/>
        <w:left w:val="none" w:sz="0" w:space="0" w:color="auto"/>
        <w:bottom w:val="none" w:sz="0" w:space="0" w:color="auto"/>
        <w:right w:val="none" w:sz="0" w:space="0" w:color="auto"/>
      </w:divBdr>
      <w:divsChild>
        <w:div w:id="711421738">
          <w:marLeft w:val="0"/>
          <w:marRight w:val="0"/>
          <w:marTop w:val="0"/>
          <w:marBottom w:val="0"/>
          <w:divBdr>
            <w:top w:val="none" w:sz="0" w:space="0" w:color="auto"/>
            <w:left w:val="none" w:sz="0" w:space="0" w:color="auto"/>
            <w:bottom w:val="none" w:sz="0" w:space="0" w:color="auto"/>
            <w:right w:val="none" w:sz="0" w:space="0" w:color="auto"/>
          </w:divBdr>
        </w:div>
      </w:divsChild>
    </w:div>
    <w:div w:id="1015033021">
      <w:marLeft w:val="0"/>
      <w:marRight w:val="0"/>
      <w:marTop w:val="0"/>
      <w:marBottom w:val="0"/>
      <w:divBdr>
        <w:top w:val="none" w:sz="0" w:space="0" w:color="auto"/>
        <w:left w:val="none" w:sz="0" w:space="0" w:color="auto"/>
        <w:bottom w:val="none" w:sz="0" w:space="0" w:color="auto"/>
        <w:right w:val="none" w:sz="0" w:space="0" w:color="auto"/>
      </w:divBdr>
      <w:divsChild>
        <w:div w:id="649362756">
          <w:marLeft w:val="0"/>
          <w:marRight w:val="0"/>
          <w:marTop w:val="0"/>
          <w:marBottom w:val="0"/>
          <w:divBdr>
            <w:top w:val="none" w:sz="0" w:space="0" w:color="auto"/>
            <w:left w:val="none" w:sz="0" w:space="0" w:color="auto"/>
            <w:bottom w:val="none" w:sz="0" w:space="0" w:color="auto"/>
            <w:right w:val="none" w:sz="0" w:space="0" w:color="auto"/>
          </w:divBdr>
        </w:div>
      </w:divsChild>
    </w:div>
    <w:div w:id="1023289508">
      <w:marLeft w:val="0"/>
      <w:marRight w:val="0"/>
      <w:marTop w:val="0"/>
      <w:marBottom w:val="0"/>
      <w:divBdr>
        <w:top w:val="none" w:sz="0" w:space="0" w:color="auto"/>
        <w:left w:val="none" w:sz="0" w:space="0" w:color="auto"/>
        <w:bottom w:val="none" w:sz="0" w:space="0" w:color="auto"/>
        <w:right w:val="none" w:sz="0" w:space="0" w:color="auto"/>
      </w:divBdr>
    </w:div>
    <w:div w:id="1035733408">
      <w:marLeft w:val="0"/>
      <w:marRight w:val="0"/>
      <w:marTop w:val="0"/>
      <w:marBottom w:val="0"/>
      <w:divBdr>
        <w:top w:val="none" w:sz="0" w:space="0" w:color="auto"/>
        <w:left w:val="none" w:sz="0" w:space="0" w:color="auto"/>
        <w:bottom w:val="none" w:sz="0" w:space="0" w:color="auto"/>
        <w:right w:val="none" w:sz="0" w:space="0" w:color="auto"/>
      </w:divBdr>
    </w:div>
    <w:div w:id="1067260263">
      <w:marLeft w:val="0"/>
      <w:marRight w:val="0"/>
      <w:marTop w:val="0"/>
      <w:marBottom w:val="0"/>
      <w:divBdr>
        <w:top w:val="none" w:sz="0" w:space="0" w:color="auto"/>
        <w:left w:val="none" w:sz="0" w:space="0" w:color="auto"/>
        <w:bottom w:val="none" w:sz="0" w:space="0" w:color="auto"/>
        <w:right w:val="none" w:sz="0" w:space="0" w:color="auto"/>
      </w:divBdr>
      <w:divsChild>
        <w:div w:id="914390023">
          <w:marLeft w:val="0"/>
          <w:marRight w:val="0"/>
          <w:marTop w:val="0"/>
          <w:marBottom w:val="0"/>
          <w:divBdr>
            <w:top w:val="none" w:sz="0" w:space="0" w:color="auto"/>
            <w:left w:val="none" w:sz="0" w:space="0" w:color="auto"/>
            <w:bottom w:val="none" w:sz="0" w:space="0" w:color="auto"/>
            <w:right w:val="none" w:sz="0" w:space="0" w:color="auto"/>
          </w:divBdr>
        </w:div>
      </w:divsChild>
    </w:div>
    <w:div w:id="1086077886">
      <w:marLeft w:val="0"/>
      <w:marRight w:val="0"/>
      <w:marTop w:val="0"/>
      <w:marBottom w:val="0"/>
      <w:divBdr>
        <w:top w:val="none" w:sz="0" w:space="0" w:color="auto"/>
        <w:left w:val="none" w:sz="0" w:space="0" w:color="auto"/>
        <w:bottom w:val="none" w:sz="0" w:space="0" w:color="auto"/>
        <w:right w:val="none" w:sz="0" w:space="0" w:color="auto"/>
      </w:divBdr>
    </w:div>
    <w:div w:id="1088035509">
      <w:marLeft w:val="0"/>
      <w:marRight w:val="0"/>
      <w:marTop w:val="0"/>
      <w:marBottom w:val="120"/>
      <w:divBdr>
        <w:top w:val="none" w:sz="0" w:space="0" w:color="auto"/>
        <w:left w:val="none" w:sz="0" w:space="0" w:color="auto"/>
        <w:bottom w:val="none" w:sz="0" w:space="0" w:color="auto"/>
        <w:right w:val="none" w:sz="0" w:space="0" w:color="auto"/>
      </w:divBdr>
      <w:divsChild>
        <w:div w:id="434441202">
          <w:marLeft w:val="0"/>
          <w:marRight w:val="0"/>
          <w:marTop w:val="0"/>
          <w:marBottom w:val="0"/>
          <w:divBdr>
            <w:top w:val="none" w:sz="0" w:space="0" w:color="auto"/>
            <w:left w:val="none" w:sz="0" w:space="0" w:color="auto"/>
            <w:bottom w:val="none" w:sz="0" w:space="0" w:color="auto"/>
            <w:right w:val="none" w:sz="0" w:space="0" w:color="auto"/>
          </w:divBdr>
        </w:div>
        <w:div w:id="1240864451">
          <w:marLeft w:val="0"/>
          <w:marRight w:val="0"/>
          <w:marTop w:val="0"/>
          <w:marBottom w:val="0"/>
          <w:divBdr>
            <w:top w:val="none" w:sz="0" w:space="0" w:color="auto"/>
            <w:left w:val="none" w:sz="0" w:space="0" w:color="auto"/>
            <w:bottom w:val="none" w:sz="0" w:space="0" w:color="auto"/>
            <w:right w:val="none" w:sz="0" w:space="0" w:color="auto"/>
          </w:divBdr>
        </w:div>
        <w:div w:id="1241714729">
          <w:marLeft w:val="0"/>
          <w:marRight w:val="0"/>
          <w:marTop w:val="0"/>
          <w:marBottom w:val="0"/>
          <w:divBdr>
            <w:top w:val="none" w:sz="0" w:space="0" w:color="auto"/>
            <w:left w:val="none" w:sz="0" w:space="0" w:color="auto"/>
            <w:bottom w:val="none" w:sz="0" w:space="0" w:color="auto"/>
            <w:right w:val="none" w:sz="0" w:space="0" w:color="auto"/>
          </w:divBdr>
        </w:div>
        <w:div w:id="109714115">
          <w:marLeft w:val="0"/>
          <w:marRight w:val="0"/>
          <w:marTop w:val="0"/>
          <w:marBottom w:val="0"/>
          <w:divBdr>
            <w:top w:val="none" w:sz="0" w:space="0" w:color="auto"/>
            <w:left w:val="none" w:sz="0" w:space="0" w:color="auto"/>
            <w:bottom w:val="none" w:sz="0" w:space="0" w:color="auto"/>
            <w:right w:val="none" w:sz="0" w:space="0" w:color="auto"/>
          </w:divBdr>
        </w:div>
        <w:div w:id="663439879">
          <w:marLeft w:val="0"/>
          <w:marRight w:val="0"/>
          <w:marTop w:val="0"/>
          <w:marBottom w:val="0"/>
          <w:divBdr>
            <w:top w:val="none" w:sz="0" w:space="0" w:color="auto"/>
            <w:left w:val="none" w:sz="0" w:space="0" w:color="auto"/>
            <w:bottom w:val="none" w:sz="0" w:space="0" w:color="auto"/>
            <w:right w:val="none" w:sz="0" w:space="0" w:color="auto"/>
          </w:divBdr>
        </w:div>
        <w:div w:id="472601273">
          <w:marLeft w:val="0"/>
          <w:marRight w:val="0"/>
          <w:marTop w:val="0"/>
          <w:marBottom w:val="0"/>
          <w:divBdr>
            <w:top w:val="none" w:sz="0" w:space="0" w:color="auto"/>
            <w:left w:val="none" w:sz="0" w:space="0" w:color="auto"/>
            <w:bottom w:val="none" w:sz="0" w:space="0" w:color="auto"/>
            <w:right w:val="none" w:sz="0" w:space="0" w:color="auto"/>
          </w:divBdr>
        </w:div>
        <w:div w:id="400250250">
          <w:marLeft w:val="0"/>
          <w:marRight w:val="0"/>
          <w:marTop w:val="0"/>
          <w:marBottom w:val="0"/>
          <w:divBdr>
            <w:top w:val="none" w:sz="0" w:space="0" w:color="auto"/>
            <w:left w:val="none" w:sz="0" w:space="0" w:color="auto"/>
            <w:bottom w:val="none" w:sz="0" w:space="0" w:color="auto"/>
            <w:right w:val="none" w:sz="0" w:space="0" w:color="auto"/>
          </w:divBdr>
        </w:div>
        <w:div w:id="799349633">
          <w:marLeft w:val="0"/>
          <w:marRight w:val="0"/>
          <w:marTop w:val="0"/>
          <w:marBottom w:val="0"/>
          <w:divBdr>
            <w:top w:val="none" w:sz="0" w:space="0" w:color="auto"/>
            <w:left w:val="none" w:sz="0" w:space="0" w:color="auto"/>
            <w:bottom w:val="none" w:sz="0" w:space="0" w:color="auto"/>
            <w:right w:val="none" w:sz="0" w:space="0" w:color="auto"/>
          </w:divBdr>
        </w:div>
        <w:div w:id="639726611">
          <w:marLeft w:val="0"/>
          <w:marRight w:val="0"/>
          <w:marTop w:val="0"/>
          <w:marBottom w:val="0"/>
          <w:divBdr>
            <w:top w:val="none" w:sz="0" w:space="0" w:color="auto"/>
            <w:left w:val="none" w:sz="0" w:space="0" w:color="auto"/>
            <w:bottom w:val="none" w:sz="0" w:space="0" w:color="auto"/>
            <w:right w:val="none" w:sz="0" w:space="0" w:color="auto"/>
          </w:divBdr>
        </w:div>
        <w:div w:id="837383637">
          <w:marLeft w:val="0"/>
          <w:marRight w:val="0"/>
          <w:marTop w:val="0"/>
          <w:marBottom w:val="0"/>
          <w:divBdr>
            <w:top w:val="none" w:sz="0" w:space="0" w:color="auto"/>
            <w:left w:val="none" w:sz="0" w:space="0" w:color="auto"/>
            <w:bottom w:val="none" w:sz="0" w:space="0" w:color="auto"/>
            <w:right w:val="none" w:sz="0" w:space="0" w:color="auto"/>
          </w:divBdr>
        </w:div>
        <w:div w:id="313490558">
          <w:marLeft w:val="0"/>
          <w:marRight w:val="0"/>
          <w:marTop w:val="0"/>
          <w:marBottom w:val="0"/>
          <w:divBdr>
            <w:top w:val="none" w:sz="0" w:space="0" w:color="auto"/>
            <w:left w:val="none" w:sz="0" w:space="0" w:color="auto"/>
            <w:bottom w:val="none" w:sz="0" w:space="0" w:color="auto"/>
            <w:right w:val="none" w:sz="0" w:space="0" w:color="auto"/>
          </w:divBdr>
        </w:div>
        <w:div w:id="342514117">
          <w:marLeft w:val="0"/>
          <w:marRight w:val="0"/>
          <w:marTop w:val="0"/>
          <w:marBottom w:val="0"/>
          <w:divBdr>
            <w:top w:val="none" w:sz="0" w:space="0" w:color="auto"/>
            <w:left w:val="none" w:sz="0" w:space="0" w:color="auto"/>
            <w:bottom w:val="none" w:sz="0" w:space="0" w:color="auto"/>
            <w:right w:val="none" w:sz="0" w:space="0" w:color="auto"/>
          </w:divBdr>
        </w:div>
        <w:div w:id="225459271">
          <w:marLeft w:val="0"/>
          <w:marRight w:val="0"/>
          <w:marTop w:val="0"/>
          <w:marBottom w:val="0"/>
          <w:divBdr>
            <w:top w:val="none" w:sz="0" w:space="0" w:color="auto"/>
            <w:left w:val="none" w:sz="0" w:space="0" w:color="auto"/>
            <w:bottom w:val="none" w:sz="0" w:space="0" w:color="auto"/>
            <w:right w:val="none" w:sz="0" w:space="0" w:color="auto"/>
          </w:divBdr>
        </w:div>
        <w:div w:id="2135976184">
          <w:marLeft w:val="0"/>
          <w:marRight w:val="0"/>
          <w:marTop w:val="0"/>
          <w:marBottom w:val="0"/>
          <w:divBdr>
            <w:top w:val="none" w:sz="0" w:space="0" w:color="auto"/>
            <w:left w:val="none" w:sz="0" w:space="0" w:color="auto"/>
            <w:bottom w:val="none" w:sz="0" w:space="0" w:color="auto"/>
            <w:right w:val="none" w:sz="0" w:space="0" w:color="auto"/>
          </w:divBdr>
        </w:div>
        <w:div w:id="261034221">
          <w:marLeft w:val="0"/>
          <w:marRight w:val="0"/>
          <w:marTop w:val="0"/>
          <w:marBottom w:val="0"/>
          <w:divBdr>
            <w:top w:val="none" w:sz="0" w:space="0" w:color="auto"/>
            <w:left w:val="none" w:sz="0" w:space="0" w:color="auto"/>
            <w:bottom w:val="none" w:sz="0" w:space="0" w:color="auto"/>
            <w:right w:val="none" w:sz="0" w:space="0" w:color="auto"/>
          </w:divBdr>
        </w:div>
      </w:divsChild>
    </w:div>
    <w:div w:id="1091313934">
      <w:marLeft w:val="0"/>
      <w:marRight w:val="0"/>
      <w:marTop w:val="0"/>
      <w:marBottom w:val="0"/>
      <w:divBdr>
        <w:top w:val="none" w:sz="0" w:space="0" w:color="auto"/>
        <w:left w:val="none" w:sz="0" w:space="0" w:color="auto"/>
        <w:bottom w:val="none" w:sz="0" w:space="0" w:color="auto"/>
        <w:right w:val="none" w:sz="0" w:space="0" w:color="auto"/>
      </w:divBdr>
    </w:div>
    <w:div w:id="1092778587">
      <w:marLeft w:val="0"/>
      <w:marRight w:val="0"/>
      <w:marTop w:val="0"/>
      <w:marBottom w:val="0"/>
      <w:divBdr>
        <w:top w:val="none" w:sz="0" w:space="0" w:color="auto"/>
        <w:left w:val="none" w:sz="0" w:space="0" w:color="auto"/>
        <w:bottom w:val="none" w:sz="0" w:space="0" w:color="auto"/>
        <w:right w:val="none" w:sz="0" w:space="0" w:color="auto"/>
      </w:divBdr>
    </w:div>
    <w:div w:id="1098529343">
      <w:marLeft w:val="0"/>
      <w:marRight w:val="0"/>
      <w:marTop w:val="0"/>
      <w:marBottom w:val="0"/>
      <w:divBdr>
        <w:top w:val="none" w:sz="0" w:space="0" w:color="auto"/>
        <w:left w:val="none" w:sz="0" w:space="0" w:color="auto"/>
        <w:bottom w:val="none" w:sz="0" w:space="0" w:color="auto"/>
        <w:right w:val="none" w:sz="0" w:space="0" w:color="auto"/>
      </w:divBdr>
    </w:div>
    <w:div w:id="1098673937">
      <w:marLeft w:val="0"/>
      <w:marRight w:val="0"/>
      <w:marTop w:val="0"/>
      <w:marBottom w:val="0"/>
      <w:divBdr>
        <w:top w:val="none" w:sz="0" w:space="0" w:color="auto"/>
        <w:left w:val="none" w:sz="0" w:space="0" w:color="auto"/>
        <w:bottom w:val="none" w:sz="0" w:space="0" w:color="auto"/>
        <w:right w:val="none" w:sz="0" w:space="0" w:color="auto"/>
      </w:divBdr>
    </w:div>
    <w:div w:id="1101216695">
      <w:marLeft w:val="0"/>
      <w:marRight w:val="0"/>
      <w:marTop w:val="0"/>
      <w:marBottom w:val="120"/>
      <w:divBdr>
        <w:top w:val="none" w:sz="0" w:space="0" w:color="auto"/>
        <w:left w:val="none" w:sz="0" w:space="0" w:color="auto"/>
        <w:bottom w:val="none" w:sz="0" w:space="0" w:color="auto"/>
        <w:right w:val="none" w:sz="0" w:space="0" w:color="auto"/>
      </w:divBdr>
    </w:div>
    <w:div w:id="1124664349">
      <w:marLeft w:val="0"/>
      <w:marRight w:val="0"/>
      <w:marTop w:val="0"/>
      <w:marBottom w:val="0"/>
      <w:divBdr>
        <w:top w:val="none" w:sz="0" w:space="0" w:color="auto"/>
        <w:left w:val="none" w:sz="0" w:space="0" w:color="auto"/>
        <w:bottom w:val="none" w:sz="0" w:space="0" w:color="auto"/>
        <w:right w:val="none" w:sz="0" w:space="0" w:color="auto"/>
      </w:divBdr>
      <w:divsChild>
        <w:div w:id="1957785156">
          <w:marLeft w:val="0"/>
          <w:marRight w:val="0"/>
          <w:marTop w:val="0"/>
          <w:marBottom w:val="0"/>
          <w:divBdr>
            <w:top w:val="none" w:sz="0" w:space="0" w:color="auto"/>
            <w:left w:val="none" w:sz="0" w:space="0" w:color="auto"/>
            <w:bottom w:val="none" w:sz="0" w:space="0" w:color="auto"/>
            <w:right w:val="none" w:sz="0" w:space="0" w:color="auto"/>
          </w:divBdr>
        </w:div>
      </w:divsChild>
    </w:div>
    <w:div w:id="1129199452">
      <w:marLeft w:val="0"/>
      <w:marRight w:val="0"/>
      <w:marTop w:val="0"/>
      <w:marBottom w:val="0"/>
      <w:divBdr>
        <w:top w:val="none" w:sz="0" w:space="0" w:color="auto"/>
        <w:left w:val="none" w:sz="0" w:space="0" w:color="auto"/>
        <w:bottom w:val="none" w:sz="0" w:space="0" w:color="auto"/>
        <w:right w:val="none" w:sz="0" w:space="0" w:color="auto"/>
      </w:divBdr>
    </w:div>
    <w:div w:id="1131946052">
      <w:marLeft w:val="0"/>
      <w:marRight w:val="0"/>
      <w:marTop w:val="0"/>
      <w:marBottom w:val="0"/>
      <w:divBdr>
        <w:top w:val="none" w:sz="0" w:space="0" w:color="auto"/>
        <w:left w:val="none" w:sz="0" w:space="0" w:color="auto"/>
        <w:bottom w:val="none" w:sz="0" w:space="0" w:color="auto"/>
        <w:right w:val="none" w:sz="0" w:space="0" w:color="auto"/>
      </w:divBdr>
    </w:div>
    <w:div w:id="1143547451">
      <w:marLeft w:val="0"/>
      <w:marRight w:val="0"/>
      <w:marTop w:val="0"/>
      <w:marBottom w:val="0"/>
      <w:divBdr>
        <w:top w:val="none" w:sz="0" w:space="0" w:color="auto"/>
        <w:left w:val="none" w:sz="0" w:space="0" w:color="auto"/>
        <w:bottom w:val="none" w:sz="0" w:space="0" w:color="auto"/>
        <w:right w:val="none" w:sz="0" w:space="0" w:color="auto"/>
      </w:divBdr>
    </w:div>
    <w:div w:id="1144078861">
      <w:marLeft w:val="0"/>
      <w:marRight w:val="0"/>
      <w:marTop w:val="0"/>
      <w:marBottom w:val="120"/>
      <w:divBdr>
        <w:top w:val="none" w:sz="0" w:space="0" w:color="auto"/>
        <w:left w:val="none" w:sz="0" w:space="0" w:color="auto"/>
        <w:bottom w:val="none" w:sz="0" w:space="0" w:color="auto"/>
        <w:right w:val="none" w:sz="0" w:space="0" w:color="auto"/>
      </w:divBdr>
    </w:div>
    <w:div w:id="1153911518">
      <w:marLeft w:val="0"/>
      <w:marRight w:val="0"/>
      <w:marTop w:val="0"/>
      <w:marBottom w:val="0"/>
      <w:divBdr>
        <w:top w:val="none" w:sz="0" w:space="0" w:color="auto"/>
        <w:left w:val="none" w:sz="0" w:space="0" w:color="auto"/>
        <w:bottom w:val="none" w:sz="0" w:space="0" w:color="auto"/>
        <w:right w:val="none" w:sz="0" w:space="0" w:color="auto"/>
      </w:divBdr>
    </w:div>
    <w:div w:id="1164857892">
      <w:marLeft w:val="0"/>
      <w:marRight w:val="0"/>
      <w:marTop w:val="0"/>
      <w:marBottom w:val="0"/>
      <w:divBdr>
        <w:top w:val="none" w:sz="0" w:space="0" w:color="auto"/>
        <w:left w:val="none" w:sz="0" w:space="0" w:color="auto"/>
        <w:bottom w:val="none" w:sz="0" w:space="0" w:color="auto"/>
        <w:right w:val="none" w:sz="0" w:space="0" w:color="auto"/>
      </w:divBdr>
      <w:divsChild>
        <w:div w:id="1798798934">
          <w:marLeft w:val="0"/>
          <w:marRight w:val="0"/>
          <w:marTop w:val="0"/>
          <w:marBottom w:val="0"/>
          <w:divBdr>
            <w:top w:val="none" w:sz="0" w:space="0" w:color="auto"/>
            <w:left w:val="none" w:sz="0" w:space="0" w:color="auto"/>
            <w:bottom w:val="none" w:sz="0" w:space="0" w:color="auto"/>
            <w:right w:val="none" w:sz="0" w:space="0" w:color="auto"/>
          </w:divBdr>
        </w:div>
      </w:divsChild>
    </w:div>
    <w:div w:id="1167554946">
      <w:marLeft w:val="0"/>
      <w:marRight w:val="0"/>
      <w:marTop w:val="0"/>
      <w:marBottom w:val="0"/>
      <w:divBdr>
        <w:top w:val="none" w:sz="0" w:space="0" w:color="auto"/>
        <w:left w:val="none" w:sz="0" w:space="0" w:color="auto"/>
        <w:bottom w:val="none" w:sz="0" w:space="0" w:color="auto"/>
        <w:right w:val="none" w:sz="0" w:space="0" w:color="auto"/>
      </w:divBdr>
      <w:divsChild>
        <w:div w:id="1707946643">
          <w:marLeft w:val="0"/>
          <w:marRight w:val="0"/>
          <w:marTop w:val="0"/>
          <w:marBottom w:val="0"/>
          <w:divBdr>
            <w:top w:val="none" w:sz="0" w:space="0" w:color="auto"/>
            <w:left w:val="none" w:sz="0" w:space="0" w:color="auto"/>
            <w:bottom w:val="none" w:sz="0" w:space="0" w:color="auto"/>
            <w:right w:val="none" w:sz="0" w:space="0" w:color="auto"/>
          </w:divBdr>
        </w:div>
      </w:divsChild>
    </w:div>
    <w:div w:id="1172141425">
      <w:marLeft w:val="0"/>
      <w:marRight w:val="0"/>
      <w:marTop w:val="0"/>
      <w:marBottom w:val="0"/>
      <w:divBdr>
        <w:top w:val="none" w:sz="0" w:space="0" w:color="auto"/>
        <w:left w:val="none" w:sz="0" w:space="0" w:color="auto"/>
        <w:bottom w:val="none" w:sz="0" w:space="0" w:color="auto"/>
        <w:right w:val="none" w:sz="0" w:space="0" w:color="auto"/>
      </w:divBdr>
    </w:div>
    <w:div w:id="1182358505">
      <w:marLeft w:val="0"/>
      <w:marRight w:val="0"/>
      <w:marTop w:val="0"/>
      <w:marBottom w:val="0"/>
      <w:divBdr>
        <w:top w:val="none" w:sz="0" w:space="0" w:color="auto"/>
        <w:left w:val="none" w:sz="0" w:space="0" w:color="auto"/>
        <w:bottom w:val="none" w:sz="0" w:space="0" w:color="auto"/>
        <w:right w:val="none" w:sz="0" w:space="0" w:color="auto"/>
      </w:divBdr>
    </w:div>
    <w:div w:id="1185560557">
      <w:marLeft w:val="0"/>
      <w:marRight w:val="0"/>
      <w:marTop w:val="0"/>
      <w:marBottom w:val="0"/>
      <w:divBdr>
        <w:top w:val="none" w:sz="0" w:space="0" w:color="auto"/>
        <w:left w:val="none" w:sz="0" w:space="0" w:color="auto"/>
        <w:bottom w:val="none" w:sz="0" w:space="0" w:color="auto"/>
        <w:right w:val="none" w:sz="0" w:space="0" w:color="auto"/>
      </w:divBdr>
      <w:divsChild>
        <w:div w:id="1841386871">
          <w:marLeft w:val="0"/>
          <w:marRight w:val="0"/>
          <w:marTop w:val="0"/>
          <w:marBottom w:val="0"/>
          <w:divBdr>
            <w:top w:val="none" w:sz="0" w:space="0" w:color="auto"/>
            <w:left w:val="none" w:sz="0" w:space="0" w:color="auto"/>
            <w:bottom w:val="none" w:sz="0" w:space="0" w:color="auto"/>
            <w:right w:val="none" w:sz="0" w:space="0" w:color="auto"/>
          </w:divBdr>
        </w:div>
      </w:divsChild>
    </w:div>
    <w:div w:id="1192379406">
      <w:marLeft w:val="0"/>
      <w:marRight w:val="0"/>
      <w:marTop w:val="0"/>
      <w:marBottom w:val="0"/>
      <w:divBdr>
        <w:top w:val="none" w:sz="0" w:space="0" w:color="auto"/>
        <w:left w:val="none" w:sz="0" w:space="0" w:color="auto"/>
        <w:bottom w:val="none" w:sz="0" w:space="0" w:color="auto"/>
        <w:right w:val="none" w:sz="0" w:space="0" w:color="auto"/>
      </w:divBdr>
    </w:div>
    <w:div w:id="1193113210">
      <w:marLeft w:val="0"/>
      <w:marRight w:val="0"/>
      <w:marTop w:val="0"/>
      <w:marBottom w:val="0"/>
      <w:divBdr>
        <w:top w:val="none" w:sz="0" w:space="0" w:color="auto"/>
        <w:left w:val="none" w:sz="0" w:space="0" w:color="auto"/>
        <w:bottom w:val="none" w:sz="0" w:space="0" w:color="auto"/>
        <w:right w:val="none" w:sz="0" w:space="0" w:color="auto"/>
      </w:divBdr>
    </w:div>
    <w:div w:id="1221164498">
      <w:marLeft w:val="0"/>
      <w:marRight w:val="0"/>
      <w:marTop w:val="0"/>
      <w:marBottom w:val="0"/>
      <w:divBdr>
        <w:top w:val="none" w:sz="0" w:space="0" w:color="auto"/>
        <w:left w:val="none" w:sz="0" w:space="0" w:color="auto"/>
        <w:bottom w:val="none" w:sz="0" w:space="0" w:color="auto"/>
        <w:right w:val="none" w:sz="0" w:space="0" w:color="auto"/>
      </w:divBdr>
      <w:divsChild>
        <w:div w:id="609162083">
          <w:marLeft w:val="0"/>
          <w:marRight w:val="0"/>
          <w:marTop w:val="0"/>
          <w:marBottom w:val="0"/>
          <w:divBdr>
            <w:top w:val="none" w:sz="0" w:space="0" w:color="auto"/>
            <w:left w:val="none" w:sz="0" w:space="0" w:color="auto"/>
            <w:bottom w:val="none" w:sz="0" w:space="0" w:color="auto"/>
            <w:right w:val="none" w:sz="0" w:space="0" w:color="auto"/>
          </w:divBdr>
        </w:div>
      </w:divsChild>
    </w:div>
    <w:div w:id="1230657658">
      <w:marLeft w:val="0"/>
      <w:marRight w:val="0"/>
      <w:marTop w:val="0"/>
      <w:marBottom w:val="0"/>
      <w:divBdr>
        <w:top w:val="none" w:sz="0" w:space="0" w:color="auto"/>
        <w:left w:val="none" w:sz="0" w:space="0" w:color="auto"/>
        <w:bottom w:val="none" w:sz="0" w:space="0" w:color="auto"/>
        <w:right w:val="none" w:sz="0" w:space="0" w:color="auto"/>
      </w:divBdr>
    </w:div>
    <w:div w:id="1233394843">
      <w:marLeft w:val="0"/>
      <w:marRight w:val="0"/>
      <w:marTop w:val="0"/>
      <w:marBottom w:val="0"/>
      <w:divBdr>
        <w:top w:val="none" w:sz="0" w:space="0" w:color="auto"/>
        <w:left w:val="none" w:sz="0" w:space="0" w:color="auto"/>
        <w:bottom w:val="none" w:sz="0" w:space="0" w:color="auto"/>
        <w:right w:val="none" w:sz="0" w:space="0" w:color="auto"/>
      </w:divBdr>
    </w:div>
    <w:div w:id="1235824324">
      <w:marLeft w:val="0"/>
      <w:marRight w:val="0"/>
      <w:marTop w:val="0"/>
      <w:marBottom w:val="0"/>
      <w:divBdr>
        <w:top w:val="none" w:sz="0" w:space="0" w:color="auto"/>
        <w:left w:val="none" w:sz="0" w:space="0" w:color="auto"/>
        <w:bottom w:val="none" w:sz="0" w:space="0" w:color="auto"/>
        <w:right w:val="none" w:sz="0" w:space="0" w:color="auto"/>
      </w:divBdr>
      <w:divsChild>
        <w:div w:id="1833451533">
          <w:marLeft w:val="0"/>
          <w:marRight w:val="0"/>
          <w:marTop w:val="0"/>
          <w:marBottom w:val="0"/>
          <w:divBdr>
            <w:top w:val="none" w:sz="0" w:space="0" w:color="auto"/>
            <w:left w:val="none" w:sz="0" w:space="0" w:color="auto"/>
            <w:bottom w:val="none" w:sz="0" w:space="0" w:color="auto"/>
            <w:right w:val="none" w:sz="0" w:space="0" w:color="auto"/>
          </w:divBdr>
        </w:div>
      </w:divsChild>
    </w:div>
    <w:div w:id="1243873749">
      <w:marLeft w:val="0"/>
      <w:marRight w:val="0"/>
      <w:marTop w:val="0"/>
      <w:marBottom w:val="0"/>
      <w:divBdr>
        <w:top w:val="none" w:sz="0" w:space="0" w:color="auto"/>
        <w:left w:val="none" w:sz="0" w:space="0" w:color="auto"/>
        <w:bottom w:val="none" w:sz="0" w:space="0" w:color="auto"/>
        <w:right w:val="none" w:sz="0" w:space="0" w:color="auto"/>
      </w:divBdr>
    </w:div>
    <w:div w:id="1244799448">
      <w:marLeft w:val="0"/>
      <w:marRight w:val="0"/>
      <w:marTop w:val="0"/>
      <w:marBottom w:val="0"/>
      <w:divBdr>
        <w:top w:val="none" w:sz="0" w:space="0" w:color="auto"/>
        <w:left w:val="none" w:sz="0" w:space="0" w:color="auto"/>
        <w:bottom w:val="none" w:sz="0" w:space="0" w:color="auto"/>
        <w:right w:val="none" w:sz="0" w:space="0" w:color="auto"/>
      </w:divBdr>
      <w:divsChild>
        <w:div w:id="1516309763">
          <w:marLeft w:val="0"/>
          <w:marRight w:val="0"/>
          <w:marTop w:val="0"/>
          <w:marBottom w:val="0"/>
          <w:divBdr>
            <w:top w:val="none" w:sz="0" w:space="0" w:color="auto"/>
            <w:left w:val="none" w:sz="0" w:space="0" w:color="auto"/>
            <w:bottom w:val="none" w:sz="0" w:space="0" w:color="auto"/>
            <w:right w:val="none" w:sz="0" w:space="0" w:color="auto"/>
          </w:divBdr>
        </w:div>
      </w:divsChild>
    </w:div>
    <w:div w:id="1245064390">
      <w:marLeft w:val="0"/>
      <w:marRight w:val="0"/>
      <w:marTop w:val="0"/>
      <w:marBottom w:val="0"/>
      <w:divBdr>
        <w:top w:val="none" w:sz="0" w:space="0" w:color="auto"/>
        <w:left w:val="none" w:sz="0" w:space="0" w:color="auto"/>
        <w:bottom w:val="none" w:sz="0" w:space="0" w:color="auto"/>
        <w:right w:val="none" w:sz="0" w:space="0" w:color="auto"/>
      </w:divBdr>
      <w:divsChild>
        <w:div w:id="1643923560">
          <w:marLeft w:val="0"/>
          <w:marRight w:val="0"/>
          <w:marTop w:val="0"/>
          <w:marBottom w:val="0"/>
          <w:divBdr>
            <w:top w:val="none" w:sz="0" w:space="0" w:color="auto"/>
            <w:left w:val="none" w:sz="0" w:space="0" w:color="auto"/>
            <w:bottom w:val="none" w:sz="0" w:space="0" w:color="auto"/>
            <w:right w:val="none" w:sz="0" w:space="0" w:color="auto"/>
          </w:divBdr>
        </w:div>
      </w:divsChild>
    </w:div>
    <w:div w:id="1245794573">
      <w:marLeft w:val="0"/>
      <w:marRight w:val="0"/>
      <w:marTop w:val="0"/>
      <w:marBottom w:val="120"/>
      <w:divBdr>
        <w:top w:val="none" w:sz="0" w:space="0" w:color="auto"/>
        <w:left w:val="none" w:sz="0" w:space="0" w:color="auto"/>
        <w:bottom w:val="none" w:sz="0" w:space="0" w:color="auto"/>
        <w:right w:val="none" w:sz="0" w:space="0" w:color="auto"/>
      </w:divBdr>
    </w:div>
    <w:div w:id="1247768530">
      <w:marLeft w:val="0"/>
      <w:marRight w:val="0"/>
      <w:marTop w:val="0"/>
      <w:marBottom w:val="0"/>
      <w:divBdr>
        <w:top w:val="none" w:sz="0" w:space="0" w:color="auto"/>
        <w:left w:val="none" w:sz="0" w:space="0" w:color="auto"/>
        <w:bottom w:val="none" w:sz="0" w:space="0" w:color="auto"/>
        <w:right w:val="none" w:sz="0" w:space="0" w:color="auto"/>
      </w:divBdr>
    </w:div>
    <w:div w:id="1248269017">
      <w:marLeft w:val="0"/>
      <w:marRight w:val="0"/>
      <w:marTop w:val="0"/>
      <w:marBottom w:val="120"/>
      <w:divBdr>
        <w:top w:val="none" w:sz="0" w:space="0" w:color="auto"/>
        <w:left w:val="none" w:sz="0" w:space="0" w:color="auto"/>
        <w:bottom w:val="none" w:sz="0" w:space="0" w:color="auto"/>
        <w:right w:val="none" w:sz="0" w:space="0" w:color="auto"/>
      </w:divBdr>
    </w:div>
    <w:div w:id="1253851775">
      <w:marLeft w:val="0"/>
      <w:marRight w:val="0"/>
      <w:marTop w:val="0"/>
      <w:marBottom w:val="120"/>
      <w:divBdr>
        <w:top w:val="none" w:sz="0" w:space="0" w:color="auto"/>
        <w:left w:val="none" w:sz="0" w:space="0" w:color="auto"/>
        <w:bottom w:val="none" w:sz="0" w:space="0" w:color="auto"/>
        <w:right w:val="none" w:sz="0" w:space="0" w:color="auto"/>
      </w:divBdr>
    </w:div>
    <w:div w:id="1256280850">
      <w:marLeft w:val="0"/>
      <w:marRight w:val="0"/>
      <w:marTop w:val="0"/>
      <w:marBottom w:val="0"/>
      <w:divBdr>
        <w:top w:val="none" w:sz="0" w:space="0" w:color="auto"/>
        <w:left w:val="none" w:sz="0" w:space="0" w:color="auto"/>
        <w:bottom w:val="none" w:sz="0" w:space="0" w:color="auto"/>
        <w:right w:val="none" w:sz="0" w:space="0" w:color="auto"/>
      </w:divBdr>
      <w:divsChild>
        <w:div w:id="1945451599">
          <w:marLeft w:val="0"/>
          <w:marRight w:val="0"/>
          <w:marTop w:val="0"/>
          <w:marBottom w:val="0"/>
          <w:divBdr>
            <w:top w:val="none" w:sz="0" w:space="0" w:color="auto"/>
            <w:left w:val="none" w:sz="0" w:space="0" w:color="auto"/>
            <w:bottom w:val="none" w:sz="0" w:space="0" w:color="auto"/>
            <w:right w:val="none" w:sz="0" w:space="0" w:color="auto"/>
          </w:divBdr>
        </w:div>
      </w:divsChild>
    </w:div>
    <w:div w:id="1260602427">
      <w:marLeft w:val="0"/>
      <w:marRight w:val="0"/>
      <w:marTop w:val="0"/>
      <w:marBottom w:val="120"/>
      <w:divBdr>
        <w:top w:val="none" w:sz="0" w:space="0" w:color="auto"/>
        <w:left w:val="none" w:sz="0" w:space="0" w:color="auto"/>
        <w:bottom w:val="none" w:sz="0" w:space="0" w:color="auto"/>
        <w:right w:val="none" w:sz="0" w:space="0" w:color="auto"/>
      </w:divBdr>
    </w:div>
    <w:div w:id="1268154308">
      <w:marLeft w:val="0"/>
      <w:marRight w:val="0"/>
      <w:marTop w:val="0"/>
      <w:marBottom w:val="0"/>
      <w:divBdr>
        <w:top w:val="none" w:sz="0" w:space="0" w:color="auto"/>
        <w:left w:val="none" w:sz="0" w:space="0" w:color="auto"/>
        <w:bottom w:val="none" w:sz="0" w:space="0" w:color="auto"/>
        <w:right w:val="none" w:sz="0" w:space="0" w:color="auto"/>
      </w:divBdr>
      <w:divsChild>
        <w:div w:id="464082048">
          <w:marLeft w:val="0"/>
          <w:marRight w:val="0"/>
          <w:marTop w:val="0"/>
          <w:marBottom w:val="0"/>
          <w:divBdr>
            <w:top w:val="none" w:sz="0" w:space="0" w:color="auto"/>
            <w:left w:val="none" w:sz="0" w:space="0" w:color="auto"/>
            <w:bottom w:val="none" w:sz="0" w:space="0" w:color="auto"/>
            <w:right w:val="none" w:sz="0" w:space="0" w:color="auto"/>
          </w:divBdr>
        </w:div>
      </w:divsChild>
    </w:div>
    <w:div w:id="1271283150">
      <w:marLeft w:val="0"/>
      <w:marRight w:val="0"/>
      <w:marTop w:val="0"/>
      <w:marBottom w:val="0"/>
      <w:divBdr>
        <w:top w:val="none" w:sz="0" w:space="0" w:color="auto"/>
        <w:left w:val="none" w:sz="0" w:space="0" w:color="auto"/>
        <w:bottom w:val="none" w:sz="0" w:space="0" w:color="auto"/>
        <w:right w:val="none" w:sz="0" w:space="0" w:color="auto"/>
      </w:divBdr>
    </w:div>
    <w:div w:id="1273709767">
      <w:marLeft w:val="0"/>
      <w:marRight w:val="0"/>
      <w:marTop w:val="0"/>
      <w:marBottom w:val="0"/>
      <w:divBdr>
        <w:top w:val="none" w:sz="0" w:space="0" w:color="auto"/>
        <w:left w:val="none" w:sz="0" w:space="0" w:color="auto"/>
        <w:bottom w:val="none" w:sz="0" w:space="0" w:color="auto"/>
        <w:right w:val="none" w:sz="0" w:space="0" w:color="auto"/>
      </w:divBdr>
    </w:div>
    <w:div w:id="1274946913">
      <w:marLeft w:val="0"/>
      <w:marRight w:val="0"/>
      <w:marTop w:val="0"/>
      <w:marBottom w:val="0"/>
      <w:divBdr>
        <w:top w:val="none" w:sz="0" w:space="0" w:color="auto"/>
        <w:left w:val="none" w:sz="0" w:space="0" w:color="auto"/>
        <w:bottom w:val="none" w:sz="0" w:space="0" w:color="auto"/>
        <w:right w:val="none" w:sz="0" w:space="0" w:color="auto"/>
      </w:divBdr>
    </w:div>
    <w:div w:id="1275669221">
      <w:marLeft w:val="0"/>
      <w:marRight w:val="0"/>
      <w:marTop w:val="0"/>
      <w:marBottom w:val="0"/>
      <w:divBdr>
        <w:top w:val="none" w:sz="0" w:space="0" w:color="auto"/>
        <w:left w:val="none" w:sz="0" w:space="0" w:color="auto"/>
        <w:bottom w:val="none" w:sz="0" w:space="0" w:color="auto"/>
        <w:right w:val="none" w:sz="0" w:space="0" w:color="auto"/>
      </w:divBdr>
    </w:div>
    <w:div w:id="1315912297">
      <w:marLeft w:val="0"/>
      <w:marRight w:val="0"/>
      <w:marTop w:val="0"/>
      <w:marBottom w:val="0"/>
      <w:divBdr>
        <w:top w:val="none" w:sz="0" w:space="0" w:color="auto"/>
        <w:left w:val="none" w:sz="0" w:space="0" w:color="auto"/>
        <w:bottom w:val="none" w:sz="0" w:space="0" w:color="auto"/>
        <w:right w:val="none" w:sz="0" w:space="0" w:color="auto"/>
      </w:divBdr>
      <w:divsChild>
        <w:div w:id="2116243093">
          <w:marLeft w:val="0"/>
          <w:marRight w:val="0"/>
          <w:marTop w:val="0"/>
          <w:marBottom w:val="0"/>
          <w:divBdr>
            <w:top w:val="none" w:sz="0" w:space="0" w:color="auto"/>
            <w:left w:val="none" w:sz="0" w:space="0" w:color="auto"/>
            <w:bottom w:val="none" w:sz="0" w:space="0" w:color="auto"/>
            <w:right w:val="none" w:sz="0" w:space="0" w:color="auto"/>
          </w:divBdr>
        </w:div>
      </w:divsChild>
    </w:div>
    <w:div w:id="1316907976">
      <w:marLeft w:val="0"/>
      <w:marRight w:val="0"/>
      <w:marTop w:val="0"/>
      <w:marBottom w:val="0"/>
      <w:divBdr>
        <w:top w:val="none" w:sz="0" w:space="0" w:color="auto"/>
        <w:left w:val="none" w:sz="0" w:space="0" w:color="auto"/>
        <w:bottom w:val="none" w:sz="0" w:space="0" w:color="auto"/>
        <w:right w:val="none" w:sz="0" w:space="0" w:color="auto"/>
      </w:divBdr>
    </w:div>
    <w:div w:id="1335917949">
      <w:marLeft w:val="0"/>
      <w:marRight w:val="0"/>
      <w:marTop w:val="0"/>
      <w:marBottom w:val="0"/>
      <w:divBdr>
        <w:top w:val="none" w:sz="0" w:space="0" w:color="auto"/>
        <w:left w:val="none" w:sz="0" w:space="0" w:color="auto"/>
        <w:bottom w:val="none" w:sz="0" w:space="0" w:color="auto"/>
        <w:right w:val="none" w:sz="0" w:space="0" w:color="auto"/>
      </w:divBdr>
      <w:divsChild>
        <w:div w:id="1371999759">
          <w:marLeft w:val="0"/>
          <w:marRight w:val="0"/>
          <w:marTop w:val="0"/>
          <w:marBottom w:val="0"/>
          <w:divBdr>
            <w:top w:val="none" w:sz="0" w:space="0" w:color="auto"/>
            <w:left w:val="none" w:sz="0" w:space="0" w:color="auto"/>
            <w:bottom w:val="none" w:sz="0" w:space="0" w:color="auto"/>
            <w:right w:val="none" w:sz="0" w:space="0" w:color="auto"/>
          </w:divBdr>
        </w:div>
      </w:divsChild>
    </w:div>
    <w:div w:id="1341808963">
      <w:marLeft w:val="0"/>
      <w:marRight w:val="0"/>
      <w:marTop w:val="0"/>
      <w:marBottom w:val="0"/>
      <w:divBdr>
        <w:top w:val="none" w:sz="0" w:space="0" w:color="auto"/>
        <w:left w:val="none" w:sz="0" w:space="0" w:color="auto"/>
        <w:bottom w:val="none" w:sz="0" w:space="0" w:color="auto"/>
        <w:right w:val="none" w:sz="0" w:space="0" w:color="auto"/>
      </w:divBdr>
    </w:div>
    <w:div w:id="1342467476">
      <w:marLeft w:val="0"/>
      <w:marRight w:val="0"/>
      <w:marTop w:val="0"/>
      <w:marBottom w:val="120"/>
      <w:divBdr>
        <w:top w:val="none" w:sz="0" w:space="0" w:color="auto"/>
        <w:left w:val="none" w:sz="0" w:space="0" w:color="auto"/>
        <w:bottom w:val="none" w:sz="0" w:space="0" w:color="auto"/>
        <w:right w:val="none" w:sz="0" w:space="0" w:color="auto"/>
      </w:divBdr>
    </w:div>
    <w:div w:id="1355032013">
      <w:marLeft w:val="0"/>
      <w:marRight w:val="0"/>
      <w:marTop w:val="0"/>
      <w:marBottom w:val="0"/>
      <w:divBdr>
        <w:top w:val="none" w:sz="0" w:space="0" w:color="auto"/>
        <w:left w:val="none" w:sz="0" w:space="0" w:color="auto"/>
        <w:bottom w:val="none" w:sz="0" w:space="0" w:color="auto"/>
        <w:right w:val="none" w:sz="0" w:space="0" w:color="auto"/>
      </w:divBdr>
    </w:div>
    <w:div w:id="1360473584">
      <w:marLeft w:val="0"/>
      <w:marRight w:val="0"/>
      <w:marTop w:val="0"/>
      <w:marBottom w:val="0"/>
      <w:divBdr>
        <w:top w:val="none" w:sz="0" w:space="0" w:color="auto"/>
        <w:left w:val="none" w:sz="0" w:space="0" w:color="auto"/>
        <w:bottom w:val="none" w:sz="0" w:space="0" w:color="auto"/>
        <w:right w:val="none" w:sz="0" w:space="0" w:color="auto"/>
      </w:divBdr>
    </w:div>
    <w:div w:id="1370833534">
      <w:marLeft w:val="0"/>
      <w:marRight w:val="0"/>
      <w:marTop w:val="0"/>
      <w:marBottom w:val="0"/>
      <w:divBdr>
        <w:top w:val="none" w:sz="0" w:space="0" w:color="auto"/>
        <w:left w:val="none" w:sz="0" w:space="0" w:color="auto"/>
        <w:bottom w:val="none" w:sz="0" w:space="0" w:color="auto"/>
        <w:right w:val="none" w:sz="0" w:space="0" w:color="auto"/>
      </w:divBdr>
      <w:divsChild>
        <w:div w:id="1120564768">
          <w:marLeft w:val="0"/>
          <w:marRight w:val="0"/>
          <w:marTop w:val="0"/>
          <w:marBottom w:val="0"/>
          <w:divBdr>
            <w:top w:val="none" w:sz="0" w:space="0" w:color="auto"/>
            <w:left w:val="none" w:sz="0" w:space="0" w:color="auto"/>
            <w:bottom w:val="none" w:sz="0" w:space="0" w:color="auto"/>
            <w:right w:val="none" w:sz="0" w:space="0" w:color="auto"/>
          </w:divBdr>
        </w:div>
      </w:divsChild>
    </w:div>
    <w:div w:id="1373385470">
      <w:marLeft w:val="0"/>
      <w:marRight w:val="0"/>
      <w:marTop w:val="0"/>
      <w:marBottom w:val="0"/>
      <w:divBdr>
        <w:top w:val="none" w:sz="0" w:space="0" w:color="auto"/>
        <w:left w:val="none" w:sz="0" w:space="0" w:color="auto"/>
        <w:bottom w:val="none" w:sz="0" w:space="0" w:color="auto"/>
        <w:right w:val="none" w:sz="0" w:space="0" w:color="auto"/>
      </w:divBdr>
    </w:div>
    <w:div w:id="1380325274">
      <w:marLeft w:val="0"/>
      <w:marRight w:val="0"/>
      <w:marTop w:val="0"/>
      <w:marBottom w:val="0"/>
      <w:divBdr>
        <w:top w:val="none" w:sz="0" w:space="0" w:color="auto"/>
        <w:left w:val="none" w:sz="0" w:space="0" w:color="auto"/>
        <w:bottom w:val="none" w:sz="0" w:space="0" w:color="auto"/>
        <w:right w:val="none" w:sz="0" w:space="0" w:color="auto"/>
      </w:divBdr>
    </w:div>
    <w:div w:id="1389840768">
      <w:marLeft w:val="0"/>
      <w:marRight w:val="0"/>
      <w:marTop w:val="0"/>
      <w:marBottom w:val="0"/>
      <w:divBdr>
        <w:top w:val="none" w:sz="0" w:space="0" w:color="auto"/>
        <w:left w:val="none" w:sz="0" w:space="0" w:color="auto"/>
        <w:bottom w:val="none" w:sz="0" w:space="0" w:color="auto"/>
        <w:right w:val="none" w:sz="0" w:space="0" w:color="auto"/>
      </w:divBdr>
    </w:div>
    <w:div w:id="1393503335">
      <w:marLeft w:val="0"/>
      <w:marRight w:val="0"/>
      <w:marTop w:val="0"/>
      <w:marBottom w:val="0"/>
      <w:divBdr>
        <w:top w:val="none" w:sz="0" w:space="0" w:color="auto"/>
        <w:left w:val="none" w:sz="0" w:space="0" w:color="auto"/>
        <w:bottom w:val="none" w:sz="0" w:space="0" w:color="auto"/>
        <w:right w:val="none" w:sz="0" w:space="0" w:color="auto"/>
      </w:divBdr>
    </w:div>
    <w:div w:id="1399980584">
      <w:marLeft w:val="0"/>
      <w:marRight w:val="0"/>
      <w:marTop w:val="0"/>
      <w:marBottom w:val="0"/>
      <w:divBdr>
        <w:top w:val="none" w:sz="0" w:space="0" w:color="auto"/>
        <w:left w:val="none" w:sz="0" w:space="0" w:color="auto"/>
        <w:bottom w:val="none" w:sz="0" w:space="0" w:color="auto"/>
        <w:right w:val="none" w:sz="0" w:space="0" w:color="auto"/>
      </w:divBdr>
    </w:div>
    <w:div w:id="1428192890">
      <w:marLeft w:val="0"/>
      <w:marRight w:val="0"/>
      <w:marTop w:val="0"/>
      <w:marBottom w:val="120"/>
      <w:divBdr>
        <w:top w:val="none" w:sz="0" w:space="0" w:color="auto"/>
        <w:left w:val="none" w:sz="0" w:space="0" w:color="auto"/>
        <w:bottom w:val="none" w:sz="0" w:space="0" w:color="auto"/>
        <w:right w:val="none" w:sz="0" w:space="0" w:color="auto"/>
      </w:divBdr>
    </w:div>
    <w:div w:id="1428841515">
      <w:marLeft w:val="0"/>
      <w:marRight w:val="0"/>
      <w:marTop w:val="0"/>
      <w:marBottom w:val="0"/>
      <w:divBdr>
        <w:top w:val="none" w:sz="0" w:space="0" w:color="auto"/>
        <w:left w:val="none" w:sz="0" w:space="0" w:color="auto"/>
        <w:bottom w:val="none" w:sz="0" w:space="0" w:color="auto"/>
        <w:right w:val="none" w:sz="0" w:space="0" w:color="auto"/>
      </w:divBdr>
    </w:div>
    <w:div w:id="1440300792">
      <w:marLeft w:val="0"/>
      <w:marRight w:val="0"/>
      <w:marTop w:val="0"/>
      <w:marBottom w:val="0"/>
      <w:divBdr>
        <w:top w:val="none" w:sz="0" w:space="0" w:color="auto"/>
        <w:left w:val="none" w:sz="0" w:space="0" w:color="auto"/>
        <w:bottom w:val="none" w:sz="0" w:space="0" w:color="auto"/>
        <w:right w:val="none" w:sz="0" w:space="0" w:color="auto"/>
      </w:divBdr>
    </w:div>
    <w:div w:id="1457872665">
      <w:marLeft w:val="0"/>
      <w:marRight w:val="0"/>
      <w:marTop w:val="0"/>
      <w:marBottom w:val="0"/>
      <w:divBdr>
        <w:top w:val="none" w:sz="0" w:space="0" w:color="auto"/>
        <w:left w:val="none" w:sz="0" w:space="0" w:color="auto"/>
        <w:bottom w:val="none" w:sz="0" w:space="0" w:color="auto"/>
        <w:right w:val="none" w:sz="0" w:space="0" w:color="auto"/>
      </w:divBdr>
    </w:div>
    <w:div w:id="1482382697">
      <w:marLeft w:val="0"/>
      <w:marRight w:val="0"/>
      <w:marTop w:val="0"/>
      <w:marBottom w:val="0"/>
      <w:divBdr>
        <w:top w:val="none" w:sz="0" w:space="0" w:color="auto"/>
        <w:left w:val="none" w:sz="0" w:space="0" w:color="auto"/>
        <w:bottom w:val="none" w:sz="0" w:space="0" w:color="auto"/>
        <w:right w:val="none" w:sz="0" w:space="0" w:color="auto"/>
      </w:divBdr>
    </w:div>
    <w:div w:id="1486386426">
      <w:marLeft w:val="0"/>
      <w:marRight w:val="0"/>
      <w:marTop w:val="0"/>
      <w:marBottom w:val="120"/>
      <w:divBdr>
        <w:top w:val="none" w:sz="0" w:space="0" w:color="auto"/>
        <w:left w:val="none" w:sz="0" w:space="0" w:color="auto"/>
        <w:bottom w:val="none" w:sz="0" w:space="0" w:color="auto"/>
        <w:right w:val="none" w:sz="0" w:space="0" w:color="auto"/>
      </w:divBdr>
      <w:divsChild>
        <w:div w:id="582296876">
          <w:marLeft w:val="0"/>
          <w:marRight w:val="0"/>
          <w:marTop w:val="0"/>
          <w:marBottom w:val="0"/>
          <w:divBdr>
            <w:top w:val="none" w:sz="0" w:space="0" w:color="auto"/>
            <w:left w:val="none" w:sz="0" w:space="0" w:color="auto"/>
            <w:bottom w:val="none" w:sz="0" w:space="0" w:color="auto"/>
            <w:right w:val="none" w:sz="0" w:space="0" w:color="auto"/>
          </w:divBdr>
        </w:div>
        <w:div w:id="563492385">
          <w:marLeft w:val="0"/>
          <w:marRight w:val="0"/>
          <w:marTop w:val="0"/>
          <w:marBottom w:val="0"/>
          <w:divBdr>
            <w:top w:val="none" w:sz="0" w:space="0" w:color="auto"/>
            <w:left w:val="none" w:sz="0" w:space="0" w:color="auto"/>
            <w:bottom w:val="none" w:sz="0" w:space="0" w:color="auto"/>
            <w:right w:val="none" w:sz="0" w:space="0" w:color="auto"/>
          </w:divBdr>
        </w:div>
        <w:div w:id="375159174">
          <w:marLeft w:val="0"/>
          <w:marRight w:val="0"/>
          <w:marTop w:val="0"/>
          <w:marBottom w:val="0"/>
          <w:divBdr>
            <w:top w:val="none" w:sz="0" w:space="0" w:color="auto"/>
            <w:left w:val="none" w:sz="0" w:space="0" w:color="auto"/>
            <w:bottom w:val="none" w:sz="0" w:space="0" w:color="auto"/>
            <w:right w:val="none" w:sz="0" w:space="0" w:color="auto"/>
          </w:divBdr>
        </w:div>
        <w:div w:id="612983517">
          <w:marLeft w:val="0"/>
          <w:marRight w:val="0"/>
          <w:marTop w:val="0"/>
          <w:marBottom w:val="0"/>
          <w:divBdr>
            <w:top w:val="none" w:sz="0" w:space="0" w:color="auto"/>
            <w:left w:val="none" w:sz="0" w:space="0" w:color="auto"/>
            <w:bottom w:val="none" w:sz="0" w:space="0" w:color="auto"/>
            <w:right w:val="none" w:sz="0" w:space="0" w:color="auto"/>
          </w:divBdr>
        </w:div>
        <w:div w:id="1836603763">
          <w:marLeft w:val="0"/>
          <w:marRight w:val="0"/>
          <w:marTop w:val="0"/>
          <w:marBottom w:val="0"/>
          <w:divBdr>
            <w:top w:val="none" w:sz="0" w:space="0" w:color="auto"/>
            <w:left w:val="none" w:sz="0" w:space="0" w:color="auto"/>
            <w:bottom w:val="none" w:sz="0" w:space="0" w:color="auto"/>
            <w:right w:val="none" w:sz="0" w:space="0" w:color="auto"/>
          </w:divBdr>
        </w:div>
        <w:div w:id="1184706307">
          <w:marLeft w:val="0"/>
          <w:marRight w:val="0"/>
          <w:marTop w:val="0"/>
          <w:marBottom w:val="0"/>
          <w:divBdr>
            <w:top w:val="none" w:sz="0" w:space="0" w:color="auto"/>
            <w:left w:val="none" w:sz="0" w:space="0" w:color="auto"/>
            <w:bottom w:val="none" w:sz="0" w:space="0" w:color="auto"/>
            <w:right w:val="none" w:sz="0" w:space="0" w:color="auto"/>
          </w:divBdr>
        </w:div>
        <w:div w:id="280307822">
          <w:marLeft w:val="0"/>
          <w:marRight w:val="0"/>
          <w:marTop w:val="0"/>
          <w:marBottom w:val="0"/>
          <w:divBdr>
            <w:top w:val="none" w:sz="0" w:space="0" w:color="auto"/>
            <w:left w:val="none" w:sz="0" w:space="0" w:color="auto"/>
            <w:bottom w:val="none" w:sz="0" w:space="0" w:color="auto"/>
            <w:right w:val="none" w:sz="0" w:space="0" w:color="auto"/>
          </w:divBdr>
        </w:div>
        <w:div w:id="386612861">
          <w:marLeft w:val="0"/>
          <w:marRight w:val="0"/>
          <w:marTop w:val="0"/>
          <w:marBottom w:val="0"/>
          <w:divBdr>
            <w:top w:val="none" w:sz="0" w:space="0" w:color="auto"/>
            <w:left w:val="none" w:sz="0" w:space="0" w:color="auto"/>
            <w:bottom w:val="none" w:sz="0" w:space="0" w:color="auto"/>
            <w:right w:val="none" w:sz="0" w:space="0" w:color="auto"/>
          </w:divBdr>
        </w:div>
        <w:div w:id="1611544974">
          <w:marLeft w:val="0"/>
          <w:marRight w:val="0"/>
          <w:marTop w:val="0"/>
          <w:marBottom w:val="0"/>
          <w:divBdr>
            <w:top w:val="none" w:sz="0" w:space="0" w:color="auto"/>
            <w:left w:val="none" w:sz="0" w:space="0" w:color="auto"/>
            <w:bottom w:val="none" w:sz="0" w:space="0" w:color="auto"/>
            <w:right w:val="none" w:sz="0" w:space="0" w:color="auto"/>
          </w:divBdr>
        </w:div>
        <w:div w:id="244464581">
          <w:marLeft w:val="0"/>
          <w:marRight w:val="0"/>
          <w:marTop w:val="0"/>
          <w:marBottom w:val="0"/>
          <w:divBdr>
            <w:top w:val="none" w:sz="0" w:space="0" w:color="auto"/>
            <w:left w:val="none" w:sz="0" w:space="0" w:color="auto"/>
            <w:bottom w:val="none" w:sz="0" w:space="0" w:color="auto"/>
            <w:right w:val="none" w:sz="0" w:space="0" w:color="auto"/>
          </w:divBdr>
        </w:div>
        <w:div w:id="437530299">
          <w:marLeft w:val="0"/>
          <w:marRight w:val="0"/>
          <w:marTop w:val="0"/>
          <w:marBottom w:val="0"/>
          <w:divBdr>
            <w:top w:val="none" w:sz="0" w:space="0" w:color="auto"/>
            <w:left w:val="none" w:sz="0" w:space="0" w:color="auto"/>
            <w:bottom w:val="none" w:sz="0" w:space="0" w:color="auto"/>
            <w:right w:val="none" w:sz="0" w:space="0" w:color="auto"/>
          </w:divBdr>
        </w:div>
        <w:div w:id="1523087233">
          <w:marLeft w:val="0"/>
          <w:marRight w:val="0"/>
          <w:marTop w:val="0"/>
          <w:marBottom w:val="0"/>
          <w:divBdr>
            <w:top w:val="none" w:sz="0" w:space="0" w:color="auto"/>
            <w:left w:val="none" w:sz="0" w:space="0" w:color="auto"/>
            <w:bottom w:val="none" w:sz="0" w:space="0" w:color="auto"/>
            <w:right w:val="none" w:sz="0" w:space="0" w:color="auto"/>
          </w:divBdr>
        </w:div>
        <w:div w:id="1173644369">
          <w:marLeft w:val="0"/>
          <w:marRight w:val="0"/>
          <w:marTop w:val="0"/>
          <w:marBottom w:val="0"/>
          <w:divBdr>
            <w:top w:val="none" w:sz="0" w:space="0" w:color="auto"/>
            <w:left w:val="none" w:sz="0" w:space="0" w:color="auto"/>
            <w:bottom w:val="none" w:sz="0" w:space="0" w:color="auto"/>
            <w:right w:val="none" w:sz="0" w:space="0" w:color="auto"/>
          </w:divBdr>
        </w:div>
        <w:div w:id="464934052">
          <w:marLeft w:val="0"/>
          <w:marRight w:val="0"/>
          <w:marTop w:val="0"/>
          <w:marBottom w:val="0"/>
          <w:divBdr>
            <w:top w:val="none" w:sz="0" w:space="0" w:color="auto"/>
            <w:left w:val="none" w:sz="0" w:space="0" w:color="auto"/>
            <w:bottom w:val="none" w:sz="0" w:space="0" w:color="auto"/>
            <w:right w:val="none" w:sz="0" w:space="0" w:color="auto"/>
          </w:divBdr>
        </w:div>
        <w:div w:id="1231618404">
          <w:marLeft w:val="0"/>
          <w:marRight w:val="0"/>
          <w:marTop w:val="0"/>
          <w:marBottom w:val="0"/>
          <w:divBdr>
            <w:top w:val="none" w:sz="0" w:space="0" w:color="auto"/>
            <w:left w:val="none" w:sz="0" w:space="0" w:color="auto"/>
            <w:bottom w:val="none" w:sz="0" w:space="0" w:color="auto"/>
            <w:right w:val="none" w:sz="0" w:space="0" w:color="auto"/>
          </w:divBdr>
        </w:div>
        <w:div w:id="1669167952">
          <w:marLeft w:val="0"/>
          <w:marRight w:val="0"/>
          <w:marTop w:val="0"/>
          <w:marBottom w:val="0"/>
          <w:divBdr>
            <w:top w:val="none" w:sz="0" w:space="0" w:color="auto"/>
            <w:left w:val="none" w:sz="0" w:space="0" w:color="auto"/>
            <w:bottom w:val="none" w:sz="0" w:space="0" w:color="auto"/>
            <w:right w:val="none" w:sz="0" w:space="0" w:color="auto"/>
          </w:divBdr>
        </w:div>
        <w:div w:id="1275867531">
          <w:marLeft w:val="0"/>
          <w:marRight w:val="0"/>
          <w:marTop w:val="0"/>
          <w:marBottom w:val="0"/>
          <w:divBdr>
            <w:top w:val="none" w:sz="0" w:space="0" w:color="auto"/>
            <w:left w:val="none" w:sz="0" w:space="0" w:color="auto"/>
            <w:bottom w:val="none" w:sz="0" w:space="0" w:color="auto"/>
            <w:right w:val="none" w:sz="0" w:space="0" w:color="auto"/>
          </w:divBdr>
        </w:div>
        <w:div w:id="761951442">
          <w:marLeft w:val="0"/>
          <w:marRight w:val="0"/>
          <w:marTop w:val="0"/>
          <w:marBottom w:val="0"/>
          <w:divBdr>
            <w:top w:val="none" w:sz="0" w:space="0" w:color="auto"/>
            <w:left w:val="none" w:sz="0" w:space="0" w:color="auto"/>
            <w:bottom w:val="none" w:sz="0" w:space="0" w:color="auto"/>
            <w:right w:val="none" w:sz="0" w:space="0" w:color="auto"/>
          </w:divBdr>
        </w:div>
        <w:div w:id="1496143580">
          <w:marLeft w:val="0"/>
          <w:marRight w:val="0"/>
          <w:marTop w:val="0"/>
          <w:marBottom w:val="0"/>
          <w:divBdr>
            <w:top w:val="none" w:sz="0" w:space="0" w:color="auto"/>
            <w:left w:val="none" w:sz="0" w:space="0" w:color="auto"/>
            <w:bottom w:val="none" w:sz="0" w:space="0" w:color="auto"/>
            <w:right w:val="none" w:sz="0" w:space="0" w:color="auto"/>
          </w:divBdr>
        </w:div>
        <w:div w:id="1420255903">
          <w:marLeft w:val="0"/>
          <w:marRight w:val="0"/>
          <w:marTop w:val="0"/>
          <w:marBottom w:val="0"/>
          <w:divBdr>
            <w:top w:val="none" w:sz="0" w:space="0" w:color="auto"/>
            <w:left w:val="none" w:sz="0" w:space="0" w:color="auto"/>
            <w:bottom w:val="none" w:sz="0" w:space="0" w:color="auto"/>
            <w:right w:val="none" w:sz="0" w:space="0" w:color="auto"/>
          </w:divBdr>
        </w:div>
        <w:div w:id="540552076">
          <w:marLeft w:val="0"/>
          <w:marRight w:val="0"/>
          <w:marTop w:val="0"/>
          <w:marBottom w:val="0"/>
          <w:divBdr>
            <w:top w:val="none" w:sz="0" w:space="0" w:color="auto"/>
            <w:left w:val="none" w:sz="0" w:space="0" w:color="auto"/>
            <w:bottom w:val="none" w:sz="0" w:space="0" w:color="auto"/>
            <w:right w:val="none" w:sz="0" w:space="0" w:color="auto"/>
          </w:divBdr>
        </w:div>
        <w:div w:id="1066030327">
          <w:marLeft w:val="0"/>
          <w:marRight w:val="0"/>
          <w:marTop w:val="0"/>
          <w:marBottom w:val="0"/>
          <w:divBdr>
            <w:top w:val="none" w:sz="0" w:space="0" w:color="auto"/>
            <w:left w:val="none" w:sz="0" w:space="0" w:color="auto"/>
            <w:bottom w:val="none" w:sz="0" w:space="0" w:color="auto"/>
            <w:right w:val="none" w:sz="0" w:space="0" w:color="auto"/>
          </w:divBdr>
        </w:div>
        <w:div w:id="885870817">
          <w:marLeft w:val="0"/>
          <w:marRight w:val="0"/>
          <w:marTop w:val="0"/>
          <w:marBottom w:val="0"/>
          <w:divBdr>
            <w:top w:val="none" w:sz="0" w:space="0" w:color="auto"/>
            <w:left w:val="none" w:sz="0" w:space="0" w:color="auto"/>
            <w:bottom w:val="none" w:sz="0" w:space="0" w:color="auto"/>
            <w:right w:val="none" w:sz="0" w:space="0" w:color="auto"/>
          </w:divBdr>
        </w:div>
        <w:div w:id="1870145351">
          <w:marLeft w:val="0"/>
          <w:marRight w:val="0"/>
          <w:marTop w:val="0"/>
          <w:marBottom w:val="0"/>
          <w:divBdr>
            <w:top w:val="none" w:sz="0" w:space="0" w:color="auto"/>
            <w:left w:val="none" w:sz="0" w:space="0" w:color="auto"/>
            <w:bottom w:val="none" w:sz="0" w:space="0" w:color="auto"/>
            <w:right w:val="none" w:sz="0" w:space="0" w:color="auto"/>
          </w:divBdr>
        </w:div>
        <w:div w:id="1701196836">
          <w:marLeft w:val="0"/>
          <w:marRight w:val="0"/>
          <w:marTop w:val="0"/>
          <w:marBottom w:val="0"/>
          <w:divBdr>
            <w:top w:val="none" w:sz="0" w:space="0" w:color="auto"/>
            <w:left w:val="none" w:sz="0" w:space="0" w:color="auto"/>
            <w:bottom w:val="none" w:sz="0" w:space="0" w:color="auto"/>
            <w:right w:val="none" w:sz="0" w:space="0" w:color="auto"/>
          </w:divBdr>
        </w:div>
        <w:div w:id="1454131255">
          <w:marLeft w:val="0"/>
          <w:marRight w:val="0"/>
          <w:marTop w:val="0"/>
          <w:marBottom w:val="0"/>
          <w:divBdr>
            <w:top w:val="none" w:sz="0" w:space="0" w:color="auto"/>
            <w:left w:val="none" w:sz="0" w:space="0" w:color="auto"/>
            <w:bottom w:val="none" w:sz="0" w:space="0" w:color="auto"/>
            <w:right w:val="none" w:sz="0" w:space="0" w:color="auto"/>
          </w:divBdr>
        </w:div>
        <w:div w:id="2059544083">
          <w:marLeft w:val="0"/>
          <w:marRight w:val="0"/>
          <w:marTop w:val="0"/>
          <w:marBottom w:val="0"/>
          <w:divBdr>
            <w:top w:val="none" w:sz="0" w:space="0" w:color="auto"/>
            <w:left w:val="none" w:sz="0" w:space="0" w:color="auto"/>
            <w:bottom w:val="none" w:sz="0" w:space="0" w:color="auto"/>
            <w:right w:val="none" w:sz="0" w:space="0" w:color="auto"/>
          </w:divBdr>
        </w:div>
        <w:div w:id="834340057">
          <w:marLeft w:val="0"/>
          <w:marRight w:val="0"/>
          <w:marTop w:val="0"/>
          <w:marBottom w:val="0"/>
          <w:divBdr>
            <w:top w:val="none" w:sz="0" w:space="0" w:color="auto"/>
            <w:left w:val="none" w:sz="0" w:space="0" w:color="auto"/>
            <w:bottom w:val="none" w:sz="0" w:space="0" w:color="auto"/>
            <w:right w:val="none" w:sz="0" w:space="0" w:color="auto"/>
          </w:divBdr>
        </w:div>
        <w:div w:id="1929381666">
          <w:marLeft w:val="0"/>
          <w:marRight w:val="0"/>
          <w:marTop w:val="0"/>
          <w:marBottom w:val="0"/>
          <w:divBdr>
            <w:top w:val="none" w:sz="0" w:space="0" w:color="auto"/>
            <w:left w:val="none" w:sz="0" w:space="0" w:color="auto"/>
            <w:bottom w:val="none" w:sz="0" w:space="0" w:color="auto"/>
            <w:right w:val="none" w:sz="0" w:space="0" w:color="auto"/>
          </w:divBdr>
        </w:div>
        <w:div w:id="804355103">
          <w:marLeft w:val="0"/>
          <w:marRight w:val="0"/>
          <w:marTop w:val="0"/>
          <w:marBottom w:val="0"/>
          <w:divBdr>
            <w:top w:val="none" w:sz="0" w:space="0" w:color="auto"/>
            <w:left w:val="none" w:sz="0" w:space="0" w:color="auto"/>
            <w:bottom w:val="none" w:sz="0" w:space="0" w:color="auto"/>
            <w:right w:val="none" w:sz="0" w:space="0" w:color="auto"/>
          </w:divBdr>
        </w:div>
        <w:div w:id="1321814808">
          <w:marLeft w:val="0"/>
          <w:marRight w:val="0"/>
          <w:marTop w:val="0"/>
          <w:marBottom w:val="0"/>
          <w:divBdr>
            <w:top w:val="none" w:sz="0" w:space="0" w:color="auto"/>
            <w:left w:val="none" w:sz="0" w:space="0" w:color="auto"/>
            <w:bottom w:val="none" w:sz="0" w:space="0" w:color="auto"/>
            <w:right w:val="none" w:sz="0" w:space="0" w:color="auto"/>
          </w:divBdr>
        </w:div>
        <w:div w:id="2023630310">
          <w:marLeft w:val="0"/>
          <w:marRight w:val="0"/>
          <w:marTop w:val="0"/>
          <w:marBottom w:val="0"/>
          <w:divBdr>
            <w:top w:val="none" w:sz="0" w:space="0" w:color="auto"/>
            <w:left w:val="none" w:sz="0" w:space="0" w:color="auto"/>
            <w:bottom w:val="none" w:sz="0" w:space="0" w:color="auto"/>
            <w:right w:val="none" w:sz="0" w:space="0" w:color="auto"/>
          </w:divBdr>
        </w:div>
        <w:div w:id="1917275190">
          <w:marLeft w:val="0"/>
          <w:marRight w:val="0"/>
          <w:marTop w:val="0"/>
          <w:marBottom w:val="0"/>
          <w:divBdr>
            <w:top w:val="none" w:sz="0" w:space="0" w:color="auto"/>
            <w:left w:val="none" w:sz="0" w:space="0" w:color="auto"/>
            <w:bottom w:val="none" w:sz="0" w:space="0" w:color="auto"/>
            <w:right w:val="none" w:sz="0" w:space="0" w:color="auto"/>
          </w:divBdr>
        </w:div>
      </w:divsChild>
    </w:div>
    <w:div w:id="1496728346">
      <w:marLeft w:val="0"/>
      <w:marRight w:val="0"/>
      <w:marTop w:val="0"/>
      <w:marBottom w:val="120"/>
      <w:divBdr>
        <w:top w:val="none" w:sz="0" w:space="0" w:color="auto"/>
        <w:left w:val="none" w:sz="0" w:space="0" w:color="auto"/>
        <w:bottom w:val="none" w:sz="0" w:space="0" w:color="auto"/>
        <w:right w:val="none" w:sz="0" w:space="0" w:color="auto"/>
      </w:divBdr>
    </w:div>
    <w:div w:id="1499615497">
      <w:marLeft w:val="0"/>
      <w:marRight w:val="0"/>
      <w:marTop w:val="0"/>
      <w:marBottom w:val="0"/>
      <w:divBdr>
        <w:top w:val="none" w:sz="0" w:space="0" w:color="auto"/>
        <w:left w:val="none" w:sz="0" w:space="0" w:color="auto"/>
        <w:bottom w:val="none" w:sz="0" w:space="0" w:color="auto"/>
        <w:right w:val="none" w:sz="0" w:space="0" w:color="auto"/>
      </w:divBdr>
    </w:div>
    <w:div w:id="1520854511">
      <w:marLeft w:val="0"/>
      <w:marRight w:val="0"/>
      <w:marTop w:val="0"/>
      <w:marBottom w:val="120"/>
      <w:divBdr>
        <w:top w:val="none" w:sz="0" w:space="0" w:color="auto"/>
        <w:left w:val="none" w:sz="0" w:space="0" w:color="auto"/>
        <w:bottom w:val="none" w:sz="0" w:space="0" w:color="auto"/>
        <w:right w:val="none" w:sz="0" w:space="0" w:color="auto"/>
      </w:divBdr>
      <w:divsChild>
        <w:div w:id="953368844">
          <w:marLeft w:val="0"/>
          <w:marRight w:val="0"/>
          <w:marTop w:val="0"/>
          <w:marBottom w:val="0"/>
          <w:divBdr>
            <w:top w:val="none" w:sz="0" w:space="0" w:color="auto"/>
            <w:left w:val="none" w:sz="0" w:space="0" w:color="auto"/>
            <w:bottom w:val="none" w:sz="0" w:space="0" w:color="auto"/>
            <w:right w:val="none" w:sz="0" w:space="0" w:color="auto"/>
          </w:divBdr>
        </w:div>
        <w:div w:id="95492199">
          <w:marLeft w:val="0"/>
          <w:marRight w:val="0"/>
          <w:marTop w:val="0"/>
          <w:marBottom w:val="0"/>
          <w:divBdr>
            <w:top w:val="none" w:sz="0" w:space="0" w:color="auto"/>
            <w:left w:val="none" w:sz="0" w:space="0" w:color="auto"/>
            <w:bottom w:val="none" w:sz="0" w:space="0" w:color="auto"/>
            <w:right w:val="none" w:sz="0" w:space="0" w:color="auto"/>
          </w:divBdr>
        </w:div>
        <w:div w:id="1050422409">
          <w:marLeft w:val="0"/>
          <w:marRight w:val="0"/>
          <w:marTop w:val="0"/>
          <w:marBottom w:val="0"/>
          <w:divBdr>
            <w:top w:val="none" w:sz="0" w:space="0" w:color="auto"/>
            <w:left w:val="none" w:sz="0" w:space="0" w:color="auto"/>
            <w:bottom w:val="none" w:sz="0" w:space="0" w:color="auto"/>
            <w:right w:val="none" w:sz="0" w:space="0" w:color="auto"/>
          </w:divBdr>
        </w:div>
        <w:div w:id="417335731">
          <w:marLeft w:val="0"/>
          <w:marRight w:val="0"/>
          <w:marTop w:val="0"/>
          <w:marBottom w:val="0"/>
          <w:divBdr>
            <w:top w:val="none" w:sz="0" w:space="0" w:color="auto"/>
            <w:left w:val="none" w:sz="0" w:space="0" w:color="auto"/>
            <w:bottom w:val="none" w:sz="0" w:space="0" w:color="auto"/>
            <w:right w:val="none" w:sz="0" w:space="0" w:color="auto"/>
          </w:divBdr>
        </w:div>
        <w:div w:id="551771051">
          <w:marLeft w:val="0"/>
          <w:marRight w:val="0"/>
          <w:marTop w:val="0"/>
          <w:marBottom w:val="0"/>
          <w:divBdr>
            <w:top w:val="none" w:sz="0" w:space="0" w:color="auto"/>
            <w:left w:val="none" w:sz="0" w:space="0" w:color="auto"/>
            <w:bottom w:val="none" w:sz="0" w:space="0" w:color="auto"/>
            <w:right w:val="none" w:sz="0" w:space="0" w:color="auto"/>
          </w:divBdr>
        </w:div>
        <w:div w:id="1682858027">
          <w:marLeft w:val="0"/>
          <w:marRight w:val="0"/>
          <w:marTop w:val="0"/>
          <w:marBottom w:val="0"/>
          <w:divBdr>
            <w:top w:val="none" w:sz="0" w:space="0" w:color="auto"/>
            <w:left w:val="none" w:sz="0" w:space="0" w:color="auto"/>
            <w:bottom w:val="none" w:sz="0" w:space="0" w:color="auto"/>
            <w:right w:val="none" w:sz="0" w:space="0" w:color="auto"/>
          </w:divBdr>
        </w:div>
        <w:div w:id="1768230167">
          <w:marLeft w:val="0"/>
          <w:marRight w:val="0"/>
          <w:marTop w:val="0"/>
          <w:marBottom w:val="0"/>
          <w:divBdr>
            <w:top w:val="none" w:sz="0" w:space="0" w:color="auto"/>
            <w:left w:val="none" w:sz="0" w:space="0" w:color="auto"/>
            <w:bottom w:val="none" w:sz="0" w:space="0" w:color="auto"/>
            <w:right w:val="none" w:sz="0" w:space="0" w:color="auto"/>
          </w:divBdr>
        </w:div>
        <w:div w:id="983462538">
          <w:marLeft w:val="0"/>
          <w:marRight w:val="0"/>
          <w:marTop w:val="0"/>
          <w:marBottom w:val="0"/>
          <w:divBdr>
            <w:top w:val="none" w:sz="0" w:space="0" w:color="auto"/>
            <w:left w:val="none" w:sz="0" w:space="0" w:color="auto"/>
            <w:bottom w:val="none" w:sz="0" w:space="0" w:color="auto"/>
            <w:right w:val="none" w:sz="0" w:space="0" w:color="auto"/>
          </w:divBdr>
        </w:div>
        <w:div w:id="992487149">
          <w:marLeft w:val="0"/>
          <w:marRight w:val="0"/>
          <w:marTop w:val="0"/>
          <w:marBottom w:val="0"/>
          <w:divBdr>
            <w:top w:val="none" w:sz="0" w:space="0" w:color="auto"/>
            <w:left w:val="none" w:sz="0" w:space="0" w:color="auto"/>
            <w:bottom w:val="none" w:sz="0" w:space="0" w:color="auto"/>
            <w:right w:val="none" w:sz="0" w:space="0" w:color="auto"/>
          </w:divBdr>
        </w:div>
        <w:div w:id="1745034153">
          <w:marLeft w:val="0"/>
          <w:marRight w:val="0"/>
          <w:marTop w:val="0"/>
          <w:marBottom w:val="0"/>
          <w:divBdr>
            <w:top w:val="none" w:sz="0" w:space="0" w:color="auto"/>
            <w:left w:val="none" w:sz="0" w:space="0" w:color="auto"/>
            <w:bottom w:val="none" w:sz="0" w:space="0" w:color="auto"/>
            <w:right w:val="none" w:sz="0" w:space="0" w:color="auto"/>
          </w:divBdr>
        </w:div>
        <w:div w:id="576551334">
          <w:marLeft w:val="0"/>
          <w:marRight w:val="0"/>
          <w:marTop w:val="0"/>
          <w:marBottom w:val="0"/>
          <w:divBdr>
            <w:top w:val="none" w:sz="0" w:space="0" w:color="auto"/>
            <w:left w:val="none" w:sz="0" w:space="0" w:color="auto"/>
            <w:bottom w:val="none" w:sz="0" w:space="0" w:color="auto"/>
            <w:right w:val="none" w:sz="0" w:space="0" w:color="auto"/>
          </w:divBdr>
        </w:div>
        <w:div w:id="301891211">
          <w:marLeft w:val="0"/>
          <w:marRight w:val="0"/>
          <w:marTop w:val="0"/>
          <w:marBottom w:val="0"/>
          <w:divBdr>
            <w:top w:val="none" w:sz="0" w:space="0" w:color="auto"/>
            <w:left w:val="none" w:sz="0" w:space="0" w:color="auto"/>
            <w:bottom w:val="none" w:sz="0" w:space="0" w:color="auto"/>
            <w:right w:val="none" w:sz="0" w:space="0" w:color="auto"/>
          </w:divBdr>
        </w:div>
      </w:divsChild>
    </w:div>
    <w:div w:id="1527601720">
      <w:marLeft w:val="0"/>
      <w:marRight w:val="0"/>
      <w:marTop w:val="0"/>
      <w:marBottom w:val="0"/>
      <w:divBdr>
        <w:top w:val="none" w:sz="0" w:space="0" w:color="auto"/>
        <w:left w:val="none" w:sz="0" w:space="0" w:color="auto"/>
        <w:bottom w:val="none" w:sz="0" w:space="0" w:color="auto"/>
        <w:right w:val="none" w:sz="0" w:space="0" w:color="auto"/>
      </w:divBdr>
    </w:div>
    <w:div w:id="1528060823">
      <w:marLeft w:val="0"/>
      <w:marRight w:val="0"/>
      <w:marTop w:val="0"/>
      <w:marBottom w:val="0"/>
      <w:divBdr>
        <w:top w:val="none" w:sz="0" w:space="0" w:color="auto"/>
        <w:left w:val="none" w:sz="0" w:space="0" w:color="auto"/>
        <w:bottom w:val="none" w:sz="0" w:space="0" w:color="auto"/>
        <w:right w:val="none" w:sz="0" w:space="0" w:color="auto"/>
      </w:divBdr>
    </w:div>
    <w:div w:id="1547066104">
      <w:marLeft w:val="0"/>
      <w:marRight w:val="0"/>
      <w:marTop w:val="0"/>
      <w:marBottom w:val="120"/>
      <w:divBdr>
        <w:top w:val="none" w:sz="0" w:space="0" w:color="auto"/>
        <w:left w:val="none" w:sz="0" w:space="0" w:color="auto"/>
        <w:bottom w:val="none" w:sz="0" w:space="0" w:color="auto"/>
        <w:right w:val="none" w:sz="0" w:space="0" w:color="auto"/>
      </w:divBdr>
    </w:div>
    <w:div w:id="1555655297">
      <w:marLeft w:val="0"/>
      <w:marRight w:val="0"/>
      <w:marTop w:val="0"/>
      <w:marBottom w:val="0"/>
      <w:divBdr>
        <w:top w:val="none" w:sz="0" w:space="0" w:color="auto"/>
        <w:left w:val="none" w:sz="0" w:space="0" w:color="auto"/>
        <w:bottom w:val="none" w:sz="0" w:space="0" w:color="auto"/>
        <w:right w:val="none" w:sz="0" w:space="0" w:color="auto"/>
      </w:divBdr>
    </w:div>
    <w:div w:id="1570384466">
      <w:marLeft w:val="0"/>
      <w:marRight w:val="0"/>
      <w:marTop w:val="0"/>
      <w:marBottom w:val="0"/>
      <w:divBdr>
        <w:top w:val="none" w:sz="0" w:space="0" w:color="auto"/>
        <w:left w:val="none" w:sz="0" w:space="0" w:color="auto"/>
        <w:bottom w:val="none" w:sz="0" w:space="0" w:color="auto"/>
        <w:right w:val="none" w:sz="0" w:space="0" w:color="auto"/>
      </w:divBdr>
    </w:div>
    <w:div w:id="1607343509">
      <w:marLeft w:val="0"/>
      <w:marRight w:val="0"/>
      <w:marTop w:val="0"/>
      <w:marBottom w:val="0"/>
      <w:divBdr>
        <w:top w:val="none" w:sz="0" w:space="0" w:color="auto"/>
        <w:left w:val="none" w:sz="0" w:space="0" w:color="auto"/>
        <w:bottom w:val="none" w:sz="0" w:space="0" w:color="auto"/>
        <w:right w:val="none" w:sz="0" w:space="0" w:color="auto"/>
      </w:divBdr>
    </w:div>
    <w:div w:id="1611547137">
      <w:marLeft w:val="0"/>
      <w:marRight w:val="0"/>
      <w:marTop w:val="0"/>
      <w:marBottom w:val="0"/>
      <w:divBdr>
        <w:top w:val="none" w:sz="0" w:space="0" w:color="auto"/>
        <w:left w:val="none" w:sz="0" w:space="0" w:color="auto"/>
        <w:bottom w:val="none" w:sz="0" w:space="0" w:color="auto"/>
        <w:right w:val="none" w:sz="0" w:space="0" w:color="auto"/>
      </w:divBdr>
    </w:div>
    <w:div w:id="1617369936">
      <w:marLeft w:val="0"/>
      <w:marRight w:val="0"/>
      <w:marTop w:val="0"/>
      <w:marBottom w:val="120"/>
      <w:divBdr>
        <w:top w:val="none" w:sz="0" w:space="0" w:color="auto"/>
        <w:left w:val="none" w:sz="0" w:space="0" w:color="auto"/>
        <w:bottom w:val="none" w:sz="0" w:space="0" w:color="auto"/>
        <w:right w:val="none" w:sz="0" w:space="0" w:color="auto"/>
      </w:divBdr>
    </w:div>
    <w:div w:id="1629504234">
      <w:marLeft w:val="0"/>
      <w:marRight w:val="0"/>
      <w:marTop w:val="0"/>
      <w:marBottom w:val="0"/>
      <w:divBdr>
        <w:top w:val="none" w:sz="0" w:space="0" w:color="auto"/>
        <w:left w:val="none" w:sz="0" w:space="0" w:color="auto"/>
        <w:bottom w:val="none" w:sz="0" w:space="0" w:color="auto"/>
        <w:right w:val="none" w:sz="0" w:space="0" w:color="auto"/>
      </w:divBdr>
      <w:divsChild>
        <w:div w:id="224416720">
          <w:marLeft w:val="0"/>
          <w:marRight w:val="0"/>
          <w:marTop w:val="0"/>
          <w:marBottom w:val="0"/>
          <w:divBdr>
            <w:top w:val="none" w:sz="0" w:space="0" w:color="auto"/>
            <w:left w:val="none" w:sz="0" w:space="0" w:color="auto"/>
            <w:bottom w:val="none" w:sz="0" w:space="0" w:color="auto"/>
            <w:right w:val="none" w:sz="0" w:space="0" w:color="auto"/>
          </w:divBdr>
        </w:div>
      </w:divsChild>
    </w:div>
    <w:div w:id="1631547774">
      <w:marLeft w:val="0"/>
      <w:marRight w:val="0"/>
      <w:marTop w:val="0"/>
      <w:marBottom w:val="0"/>
      <w:divBdr>
        <w:top w:val="none" w:sz="0" w:space="0" w:color="auto"/>
        <w:left w:val="none" w:sz="0" w:space="0" w:color="auto"/>
        <w:bottom w:val="none" w:sz="0" w:space="0" w:color="auto"/>
        <w:right w:val="none" w:sz="0" w:space="0" w:color="auto"/>
      </w:divBdr>
      <w:divsChild>
        <w:div w:id="1963918712">
          <w:marLeft w:val="0"/>
          <w:marRight w:val="0"/>
          <w:marTop w:val="0"/>
          <w:marBottom w:val="0"/>
          <w:divBdr>
            <w:top w:val="none" w:sz="0" w:space="0" w:color="auto"/>
            <w:left w:val="none" w:sz="0" w:space="0" w:color="auto"/>
            <w:bottom w:val="none" w:sz="0" w:space="0" w:color="auto"/>
            <w:right w:val="none" w:sz="0" w:space="0" w:color="auto"/>
          </w:divBdr>
        </w:div>
      </w:divsChild>
    </w:div>
    <w:div w:id="1648852314">
      <w:marLeft w:val="0"/>
      <w:marRight w:val="0"/>
      <w:marTop w:val="0"/>
      <w:marBottom w:val="0"/>
      <w:divBdr>
        <w:top w:val="none" w:sz="0" w:space="0" w:color="auto"/>
        <w:left w:val="none" w:sz="0" w:space="0" w:color="auto"/>
        <w:bottom w:val="none" w:sz="0" w:space="0" w:color="auto"/>
        <w:right w:val="none" w:sz="0" w:space="0" w:color="auto"/>
      </w:divBdr>
      <w:divsChild>
        <w:div w:id="1394113000">
          <w:marLeft w:val="0"/>
          <w:marRight w:val="0"/>
          <w:marTop w:val="0"/>
          <w:marBottom w:val="0"/>
          <w:divBdr>
            <w:top w:val="none" w:sz="0" w:space="0" w:color="auto"/>
            <w:left w:val="none" w:sz="0" w:space="0" w:color="auto"/>
            <w:bottom w:val="none" w:sz="0" w:space="0" w:color="auto"/>
            <w:right w:val="none" w:sz="0" w:space="0" w:color="auto"/>
          </w:divBdr>
        </w:div>
      </w:divsChild>
    </w:div>
    <w:div w:id="1659385823">
      <w:marLeft w:val="0"/>
      <w:marRight w:val="0"/>
      <w:marTop w:val="0"/>
      <w:marBottom w:val="0"/>
      <w:divBdr>
        <w:top w:val="none" w:sz="0" w:space="0" w:color="auto"/>
        <w:left w:val="none" w:sz="0" w:space="0" w:color="auto"/>
        <w:bottom w:val="none" w:sz="0" w:space="0" w:color="auto"/>
        <w:right w:val="none" w:sz="0" w:space="0" w:color="auto"/>
      </w:divBdr>
    </w:div>
    <w:div w:id="1683431146">
      <w:marLeft w:val="0"/>
      <w:marRight w:val="0"/>
      <w:marTop w:val="0"/>
      <w:marBottom w:val="0"/>
      <w:divBdr>
        <w:top w:val="none" w:sz="0" w:space="0" w:color="auto"/>
        <w:left w:val="none" w:sz="0" w:space="0" w:color="auto"/>
        <w:bottom w:val="none" w:sz="0" w:space="0" w:color="auto"/>
        <w:right w:val="none" w:sz="0" w:space="0" w:color="auto"/>
      </w:divBdr>
      <w:divsChild>
        <w:div w:id="1993412308">
          <w:marLeft w:val="0"/>
          <w:marRight w:val="0"/>
          <w:marTop w:val="0"/>
          <w:marBottom w:val="0"/>
          <w:divBdr>
            <w:top w:val="none" w:sz="0" w:space="0" w:color="auto"/>
            <w:left w:val="none" w:sz="0" w:space="0" w:color="auto"/>
            <w:bottom w:val="none" w:sz="0" w:space="0" w:color="auto"/>
            <w:right w:val="none" w:sz="0" w:space="0" w:color="auto"/>
          </w:divBdr>
        </w:div>
      </w:divsChild>
    </w:div>
    <w:div w:id="1694263985">
      <w:marLeft w:val="0"/>
      <w:marRight w:val="0"/>
      <w:marTop w:val="0"/>
      <w:marBottom w:val="0"/>
      <w:divBdr>
        <w:top w:val="none" w:sz="0" w:space="0" w:color="auto"/>
        <w:left w:val="none" w:sz="0" w:space="0" w:color="auto"/>
        <w:bottom w:val="none" w:sz="0" w:space="0" w:color="auto"/>
        <w:right w:val="none" w:sz="0" w:space="0" w:color="auto"/>
      </w:divBdr>
    </w:div>
    <w:div w:id="1694914317">
      <w:marLeft w:val="0"/>
      <w:marRight w:val="0"/>
      <w:marTop w:val="120"/>
      <w:marBottom w:val="120"/>
      <w:divBdr>
        <w:top w:val="none" w:sz="0" w:space="0" w:color="auto"/>
        <w:left w:val="none" w:sz="0" w:space="0" w:color="auto"/>
        <w:bottom w:val="none" w:sz="0" w:space="0" w:color="auto"/>
        <w:right w:val="none" w:sz="0" w:space="0" w:color="auto"/>
      </w:divBdr>
    </w:div>
    <w:div w:id="1699309113">
      <w:marLeft w:val="0"/>
      <w:marRight w:val="0"/>
      <w:marTop w:val="0"/>
      <w:marBottom w:val="0"/>
      <w:divBdr>
        <w:top w:val="none" w:sz="0" w:space="0" w:color="auto"/>
        <w:left w:val="none" w:sz="0" w:space="0" w:color="auto"/>
        <w:bottom w:val="none" w:sz="0" w:space="0" w:color="auto"/>
        <w:right w:val="none" w:sz="0" w:space="0" w:color="auto"/>
      </w:divBdr>
    </w:div>
    <w:div w:id="1699696117">
      <w:marLeft w:val="0"/>
      <w:marRight w:val="0"/>
      <w:marTop w:val="0"/>
      <w:marBottom w:val="0"/>
      <w:divBdr>
        <w:top w:val="none" w:sz="0" w:space="0" w:color="auto"/>
        <w:left w:val="none" w:sz="0" w:space="0" w:color="auto"/>
        <w:bottom w:val="none" w:sz="0" w:space="0" w:color="auto"/>
        <w:right w:val="none" w:sz="0" w:space="0" w:color="auto"/>
      </w:divBdr>
      <w:divsChild>
        <w:div w:id="420413836">
          <w:marLeft w:val="0"/>
          <w:marRight w:val="0"/>
          <w:marTop w:val="0"/>
          <w:marBottom w:val="0"/>
          <w:divBdr>
            <w:top w:val="none" w:sz="0" w:space="0" w:color="auto"/>
            <w:left w:val="none" w:sz="0" w:space="0" w:color="auto"/>
            <w:bottom w:val="none" w:sz="0" w:space="0" w:color="auto"/>
            <w:right w:val="none" w:sz="0" w:space="0" w:color="auto"/>
          </w:divBdr>
        </w:div>
      </w:divsChild>
    </w:div>
    <w:div w:id="1701006399">
      <w:marLeft w:val="0"/>
      <w:marRight w:val="0"/>
      <w:marTop w:val="0"/>
      <w:marBottom w:val="0"/>
      <w:divBdr>
        <w:top w:val="none" w:sz="0" w:space="0" w:color="auto"/>
        <w:left w:val="none" w:sz="0" w:space="0" w:color="auto"/>
        <w:bottom w:val="none" w:sz="0" w:space="0" w:color="auto"/>
        <w:right w:val="none" w:sz="0" w:space="0" w:color="auto"/>
      </w:divBdr>
    </w:div>
    <w:div w:id="1706129319">
      <w:marLeft w:val="0"/>
      <w:marRight w:val="0"/>
      <w:marTop w:val="0"/>
      <w:marBottom w:val="120"/>
      <w:divBdr>
        <w:top w:val="none" w:sz="0" w:space="0" w:color="auto"/>
        <w:left w:val="none" w:sz="0" w:space="0" w:color="auto"/>
        <w:bottom w:val="none" w:sz="0" w:space="0" w:color="auto"/>
        <w:right w:val="none" w:sz="0" w:space="0" w:color="auto"/>
      </w:divBdr>
      <w:divsChild>
        <w:div w:id="182473166">
          <w:marLeft w:val="0"/>
          <w:marRight w:val="0"/>
          <w:marTop w:val="0"/>
          <w:marBottom w:val="20"/>
          <w:divBdr>
            <w:top w:val="none" w:sz="0" w:space="0" w:color="auto"/>
            <w:left w:val="none" w:sz="0" w:space="0" w:color="auto"/>
            <w:bottom w:val="none" w:sz="0" w:space="0" w:color="auto"/>
            <w:right w:val="none" w:sz="0" w:space="0" w:color="auto"/>
          </w:divBdr>
        </w:div>
        <w:div w:id="1753626651">
          <w:marLeft w:val="0"/>
          <w:marRight w:val="0"/>
          <w:marTop w:val="0"/>
          <w:marBottom w:val="20"/>
          <w:divBdr>
            <w:top w:val="none" w:sz="0" w:space="0" w:color="auto"/>
            <w:left w:val="none" w:sz="0" w:space="0" w:color="auto"/>
            <w:bottom w:val="none" w:sz="0" w:space="0" w:color="auto"/>
            <w:right w:val="none" w:sz="0" w:space="0" w:color="auto"/>
          </w:divBdr>
        </w:div>
        <w:div w:id="1983193819">
          <w:marLeft w:val="0"/>
          <w:marRight w:val="0"/>
          <w:marTop w:val="0"/>
          <w:marBottom w:val="20"/>
          <w:divBdr>
            <w:top w:val="none" w:sz="0" w:space="0" w:color="auto"/>
            <w:left w:val="none" w:sz="0" w:space="0" w:color="auto"/>
            <w:bottom w:val="none" w:sz="0" w:space="0" w:color="auto"/>
            <w:right w:val="none" w:sz="0" w:space="0" w:color="auto"/>
          </w:divBdr>
        </w:div>
        <w:div w:id="1279987971">
          <w:marLeft w:val="0"/>
          <w:marRight w:val="0"/>
          <w:marTop w:val="0"/>
          <w:marBottom w:val="20"/>
          <w:divBdr>
            <w:top w:val="none" w:sz="0" w:space="0" w:color="auto"/>
            <w:left w:val="none" w:sz="0" w:space="0" w:color="auto"/>
            <w:bottom w:val="none" w:sz="0" w:space="0" w:color="auto"/>
            <w:right w:val="none" w:sz="0" w:space="0" w:color="auto"/>
          </w:divBdr>
        </w:div>
        <w:div w:id="669021853">
          <w:marLeft w:val="0"/>
          <w:marRight w:val="0"/>
          <w:marTop w:val="0"/>
          <w:marBottom w:val="20"/>
          <w:divBdr>
            <w:top w:val="none" w:sz="0" w:space="0" w:color="auto"/>
            <w:left w:val="none" w:sz="0" w:space="0" w:color="auto"/>
            <w:bottom w:val="none" w:sz="0" w:space="0" w:color="auto"/>
            <w:right w:val="none" w:sz="0" w:space="0" w:color="auto"/>
          </w:divBdr>
        </w:div>
        <w:div w:id="45639877">
          <w:marLeft w:val="0"/>
          <w:marRight w:val="0"/>
          <w:marTop w:val="0"/>
          <w:marBottom w:val="20"/>
          <w:divBdr>
            <w:top w:val="none" w:sz="0" w:space="0" w:color="auto"/>
            <w:left w:val="none" w:sz="0" w:space="0" w:color="auto"/>
            <w:bottom w:val="none" w:sz="0" w:space="0" w:color="auto"/>
            <w:right w:val="none" w:sz="0" w:space="0" w:color="auto"/>
          </w:divBdr>
        </w:div>
      </w:divsChild>
    </w:div>
    <w:div w:id="1725791334">
      <w:marLeft w:val="0"/>
      <w:marRight w:val="0"/>
      <w:marTop w:val="0"/>
      <w:marBottom w:val="0"/>
      <w:divBdr>
        <w:top w:val="none" w:sz="0" w:space="0" w:color="auto"/>
        <w:left w:val="none" w:sz="0" w:space="0" w:color="auto"/>
        <w:bottom w:val="none" w:sz="0" w:space="0" w:color="auto"/>
        <w:right w:val="none" w:sz="0" w:space="0" w:color="auto"/>
      </w:divBdr>
    </w:div>
    <w:div w:id="1740013475">
      <w:marLeft w:val="0"/>
      <w:marRight w:val="0"/>
      <w:marTop w:val="0"/>
      <w:marBottom w:val="0"/>
      <w:divBdr>
        <w:top w:val="none" w:sz="0" w:space="0" w:color="auto"/>
        <w:left w:val="none" w:sz="0" w:space="0" w:color="auto"/>
        <w:bottom w:val="none" w:sz="0" w:space="0" w:color="auto"/>
        <w:right w:val="none" w:sz="0" w:space="0" w:color="auto"/>
      </w:divBdr>
      <w:divsChild>
        <w:div w:id="492140138">
          <w:marLeft w:val="0"/>
          <w:marRight w:val="0"/>
          <w:marTop w:val="0"/>
          <w:marBottom w:val="0"/>
          <w:divBdr>
            <w:top w:val="none" w:sz="0" w:space="0" w:color="auto"/>
            <w:left w:val="none" w:sz="0" w:space="0" w:color="auto"/>
            <w:bottom w:val="none" w:sz="0" w:space="0" w:color="auto"/>
            <w:right w:val="none" w:sz="0" w:space="0" w:color="auto"/>
          </w:divBdr>
        </w:div>
      </w:divsChild>
    </w:div>
    <w:div w:id="1747919947">
      <w:marLeft w:val="0"/>
      <w:marRight w:val="0"/>
      <w:marTop w:val="0"/>
      <w:marBottom w:val="0"/>
      <w:divBdr>
        <w:top w:val="none" w:sz="0" w:space="0" w:color="auto"/>
        <w:left w:val="none" w:sz="0" w:space="0" w:color="auto"/>
        <w:bottom w:val="none" w:sz="0" w:space="0" w:color="auto"/>
        <w:right w:val="none" w:sz="0" w:space="0" w:color="auto"/>
      </w:divBdr>
    </w:div>
    <w:div w:id="1755590754">
      <w:marLeft w:val="0"/>
      <w:marRight w:val="0"/>
      <w:marTop w:val="0"/>
      <w:marBottom w:val="0"/>
      <w:divBdr>
        <w:top w:val="none" w:sz="0" w:space="0" w:color="auto"/>
        <w:left w:val="none" w:sz="0" w:space="0" w:color="auto"/>
        <w:bottom w:val="none" w:sz="0" w:space="0" w:color="auto"/>
        <w:right w:val="none" w:sz="0" w:space="0" w:color="auto"/>
      </w:divBdr>
    </w:div>
    <w:div w:id="1760759300">
      <w:marLeft w:val="0"/>
      <w:marRight w:val="0"/>
      <w:marTop w:val="0"/>
      <w:marBottom w:val="0"/>
      <w:divBdr>
        <w:top w:val="none" w:sz="0" w:space="0" w:color="auto"/>
        <w:left w:val="none" w:sz="0" w:space="0" w:color="auto"/>
        <w:bottom w:val="none" w:sz="0" w:space="0" w:color="auto"/>
        <w:right w:val="none" w:sz="0" w:space="0" w:color="auto"/>
      </w:divBdr>
    </w:div>
    <w:div w:id="1771657764">
      <w:marLeft w:val="0"/>
      <w:marRight w:val="0"/>
      <w:marTop w:val="0"/>
      <w:marBottom w:val="120"/>
      <w:divBdr>
        <w:top w:val="none" w:sz="0" w:space="0" w:color="auto"/>
        <w:left w:val="none" w:sz="0" w:space="0" w:color="auto"/>
        <w:bottom w:val="none" w:sz="0" w:space="0" w:color="auto"/>
        <w:right w:val="none" w:sz="0" w:space="0" w:color="auto"/>
      </w:divBdr>
    </w:div>
    <w:div w:id="1790203642">
      <w:marLeft w:val="0"/>
      <w:marRight w:val="0"/>
      <w:marTop w:val="0"/>
      <w:marBottom w:val="0"/>
      <w:divBdr>
        <w:top w:val="none" w:sz="0" w:space="0" w:color="auto"/>
        <w:left w:val="none" w:sz="0" w:space="0" w:color="auto"/>
        <w:bottom w:val="none" w:sz="0" w:space="0" w:color="auto"/>
        <w:right w:val="none" w:sz="0" w:space="0" w:color="auto"/>
      </w:divBdr>
    </w:div>
    <w:div w:id="1797286358">
      <w:marLeft w:val="0"/>
      <w:marRight w:val="0"/>
      <w:marTop w:val="0"/>
      <w:marBottom w:val="0"/>
      <w:divBdr>
        <w:top w:val="none" w:sz="0" w:space="0" w:color="auto"/>
        <w:left w:val="none" w:sz="0" w:space="0" w:color="auto"/>
        <w:bottom w:val="none" w:sz="0" w:space="0" w:color="auto"/>
        <w:right w:val="none" w:sz="0" w:space="0" w:color="auto"/>
      </w:divBdr>
    </w:div>
    <w:div w:id="1806777567">
      <w:marLeft w:val="0"/>
      <w:marRight w:val="0"/>
      <w:marTop w:val="0"/>
      <w:marBottom w:val="0"/>
      <w:divBdr>
        <w:top w:val="none" w:sz="0" w:space="0" w:color="auto"/>
        <w:left w:val="none" w:sz="0" w:space="0" w:color="auto"/>
        <w:bottom w:val="none" w:sz="0" w:space="0" w:color="auto"/>
        <w:right w:val="none" w:sz="0" w:space="0" w:color="auto"/>
      </w:divBdr>
    </w:div>
    <w:div w:id="1816677753">
      <w:marLeft w:val="0"/>
      <w:marRight w:val="0"/>
      <w:marTop w:val="0"/>
      <w:marBottom w:val="0"/>
      <w:divBdr>
        <w:top w:val="none" w:sz="0" w:space="0" w:color="auto"/>
        <w:left w:val="none" w:sz="0" w:space="0" w:color="auto"/>
        <w:bottom w:val="none" w:sz="0" w:space="0" w:color="auto"/>
        <w:right w:val="none" w:sz="0" w:space="0" w:color="auto"/>
      </w:divBdr>
    </w:div>
    <w:div w:id="1819686651">
      <w:marLeft w:val="0"/>
      <w:marRight w:val="0"/>
      <w:marTop w:val="0"/>
      <w:marBottom w:val="0"/>
      <w:divBdr>
        <w:top w:val="none" w:sz="0" w:space="0" w:color="auto"/>
        <w:left w:val="none" w:sz="0" w:space="0" w:color="auto"/>
        <w:bottom w:val="none" w:sz="0" w:space="0" w:color="auto"/>
        <w:right w:val="none" w:sz="0" w:space="0" w:color="auto"/>
      </w:divBdr>
      <w:divsChild>
        <w:div w:id="1375304258">
          <w:marLeft w:val="0"/>
          <w:marRight w:val="0"/>
          <w:marTop w:val="0"/>
          <w:marBottom w:val="0"/>
          <w:divBdr>
            <w:top w:val="none" w:sz="0" w:space="0" w:color="auto"/>
            <w:left w:val="none" w:sz="0" w:space="0" w:color="auto"/>
            <w:bottom w:val="none" w:sz="0" w:space="0" w:color="auto"/>
            <w:right w:val="none" w:sz="0" w:space="0" w:color="auto"/>
          </w:divBdr>
        </w:div>
      </w:divsChild>
    </w:div>
    <w:div w:id="1853493579">
      <w:marLeft w:val="0"/>
      <w:marRight w:val="0"/>
      <w:marTop w:val="0"/>
      <w:marBottom w:val="120"/>
      <w:divBdr>
        <w:top w:val="none" w:sz="0" w:space="0" w:color="auto"/>
        <w:left w:val="none" w:sz="0" w:space="0" w:color="auto"/>
        <w:bottom w:val="none" w:sz="0" w:space="0" w:color="auto"/>
        <w:right w:val="none" w:sz="0" w:space="0" w:color="auto"/>
      </w:divBdr>
    </w:div>
    <w:div w:id="1859393432">
      <w:marLeft w:val="0"/>
      <w:marRight w:val="0"/>
      <w:marTop w:val="0"/>
      <w:marBottom w:val="0"/>
      <w:divBdr>
        <w:top w:val="none" w:sz="0" w:space="0" w:color="auto"/>
        <w:left w:val="none" w:sz="0" w:space="0" w:color="auto"/>
        <w:bottom w:val="none" w:sz="0" w:space="0" w:color="auto"/>
        <w:right w:val="none" w:sz="0" w:space="0" w:color="auto"/>
      </w:divBdr>
      <w:divsChild>
        <w:div w:id="1008288585">
          <w:marLeft w:val="0"/>
          <w:marRight w:val="0"/>
          <w:marTop w:val="0"/>
          <w:marBottom w:val="0"/>
          <w:divBdr>
            <w:top w:val="none" w:sz="0" w:space="0" w:color="auto"/>
            <w:left w:val="none" w:sz="0" w:space="0" w:color="auto"/>
            <w:bottom w:val="none" w:sz="0" w:space="0" w:color="auto"/>
            <w:right w:val="none" w:sz="0" w:space="0" w:color="auto"/>
          </w:divBdr>
        </w:div>
      </w:divsChild>
    </w:div>
    <w:div w:id="1862818045">
      <w:marLeft w:val="0"/>
      <w:marRight w:val="0"/>
      <w:marTop w:val="0"/>
      <w:marBottom w:val="0"/>
      <w:divBdr>
        <w:top w:val="none" w:sz="0" w:space="0" w:color="auto"/>
        <w:left w:val="none" w:sz="0" w:space="0" w:color="auto"/>
        <w:bottom w:val="none" w:sz="0" w:space="0" w:color="auto"/>
        <w:right w:val="none" w:sz="0" w:space="0" w:color="auto"/>
      </w:divBdr>
    </w:div>
    <w:div w:id="1882941627">
      <w:marLeft w:val="0"/>
      <w:marRight w:val="0"/>
      <w:marTop w:val="0"/>
      <w:marBottom w:val="0"/>
      <w:divBdr>
        <w:top w:val="none" w:sz="0" w:space="0" w:color="auto"/>
        <w:left w:val="none" w:sz="0" w:space="0" w:color="auto"/>
        <w:bottom w:val="none" w:sz="0" w:space="0" w:color="auto"/>
        <w:right w:val="none" w:sz="0" w:space="0" w:color="auto"/>
      </w:divBdr>
      <w:divsChild>
        <w:div w:id="484395977">
          <w:marLeft w:val="0"/>
          <w:marRight w:val="0"/>
          <w:marTop w:val="0"/>
          <w:marBottom w:val="0"/>
          <w:divBdr>
            <w:top w:val="none" w:sz="0" w:space="0" w:color="auto"/>
            <w:left w:val="none" w:sz="0" w:space="0" w:color="auto"/>
            <w:bottom w:val="none" w:sz="0" w:space="0" w:color="auto"/>
            <w:right w:val="none" w:sz="0" w:space="0" w:color="auto"/>
          </w:divBdr>
        </w:div>
      </w:divsChild>
    </w:div>
    <w:div w:id="1887912967">
      <w:marLeft w:val="0"/>
      <w:marRight w:val="0"/>
      <w:marTop w:val="0"/>
      <w:marBottom w:val="0"/>
      <w:divBdr>
        <w:top w:val="none" w:sz="0" w:space="0" w:color="auto"/>
        <w:left w:val="none" w:sz="0" w:space="0" w:color="auto"/>
        <w:bottom w:val="none" w:sz="0" w:space="0" w:color="auto"/>
        <w:right w:val="none" w:sz="0" w:space="0" w:color="auto"/>
      </w:divBdr>
      <w:divsChild>
        <w:div w:id="995187534">
          <w:marLeft w:val="0"/>
          <w:marRight w:val="0"/>
          <w:marTop w:val="0"/>
          <w:marBottom w:val="0"/>
          <w:divBdr>
            <w:top w:val="none" w:sz="0" w:space="0" w:color="auto"/>
            <w:left w:val="none" w:sz="0" w:space="0" w:color="auto"/>
            <w:bottom w:val="none" w:sz="0" w:space="0" w:color="auto"/>
            <w:right w:val="none" w:sz="0" w:space="0" w:color="auto"/>
          </w:divBdr>
        </w:div>
      </w:divsChild>
    </w:div>
    <w:div w:id="1908758315">
      <w:marLeft w:val="0"/>
      <w:marRight w:val="0"/>
      <w:marTop w:val="0"/>
      <w:marBottom w:val="0"/>
      <w:divBdr>
        <w:top w:val="none" w:sz="0" w:space="0" w:color="auto"/>
        <w:left w:val="none" w:sz="0" w:space="0" w:color="auto"/>
        <w:bottom w:val="none" w:sz="0" w:space="0" w:color="auto"/>
        <w:right w:val="none" w:sz="0" w:space="0" w:color="auto"/>
      </w:divBdr>
      <w:divsChild>
        <w:div w:id="1082486007">
          <w:marLeft w:val="0"/>
          <w:marRight w:val="0"/>
          <w:marTop w:val="0"/>
          <w:marBottom w:val="0"/>
          <w:divBdr>
            <w:top w:val="none" w:sz="0" w:space="0" w:color="auto"/>
            <w:left w:val="none" w:sz="0" w:space="0" w:color="auto"/>
            <w:bottom w:val="none" w:sz="0" w:space="0" w:color="auto"/>
            <w:right w:val="none" w:sz="0" w:space="0" w:color="auto"/>
          </w:divBdr>
        </w:div>
      </w:divsChild>
    </w:div>
    <w:div w:id="1911846031">
      <w:marLeft w:val="0"/>
      <w:marRight w:val="0"/>
      <w:marTop w:val="0"/>
      <w:marBottom w:val="0"/>
      <w:divBdr>
        <w:top w:val="none" w:sz="0" w:space="0" w:color="auto"/>
        <w:left w:val="none" w:sz="0" w:space="0" w:color="auto"/>
        <w:bottom w:val="none" w:sz="0" w:space="0" w:color="auto"/>
        <w:right w:val="none" w:sz="0" w:space="0" w:color="auto"/>
      </w:divBdr>
      <w:divsChild>
        <w:div w:id="1071461116">
          <w:marLeft w:val="0"/>
          <w:marRight w:val="0"/>
          <w:marTop w:val="0"/>
          <w:marBottom w:val="0"/>
          <w:divBdr>
            <w:top w:val="none" w:sz="0" w:space="0" w:color="auto"/>
            <w:left w:val="none" w:sz="0" w:space="0" w:color="auto"/>
            <w:bottom w:val="none" w:sz="0" w:space="0" w:color="auto"/>
            <w:right w:val="none" w:sz="0" w:space="0" w:color="auto"/>
          </w:divBdr>
        </w:div>
      </w:divsChild>
    </w:div>
    <w:div w:id="1913159272">
      <w:marLeft w:val="0"/>
      <w:marRight w:val="0"/>
      <w:marTop w:val="0"/>
      <w:marBottom w:val="120"/>
      <w:divBdr>
        <w:top w:val="none" w:sz="0" w:space="0" w:color="auto"/>
        <w:left w:val="none" w:sz="0" w:space="0" w:color="auto"/>
        <w:bottom w:val="none" w:sz="0" w:space="0" w:color="auto"/>
        <w:right w:val="none" w:sz="0" w:space="0" w:color="auto"/>
      </w:divBdr>
    </w:div>
    <w:div w:id="1914119910">
      <w:marLeft w:val="0"/>
      <w:marRight w:val="0"/>
      <w:marTop w:val="0"/>
      <w:marBottom w:val="0"/>
      <w:divBdr>
        <w:top w:val="none" w:sz="0" w:space="0" w:color="auto"/>
        <w:left w:val="none" w:sz="0" w:space="0" w:color="auto"/>
        <w:bottom w:val="none" w:sz="0" w:space="0" w:color="auto"/>
        <w:right w:val="none" w:sz="0" w:space="0" w:color="auto"/>
      </w:divBdr>
      <w:divsChild>
        <w:div w:id="2021081652">
          <w:marLeft w:val="0"/>
          <w:marRight w:val="0"/>
          <w:marTop w:val="0"/>
          <w:marBottom w:val="0"/>
          <w:divBdr>
            <w:top w:val="none" w:sz="0" w:space="0" w:color="auto"/>
            <w:left w:val="none" w:sz="0" w:space="0" w:color="auto"/>
            <w:bottom w:val="none" w:sz="0" w:space="0" w:color="auto"/>
            <w:right w:val="none" w:sz="0" w:space="0" w:color="auto"/>
          </w:divBdr>
        </w:div>
      </w:divsChild>
    </w:div>
    <w:div w:id="1915239891">
      <w:marLeft w:val="0"/>
      <w:marRight w:val="0"/>
      <w:marTop w:val="0"/>
      <w:marBottom w:val="0"/>
      <w:divBdr>
        <w:top w:val="none" w:sz="0" w:space="0" w:color="auto"/>
        <w:left w:val="none" w:sz="0" w:space="0" w:color="auto"/>
        <w:bottom w:val="none" w:sz="0" w:space="0" w:color="auto"/>
        <w:right w:val="none" w:sz="0" w:space="0" w:color="auto"/>
      </w:divBdr>
    </w:div>
    <w:div w:id="1920746532">
      <w:marLeft w:val="0"/>
      <w:marRight w:val="0"/>
      <w:marTop w:val="0"/>
      <w:marBottom w:val="0"/>
      <w:divBdr>
        <w:top w:val="none" w:sz="0" w:space="0" w:color="auto"/>
        <w:left w:val="none" w:sz="0" w:space="0" w:color="auto"/>
        <w:bottom w:val="none" w:sz="0" w:space="0" w:color="auto"/>
        <w:right w:val="none" w:sz="0" w:space="0" w:color="auto"/>
      </w:divBdr>
      <w:divsChild>
        <w:div w:id="1578250326">
          <w:marLeft w:val="0"/>
          <w:marRight w:val="0"/>
          <w:marTop w:val="0"/>
          <w:marBottom w:val="0"/>
          <w:divBdr>
            <w:top w:val="none" w:sz="0" w:space="0" w:color="auto"/>
            <w:left w:val="none" w:sz="0" w:space="0" w:color="auto"/>
            <w:bottom w:val="none" w:sz="0" w:space="0" w:color="auto"/>
            <w:right w:val="none" w:sz="0" w:space="0" w:color="auto"/>
          </w:divBdr>
        </w:div>
      </w:divsChild>
    </w:div>
    <w:div w:id="1922522136">
      <w:marLeft w:val="0"/>
      <w:marRight w:val="0"/>
      <w:marTop w:val="0"/>
      <w:marBottom w:val="0"/>
      <w:divBdr>
        <w:top w:val="none" w:sz="0" w:space="0" w:color="auto"/>
        <w:left w:val="none" w:sz="0" w:space="0" w:color="auto"/>
        <w:bottom w:val="none" w:sz="0" w:space="0" w:color="auto"/>
        <w:right w:val="none" w:sz="0" w:space="0" w:color="auto"/>
      </w:divBdr>
      <w:divsChild>
        <w:div w:id="1640380753">
          <w:marLeft w:val="0"/>
          <w:marRight w:val="0"/>
          <w:marTop w:val="0"/>
          <w:marBottom w:val="0"/>
          <w:divBdr>
            <w:top w:val="none" w:sz="0" w:space="0" w:color="auto"/>
            <w:left w:val="none" w:sz="0" w:space="0" w:color="auto"/>
            <w:bottom w:val="none" w:sz="0" w:space="0" w:color="auto"/>
            <w:right w:val="none" w:sz="0" w:space="0" w:color="auto"/>
          </w:divBdr>
        </w:div>
      </w:divsChild>
    </w:div>
    <w:div w:id="1933927467">
      <w:marLeft w:val="0"/>
      <w:marRight w:val="0"/>
      <w:marTop w:val="0"/>
      <w:marBottom w:val="0"/>
      <w:divBdr>
        <w:top w:val="none" w:sz="0" w:space="0" w:color="auto"/>
        <w:left w:val="none" w:sz="0" w:space="0" w:color="auto"/>
        <w:bottom w:val="none" w:sz="0" w:space="0" w:color="auto"/>
        <w:right w:val="none" w:sz="0" w:space="0" w:color="auto"/>
      </w:divBdr>
    </w:div>
    <w:div w:id="1938556141">
      <w:marLeft w:val="0"/>
      <w:marRight w:val="0"/>
      <w:marTop w:val="0"/>
      <w:marBottom w:val="0"/>
      <w:divBdr>
        <w:top w:val="none" w:sz="0" w:space="0" w:color="auto"/>
        <w:left w:val="none" w:sz="0" w:space="0" w:color="auto"/>
        <w:bottom w:val="none" w:sz="0" w:space="0" w:color="auto"/>
        <w:right w:val="none" w:sz="0" w:space="0" w:color="auto"/>
      </w:divBdr>
    </w:div>
    <w:div w:id="1940676094">
      <w:marLeft w:val="0"/>
      <w:marRight w:val="0"/>
      <w:marTop w:val="0"/>
      <w:marBottom w:val="0"/>
      <w:divBdr>
        <w:top w:val="none" w:sz="0" w:space="0" w:color="auto"/>
        <w:left w:val="none" w:sz="0" w:space="0" w:color="auto"/>
        <w:bottom w:val="none" w:sz="0" w:space="0" w:color="auto"/>
        <w:right w:val="none" w:sz="0" w:space="0" w:color="auto"/>
      </w:divBdr>
    </w:div>
    <w:div w:id="1951669181">
      <w:marLeft w:val="0"/>
      <w:marRight w:val="0"/>
      <w:marTop w:val="0"/>
      <w:marBottom w:val="120"/>
      <w:divBdr>
        <w:top w:val="none" w:sz="0" w:space="0" w:color="auto"/>
        <w:left w:val="none" w:sz="0" w:space="0" w:color="auto"/>
        <w:bottom w:val="none" w:sz="0" w:space="0" w:color="auto"/>
        <w:right w:val="none" w:sz="0" w:space="0" w:color="auto"/>
      </w:divBdr>
    </w:div>
    <w:div w:id="1952663085">
      <w:marLeft w:val="0"/>
      <w:marRight w:val="0"/>
      <w:marTop w:val="0"/>
      <w:marBottom w:val="0"/>
      <w:divBdr>
        <w:top w:val="none" w:sz="0" w:space="0" w:color="auto"/>
        <w:left w:val="none" w:sz="0" w:space="0" w:color="auto"/>
        <w:bottom w:val="none" w:sz="0" w:space="0" w:color="auto"/>
        <w:right w:val="none" w:sz="0" w:space="0" w:color="auto"/>
      </w:divBdr>
      <w:divsChild>
        <w:div w:id="2071994200">
          <w:marLeft w:val="0"/>
          <w:marRight w:val="0"/>
          <w:marTop w:val="0"/>
          <w:marBottom w:val="0"/>
          <w:divBdr>
            <w:top w:val="none" w:sz="0" w:space="0" w:color="auto"/>
            <w:left w:val="none" w:sz="0" w:space="0" w:color="auto"/>
            <w:bottom w:val="none" w:sz="0" w:space="0" w:color="auto"/>
            <w:right w:val="none" w:sz="0" w:space="0" w:color="auto"/>
          </w:divBdr>
        </w:div>
      </w:divsChild>
    </w:div>
    <w:div w:id="1965307669">
      <w:marLeft w:val="0"/>
      <w:marRight w:val="0"/>
      <w:marTop w:val="0"/>
      <w:marBottom w:val="0"/>
      <w:divBdr>
        <w:top w:val="none" w:sz="0" w:space="0" w:color="auto"/>
        <w:left w:val="none" w:sz="0" w:space="0" w:color="auto"/>
        <w:bottom w:val="none" w:sz="0" w:space="0" w:color="auto"/>
        <w:right w:val="none" w:sz="0" w:space="0" w:color="auto"/>
      </w:divBdr>
      <w:divsChild>
        <w:div w:id="1683043625">
          <w:marLeft w:val="0"/>
          <w:marRight w:val="0"/>
          <w:marTop w:val="0"/>
          <w:marBottom w:val="0"/>
          <w:divBdr>
            <w:top w:val="none" w:sz="0" w:space="0" w:color="auto"/>
            <w:left w:val="none" w:sz="0" w:space="0" w:color="auto"/>
            <w:bottom w:val="none" w:sz="0" w:space="0" w:color="auto"/>
            <w:right w:val="none" w:sz="0" w:space="0" w:color="auto"/>
          </w:divBdr>
        </w:div>
      </w:divsChild>
    </w:div>
    <w:div w:id="1969621938">
      <w:marLeft w:val="0"/>
      <w:marRight w:val="0"/>
      <w:marTop w:val="0"/>
      <w:marBottom w:val="120"/>
      <w:divBdr>
        <w:top w:val="none" w:sz="0" w:space="0" w:color="auto"/>
        <w:left w:val="none" w:sz="0" w:space="0" w:color="auto"/>
        <w:bottom w:val="none" w:sz="0" w:space="0" w:color="auto"/>
        <w:right w:val="none" w:sz="0" w:space="0" w:color="auto"/>
      </w:divBdr>
    </w:div>
    <w:div w:id="1976250151">
      <w:marLeft w:val="0"/>
      <w:marRight w:val="0"/>
      <w:marTop w:val="0"/>
      <w:marBottom w:val="0"/>
      <w:divBdr>
        <w:top w:val="none" w:sz="0" w:space="0" w:color="auto"/>
        <w:left w:val="none" w:sz="0" w:space="0" w:color="auto"/>
        <w:bottom w:val="none" w:sz="0" w:space="0" w:color="auto"/>
        <w:right w:val="none" w:sz="0" w:space="0" w:color="auto"/>
      </w:divBdr>
      <w:divsChild>
        <w:div w:id="1300190130">
          <w:marLeft w:val="0"/>
          <w:marRight w:val="0"/>
          <w:marTop w:val="0"/>
          <w:marBottom w:val="0"/>
          <w:divBdr>
            <w:top w:val="none" w:sz="0" w:space="0" w:color="auto"/>
            <w:left w:val="none" w:sz="0" w:space="0" w:color="auto"/>
            <w:bottom w:val="none" w:sz="0" w:space="0" w:color="auto"/>
            <w:right w:val="none" w:sz="0" w:space="0" w:color="auto"/>
          </w:divBdr>
        </w:div>
      </w:divsChild>
    </w:div>
    <w:div w:id="1987053208">
      <w:marLeft w:val="0"/>
      <w:marRight w:val="0"/>
      <w:marTop w:val="0"/>
      <w:marBottom w:val="0"/>
      <w:divBdr>
        <w:top w:val="none" w:sz="0" w:space="0" w:color="auto"/>
        <w:left w:val="none" w:sz="0" w:space="0" w:color="auto"/>
        <w:bottom w:val="none" w:sz="0" w:space="0" w:color="auto"/>
        <w:right w:val="none" w:sz="0" w:space="0" w:color="auto"/>
      </w:divBdr>
    </w:div>
    <w:div w:id="1991906100">
      <w:marLeft w:val="0"/>
      <w:marRight w:val="0"/>
      <w:marTop w:val="0"/>
      <w:marBottom w:val="0"/>
      <w:divBdr>
        <w:top w:val="none" w:sz="0" w:space="0" w:color="auto"/>
        <w:left w:val="none" w:sz="0" w:space="0" w:color="auto"/>
        <w:bottom w:val="none" w:sz="0" w:space="0" w:color="auto"/>
        <w:right w:val="none" w:sz="0" w:space="0" w:color="auto"/>
      </w:divBdr>
    </w:div>
    <w:div w:id="1998148482">
      <w:marLeft w:val="0"/>
      <w:marRight w:val="0"/>
      <w:marTop w:val="0"/>
      <w:marBottom w:val="0"/>
      <w:divBdr>
        <w:top w:val="none" w:sz="0" w:space="0" w:color="auto"/>
        <w:left w:val="none" w:sz="0" w:space="0" w:color="auto"/>
        <w:bottom w:val="none" w:sz="0" w:space="0" w:color="auto"/>
        <w:right w:val="none" w:sz="0" w:space="0" w:color="auto"/>
      </w:divBdr>
    </w:div>
    <w:div w:id="2002391077">
      <w:marLeft w:val="0"/>
      <w:marRight w:val="0"/>
      <w:marTop w:val="0"/>
      <w:marBottom w:val="0"/>
      <w:divBdr>
        <w:top w:val="none" w:sz="0" w:space="0" w:color="auto"/>
        <w:left w:val="none" w:sz="0" w:space="0" w:color="auto"/>
        <w:bottom w:val="none" w:sz="0" w:space="0" w:color="auto"/>
        <w:right w:val="none" w:sz="0" w:space="0" w:color="auto"/>
      </w:divBdr>
    </w:div>
    <w:div w:id="2008365311">
      <w:marLeft w:val="0"/>
      <w:marRight w:val="0"/>
      <w:marTop w:val="0"/>
      <w:marBottom w:val="0"/>
      <w:divBdr>
        <w:top w:val="none" w:sz="0" w:space="0" w:color="auto"/>
        <w:left w:val="none" w:sz="0" w:space="0" w:color="auto"/>
        <w:bottom w:val="none" w:sz="0" w:space="0" w:color="auto"/>
        <w:right w:val="none" w:sz="0" w:space="0" w:color="auto"/>
      </w:divBdr>
    </w:div>
    <w:div w:id="2037391335">
      <w:marLeft w:val="0"/>
      <w:marRight w:val="0"/>
      <w:marTop w:val="0"/>
      <w:marBottom w:val="0"/>
      <w:divBdr>
        <w:top w:val="none" w:sz="0" w:space="0" w:color="auto"/>
        <w:left w:val="none" w:sz="0" w:space="0" w:color="auto"/>
        <w:bottom w:val="none" w:sz="0" w:space="0" w:color="auto"/>
        <w:right w:val="none" w:sz="0" w:space="0" w:color="auto"/>
      </w:divBdr>
      <w:divsChild>
        <w:div w:id="365910049">
          <w:marLeft w:val="0"/>
          <w:marRight w:val="0"/>
          <w:marTop w:val="0"/>
          <w:marBottom w:val="0"/>
          <w:divBdr>
            <w:top w:val="none" w:sz="0" w:space="0" w:color="auto"/>
            <w:left w:val="none" w:sz="0" w:space="0" w:color="auto"/>
            <w:bottom w:val="none" w:sz="0" w:space="0" w:color="auto"/>
            <w:right w:val="none" w:sz="0" w:space="0" w:color="auto"/>
          </w:divBdr>
        </w:div>
      </w:divsChild>
    </w:div>
    <w:div w:id="2052881372">
      <w:marLeft w:val="0"/>
      <w:marRight w:val="0"/>
      <w:marTop w:val="0"/>
      <w:marBottom w:val="0"/>
      <w:divBdr>
        <w:top w:val="none" w:sz="0" w:space="0" w:color="auto"/>
        <w:left w:val="none" w:sz="0" w:space="0" w:color="auto"/>
        <w:bottom w:val="none" w:sz="0" w:space="0" w:color="auto"/>
        <w:right w:val="none" w:sz="0" w:space="0" w:color="auto"/>
      </w:divBdr>
    </w:div>
    <w:div w:id="2053575972">
      <w:marLeft w:val="0"/>
      <w:marRight w:val="0"/>
      <w:marTop w:val="0"/>
      <w:marBottom w:val="0"/>
      <w:divBdr>
        <w:top w:val="none" w:sz="0" w:space="0" w:color="auto"/>
        <w:left w:val="none" w:sz="0" w:space="0" w:color="auto"/>
        <w:bottom w:val="none" w:sz="0" w:space="0" w:color="auto"/>
        <w:right w:val="none" w:sz="0" w:space="0" w:color="auto"/>
      </w:divBdr>
      <w:divsChild>
        <w:div w:id="1454397276">
          <w:marLeft w:val="0"/>
          <w:marRight w:val="0"/>
          <w:marTop w:val="0"/>
          <w:marBottom w:val="0"/>
          <w:divBdr>
            <w:top w:val="none" w:sz="0" w:space="0" w:color="auto"/>
            <w:left w:val="none" w:sz="0" w:space="0" w:color="auto"/>
            <w:bottom w:val="none" w:sz="0" w:space="0" w:color="auto"/>
            <w:right w:val="none" w:sz="0" w:space="0" w:color="auto"/>
          </w:divBdr>
          <w:divsChild>
            <w:div w:id="2052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7200">
      <w:marLeft w:val="0"/>
      <w:marRight w:val="0"/>
      <w:marTop w:val="0"/>
      <w:marBottom w:val="120"/>
      <w:divBdr>
        <w:top w:val="none" w:sz="0" w:space="0" w:color="auto"/>
        <w:left w:val="none" w:sz="0" w:space="0" w:color="auto"/>
        <w:bottom w:val="none" w:sz="0" w:space="0" w:color="auto"/>
        <w:right w:val="none" w:sz="0" w:space="0" w:color="auto"/>
      </w:divBdr>
    </w:div>
    <w:div w:id="2055109331">
      <w:marLeft w:val="0"/>
      <w:marRight w:val="0"/>
      <w:marTop w:val="0"/>
      <w:marBottom w:val="0"/>
      <w:divBdr>
        <w:top w:val="none" w:sz="0" w:space="0" w:color="auto"/>
        <w:left w:val="none" w:sz="0" w:space="0" w:color="auto"/>
        <w:bottom w:val="none" w:sz="0" w:space="0" w:color="auto"/>
        <w:right w:val="none" w:sz="0" w:space="0" w:color="auto"/>
      </w:divBdr>
      <w:divsChild>
        <w:div w:id="643317040">
          <w:marLeft w:val="0"/>
          <w:marRight w:val="0"/>
          <w:marTop w:val="0"/>
          <w:marBottom w:val="0"/>
          <w:divBdr>
            <w:top w:val="none" w:sz="0" w:space="0" w:color="auto"/>
            <w:left w:val="none" w:sz="0" w:space="0" w:color="auto"/>
            <w:bottom w:val="none" w:sz="0" w:space="0" w:color="auto"/>
            <w:right w:val="none" w:sz="0" w:space="0" w:color="auto"/>
          </w:divBdr>
        </w:div>
      </w:divsChild>
    </w:div>
    <w:div w:id="2058697993">
      <w:marLeft w:val="0"/>
      <w:marRight w:val="0"/>
      <w:marTop w:val="0"/>
      <w:marBottom w:val="0"/>
      <w:divBdr>
        <w:top w:val="none" w:sz="0" w:space="0" w:color="auto"/>
        <w:left w:val="none" w:sz="0" w:space="0" w:color="auto"/>
        <w:bottom w:val="none" w:sz="0" w:space="0" w:color="auto"/>
        <w:right w:val="none" w:sz="0" w:space="0" w:color="auto"/>
      </w:divBdr>
    </w:div>
    <w:div w:id="2061637153">
      <w:marLeft w:val="0"/>
      <w:marRight w:val="0"/>
      <w:marTop w:val="0"/>
      <w:marBottom w:val="0"/>
      <w:divBdr>
        <w:top w:val="none" w:sz="0" w:space="0" w:color="auto"/>
        <w:left w:val="none" w:sz="0" w:space="0" w:color="auto"/>
        <w:bottom w:val="none" w:sz="0" w:space="0" w:color="auto"/>
        <w:right w:val="none" w:sz="0" w:space="0" w:color="auto"/>
      </w:divBdr>
      <w:divsChild>
        <w:div w:id="1140004605">
          <w:marLeft w:val="0"/>
          <w:marRight w:val="0"/>
          <w:marTop w:val="0"/>
          <w:marBottom w:val="0"/>
          <w:divBdr>
            <w:top w:val="none" w:sz="0" w:space="0" w:color="auto"/>
            <w:left w:val="none" w:sz="0" w:space="0" w:color="auto"/>
            <w:bottom w:val="none" w:sz="0" w:space="0" w:color="auto"/>
            <w:right w:val="none" w:sz="0" w:space="0" w:color="auto"/>
          </w:divBdr>
        </w:div>
      </w:divsChild>
    </w:div>
    <w:div w:id="2090610568">
      <w:marLeft w:val="0"/>
      <w:marRight w:val="0"/>
      <w:marTop w:val="0"/>
      <w:marBottom w:val="0"/>
      <w:divBdr>
        <w:top w:val="none" w:sz="0" w:space="0" w:color="auto"/>
        <w:left w:val="none" w:sz="0" w:space="0" w:color="auto"/>
        <w:bottom w:val="none" w:sz="0" w:space="0" w:color="auto"/>
        <w:right w:val="none" w:sz="0" w:space="0" w:color="auto"/>
      </w:divBdr>
    </w:div>
    <w:div w:id="2101832682">
      <w:marLeft w:val="0"/>
      <w:marRight w:val="0"/>
      <w:marTop w:val="0"/>
      <w:marBottom w:val="0"/>
      <w:divBdr>
        <w:top w:val="none" w:sz="0" w:space="0" w:color="auto"/>
        <w:left w:val="none" w:sz="0" w:space="0" w:color="auto"/>
        <w:bottom w:val="none" w:sz="0" w:space="0" w:color="auto"/>
        <w:right w:val="none" w:sz="0" w:space="0" w:color="auto"/>
      </w:divBdr>
    </w:div>
    <w:div w:id="2109504205">
      <w:marLeft w:val="0"/>
      <w:marRight w:val="0"/>
      <w:marTop w:val="0"/>
      <w:marBottom w:val="0"/>
      <w:divBdr>
        <w:top w:val="none" w:sz="0" w:space="0" w:color="auto"/>
        <w:left w:val="none" w:sz="0" w:space="0" w:color="auto"/>
        <w:bottom w:val="none" w:sz="0" w:space="0" w:color="auto"/>
        <w:right w:val="none" w:sz="0" w:space="0" w:color="auto"/>
      </w:divBdr>
    </w:div>
    <w:div w:id="2125735230">
      <w:marLeft w:val="0"/>
      <w:marRight w:val="0"/>
      <w:marTop w:val="0"/>
      <w:marBottom w:val="0"/>
      <w:divBdr>
        <w:top w:val="none" w:sz="0" w:space="0" w:color="auto"/>
        <w:left w:val="none" w:sz="0" w:space="0" w:color="auto"/>
        <w:bottom w:val="none" w:sz="0" w:space="0" w:color="auto"/>
        <w:right w:val="none" w:sz="0" w:space="0" w:color="auto"/>
      </w:divBdr>
    </w:div>
    <w:div w:id="2138645425">
      <w:marLeft w:val="0"/>
      <w:marRight w:val="0"/>
      <w:marTop w:val="0"/>
      <w:marBottom w:val="0"/>
      <w:divBdr>
        <w:top w:val="none" w:sz="0" w:space="0" w:color="auto"/>
        <w:left w:val="none" w:sz="0" w:space="0" w:color="auto"/>
        <w:bottom w:val="none" w:sz="0" w:space="0" w:color="auto"/>
        <w:right w:val="none" w:sz="0" w:space="0" w:color="auto"/>
      </w:divBdr>
      <w:divsChild>
        <w:div w:id="17843790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16365/000091636519000038/exhibit101formofchangeinco.htm" TargetMode="External"/><Relationship Id="rId13" Type="http://schemas.openxmlformats.org/officeDocument/2006/relationships/hyperlink" Target="q3202010qex312.htm" TargetMode="External"/><Relationship Id="rId3" Type="http://schemas.openxmlformats.org/officeDocument/2006/relationships/webSettings" Target="webSettings.xml"/><Relationship Id="rId7" Type="http://schemas.openxmlformats.org/officeDocument/2006/relationships/hyperlink" Target="ex41-descriptionofsecu.htm" TargetMode="External"/><Relationship Id="rId12" Type="http://schemas.openxmlformats.org/officeDocument/2006/relationships/hyperlink" Target="q3202010qex31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916365/000091636520000107/ex31-fifthamendedandre.htm" TargetMode="External"/><Relationship Id="rId11" Type="http://schemas.openxmlformats.org/officeDocument/2006/relationships/hyperlink" Target="firstamendmenttonotepu.htm" TargetMode="External"/><Relationship Id="rId5" Type="http://schemas.openxmlformats.org/officeDocument/2006/relationships/hyperlink" Target="restatedcertificateofi.htm" TargetMode="External"/><Relationship Id="rId15" Type="http://schemas.openxmlformats.org/officeDocument/2006/relationships/fontTable" Target="fontTable.xml"/><Relationship Id="rId10" Type="http://schemas.openxmlformats.org/officeDocument/2006/relationships/hyperlink" Target="thirdamendmenttocredit.htm" TargetMode="External"/><Relationship Id="rId4" Type="http://schemas.openxmlformats.org/officeDocument/2006/relationships/image" Target="file:///E:\projects\LLMs\new_data_collection\data_new\htm\TRACTOR%20SUPPLY%20CO\tsco-20200926_g1.jpg" TargetMode="External"/><Relationship Id="rId9" Type="http://schemas.openxmlformats.org/officeDocument/2006/relationships/hyperlink" Target="https://www.sec.gov/Archives/edgar/data/916365/000091636520000170/exhibit101transitionag.htm" TargetMode="External"/><Relationship Id="rId14" Type="http://schemas.openxmlformats.org/officeDocument/2006/relationships/hyperlink" Target="q3202010q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20064</Words>
  <Characters>114368</Characters>
  <Application>Microsoft Office Word</Application>
  <DocSecurity>0</DocSecurity>
  <Lines>953</Lines>
  <Paragraphs>268</Paragraphs>
  <ScaleCrop>false</ScaleCrop>
  <Company/>
  <LinksUpToDate>false</LinksUpToDate>
  <CharactersWithSpaces>134164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tsco-20200926</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