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05244">
      <w:pPr>
        <w:divId w:val="1207568386"/>
        <w:rPr>
          <w:rFonts w:eastAsia="Times New Roman"/>
          <w:vanish/>
        </w:rPr>
      </w:pPr>
      <w:r>
        <w:rPr>
          <w:rFonts w:eastAsia="Times New Roman"/>
          <w:vanish/>
        </w:rPr>
        <w:t>TRACTOR SUPPLY CO /DE/000091636512/26116,301,8412020FYfalseP1YP3Y00009163652019-12-292020-12-26iso4217:USD00009163652020-06-27xbrli:shares00009163652021-01-2300009163652018-12-302019-12-2800009163652017-12-312018-12-29iso4217:USDxbrli:shares</w:t>
      </w:r>
      <w:r>
        <w:rPr>
          <w:rFonts w:eastAsia="Times New Roman"/>
          <w:vanish/>
        </w:rPr>
        <w:t>00009163652020-12-2600009163652019-12-280000916365us-gaap:CommonStockMember2017-12-300000916365us-gaap:AdditionalPaidInCapitalMember2017-12-300000916365us-gaap:TreasuryStockMember2017-12-300000916365us-gaap:AccumulatedOtherComprehensiveIncomeMember2017-12-</w:t>
      </w:r>
      <w:r>
        <w:rPr>
          <w:rFonts w:eastAsia="Times New Roman"/>
          <w:vanish/>
        </w:rPr>
        <w:t>300000916365us-gaap:RetainedEarningsMember2017-12-3000009163652017-12-300000916365us-gaap:CommonStockMember2017-12-312018-12-290000916365us-gaap:AdditionalPaidInCapitalMember2017-12-312018-12-290000916365us-gaap:RestrictedStockUnitsRSUMember2017-12-312018-</w:t>
      </w:r>
      <w:r>
        <w:rPr>
          <w:rFonts w:eastAsia="Times New Roman"/>
          <w:vanish/>
        </w:rPr>
        <w:t>12-290000916365us-gaap:TreasuryStockMember2017-12-312018-12-290000916365us-gaap:RetainedEarningsMember2017-12-312018-12-290000916365us-gaap:AccumulatedOtherComprehensiveIncomeMember2017-12-312018-12-290000916365us-gaap:CommonStockMember2018-12-290000916365</w:t>
      </w:r>
      <w:r>
        <w:rPr>
          <w:rFonts w:eastAsia="Times New Roman"/>
          <w:vanish/>
        </w:rPr>
        <w:t>us-gaap:AdditionalPaidInCapitalMember2018-12-290000916365us-gaap:TreasuryStockMember2018-12-290000916365us-gaap:AccumulatedOtherComprehensiveIncomeMember2018-12-290000916365us-gaap:RetainedEarningsMember2018-12-2900009163652018-12-290000916365us-gaap:Commo</w:t>
      </w:r>
      <w:r>
        <w:rPr>
          <w:rFonts w:eastAsia="Times New Roman"/>
          <w:vanish/>
        </w:rPr>
        <w:t>nStockMember2018-12-302019-12-280000916365us-gaap:AdditionalPaidInCapitalMember2018-12-302019-12-280000916365us-gaap:RestrictedStockUnitsRSUMember2018-12-302019-12-280000916365us-gaap:TreasuryStockMember2018-12-302019-12-280000916365us-gaap:RetainedEarning</w:t>
      </w:r>
      <w:r>
        <w:rPr>
          <w:rFonts w:eastAsia="Times New Roman"/>
          <w:vanish/>
        </w:rPr>
        <w:t>sMember2018-12-302019-12-280000916365us-gaap:AccumulatedOtherComprehensiveIncomeMember2018-12-302019-12-280000916365us-gaap:AccumulatedOtherComprehensiveIncomeMemberus-gaap:AccountingStandardsUpdate201802Member2018-12-302019-12-280000916365us-gaap:Accounti</w:t>
      </w:r>
      <w:r>
        <w:rPr>
          <w:rFonts w:eastAsia="Times New Roman"/>
          <w:vanish/>
        </w:rPr>
        <w:t>ngStandardsUpdate201802Memberus-gaap:RetainedEarningsMember2018-12-302019-12-280000916365us-gaap:CommonStockMember2019-12-280000916365us-gaap:AdditionalPaidInCapitalMember2019-12-280000916365us-gaap:TreasuryStockMember2019-12-280000916365us-gaap:Accumulate</w:t>
      </w:r>
      <w:r>
        <w:rPr>
          <w:rFonts w:eastAsia="Times New Roman"/>
          <w:vanish/>
        </w:rPr>
        <w:t>dOtherComprehensiveIncomeMember2019-12-280000916365us-gaap:RetainedEarningsMember2019-12-280000916365us-gaap:CommonStockMember2019-12-292020-12-260000916365us-gaap:AdditionalPaidInCapitalMember2019-12-292020-12-260000916365us-gaap:RestrictedStockUnitsRSUMe</w:t>
      </w:r>
      <w:r>
        <w:rPr>
          <w:rFonts w:eastAsia="Times New Roman"/>
          <w:vanish/>
        </w:rPr>
        <w:t>mber2019-12-292020-12-260000916365us-gaap:TreasuryStockMember2019-12-292020-12-260000916365us-gaap:RetainedEarningsMember2019-12-292020-12-260000916365us-gaap:AccumulatedOtherComprehensiveIncomeMember2019-12-292020-12-260000916365us-gaap:CommonStockMember2</w:t>
      </w:r>
      <w:r>
        <w:rPr>
          <w:rFonts w:eastAsia="Times New Roman"/>
          <w:vanish/>
        </w:rPr>
        <w:t>020-12-260000916365us-gaap:AdditionalPaidInCapitalMember2020-12-260000916365us-gaap:TreasuryStockMember2020-12-260000916365us-gaap:AccumulatedOtherComprehensiveIncomeMember2020-12-260000916365us-gaap:RetainedEarningsMember2020-12-26tsco:store0000916365srt:</w:t>
      </w:r>
      <w:r>
        <w:rPr>
          <w:rFonts w:eastAsia="Times New Roman"/>
          <w:vanish/>
        </w:rPr>
        <w:t>ParentCompanyMember2020-12-26tsco:state0000916365tsco:TSCOstoresDomain2020-12-260000916365tsco:PetsensestoresDomain2020-12-260000916365stpr:TX2019-12-292020-12-260000916365tsco:FranklinKyDcMember2019-12-292020-12-260000916365tsco:FranklinKyDcMember2020-12-</w:t>
      </w:r>
      <w:r>
        <w:rPr>
          <w:rFonts w:eastAsia="Times New Roman"/>
          <w:vanish/>
        </w:rPr>
        <w:t>260000916365tsco:MaconGaDcMember2019-12-292020-12-260000916365tsco:MaconGaDcMember2020-12-260000916365tsco:BrentwoodTnSscMember2019-12-292020-12-260000916365tsco:BrentwoodTnSscMember2020-12-26xbrli:pure0000916365us-gaap:EmployeeStockOptionMember2019-12-292</w:t>
      </w:r>
      <w:r>
        <w:rPr>
          <w:rFonts w:eastAsia="Times New Roman"/>
          <w:vanish/>
        </w:rPr>
        <w:t>020-12-260000916365us-gaap:EmployeeStockOptionMember2018-12-302019-12-280000916365us-gaap:EmployeeStockOptionMember2017-12-312018-12-290000916365us-gaap:EmployeeStockOptionMember2019-12-280000916365us-gaap:EmployeeStockOptionMember2020-12-260000916365us-ga</w:t>
      </w:r>
      <w:r>
        <w:rPr>
          <w:rFonts w:eastAsia="Times New Roman"/>
          <w:vanish/>
        </w:rPr>
        <w:t>ap:RestrictedStockUnitsRSUMember2019-12-280000916365us-gaap:RestrictedStockUnitsRSUMember2020-12-260000916365us-gaap:PerformanceSharesMember2019-12-280000916365us-gaap:PerformanceSharesMember2019-12-292020-12-260000916365us-gaap:PerformanceSharesMember2020</w:t>
      </w:r>
      <w:r>
        <w:rPr>
          <w:rFonts w:eastAsia="Times New Roman"/>
          <w:vanish/>
        </w:rPr>
        <w:t>-12-260000916365us-gaap:PerformanceSharesMember2018-12-302019-12-280000916365us-gaap:PerformanceSharesMember2017-12-312018-12-290000916365us-gaap:EmployeeStockMember2019-12-292020-12-260000916365us-gaap:EmployeeStockMember2018-12-302019-12-280000916365us-g</w:t>
      </w:r>
      <w:r>
        <w:rPr>
          <w:rFonts w:eastAsia="Times New Roman"/>
          <w:vanish/>
        </w:rPr>
        <w:t>aap:EmployeeStockMember2017-12-312018-12-290000916365srt:MaximumMemberus-gaap:EmployeeStockMember2020-12-260000916365us-gaap:EmployeeStockMember2020-12-260000916365tsco:TractorSupplyCompanyMember2019-12-280000916365tsco:PetsenseMember2019-12-280000916365ts</w:t>
      </w:r>
      <w:r>
        <w:rPr>
          <w:rFonts w:eastAsia="Times New Roman"/>
          <w:vanish/>
        </w:rPr>
        <w:t>co:TractorSupplyCompanyAndPetsenseMember2019-12-280000916365tsco:PetsenseMember2018-12-290000916365tsco:TractorSupplyCompanyAndPetsenseMember2018-12-290000916365tsco:TractorSupplyCompanyMember2019-12-292020-12-260000916365tsco:PetsenseMember2019-12-292020-</w:t>
      </w:r>
      <w:r>
        <w:rPr>
          <w:rFonts w:eastAsia="Times New Roman"/>
          <w:vanish/>
        </w:rPr>
        <w:t>12-260000916365tsco:TractorSupplyCompanyAndPetsenseMember2019-12-292020-12-260000916365tsco:TractorSupplyCompanyMember2018-12-302019-12-280000916365tsco:PetsenseMember2018-12-302019-12-280000916365tsco:TractorSupplyCompanyAndPetsenseMember2018-12-302019-12</w:t>
      </w:r>
      <w:r>
        <w:rPr>
          <w:rFonts w:eastAsia="Times New Roman"/>
          <w:vanish/>
        </w:rPr>
        <w:t>-280000916365tsco:TractorSupplyCompanyMember2020-12-260000916365tsco:PetsenseMember2020-12-260000916365tsco:TractorSupplyCompanyAndPetsenseMember2020-12-260000916365us-gaap:BondsMember2020-12-260000916365us-gaap:BondsMember2019-12-280000916365us-gaap:Notes</w:t>
      </w:r>
      <w:r>
        <w:rPr>
          <w:rFonts w:eastAsia="Times New Roman"/>
          <w:vanish/>
        </w:rPr>
        <w:t>PayableToBanksMember2020-12-260000916365us-gaap:NotesPayableToBanksMember2019-12-280000916365tsco:February2016TermLoanMember2020-12-260000916365tsco:February2016TermLoanMember2019-12-280000916365tsco:June2017TermLoanMember2020-12-260000916365tsco:June2017T</w:t>
      </w:r>
      <w:r>
        <w:rPr>
          <w:rFonts w:eastAsia="Times New Roman"/>
          <w:vanish/>
        </w:rPr>
        <w:t>ermLoanMember2019-12-280000916365tsco:November2020TermLoanMember2020-12-260000916365tsco:November2020TermLoanMember2019-12-280000916365tsco:A2016SeniorCreditFacilityMember2020-12-262020-12-260000916365tsco:A2016SeniorCreditFacilityMember2019-12-282019-12-2</w:t>
      </w:r>
      <w:r>
        <w:rPr>
          <w:rFonts w:eastAsia="Times New Roman"/>
          <w:vanish/>
        </w:rPr>
        <w:t>80000916365us-gaap:BondsMember2020-10-302020-10-300000916365tsco:A1750SeniorNotesMember2019-12-292020-12-260000916365us-gaap:SeniorNotesMember2017-08-142017-08-1400009163652020-12-262020-12-260000916365tsco:February2016TermLoanMember2016-02-192016-02-19000</w:t>
      </w:r>
      <w:r>
        <w:rPr>
          <w:rFonts w:eastAsia="Times New Roman"/>
          <w:vanish/>
        </w:rPr>
        <w:t>0916365tsco:November2020TermLoanMember2020-11-042020-11-0400009163652020-11-0400009163652020-11-042020-11-040000916365tsco:A2016SeniorCreditFacilityMember2020-11-042020-11-040000916365us-gaap:BaseRateMember2020-12-260000916365srt:MinimumMember2019-12-29202</w:t>
      </w:r>
      <w:r>
        <w:rPr>
          <w:rFonts w:eastAsia="Times New Roman"/>
          <w:vanish/>
        </w:rPr>
        <w:t>0-12-260000916365srt:MaximumMember2019-12-292020-12-260000916365us-gaap:LondonInterbankOfferedRateLIBORMember2020-12-260000916365srt:MaximumMember2020-09-272020-12-260000916365tsco:June2017TermLoanMember2017-06-152017-06-150000916365tsco:March2020TermLoanM</w:t>
      </w:r>
      <w:r>
        <w:rPr>
          <w:rFonts w:eastAsia="Times New Roman"/>
          <w:vanish/>
        </w:rPr>
        <w:t>ember2020-03-122020-03-120000916365tsco:April2020TermLoanMember2020-04-222020-04-220000916365tsco:April2020TermLoanMember2020-10-302020-10-300000916365tsco:NumberofFinancialCovenantsMember2019-12-292020-12-260000916365tsco:FixedChargeCoverageRatioMinimumRe</w:t>
      </w:r>
      <w:r>
        <w:rPr>
          <w:rFonts w:eastAsia="Times New Roman"/>
          <w:vanish/>
        </w:rPr>
        <w:t>quirementMember2019-12-292020-12-260000916365tsco:LeverageRatioMaximumRequirementMember2019-12-292020-12-260000916365tsco:March2020TermLoanMember2020-03-182020-03-180000916365tsco:March2020TermLoanMember2020-09-272020-12-260000916365tsco:March2020TermLoanM</w:t>
      </w:r>
      <w:r>
        <w:rPr>
          <w:rFonts w:eastAsia="Times New Roman"/>
          <w:vanish/>
        </w:rPr>
        <w:t>ember2020-12-260000916365tsco:InterestRateSwapShortTermPortionMember2020-12-260000916365tsco:InterestRateSwapShortTermPortionMember2019-12-280000916365tsco:InterestRateSwapLongTermPortionMember2020-12-260000916365tsco:InterestRateSwapLongTermPortionMember2</w:t>
      </w:r>
      <w:r>
        <w:rPr>
          <w:rFonts w:eastAsia="Times New Roman"/>
          <w:vanish/>
        </w:rPr>
        <w:t>019-12-280000916365tsco:InterestRateSwapLiabilityPortionMember2020-12-260000916365tsco:InterestRateSwapLiabilityPortionMember2019-12-280000916365tsco:BeginningBalanceMember2019-12-280000916365tsco:BeginningBalanceMember2018-12-290000916365us-gaap:Accountin</w:t>
      </w:r>
      <w:r>
        <w:rPr>
          <w:rFonts w:eastAsia="Times New Roman"/>
          <w:vanish/>
        </w:rPr>
        <w:t>gStandardsUpdate201712Member2019-12-292020-12-260000916365tsco:OtherComprehensiveIncomeLossNetofTaxMember2018-12-302019-12-280000916365srt:MinimumMember2020-12-260000916365srt:MaximumMember2020-12-26tsco:segment0000916365tsco:LivestockAndPetMember2019-12-2</w:t>
      </w:r>
      <w:r>
        <w:rPr>
          <w:rFonts w:eastAsia="Times New Roman"/>
          <w:vanish/>
        </w:rPr>
        <w:t>92020-12-260000916365tsco:LivestockAndPetMember2018-12-302019-12-280000916365tsco:LivestockAndPetMember2017-12-312018-12-290000916365tsco:HardwareToolsAndTruckMember2019-12-292020-12-260000916365tsco:HardwareToolsAndTruckMember2018-12-302019-12-28000091636</w:t>
      </w:r>
      <w:r>
        <w:rPr>
          <w:rFonts w:eastAsia="Times New Roman"/>
          <w:vanish/>
        </w:rPr>
        <w:t>5tsco:HardwareToolsAndTruckMember2017-12-312018-12-290000916365tsco:SeasonalGiftAndToyProductsMember2019-12-292020-12-260000916365tsco:SeasonalGiftAndToyProductsMember2018-12-302019-12-280000916365tsco:SeasonalGiftAndToyProductsMember2017-12-312018-12-2900</w:t>
      </w:r>
      <w:r>
        <w:rPr>
          <w:rFonts w:eastAsia="Times New Roman"/>
          <w:vanish/>
        </w:rPr>
        <w:t>00916365tsco:ClothingAndFootwareMember2019-12-292020-12-260000916365tsco:ClothingAndFootwareMember2018-12-302019-12-280000916365tsco:ClothingAndFootwareMember2017-12-312018-12-290000916365tsco:AgricultureMember2019-12-292020-12-260000916365tsco:Agriculture</w:t>
      </w:r>
      <w:r>
        <w:rPr>
          <w:rFonts w:eastAsia="Times New Roman"/>
          <w:vanish/>
        </w:rPr>
        <w:t>Member2018-12-302019-12-280000916365tsco:AgricultureMember2017-12-312018-12-2900009163652021-02-172021-02-17</w:t>
      </w:r>
    </w:p>
    <w:p w:rsidR="00000000" w:rsidRDefault="00905244">
      <w:pPr>
        <w:divId w:val="1368334547"/>
        <w:rPr>
          <w:rFonts w:eastAsia="Times New Roman"/>
        </w:rPr>
      </w:pPr>
    </w:p>
    <w:p w:rsidR="00000000" w:rsidRDefault="00905244">
      <w:pPr>
        <w:jc w:val="center"/>
        <w:rPr>
          <w:rFonts w:eastAsia="Times New Roman"/>
        </w:rPr>
      </w:pPr>
      <w:r>
        <w:rPr>
          <w:rFonts w:eastAsia="Times New Roman"/>
          <w:b/>
          <w:bCs/>
          <w:color w:val="000000"/>
          <w:sz w:val="20"/>
          <w:szCs w:val="20"/>
        </w:rPr>
        <w:t>UNITED STATES</w:t>
      </w:r>
    </w:p>
    <w:p w:rsidR="00000000" w:rsidRDefault="00905244">
      <w:pPr>
        <w:jc w:val="center"/>
        <w:rPr>
          <w:rFonts w:eastAsia="Times New Roman"/>
        </w:rPr>
      </w:pPr>
      <w:r>
        <w:rPr>
          <w:rFonts w:eastAsia="Times New Roman"/>
          <w:b/>
          <w:bCs/>
          <w:color w:val="000000"/>
          <w:sz w:val="20"/>
          <w:szCs w:val="20"/>
        </w:rPr>
        <w:t>SECURITIES AND EXCHANGE COMMISSION</w:t>
      </w:r>
    </w:p>
    <w:p w:rsidR="00000000" w:rsidRDefault="00905244">
      <w:pPr>
        <w:jc w:val="center"/>
        <w:rPr>
          <w:rFonts w:eastAsia="Times New Roman"/>
        </w:rPr>
      </w:pPr>
      <w:r>
        <w:rPr>
          <w:rFonts w:eastAsia="Times New Roman"/>
          <w:b/>
          <w:bCs/>
          <w:color w:val="000000"/>
          <w:sz w:val="20"/>
          <w:szCs w:val="20"/>
        </w:rPr>
        <w:t>WASHINGTON, D.C. 20549</w:t>
      </w:r>
    </w:p>
    <w:p w:rsidR="00000000" w:rsidRDefault="00905244">
      <w:pPr>
        <w:divId w:val="250549924"/>
        <w:rPr>
          <w:rFonts w:eastAsia="Times New Roman"/>
        </w:rPr>
      </w:pPr>
    </w:p>
    <w:p w:rsidR="00000000" w:rsidRDefault="00905244">
      <w:pPr>
        <w:jc w:val="center"/>
        <w:rPr>
          <w:rFonts w:eastAsia="Times New Roman"/>
        </w:rPr>
      </w:pPr>
      <w:r>
        <w:rPr>
          <w:rFonts w:eastAsia="Times New Roman"/>
          <w:b/>
          <w:bCs/>
          <w:color w:val="000000"/>
          <w:sz w:val="20"/>
          <w:szCs w:val="20"/>
        </w:rPr>
        <w:t>FORM 10-K</w:t>
      </w:r>
    </w:p>
    <w:p w:rsidR="00000000" w:rsidRDefault="00905244">
      <w:pPr>
        <w:divId w:val="701125335"/>
        <w:rPr>
          <w:rFonts w:eastAsia="Times New Roman"/>
        </w:rPr>
      </w:pPr>
      <w:r>
        <w:rPr>
          <w:rFonts w:eastAsia="Times New Roman"/>
          <w:color w:val="000000"/>
          <w:sz w:val="16"/>
          <w:szCs w:val="16"/>
        </w:rPr>
        <w:t>(Mark One)</w:t>
      </w:r>
    </w:p>
    <w:tbl>
      <w:tblPr>
        <w:tblW w:w="5000" w:type="pct"/>
        <w:tblCellMar>
          <w:top w:w="15" w:type="dxa"/>
          <w:left w:w="15" w:type="dxa"/>
          <w:bottom w:w="15" w:type="dxa"/>
          <w:right w:w="15" w:type="dxa"/>
        </w:tblCellMar>
        <w:tblLook w:val="04A0" w:firstRow="1" w:lastRow="0" w:firstColumn="1" w:lastColumn="0" w:noHBand="0" w:noVBand="1"/>
      </w:tblPr>
      <w:tblGrid>
        <w:gridCol w:w="69"/>
        <w:gridCol w:w="222"/>
        <w:gridCol w:w="36"/>
        <w:gridCol w:w="69"/>
        <w:gridCol w:w="7874"/>
        <w:gridCol w:w="36"/>
      </w:tblGrid>
      <w:tr w:rsidR="00000000">
        <w:trPr>
          <w:divId w:val="1806701893"/>
        </w:trPr>
        <w:tc>
          <w:tcPr>
            <w:tcW w:w="50" w:type="pct"/>
            <w:vAlign w:val="center"/>
            <w:hideMark/>
          </w:tcPr>
          <w:p w:rsidR="00000000" w:rsidRDefault="00905244">
            <w:pPr>
              <w:rPr>
                <w:rFonts w:eastAsia="Times New Roman"/>
              </w:rPr>
            </w:pPr>
          </w:p>
        </w:tc>
        <w:tc>
          <w:tcPr>
            <w:tcW w:w="14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74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806701893"/>
        </w:trPr>
        <w:tc>
          <w:tcPr>
            <w:tcW w:w="0" w:type="auto"/>
            <w:gridSpan w:val="3"/>
            <w:tcMar>
              <w:top w:w="30" w:type="dxa"/>
              <w:left w:w="20" w:type="dxa"/>
              <w:bottom w:w="30" w:type="dxa"/>
              <w:right w:w="20" w:type="dxa"/>
            </w:tcMar>
            <w:hideMark/>
          </w:tcPr>
          <w:p w:rsidR="00000000" w:rsidRDefault="00905244">
            <w:pPr>
              <w:rPr>
                <w:rFonts w:eastAsia="Times New Roman"/>
              </w:rPr>
            </w:pPr>
            <w:r>
              <w:rPr>
                <w:rFonts w:ascii="Wingdings" w:eastAsia="Times New Roman" w:hAnsi="Wingdings"/>
                <w:color w:val="000000"/>
              </w:rPr>
              <w:t>☒</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ANNUAL REPORT PURSUANT TO SECTION 13 OR</w:t>
            </w:r>
            <w:r>
              <w:rPr>
                <w:rFonts w:eastAsia="Times New Roman"/>
                <w:color w:val="000000"/>
                <w:sz w:val="20"/>
                <w:szCs w:val="20"/>
              </w:rPr>
              <w:t xml:space="preserve"> 15(d) OF THE SECURITIES EXCHANGE ACT OF 1934</w:t>
            </w:r>
          </w:p>
        </w:tc>
      </w:tr>
    </w:tbl>
    <w:p w:rsidR="00000000" w:rsidRDefault="00905244">
      <w:pPr>
        <w:jc w:val="center"/>
        <w:rPr>
          <w:rFonts w:eastAsia="Times New Roman"/>
        </w:rPr>
      </w:pPr>
      <w:r>
        <w:rPr>
          <w:rFonts w:eastAsia="Times New Roman"/>
          <w:color w:val="000000"/>
          <w:sz w:val="20"/>
          <w:szCs w:val="20"/>
        </w:rPr>
        <w:t xml:space="preserve">For the fiscal year ended December 26, 2020 </w:t>
      </w:r>
    </w:p>
    <w:p w:rsidR="00000000" w:rsidRDefault="00905244">
      <w:pPr>
        <w:jc w:val="center"/>
        <w:rPr>
          <w:rFonts w:eastAsia="Times New Roman"/>
        </w:rPr>
      </w:pPr>
      <w:r>
        <w:rPr>
          <w:rFonts w:eastAsia="Times New Roman"/>
          <w:color w:val="000000"/>
          <w:sz w:val="20"/>
          <w:szCs w:val="20"/>
        </w:rPr>
        <w:t>or</w:t>
      </w:r>
    </w:p>
    <w:tbl>
      <w:tblPr>
        <w:tblW w:w="5000" w:type="pct"/>
        <w:tblCellMar>
          <w:top w:w="15" w:type="dxa"/>
          <w:left w:w="15" w:type="dxa"/>
          <w:bottom w:w="15" w:type="dxa"/>
          <w:right w:w="15" w:type="dxa"/>
        </w:tblCellMar>
        <w:tblLook w:val="04A0" w:firstRow="1" w:lastRow="0" w:firstColumn="1" w:lastColumn="0" w:noHBand="0" w:noVBand="1"/>
      </w:tblPr>
      <w:tblGrid>
        <w:gridCol w:w="69"/>
        <w:gridCol w:w="222"/>
        <w:gridCol w:w="36"/>
        <w:gridCol w:w="69"/>
        <w:gridCol w:w="7874"/>
        <w:gridCol w:w="36"/>
      </w:tblGrid>
      <w:tr w:rsidR="00000000">
        <w:trPr>
          <w:divId w:val="1108087081"/>
        </w:trPr>
        <w:tc>
          <w:tcPr>
            <w:tcW w:w="50" w:type="pct"/>
            <w:vAlign w:val="center"/>
            <w:hideMark/>
          </w:tcPr>
          <w:p w:rsidR="00000000" w:rsidRDefault="00905244">
            <w:pPr>
              <w:jc w:val="center"/>
              <w:rPr>
                <w:rFonts w:eastAsia="Times New Roman"/>
              </w:rPr>
            </w:pPr>
          </w:p>
        </w:tc>
        <w:tc>
          <w:tcPr>
            <w:tcW w:w="14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74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108087081"/>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TRANSITION REPORT PURSUANT TO SECTION 13 OR 15(d) OF THE SECURITIES EXCHANGE ACT OF 1934</w:t>
            </w:r>
          </w:p>
        </w:tc>
      </w:tr>
    </w:tbl>
    <w:p w:rsidR="00000000" w:rsidRDefault="00905244">
      <w:pPr>
        <w:jc w:val="center"/>
        <w:rPr>
          <w:rFonts w:eastAsia="Times New Roman"/>
        </w:rPr>
      </w:pPr>
      <w:r>
        <w:rPr>
          <w:rFonts w:eastAsia="Times New Roman"/>
          <w:color w:val="000000"/>
          <w:sz w:val="20"/>
          <w:szCs w:val="20"/>
        </w:rPr>
        <w:t>For the transition period from________to________.</w:t>
      </w:r>
    </w:p>
    <w:p w:rsidR="00000000" w:rsidRDefault="00905244">
      <w:pPr>
        <w:jc w:val="center"/>
        <w:rPr>
          <w:rFonts w:eastAsia="Times New Roman"/>
        </w:rPr>
      </w:pPr>
      <w:r>
        <w:rPr>
          <w:rFonts w:eastAsia="Times New Roman"/>
          <w:color w:val="000000"/>
          <w:sz w:val="20"/>
          <w:szCs w:val="20"/>
        </w:rPr>
        <w:t xml:space="preserve">Commission file number </w:t>
      </w:r>
      <w:r>
        <w:rPr>
          <w:rFonts w:eastAsia="Times New Roman"/>
          <w:color w:val="000000"/>
          <w:sz w:val="20"/>
          <w:szCs w:val="20"/>
          <w:u w:val="single"/>
        </w:rPr>
        <w:t>000-23314</w:t>
      </w:r>
    </w:p>
    <w:p w:rsidR="00000000" w:rsidRDefault="00905244">
      <w:pPr>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905244">
      <w:pPr>
        <w:jc w:val="center"/>
        <w:rPr>
          <w:rFonts w:eastAsia="Times New Roman"/>
        </w:rPr>
      </w:pPr>
      <w:r>
        <w:rPr>
          <w:rFonts w:eastAsia="Times New Roman"/>
          <w:b/>
          <w:bCs/>
          <w:color w:val="000000"/>
          <w:sz w:val="20"/>
          <w:szCs w:val="20"/>
        </w:rPr>
        <w:t>TRACTOR SUPPLY COMPANY</w:t>
      </w:r>
    </w:p>
    <w:p w:rsidR="00000000" w:rsidRDefault="00905244">
      <w:pPr>
        <w:jc w:val="center"/>
        <w:rPr>
          <w:rFonts w:eastAsia="Times New Roman"/>
        </w:rPr>
      </w:pPr>
      <w:r>
        <w:rPr>
          <w:rFonts w:eastAsia="Times New Roman"/>
          <w:color w:val="000000"/>
          <w:sz w:val="20"/>
          <w:szCs w:val="20"/>
        </w:rPr>
        <w:t>(Exact name of 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61"/>
        <w:gridCol w:w="4003"/>
        <w:gridCol w:w="36"/>
        <w:gridCol w:w="36"/>
        <w:gridCol w:w="36"/>
        <w:gridCol w:w="36"/>
        <w:gridCol w:w="46"/>
        <w:gridCol w:w="4016"/>
        <w:gridCol w:w="36"/>
      </w:tblGrid>
      <w:tr w:rsidR="00000000">
        <w:trPr>
          <w:divId w:val="914634543"/>
        </w:trPr>
        <w:tc>
          <w:tcPr>
            <w:tcW w:w="50" w:type="pct"/>
            <w:vAlign w:val="center"/>
            <w:hideMark/>
          </w:tcPr>
          <w:p w:rsidR="00000000" w:rsidRDefault="00905244">
            <w:pPr>
              <w:jc w:val="center"/>
              <w:rPr>
                <w:rFonts w:eastAsia="Times New Roman"/>
              </w:rPr>
            </w:pPr>
          </w:p>
        </w:tc>
        <w:tc>
          <w:tcPr>
            <w:tcW w:w="2423"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243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914634543"/>
        </w:trPr>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16"/>
                <w:szCs w:val="16"/>
                <w:u w:val="single"/>
              </w:rPr>
              <w:t>Delaware</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16"/>
                <w:szCs w:val="16"/>
                <w:u w:val="single"/>
              </w:rPr>
              <w:t>13-3139732</w:t>
            </w:r>
          </w:p>
        </w:tc>
      </w:tr>
      <w:tr w:rsidR="00000000">
        <w:trPr>
          <w:divId w:val="914634543"/>
        </w:trPr>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16"/>
                <w:szCs w:val="16"/>
              </w:rPr>
              <w:t>(State or Other Jurisdiction of</w:t>
            </w:r>
          </w:p>
          <w:p w:rsidR="00000000" w:rsidRDefault="00905244">
            <w:pPr>
              <w:jc w:val="center"/>
              <w:rPr>
                <w:rFonts w:eastAsia="Times New Roman"/>
              </w:rPr>
            </w:pPr>
            <w:r>
              <w:rPr>
                <w:rFonts w:eastAsia="Times New Roman"/>
                <w:color w:val="000000"/>
                <w:sz w:val="16"/>
                <w:szCs w:val="16"/>
              </w:rPr>
              <w:t>Incorporation or Organization)</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16"/>
                <w:szCs w:val="16"/>
              </w:rPr>
              <w:t>(I.R.S. Employer Identification No.)</w:t>
            </w:r>
          </w:p>
        </w:tc>
      </w:tr>
      <w:tr w:rsidR="00000000">
        <w:trPr>
          <w:divId w:val="914634543"/>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16"/>
                <w:szCs w:val="16"/>
              </w:rPr>
              <w:t> </w:t>
            </w:r>
          </w:p>
        </w:tc>
      </w:tr>
      <w:tr w:rsidR="00000000">
        <w:trPr>
          <w:divId w:val="914634543"/>
        </w:trPr>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16"/>
                <w:szCs w:val="16"/>
                <w:u w:val="single"/>
              </w:rPr>
              <w:t>5401 Virginia Way, Brentwood, Tennessee</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16"/>
                <w:szCs w:val="16"/>
                <w:u w:val="single"/>
              </w:rPr>
              <w:t>37027</w:t>
            </w:r>
          </w:p>
        </w:tc>
      </w:tr>
      <w:tr w:rsidR="00000000">
        <w:trPr>
          <w:divId w:val="914634543"/>
        </w:trPr>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16"/>
                <w:szCs w:val="16"/>
              </w:rPr>
              <w:t>(Address of Principal Executive Offices)</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16"/>
                <w:szCs w:val="16"/>
              </w:rPr>
              <w:t>(Zip Code)</w:t>
            </w:r>
          </w:p>
        </w:tc>
      </w:tr>
      <w:tr w:rsidR="00000000">
        <w:trPr>
          <w:divId w:val="914634543"/>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16"/>
                <w:szCs w:val="16"/>
              </w:rPr>
              <w:t> </w:t>
            </w:r>
          </w:p>
        </w:tc>
      </w:tr>
      <w:tr w:rsidR="00000000">
        <w:trPr>
          <w:divId w:val="914634543"/>
        </w:trPr>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16"/>
                <w:szCs w:val="16"/>
              </w:rPr>
              <w:t>Registrant’s Telephone Number, Including Area Code:</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16"/>
                <w:szCs w:val="16"/>
                <w:u w:val="single"/>
              </w:rPr>
              <w:t>(615) 440-4000</w:t>
            </w:r>
          </w:p>
        </w:tc>
      </w:tr>
    </w:tbl>
    <w:p w:rsidR="00000000" w:rsidRDefault="00905244">
      <w:pPr>
        <w:jc w:val="center"/>
        <w:divId w:val="424032372"/>
        <w:rPr>
          <w:rFonts w:eastAsia="Times New Roman"/>
        </w:rPr>
      </w:pPr>
      <w:r>
        <w:rPr>
          <w:rFonts w:eastAsia="Times New Roman"/>
          <w:color w:val="000000"/>
          <w:sz w:val="16"/>
          <w:szCs w:val="16"/>
        </w:rPr>
        <w:t>Securities Registered Pursuant to Section 12(b) of the Act:</w:t>
      </w:r>
    </w:p>
    <w:tbl>
      <w:tblPr>
        <w:tblW w:w="4576" w:type="pct"/>
        <w:tblCellMar>
          <w:top w:w="15" w:type="dxa"/>
          <w:left w:w="15" w:type="dxa"/>
          <w:bottom w:w="15" w:type="dxa"/>
          <w:right w:w="15" w:type="dxa"/>
        </w:tblCellMar>
        <w:tblLook w:val="04A0" w:firstRow="1" w:lastRow="0" w:firstColumn="1" w:lastColumn="0" w:noHBand="0" w:noVBand="1"/>
      </w:tblPr>
      <w:tblGrid>
        <w:gridCol w:w="47"/>
        <w:gridCol w:w="3422"/>
        <w:gridCol w:w="37"/>
        <w:gridCol w:w="36"/>
        <w:gridCol w:w="36"/>
        <w:gridCol w:w="36"/>
        <w:gridCol w:w="45"/>
        <w:gridCol w:w="1069"/>
        <w:gridCol w:w="36"/>
        <w:gridCol w:w="36"/>
        <w:gridCol w:w="36"/>
        <w:gridCol w:w="36"/>
        <w:gridCol w:w="48"/>
        <w:gridCol w:w="2646"/>
        <w:gridCol w:w="36"/>
      </w:tblGrid>
      <w:tr w:rsidR="00000000">
        <w:trPr>
          <w:divId w:val="681131654"/>
        </w:trPr>
        <w:tc>
          <w:tcPr>
            <w:tcW w:w="50" w:type="pct"/>
            <w:vAlign w:val="center"/>
            <w:hideMark/>
          </w:tcPr>
          <w:p w:rsidR="00000000" w:rsidRDefault="00905244">
            <w:pPr>
              <w:jc w:val="center"/>
              <w:rPr>
                <w:rFonts w:eastAsia="Times New Roman"/>
              </w:rPr>
            </w:pPr>
          </w:p>
        </w:tc>
        <w:tc>
          <w:tcPr>
            <w:tcW w:w="226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73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175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681131654"/>
        </w:trPr>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16"/>
                <w:szCs w:val="16"/>
                <w:u w:val="single"/>
              </w:rPr>
              <w:t>Title of each class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16"/>
                <w:szCs w:val="16"/>
                <w:u w:val="single"/>
              </w:rPr>
              <w:t>Trading Symbol(s)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16"/>
                <w:szCs w:val="16"/>
                <w:u w:val="single"/>
              </w:rPr>
              <w:t>Name of each exchange on which registered</w:t>
            </w:r>
          </w:p>
        </w:tc>
      </w:tr>
      <w:tr w:rsidR="00000000">
        <w:trPr>
          <w:divId w:val="681131654"/>
        </w:trPr>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16"/>
                <w:szCs w:val="16"/>
              </w:rPr>
              <w:t>Common Stock, $.008 par value</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16"/>
                <w:szCs w:val="16"/>
              </w:rPr>
              <w:t>TSCO</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16"/>
                <w:szCs w:val="16"/>
              </w:rPr>
              <w:t>NASDAQ Global Select Market</w:t>
            </w:r>
          </w:p>
        </w:tc>
      </w:tr>
    </w:tbl>
    <w:p w:rsidR="00000000" w:rsidRDefault="00905244">
      <w:pPr>
        <w:divId w:val="662316742"/>
        <w:rPr>
          <w:rFonts w:eastAsia="Times New Roman"/>
        </w:rPr>
      </w:pPr>
    </w:p>
    <w:p w:rsidR="00000000" w:rsidRDefault="00905244">
      <w:pPr>
        <w:divId w:val="462583590"/>
        <w:rPr>
          <w:rFonts w:eastAsia="Times New Roman"/>
        </w:rPr>
      </w:pPr>
      <w:r>
        <w:rPr>
          <w:rFonts w:eastAsia="Times New Roman"/>
          <w:color w:val="000000"/>
          <w:sz w:val="16"/>
          <w:szCs w:val="16"/>
        </w:rPr>
        <w:t>Securities Registered Pursuant to Section 12(g) of the Act: None</w:t>
      </w:r>
    </w:p>
    <w:tbl>
      <w:tblPr>
        <w:tblW w:w="5000" w:type="pct"/>
        <w:tblCellMar>
          <w:top w:w="15" w:type="dxa"/>
          <w:left w:w="15" w:type="dxa"/>
          <w:bottom w:w="15" w:type="dxa"/>
          <w:right w:w="15" w:type="dxa"/>
        </w:tblCellMar>
        <w:tblLook w:val="04A0" w:firstRow="1" w:lastRow="0" w:firstColumn="1" w:lastColumn="0" w:noHBand="0" w:noVBand="1"/>
      </w:tblPr>
      <w:tblGrid>
        <w:gridCol w:w="53"/>
        <w:gridCol w:w="1816"/>
        <w:gridCol w:w="36"/>
        <w:gridCol w:w="53"/>
        <w:gridCol w:w="1816"/>
        <w:gridCol w:w="36"/>
        <w:gridCol w:w="36"/>
        <w:gridCol w:w="36"/>
        <w:gridCol w:w="36"/>
        <w:gridCol w:w="54"/>
        <w:gridCol w:w="1817"/>
        <w:gridCol w:w="36"/>
        <w:gridCol w:w="36"/>
        <w:gridCol w:w="36"/>
        <w:gridCol w:w="36"/>
        <w:gridCol w:w="54"/>
        <w:gridCol w:w="2283"/>
        <w:gridCol w:w="36"/>
      </w:tblGrid>
      <w:tr w:rsidR="00000000">
        <w:trPr>
          <w:divId w:val="841550755"/>
        </w:trPr>
        <w:tc>
          <w:tcPr>
            <w:tcW w:w="50" w:type="pct"/>
            <w:vAlign w:val="center"/>
            <w:hideMark/>
          </w:tcPr>
          <w:p w:rsidR="00000000" w:rsidRDefault="00905244">
            <w:pPr>
              <w:rPr>
                <w:rFonts w:eastAsia="Times New Roman"/>
              </w:rPr>
            </w:pPr>
          </w:p>
        </w:tc>
        <w:tc>
          <w:tcPr>
            <w:tcW w:w="111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111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1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111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1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139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841550755"/>
          <w:trHeight w:val="10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bl>
    <w:p w:rsidR="00000000" w:rsidRDefault="00905244">
      <w:pPr>
        <w:divId w:val="161359679"/>
        <w:rPr>
          <w:rFonts w:eastAsia="Times New Roman"/>
        </w:rPr>
      </w:pPr>
      <w:r>
        <w:rPr>
          <w:rFonts w:eastAsia="Times New Roman"/>
          <w:color w:val="000000"/>
          <w:sz w:val="16"/>
          <w:szCs w:val="16"/>
        </w:rPr>
        <w:t>Indicate by check mark if the registrant is a well-known seasoned issuer, as defined in Rule 405 of the Securities Act.</w:t>
      </w:r>
    </w:p>
    <w:p w:rsidR="00000000" w:rsidRDefault="00905244">
      <w:pPr>
        <w:jc w:val="center"/>
        <w:rPr>
          <w:rFonts w:eastAsia="Times New Roman"/>
        </w:rPr>
      </w:pPr>
      <w:r>
        <w:rPr>
          <w:rFonts w:eastAsia="Times New Roman"/>
          <w:color w:val="000000"/>
          <w:sz w:val="16"/>
          <w:szCs w:val="16"/>
        </w:rPr>
        <w:t>Yes  </w:t>
      </w:r>
      <w:r>
        <w:rPr>
          <w:rFonts w:ascii="Wingdings" w:eastAsia="Times New Roman" w:hAnsi="Wingdings"/>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w:t>
      </w:r>
    </w:p>
    <w:p w:rsidR="00000000" w:rsidRDefault="00905244">
      <w:pPr>
        <w:divId w:val="537549102"/>
        <w:rPr>
          <w:rFonts w:eastAsia="Times New Roman"/>
        </w:rPr>
      </w:pPr>
      <w:r>
        <w:rPr>
          <w:rFonts w:eastAsia="Times New Roman"/>
          <w:color w:val="000000"/>
          <w:sz w:val="16"/>
          <w:szCs w:val="16"/>
        </w:rPr>
        <w:t>Indicate by check mark if the registrant is not required to file reports pursuant to Section 13 or Section 15(d) of the A</w:t>
      </w:r>
      <w:r>
        <w:rPr>
          <w:rFonts w:eastAsia="Times New Roman"/>
          <w:color w:val="000000"/>
          <w:sz w:val="16"/>
          <w:szCs w:val="16"/>
        </w:rPr>
        <w:t>ct.</w:t>
      </w:r>
    </w:p>
    <w:p w:rsidR="00000000" w:rsidRDefault="00905244">
      <w:pPr>
        <w:jc w:val="center"/>
        <w:rPr>
          <w:rFonts w:eastAsia="Times New Roman"/>
        </w:rPr>
      </w:pPr>
      <w:r>
        <w:rPr>
          <w:rFonts w:eastAsia="Times New Roman"/>
          <w:color w:val="000000"/>
          <w:sz w:val="16"/>
          <w:szCs w:val="16"/>
        </w:rPr>
        <w:t>Yes  </w:t>
      </w:r>
      <w:r>
        <w:rPr>
          <w:rFonts w:ascii="Wingdings" w:eastAsia="Times New Roman" w:hAnsi="Wingdings"/>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w:t>
      </w:r>
    </w:p>
    <w:p w:rsidR="00000000" w:rsidRDefault="00905244">
      <w:pPr>
        <w:jc w:val="both"/>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preceding 12 months (or for such shorter period that the registrant was</w:t>
      </w:r>
      <w:r>
        <w:rPr>
          <w:rFonts w:eastAsia="Times New Roman"/>
          <w:color w:val="000000"/>
          <w:sz w:val="16"/>
          <w:szCs w:val="16"/>
        </w:rPr>
        <w:t xml:space="preserve"> required to file such reports), and (2) has been subject to such filing requirements for the past 90 days.</w:t>
      </w:r>
    </w:p>
    <w:p w:rsidR="00000000" w:rsidRDefault="00905244">
      <w:pPr>
        <w:jc w:val="center"/>
        <w:rPr>
          <w:rFonts w:eastAsia="Times New Roman"/>
        </w:rPr>
      </w:pPr>
      <w:r>
        <w:rPr>
          <w:rFonts w:eastAsia="Times New Roman"/>
          <w:color w:val="000000"/>
          <w:sz w:val="16"/>
          <w:szCs w:val="16"/>
        </w:rPr>
        <w:t>Yes  </w:t>
      </w:r>
      <w:r>
        <w:rPr>
          <w:rFonts w:ascii="Wingdings" w:eastAsia="Times New Roman" w:hAnsi="Wingdings"/>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w:t>
      </w:r>
    </w:p>
    <w:p w:rsidR="00000000" w:rsidRDefault="00905244">
      <w:pPr>
        <w:jc w:val="both"/>
        <w:rPr>
          <w:rFonts w:eastAsia="Times New Roman"/>
        </w:rPr>
      </w:pPr>
      <w:r>
        <w:rPr>
          <w:rFonts w:eastAsia="Times New Roman"/>
          <w:color w:val="000000"/>
          <w:sz w:val="16"/>
          <w:szCs w:val="16"/>
        </w:rPr>
        <w:t>Indicate by check mark whether the registrant has submitted electronically every Interactive Data File required to be submitted pursu</w:t>
      </w:r>
      <w:r>
        <w:rPr>
          <w:rFonts w:eastAsia="Times New Roman"/>
          <w:color w:val="000000"/>
          <w:sz w:val="16"/>
          <w:szCs w:val="16"/>
        </w:rPr>
        <w:t>ant to Rule 405 of Regulation S-T (§232.405 of this chapter) during the preceding 12 months (or for such shorter period that the registrant was required to submit such files).</w:t>
      </w:r>
    </w:p>
    <w:p w:rsidR="00000000" w:rsidRDefault="00905244">
      <w:pPr>
        <w:jc w:val="center"/>
        <w:rPr>
          <w:rFonts w:eastAsia="Times New Roman"/>
        </w:rPr>
      </w:pPr>
      <w:r>
        <w:rPr>
          <w:rFonts w:eastAsia="Times New Roman"/>
          <w:color w:val="000000"/>
          <w:sz w:val="16"/>
          <w:szCs w:val="16"/>
        </w:rPr>
        <w:t>Yes  </w:t>
      </w:r>
      <w:r>
        <w:rPr>
          <w:rFonts w:ascii="Wingdings" w:eastAsia="Times New Roman" w:hAnsi="Wingdings"/>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w:t>
      </w:r>
    </w:p>
    <w:p w:rsidR="00000000" w:rsidRDefault="00905244">
      <w:pPr>
        <w:divId w:val="1277449940"/>
        <w:rPr>
          <w:rFonts w:eastAsia="Times New Roman"/>
        </w:rPr>
      </w:pPr>
    </w:p>
    <w:p w:rsidR="00000000" w:rsidRDefault="00905244">
      <w:pPr>
        <w:jc w:val="both"/>
        <w:rPr>
          <w:rFonts w:eastAsia="Times New Roman"/>
        </w:rPr>
      </w:pPr>
      <w:r>
        <w:rPr>
          <w:rFonts w:eastAsia="Times New Roman"/>
          <w:color w:val="000000"/>
          <w:sz w:val="16"/>
          <w:szCs w:val="16"/>
        </w:rPr>
        <w:t>Indicate by check mark whether the registrant is a large accele</w:t>
      </w:r>
      <w:r>
        <w:rPr>
          <w:rFonts w:eastAsia="Times New Roman"/>
          <w:color w:val="000000"/>
          <w:sz w:val="16"/>
          <w:szCs w:val="16"/>
        </w:rPr>
        <w:t>rated filer, an accelerated filer, a non-accelerated filer, a smaller reporting company, or an emerging growth company.  See the definitions of “large accelerated filer,” “accelerated filer,” “smaller reporting company” and “emerging growth company” in Rul</w:t>
      </w:r>
      <w:r>
        <w:rPr>
          <w:rFonts w:eastAsia="Times New Roman"/>
          <w:color w:val="000000"/>
          <w:sz w:val="16"/>
          <w:szCs w:val="16"/>
        </w:rPr>
        <w:t xml:space="preserve">e 12b-2 of the Exchange Act: </w:t>
      </w:r>
    </w:p>
    <w:tbl>
      <w:tblPr>
        <w:tblW w:w="4985" w:type="pct"/>
        <w:tblCellMar>
          <w:top w:w="15" w:type="dxa"/>
          <w:left w:w="15" w:type="dxa"/>
          <w:bottom w:w="15" w:type="dxa"/>
          <w:right w:w="15" w:type="dxa"/>
        </w:tblCellMar>
        <w:tblLook w:val="04A0" w:firstRow="1" w:lastRow="0" w:firstColumn="1" w:lastColumn="0" w:noHBand="0" w:noVBand="1"/>
      </w:tblPr>
      <w:tblGrid>
        <w:gridCol w:w="69"/>
        <w:gridCol w:w="198"/>
        <w:gridCol w:w="36"/>
        <w:gridCol w:w="69"/>
        <w:gridCol w:w="1594"/>
        <w:gridCol w:w="36"/>
        <w:gridCol w:w="69"/>
        <w:gridCol w:w="3441"/>
        <w:gridCol w:w="36"/>
        <w:gridCol w:w="69"/>
        <w:gridCol w:w="1886"/>
        <w:gridCol w:w="36"/>
        <w:gridCol w:w="70"/>
        <w:gridCol w:w="636"/>
        <w:gridCol w:w="36"/>
      </w:tblGrid>
      <w:tr w:rsidR="00000000">
        <w:trPr>
          <w:divId w:val="8726514"/>
        </w:trPr>
        <w:tc>
          <w:tcPr>
            <w:tcW w:w="50" w:type="pct"/>
            <w:vAlign w:val="center"/>
            <w:hideMark/>
          </w:tcPr>
          <w:p w:rsidR="00000000" w:rsidRDefault="00905244">
            <w:pPr>
              <w:jc w:val="both"/>
              <w:rPr>
                <w:rFonts w:eastAsia="Times New Roman"/>
              </w:rPr>
            </w:pPr>
          </w:p>
        </w:tc>
        <w:tc>
          <w:tcPr>
            <w:tcW w:w="12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97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208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114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39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872651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16"/>
                <w:szCs w:val="16"/>
              </w:rPr>
              <w:t>Large accelerated filer</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ascii="Wingdings" w:eastAsia="Times New Roman" w:hAnsi="Wingdings"/>
                <w:color w:val="000000"/>
                <w:sz w:val="16"/>
                <w:szCs w:val="16"/>
              </w:rPr>
              <w:t>☑</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ascii="Wingdings" w:eastAsia="Times New Roman" w:hAnsi="Wingdings"/>
                <w:color w:val="000000"/>
                <w:sz w:val="16"/>
                <w:szCs w:val="16"/>
              </w:rPr>
              <w:t>☐</w:t>
            </w:r>
          </w:p>
        </w:tc>
      </w:tr>
      <w:tr w:rsidR="00000000">
        <w:trPr>
          <w:divId w:val="872651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ascii="Wingdings" w:eastAsia="Times New Roman" w:hAnsi="Wingdings"/>
                <w:color w:val="000000"/>
                <w:sz w:val="16"/>
                <w:szCs w:val="16"/>
              </w:rPr>
              <w:t>☐</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ascii="Wingdings" w:eastAsia="Times New Roman" w:hAnsi="Wingdings"/>
                <w:color w:val="000000"/>
                <w:sz w:val="16"/>
                <w:szCs w:val="16"/>
              </w:rPr>
              <w:t>☐</w:t>
            </w:r>
          </w:p>
        </w:tc>
      </w:tr>
      <w:tr w:rsidR="00000000">
        <w:trPr>
          <w:divId w:val="8726514"/>
        </w:trPr>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16"/>
                <w:szCs w:val="16"/>
              </w:rPr>
              <w:t>Emerging growth company</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ascii="Wingdings" w:eastAsia="Times New Roman" w:hAnsi="Wingdings"/>
                <w:color w:val="000000"/>
                <w:sz w:val="16"/>
                <w:szCs w:val="16"/>
              </w:rPr>
              <w:t>☐</w:t>
            </w:r>
          </w:p>
        </w:tc>
      </w:tr>
    </w:tbl>
    <w:p w:rsidR="00000000" w:rsidRDefault="00905244">
      <w:pPr>
        <w:divId w:val="1890728991"/>
        <w:rPr>
          <w:rFonts w:eastAsia="Times New Roman"/>
        </w:rPr>
      </w:pPr>
      <w:r>
        <w:rPr>
          <w:rFonts w:eastAsia="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16"/>
          <w:szCs w:val="16"/>
        </w:rPr>
        <w:t>☐</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16"/>
          <w:szCs w:val="16"/>
        </w:rPr>
        <w:t>I</w:t>
      </w:r>
      <w:r>
        <w:rPr>
          <w:rFonts w:eastAsia="Times New Roman"/>
          <w:color w:val="000000"/>
          <w:sz w:val="16"/>
          <w:szCs w:val="16"/>
        </w:rPr>
        <w:t>ndicate by check mark whether the registrant has filed a report on and attestation to its management's assessment of effectiveness of its internal control over financial reporting under section 404(b) of Sarbanes-Oxley Act (15 U.S.C. 7262(b)) by the regist</w:t>
      </w:r>
      <w:r>
        <w:rPr>
          <w:rFonts w:eastAsia="Times New Roman"/>
          <w:color w:val="000000"/>
          <w:sz w:val="16"/>
          <w:szCs w:val="16"/>
        </w:rPr>
        <w:t xml:space="preserve">ered public accounting firm that prepared or issued its audit report. </w:t>
      </w:r>
      <w:r>
        <w:rPr>
          <w:rFonts w:ascii="Wingdings" w:eastAsia="Times New Roman" w:hAnsi="Wingdings"/>
          <w:color w:val="000000"/>
          <w:sz w:val="16"/>
          <w:szCs w:val="16"/>
        </w:rPr>
        <w:t>☑</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16"/>
          <w:szCs w:val="16"/>
        </w:rPr>
        <w:t>Indicate by check mark whether the registrant is a shell company (as defined in Rule 12b-2 of the Act.)</w:t>
      </w:r>
    </w:p>
    <w:p w:rsidR="00000000" w:rsidRDefault="00905244">
      <w:pPr>
        <w:jc w:val="center"/>
        <w:rPr>
          <w:rFonts w:eastAsia="Times New Roman"/>
        </w:rPr>
      </w:pPr>
      <w:r>
        <w:rPr>
          <w:rFonts w:eastAsia="Times New Roman"/>
          <w:color w:val="000000"/>
          <w:sz w:val="16"/>
          <w:szCs w:val="16"/>
        </w:rPr>
        <w:t>Yes  </w:t>
      </w:r>
      <w:r>
        <w:rPr>
          <w:rFonts w:ascii="Wingdings" w:eastAsia="Times New Roman" w:hAnsi="Wingdings"/>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w:t>
      </w:r>
    </w:p>
    <w:p w:rsidR="00000000" w:rsidRDefault="00905244">
      <w:pPr>
        <w:jc w:val="both"/>
        <w:rPr>
          <w:rFonts w:eastAsia="Times New Roman"/>
        </w:rPr>
      </w:pPr>
      <w:r>
        <w:rPr>
          <w:rFonts w:eastAsia="Times New Roman"/>
          <w:color w:val="000000"/>
          <w:sz w:val="16"/>
          <w:szCs w:val="16"/>
        </w:rPr>
        <w:t>The aggregate market value of the Common Stock held by non-affi</w:t>
      </w:r>
      <w:r>
        <w:rPr>
          <w:rFonts w:eastAsia="Times New Roman"/>
          <w:color w:val="000000"/>
          <w:sz w:val="16"/>
          <w:szCs w:val="16"/>
        </w:rPr>
        <w:t>liates of the registrant, based on the closing price of the Common Stock on The NASDAQ Global Select Market on June 27, 2020, the last business day of the registrant’s most recently completed second fiscal quarter, was approximately $12.6 billion.  For pur</w:t>
      </w:r>
      <w:r>
        <w:rPr>
          <w:rFonts w:eastAsia="Times New Roman"/>
          <w:color w:val="000000"/>
          <w:sz w:val="16"/>
          <w:szCs w:val="16"/>
        </w:rPr>
        <w:t>poses of this response, the registrant has assumed that its directors, executive officers, and beneficial owners of 5% or more of its Common Stock are affiliates of the registrant.</w:t>
      </w:r>
    </w:p>
    <w:p w:rsidR="00000000" w:rsidRDefault="00905244">
      <w:pPr>
        <w:divId w:val="395666337"/>
        <w:rPr>
          <w:rFonts w:eastAsia="Times New Roman"/>
        </w:rPr>
      </w:pPr>
    </w:p>
    <w:p w:rsidR="00000000" w:rsidRDefault="00905244">
      <w:pPr>
        <w:jc w:val="both"/>
        <w:rPr>
          <w:rFonts w:eastAsia="Times New Roman"/>
        </w:rPr>
      </w:pPr>
      <w:r>
        <w:rPr>
          <w:rFonts w:eastAsia="Times New Roman"/>
          <w:color w:val="000000"/>
          <w:sz w:val="16"/>
          <w:szCs w:val="16"/>
        </w:rPr>
        <w:t>Indicate the number of shares outstanding of each of the registrant’s cla</w:t>
      </w:r>
      <w:r>
        <w:rPr>
          <w:rFonts w:eastAsia="Times New Roman"/>
          <w:color w:val="000000"/>
          <w:sz w:val="16"/>
          <w:szCs w:val="16"/>
        </w:rPr>
        <w:t>sses of common stock as of the latest practicable date.</w:t>
      </w:r>
    </w:p>
    <w:tbl>
      <w:tblPr>
        <w:tblW w:w="4992" w:type="pct"/>
        <w:tblCellMar>
          <w:top w:w="15" w:type="dxa"/>
          <w:left w:w="15" w:type="dxa"/>
          <w:bottom w:w="15" w:type="dxa"/>
          <w:right w:w="15" w:type="dxa"/>
        </w:tblCellMar>
        <w:tblLook w:val="04A0" w:firstRow="1" w:lastRow="0" w:firstColumn="1" w:lastColumn="0" w:noHBand="0" w:noVBand="1"/>
      </w:tblPr>
      <w:tblGrid>
        <w:gridCol w:w="61"/>
        <w:gridCol w:w="5703"/>
        <w:gridCol w:w="36"/>
        <w:gridCol w:w="36"/>
        <w:gridCol w:w="36"/>
        <w:gridCol w:w="36"/>
        <w:gridCol w:w="46"/>
        <w:gridCol w:w="2303"/>
        <w:gridCol w:w="36"/>
      </w:tblGrid>
      <w:tr w:rsidR="00000000">
        <w:trPr>
          <w:divId w:val="1238520652"/>
        </w:trPr>
        <w:tc>
          <w:tcPr>
            <w:tcW w:w="50" w:type="pct"/>
            <w:vAlign w:val="center"/>
            <w:hideMark/>
          </w:tcPr>
          <w:p w:rsidR="00000000" w:rsidRDefault="00905244">
            <w:pPr>
              <w:jc w:val="both"/>
              <w:rPr>
                <w:rFonts w:eastAsia="Times New Roman"/>
              </w:rPr>
            </w:pPr>
          </w:p>
        </w:tc>
        <w:tc>
          <w:tcPr>
            <w:tcW w:w="345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140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238520652"/>
        </w:trPr>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16"/>
                <w:szCs w:val="16"/>
              </w:rPr>
              <w:t>Class</w:t>
            </w:r>
          </w:p>
        </w:tc>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16"/>
                <w:szCs w:val="16"/>
              </w:rPr>
              <w:t>Outstanding at January 23, 2021</w:t>
            </w:r>
          </w:p>
        </w:tc>
      </w:tr>
      <w:tr w:rsidR="00000000">
        <w:trPr>
          <w:divId w:val="1238520652"/>
        </w:trPr>
        <w:tc>
          <w:tcPr>
            <w:tcW w:w="0" w:type="auto"/>
            <w:gridSpan w:val="3"/>
            <w:tcBorders>
              <w:top w:val="single" w:sz="1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16"/>
                <w:szCs w:val="16"/>
              </w:rPr>
              <w:t>Common Stock, $.008 par value</w:t>
            </w:r>
          </w:p>
        </w:tc>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6"/>
                <w:szCs w:val="16"/>
              </w:rPr>
              <w:t> </w:t>
            </w:r>
          </w:p>
        </w:tc>
        <w:tc>
          <w:tcPr>
            <w:tcW w:w="0" w:type="auto"/>
            <w:gridSpan w:val="3"/>
            <w:tcBorders>
              <w:top w:val="single" w:sz="1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16"/>
                <w:szCs w:val="16"/>
              </w:rPr>
              <w:t>116,301,841</w:t>
            </w:r>
          </w:p>
        </w:tc>
      </w:tr>
    </w:tbl>
    <w:p w:rsidR="00000000" w:rsidRDefault="00905244">
      <w:pPr>
        <w:divId w:val="728571707"/>
        <w:rPr>
          <w:rFonts w:eastAsia="Times New Roman"/>
        </w:rPr>
      </w:pPr>
      <w:r>
        <w:rPr>
          <w:rFonts w:eastAsia="Times New Roman"/>
          <w:b/>
          <w:bCs/>
          <w:color w:val="000000"/>
          <w:sz w:val="16"/>
          <w:szCs w:val="16"/>
        </w:rPr>
        <w:t>Documents Incorporated by Reference:</w:t>
      </w:r>
    </w:p>
    <w:p w:rsidR="00000000" w:rsidRDefault="00905244">
      <w:pPr>
        <w:jc w:val="both"/>
        <w:rPr>
          <w:rFonts w:eastAsia="Times New Roman"/>
        </w:rPr>
      </w:pPr>
      <w:r>
        <w:rPr>
          <w:rFonts w:eastAsia="Times New Roman"/>
          <w:b/>
          <w:bCs/>
          <w:color w:val="000000"/>
          <w:sz w:val="16"/>
          <w:szCs w:val="16"/>
        </w:rPr>
        <w:t>Portions of the Registrant’</w:t>
      </w:r>
      <w:r>
        <w:rPr>
          <w:rFonts w:eastAsia="Times New Roman"/>
          <w:b/>
          <w:bCs/>
          <w:color w:val="000000"/>
          <w:sz w:val="16"/>
          <w:szCs w:val="16"/>
        </w:rPr>
        <w:t>s definitive Proxy Statement for its 2021 Annual Meeting of Stockholders are incorporated by reference into Part III hereof.</w:t>
      </w:r>
    </w:p>
    <w:p w:rsidR="00000000" w:rsidRDefault="00905244">
      <w:pPr>
        <w:divId w:val="554779234"/>
        <w:rPr>
          <w:rFonts w:eastAsia="Times New Roman"/>
        </w:rPr>
      </w:pPr>
    </w:p>
    <w:p w:rsidR="00000000" w:rsidRDefault="00905244">
      <w:pPr>
        <w:rPr>
          <w:rFonts w:eastAsia="Times New Roman"/>
        </w:rPr>
      </w:pPr>
      <w:r>
        <w:rPr>
          <w:rFonts w:eastAsia="Times New Roman"/>
        </w:rPr>
        <w:pict>
          <v:rect id="_x0000_i1026" style="width:0;height:1.5pt" o:hralign="center" o:hrstd="t" o:hr="t" fillcolor="#a0a0a0" stroked="f"/>
        </w:pict>
      </w:r>
    </w:p>
    <w:p w:rsidR="00000000" w:rsidRDefault="00905244">
      <w:pPr>
        <w:divId w:val="1236278349"/>
        <w:rPr>
          <w:rFonts w:eastAsia="Times New Roman"/>
        </w:rPr>
      </w:pPr>
    </w:p>
    <w:p w:rsidR="00000000" w:rsidRDefault="00905244">
      <w:pPr>
        <w:divId w:val="1552351510"/>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8"/>
        <w:gridCol w:w="464"/>
        <w:gridCol w:w="38"/>
        <w:gridCol w:w="68"/>
        <w:gridCol w:w="6562"/>
        <w:gridCol w:w="38"/>
        <w:gridCol w:w="69"/>
        <w:gridCol w:w="950"/>
        <w:gridCol w:w="36"/>
      </w:tblGrid>
      <w:tr w:rsidR="00000000">
        <w:trPr>
          <w:divId w:val="1724056836"/>
        </w:trPr>
        <w:tc>
          <w:tcPr>
            <w:tcW w:w="50" w:type="pct"/>
            <w:vAlign w:val="center"/>
            <w:hideMark/>
          </w:tcPr>
          <w:p w:rsidR="00000000" w:rsidRDefault="00905244">
            <w:pPr>
              <w:rPr>
                <w:rFonts w:eastAsia="Times New Roman"/>
              </w:rPr>
            </w:pPr>
          </w:p>
        </w:tc>
        <w:tc>
          <w:tcPr>
            <w:tcW w:w="28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3964"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8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724056836"/>
        </w:trPr>
        <w:tc>
          <w:tcPr>
            <w:tcW w:w="0" w:type="auto"/>
            <w:gridSpan w:val="6"/>
            <w:tcMar>
              <w:top w:w="30" w:type="dxa"/>
              <w:left w:w="20" w:type="dxa"/>
              <w:bottom w:w="30" w:type="dxa"/>
              <w:right w:w="20" w:type="dxa"/>
            </w:tcMar>
            <w:vAlign w:val="bottom"/>
            <w:hideMark/>
          </w:tcPr>
          <w:p w:rsidR="00000000" w:rsidRDefault="00905244">
            <w:pPr>
              <w:divId w:val="587933175"/>
              <w:rPr>
                <w:rFonts w:eastAsia="Times New Roman"/>
              </w:rPr>
            </w:pPr>
            <w:r>
              <w:rPr>
                <w:rFonts w:eastAsia="Times New Roman"/>
                <w:b/>
                <w:bCs/>
                <w:color w:val="000000"/>
                <w:sz w:val="20"/>
                <w:szCs w:val="20"/>
                <w:u w:val="single"/>
              </w:rPr>
              <w:t>Item no.</w:t>
            </w: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 </w:t>
            </w:r>
            <w:r>
              <w:rPr>
                <w:rFonts w:eastAsia="Times New Roman"/>
                <w:b/>
                <w:bCs/>
                <w:color w:val="000000"/>
                <w:sz w:val="20"/>
                <w:szCs w:val="20"/>
              </w:rPr>
              <w:t>Form 10-K Report Page</w:t>
            </w:r>
          </w:p>
        </w:tc>
      </w:tr>
      <w:tr w:rsidR="00000000">
        <w:trPr>
          <w:divId w:val="1724056836"/>
        </w:trPr>
        <w:tc>
          <w:tcPr>
            <w:tcW w:w="0" w:type="auto"/>
            <w:gridSpan w:val="6"/>
            <w:shd w:val="clear" w:color="auto" w:fill="CCEEFF"/>
            <w:tcMar>
              <w:top w:w="30" w:type="dxa"/>
              <w:left w:w="20" w:type="dxa"/>
              <w:bottom w:w="30" w:type="dxa"/>
              <w:right w:w="20" w:type="dxa"/>
            </w:tcMar>
            <w:vAlign w:val="bottom"/>
            <w:hideMark/>
          </w:tcPr>
          <w:p w:rsidR="00000000" w:rsidRDefault="00905244">
            <w:pPr>
              <w:divId w:val="187767224"/>
              <w:rPr>
                <w:rFonts w:eastAsia="Times New Roman"/>
              </w:rPr>
            </w:pPr>
            <w:hyperlink w:anchor="i137f04c25e1e4da3b6d1f469d06f3319_10" w:history="1">
              <w:r>
                <w:rPr>
                  <w:rStyle w:val="a3"/>
                  <w:rFonts w:eastAsia="Times New Roman"/>
                  <w:sz w:val="20"/>
                  <w:szCs w:val="20"/>
                </w:rPr>
                <w:t>Forward-Looking Statements</w:t>
              </w:r>
            </w:hyperlink>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rsidR="00000000" w:rsidRDefault="00905244">
            <w:pPr>
              <w:jc w:val="right"/>
              <w:rPr>
                <w:rFonts w:eastAsia="Times New Roman"/>
              </w:rPr>
            </w:pPr>
            <w:hyperlink w:anchor="i137f04c25e1e4da3b6d1f469d06f3319_10" w:history="1">
              <w:r>
                <w:rPr>
                  <w:rStyle w:val="a3"/>
                  <w:rFonts w:eastAsia="Times New Roman"/>
                  <w:sz w:val="20"/>
                  <w:szCs w:val="20"/>
                </w:rPr>
                <w:t>ii</w:t>
              </w:r>
            </w:hyperlink>
          </w:p>
        </w:tc>
      </w:tr>
      <w:tr w:rsidR="00000000">
        <w:trPr>
          <w:divId w:val="1724056836"/>
          <w:trHeight w:val="300"/>
        </w:trPr>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724056836"/>
        </w:trPr>
        <w:tc>
          <w:tcPr>
            <w:tcW w:w="0" w:type="auto"/>
            <w:gridSpan w:val="6"/>
            <w:shd w:val="clear" w:color="auto" w:fill="CCEEFF"/>
            <w:tcMar>
              <w:top w:w="30" w:type="dxa"/>
              <w:left w:w="20" w:type="dxa"/>
              <w:bottom w:w="30" w:type="dxa"/>
              <w:right w:w="20" w:type="dxa"/>
            </w:tcMar>
            <w:vAlign w:val="bottom"/>
            <w:hideMark/>
          </w:tcPr>
          <w:p w:rsidR="00000000" w:rsidRDefault="00905244">
            <w:pPr>
              <w:divId w:val="1155222015"/>
              <w:rPr>
                <w:rFonts w:eastAsia="Times New Roman"/>
              </w:rPr>
            </w:pPr>
            <w:hyperlink w:anchor="i137f04c25e1e4da3b6d1f469d06f3319_13" w:history="1">
              <w:r>
                <w:rPr>
                  <w:rStyle w:val="a3"/>
                  <w:rFonts w:eastAsia="Times New Roman"/>
                  <w:sz w:val="20"/>
                  <w:szCs w:val="20"/>
                </w:rPr>
                <w:t>PART I</w:t>
              </w:r>
            </w:hyperlink>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hyperlink w:anchor="i137f04c25e1e4da3b6d1f469d06f3319_13" w:history="1">
              <w:r>
                <w:rPr>
                  <w:rStyle w:val="a3"/>
                  <w:rFonts w:eastAsia="Times New Roman"/>
                  <w:sz w:val="20"/>
                  <w:szCs w:val="20"/>
                </w:rPr>
                <w:t>1</w:t>
              </w:r>
            </w:hyperlink>
          </w:p>
        </w:tc>
      </w:tr>
      <w:tr w:rsidR="00000000">
        <w:trPr>
          <w:divId w:val="1724056836"/>
        </w:trPr>
        <w:tc>
          <w:tcPr>
            <w:tcW w:w="0" w:type="auto"/>
            <w:gridSpan w:val="3"/>
            <w:tcMar>
              <w:top w:w="30" w:type="dxa"/>
              <w:left w:w="20" w:type="dxa"/>
              <w:bottom w:w="30" w:type="dxa"/>
              <w:right w:w="20" w:type="dxa"/>
            </w:tcMar>
            <w:vAlign w:val="bottom"/>
            <w:hideMark/>
          </w:tcPr>
          <w:p w:rsidR="00000000" w:rsidRDefault="00905244">
            <w:pPr>
              <w:divId w:val="1286160974"/>
              <w:rPr>
                <w:rFonts w:eastAsia="Times New Roman"/>
              </w:rPr>
            </w:pPr>
            <w:hyperlink w:anchor="i137f04c25e1e4da3b6d1f469d06f3319_16" w:history="1">
              <w:r>
                <w:rPr>
                  <w:rStyle w:val="a3"/>
                  <w:rFonts w:eastAsia="Times New Roman"/>
                  <w:sz w:val="20"/>
                  <w:szCs w:val="20"/>
                </w:rPr>
                <w:t>1.</w:t>
              </w:r>
            </w:hyperlink>
          </w:p>
        </w:tc>
        <w:tc>
          <w:tcPr>
            <w:tcW w:w="0" w:type="auto"/>
            <w:gridSpan w:val="3"/>
            <w:tcMar>
              <w:top w:w="30" w:type="dxa"/>
              <w:left w:w="20" w:type="dxa"/>
              <w:bottom w:w="30" w:type="dxa"/>
              <w:right w:w="20" w:type="dxa"/>
            </w:tcMar>
            <w:vAlign w:val="bottom"/>
            <w:hideMark/>
          </w:tcPr>
          <w:p w:rsidR="00000000" w:rsidRDefault="00905244">
            <w:pPr>
              <w:divId w:val="1070544951"/>
              <w:rPr>
                <w:rFonts w:eastAsia="Times New Roman"/>
              </w:rPr>
            </w:pPr>
            <w:hyperlink w:anchor="i137f04c25e1e4da3b6d1f469d06f3319_16" w:history="1">
              <w:r>
                <w:rPr>
                  <w:rStyle w:val="a3"/>
                  <w:rFonts w:eastAsia="Times New Roman"/>
                  <w:sz w:val="20"/>
                  <w:szCs w:val="20"/>
                </w:rPr>
                <w:t>Business</w:t>
              </w:r>
            </w:hyperlink>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hyperlink w:anchor="i137f04c25e1e4da3b6d1f469d06f3319_16" w:history="1">
              <w:r>
                <w:rPr>
                  <w:rStyle w:val="a3"/>
                  <w:rFonts w:eastAsia="Times New Roman"/>
                  <w:sz w:val="20"/>
                  <w:szCs w:val="20"/>
                </w:rPr>
                <w:t>1</w:t>
              </w:r>
            </w:hyperlink>
          </w:p>
        </w:tc>
      </w:tr>
      <w:tr w:rsidR="00000000">
        <w:trPr>
          <w:divId w:val="1724056836"/>
        </w:trPr>
        <w:tc>
          <w:tcPr>
            <w:tcW w:w="0" w:type="auto"/>
            <w:gridSpan w:val="3"/>
            <w:shd w:val="clear" w:color="auto" w:fill="CCEEFF"/>
            <w:tcMar>
              <w:top w:w="30" w:type="dxa"/>
              <w:left w:w="20" w:type="dxa"/>
              <w:bottom w:w="30" w:type="dxa"/>
              <w:right w:w="20" w:type="dxa"/>
            </w:tcMar>
            <w:vAlign w:val="bottom"/>
            <w:hideMark/>
          </w:tcPr>
          <w:p w:rsidR="00000000" w:rsidRDefault="00905244">
            <w:pPr>
              <w:divId w:val="710768807"/>
              <w:rPr>
                <w:rFonts w:eastAsia="Times New Roman"/>
              </w:rPr>
            </w:pPr>
            <w:hyperlink w:anchor="i137f04c25e1e4da3b6d1f469d06f3319_19" w:history="1">
              <w:r>
                <w:rPr>
                  <w:rStyle w:val="a3"/>
                  <w:rFonts w:eastAsia="Times New Roman"/>
                  <w:sz w:val="20"/>
                  <w:szCs w:val="20"/>
                </w:rPr>
                <w:t>1A.</w:t>
              </w:r>
            </w:hyperlink>
          </w:p>
        </w:tc>
        <w:tc>
          <w:tcPr>
            <w:tcW w:w="0" w:type="auto"/>
            <w:gridSpan w:val="3"/>
            <w:shd w:val="clear" w:color="auto" w:fill="CCEEFF"/>
            <w:tcMar>
              <w:top w:w="30" w:type="dxa"/>
              <w:left w:w="20" w:type="dxa"/>
              <w:bottom w:w="30" w:type="dxa"/>
              <w:right w:w="20" w:type="dxa"/>
            </w:tcMar>
            <w:vAlign w:val="bottom"/>
            <w:hideMark/>
          </w:tcPr>
          <w:p w:rsidR="00000000" w:rsidRDefault="00905244">
            <w:pPr>
              <w:divId w:val="1316180201"/>
              <w:rPr>
                <w:rFonts w:eastAsia="Times New Roman"/>
              </w:rPr>
            </w:pPr>
            <w:hyperlink w:anchor="i137f04c25e1e4da3b6d1f469d06f3319_19" w:history="1">
              <w:r>
                <w:rPr>
                  <w:rStyle w:val="a3"/>
                  <w:rFonts w:eastAsia="Times New Roman"/>
                  <w:sz w:val="20"/>
                  <w:szCs w:val="20"/>
                </w:rPr>
                <w:t>Risk Factors</w:t>
              </w:r>
            </w:hyperlink>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hyperlink w:anchor="i137f04c25e1e4da3b6d1f469d06f3319_19" w:history="1">
              <w:r>
                <w:rPr>
                  <w:rStyle w:val="a3"/>
                  <w:rFonts w:eastAsia="Times New Roman"/>
                  <w:sz w:val="20"/>
                  <w:szCs w:val="20"/>
                </w:rPr>
                <w:t>11</w:t>
              </w:r>
            </w:hyperlink>
          </w:p>
        </w:tc>
      </w:tr>
      <w:tr w:rsidR="00000000">
        <w:trPr>
          <w:divId w:val="1724056836"/>
        </w:trPr>
        <w:tc>
          <w:tcPr>
            <w:tcW w:w="0" w:type="auto"/>
            <w:gridSpan w:val="3"/>
            <w:tcMar>
              <w:top w:w="30" w:type="dxa"/>
              <w:left w:w="20" w:type="dxa"/>
              <w:bottom w:w="30" w:type="dxa"/>
              <w:right w:w="20" w:type="dxa"/>
            </w:tcMar>
            <w:vAlign w:val="bottom"/>
            <w:hideMark/>
          </w:tcPr>
          <w:p w:rsidR="00000000" w:rsidRDefault="00905244">
            <w:pPr>
              <w:divId w:val="690423544"/>
              <w:rPr>
                <w:rFonts w:eastAsia="Times New Roman"/>
              </w:rPr>
            </w:pPr>
            <w:hyperlink w:anchor="i137f04c25e1e4da3b6d1f469d06f3319_22" w:history="1">
              <w:r>
                <w:rPr>
                  <w:rStyle w:val="a3"/>
                  <w:rFonts w:eastAsia="Times New Roman"/>
                  <w:sz w:val="20"/>
                  <w:szCs w:val="20"/>
                </w:rPr>
                <w:t>1B.</w:t>
              </w:r>
            </w:hyperlink>
          </w:p>
        </w:tc>
        <w:tc>
          <w:tcPr>
            <w:tcW w:w="0" w:type="auto"/>
            <w:gridSpan w:val="3"/>
            <w:tcMar>
              <w:top w:w="30" w:type="dxa"/>
              <w:left w:w="20" w:type="dxa"/>
              <w:bottom w:w="30" w:type="dxa"/>
              <w:right w:w="20" w:type="dxa"/>
            </w:tcMar>
            <w:vAlign w:val="bottom"/>
            <w:hideMark/>
          </w:tcPr>
          <w:p w:rsidR="00000000" w:rsidRDefault="00905244">
            <w:pPr>
              <w:divId w:val="1579051526"/>
              <w:rPr>
                <w:rFonts w:eastAsia="Times New Roman"/>
              </w:rPr>
            </w:pPr>
            <w:hyperlink w:anchor="i137f04c25e1e4da3b6d1f469d06f3319_22" w:history="1">
              <w:r>
                <w:rPr>
                  <w:rStyle w:val="a3"/>
                  <w:rFonts w:eastAsia="Times New Roman"/>
                  <w:sz w:val="20"/>
                  <w:szCs w:val="20"/>
                </w:rPr>
                <w:t>Unresolved Staff Comments</w:t>
              </w:r>
            </w:hyperlink>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hyperlink w:anchor="i137f04c25e1e4da3b6d1f469d06f3319_22" w:history="1">
              <w:r>
                <w:rPr>
                  <w:rStyle w:val="a3"/>
                  <w:rFonts w:eastAsia="Times New Roman"/>
                  <w:sz w:val="20"/>
                  <w:szCs w:val="20"/>
                </w:rPr>
                <w:t>23</w:t>
              </w:r>
            </w:hyperlink>
          </w:p>
        </w:tc>
      </w:tr>
      <w:tr w:rsidR="00000000">
        <w:trPr>
          <w:divId w:val="1724056836"/>
        </w:trPr>
        <w:tc>
          <w:tcPr>
            <w:tcW w:w="0" w:type="auto"/>
            <w:gridSpan w:val="3"/>
            <w:shd w:val="clear" w:color="auto" w:fill="CCEEFF"/>
            <w:tcMar>
              <w:top w:w="30" w:type="dxa"/>
              <w:left w:w="20" w:type="dxa"/>
              <w:bottom w:w="30" w:type="dxa"/>
              <w:right w:w="20" w:type="dxa"/>
            </w:tcMar>
            <w:vAlign w:val="bottom"/>
            <w:hideMark/>
          </w:tcPr>
          <w:p w:rsidR="00000000" w:rsidRDefault="00905244">
            <w:pPr>
              <w:divId w:val="458111587"/>
              <w:rPr>
                <w:rFonts w:eastAsia="Times New Roman"/>
              </w:rPr>
            </w:pPr>
            <w:hyperlink w:anchor="i137f04c25e1e4da3b6d1f469d06f3319_25" w:history="1">
              <w:r>
                <w:rPr>
                  <w:rStyle w:val="a3"/>
                  <w:rFonts w:eastAsia="Times New Roman"/>
                  <w:sz w:val="20"/>
                  <w:szCs w:val="20"/>
                </w:rPr>
                <w:t>2.</w:t>
              </w:r>
            </w:hyperlink>
          </w:p>
        </w:tc>
        <w:tc>
          <w:tcPr>
            <w:tcW w:w="0" w:type="auto"/>
            <w:gridSpan w:val="3"/>
            <w:shd w:val="clear" w:color="auto" w:fill="CCEEFF"/>
            <w:tcMar>
              <w:top w:w="30" w:type="dxa"/>
              <w:left w:w="20" w:type="dxa"/>
              <w:bottom w:w="30" w:type="dxa"/>
              <w:right w:w="20" w:type="dxa"/>
            </w:tcMar>
            <w:vAlign w:val="bottom"/>
            <w:hideMark/>
          </w:tcPr>
          <w:p w:rsidR="00000000" w:rsidRDefault="00905244">
            <w:pPr>
              <w:divId w:val="1869247165"/>
              <w:rPr>
                <w:rFonts w:eastAsia="Times New Roman"/>
              </w:rPr>
            </w:pPr>
            <w:hyperlink w:anchor="i137f04c25e1e4da3b6d1f469d06f3319_25" w:history="1">
              <w:r>
                <w:rPr>
                  <w:rStyle w:val="a3"/>
                  <w:rFonts w:eastAsia="Times New Roman"/>
                  <w:sz w:val="20"/>
                  <w:szCs w:val="20"/>
                </w:rPr>
                <w:t>Properties</w:t>
              </w:r>
            </w:hyperlink>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hyperlink w:anchor="i137f04c25e1e4da3b6d1f469d06f3319_25" w:history="1">
              <w:r>
                <w:rPr>
                  <w:rStyle w:val="a3"/>
                  <w:rFonts w:eastAsia="Times New Roman"/>
                  <w:sz w:val="20"/>
                  <w:szCs w:val="20"/>
                </w:rPr>
                <w:t>24</w:t>
              </w:r>
            </w:hyperlink>
          </w:p>
        </w:tc>
      </w:tr>
      <w:tr w:rsidR="00000000">
        <w:trPr>
          <w:divId w:val="1724056836"/>
        </w:trPr>
        <w:tc>
          <w:tcPr>
            <w:tcW w:w="0" w:type="auto"/>
            <w:gridSpan w:val="3"/>
            <w:tcMar>
              <w:top w:w="30" w:type="dxa"/>
              <w:left w:w="20" w:type="dxa"/>
              <w:bottom w:w="30" w:type="dxa"/>
              <w:right w:w="20" w:type="dxa"/>
            </w:tcMar>
            <w:vAlign w:val="bottom"/>
            <w:hideMark/>
          </w:tcPr>
          <w:p w:rsidR="00000000" w:rsidRDefault="00905244">
            <w:pPr>
              <w:divId w:val="1789742842"/>
              <w:rPr>
                <w:rFonts w:eastAsia="Times New Roman"/>
              </w:rPr>
            </w:pPr>
            <w:hyperlink w:anchor="i137f04c25e1e4da3b6d1f469d06f3319_28" w:history="1">
              <w:r>
                <w:rPr>
                  <w:rStyle w:val="a3"/>
                  <w:rFonts w:eastAsia="Times New Roman"/>
                  <w:sz w:val="20"/>
                  <w:szCs w:val="20"/>
                </w:rPr>
                <w:t>3.</w:t>
              </w:r>
            </w:hyperlink>
          </w:p>
        </w:tc>
        <w:tc>
          <w:tcPr>
            <w:tcW w:w="0" w:type="auto"/>
            <w:gridSpan w:val="3"/>
            <w:tcMar>
              <w:top w:w="30" w:type="dxa"/>
              <w:left w:w="20" w:type="dxa"/>
              <w:bottom w:w="30" w:type="dxa"/>
              <w:right w:w="20" w:type="dxa"/>
            </w:tcMar>
            <w:vAlign w:val="bottom"/>
            <w:hideMark/>
          </w:tcPr>
          <w:p w:rsidR="00000000" w:rsidRDefault="00905244">
            <w:pPr>
              <w:divId w:val="1612662054"/>
              <w:rPr>
                <w:rFonts w:eastAsia="Times New Roman"/>
              </w:rPr>
            </w:pPr>
            <w:hyperlink w:anchor="i137f04c25e1e4da3b6d1f469d06f3319_28"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hyperlink w:anchor="i137f04c25e1e4da3b6d1f469d06f3319_28" w:history="1">
              <w:r>
                <w:rPr>
                  <w:rStyle w:val="a3"/>
                  <w:rFonts w:eastAsia="Times New Roman"/>
                  <w:sz w:val="20"/>
                  <w:szCs w:val="20"/>
                </w:rPr>
                <w:t>25</w:t>
              </w:r>
            </w:hyperlink>
          </w:p>
        </w:tc>
      </w:tr>
      <w:tr w:rsidR="00000000">
        <w:trPr>
          <w:divId w:val="1724056836"/>
        </w:trPr>
        <w:tc>
          <w:tcPr>
            <w:tcW w:w="0" w:type="auto"/>
            <w:gridSpan w:val="3"/>
            <w:shd w:val="clear" w:color="auto" w:fill="CCEEFF"/>
            <w:tcMar>
              <w:top w:w="30" w:type="dxa"/>
              <w:left w:w="20" w:type="dxa"/>
              <w:bottom w:w="30" w:type="dxa"/>
              <w:right w:w="20" w:type="dxa"/>
            </w:tcMar>
            <w:vAlign w:val="bottom"/>
            <w:hideMark/>
          </w:tcPr>
          <w:p w:rsidR="00000000" w:rsidRDefault="00905244">
            <w:pPr>
              <w:divId w:val="1867593111"/>
              <w:rPr>
                <w:rFonts w:eastAsia="Times New Roman"/>
              </w:rPr>
            </w:pPr>
            <w:hyperlink w:anchor="i137f04c25e1e4da3b6d1f469d06f3319_31" w:history="1">
              <w:r>
                <w:rPr>
                  <w:rStyle w:val="a3"/>
                  <w:rFonts w:eastAsia="Times New Roman"/>
                  <w:sz w:val="20"/>
                  <w:szCs w:val="20"/>
                </w:rPr>
                <w:t>4.</w:t>
              </w:r>
            </w:hyperlink>
          </w:p>
        </w:tc>
        <w:tc>
          <w:tcPr>
            <w:tcW w:w="0" w:type="auto"/>
            <w:gridSpan w:val="3"/>
            <w:shd w:val="clear" w:color="auto" w:fill="CCEEFF"/>
            <w:tcMar>
              <w:top w:w="30" w:type="dxa"/>
              <w:left w:w="20" w:type="dxa"/>
              <w:bottom w:w="30" w:type="dxa"/>
              <w:right w:w="20" w:type="dxa"/>
            </w:tcMar>
            <w:vAlign w:val="bottom"/>
            <w:hideMark/>
          </w:tcPr>
          <w:p w:rsidR="00000000" w:rsidRDefault="00905244">
            <w:pPr>
              <w:divId w:val="1879316715"/>
              <w:rPr>
                <w:rFonts w:eastAsia="Times New Roman"/>
              </w:rPr>
            </w:pPr>
            <w:hyperlink w:anchor="i137f04c25e1e4da3b6d1f469d06f3319_31" w:history="1">
              <w:r>
                <w:rPr>
                  <w:rStyle w:val="a3"/>
                  <w:rFonts w:eastAsia="Times New Roman"/>
                  <w:sz w:val="20"/>
                  <w:szCs w:val="20"/>
                </w:rPr>
                <w:t>Mine Safety Disclosures</w:t>
              </w:r>
            </w:hyperlink>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hyperlink w:anchor="i137f04c25e1e4da3b6d1f469d06f3319_31" w:history="1">
              <w:r>
                <w:rPr>
                  <w:rStyle w:val="a3"/>
                  <w:rFonts w:eastAsia="Times New Roman"/>
                  <w:sz w:val="20"/>
                  <w:szCs w:val="20"/>
                </w:rPr>
                <w:t>25</w:t>
              </w:r>
            </w:hyperlink>
          </w:p>
        </w:tc>
      </w:tr>
      <w:tr w:rsidR="00000000">
        <w:trPr>
          <w:divId w:val="1724056836"/>
          <w:trHeight w:val="300"/>
        </w:trPr>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724056836"/>
        </w:trPr>
        <w:tc>
          <w:tcPr>
            <w:tcW w:w="0" w:type="auto"/>
            <w:gridSpan w:val="6"/>
            <w:shd w:val="clear" w:color="auto" w:fill="CCEEFF"/>
            <w:tcMar>
              <w:top w:w="30" w:type="dxa"/>
              <w:left w:w="20" w:type="dxa"/>
              <w:bottom w:w="30" w:type="dxa"/>
              <w:right w:w="20" w:type="dxa"/>
            </w:tcMar>
            <w:vAlign w:val="bottom"/>
            <w:hideMark/>
          </w:tcPr>
          <w:p w:rsidR="00000000" w:rsidRDefault="00905244">
            <w:pPr>
              <w:divId w:val="2025815481"/>
              <w:rPr>
                <w:rFonts w:eastAsia="Times New Roman"/>
              </w:rPr>
            </w:pPr>
            <w:hyperlink w:anchor="i137f04c25e1e4da3b6d1f469d06f3319_34" w:history="1">
              <w:r>
                <w:rPr>
                  <w:rStyle w:val="a3"/>
                  <w:rFonts w:eastAsia="Times New Roman"/>
                  <w:sz w:val="20"/>
                  <w:szCs w:val="20"/>
                </w:rPr>
                <w:t>PART II</w:t>
              </w:r>
            </w:hyperlink>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hyperlink w:anchor="i137f04c25e1e4da3b6d1f469d06f3319_34" w:history="1">
              <w:r>
                <w:rPr>
                  <w:rStyle w:val="a3"/>
                  <w:rFonts w:eastAsia="Times New Roman"/>
                  <w:sz w:val="20"/>
                  <w:szCs w:val="20"/>
                </w:rPr>
                <w:t>26</w:t>
              </w:r>
            </w:hyperlink>
          </w:p>
        </w:tc>
      </w:tr>
      <w:tr w:rsidR="00000000">
        <w:trPr>
          <w:divId w:val="1724056836"/>
        </w:trPr>
        <w:tc>
          <w:tcPr>
            <w:tcW w:w="0" w:type="auto"/>
            <w:gridSpan w:val="3"/>
            <w:tcMar>
              <w:top w:w="30" w:type="dxa"/>
              <w:left w:w="20" w:type="dxa"/>
              <w:bottom w:w="30" w:type="dxa"/>
              <w:right w:w="20" w:type="dxa"/>
            </w:tcMar>
            <w:vAlign w:val="center"/>
            <w:hideMark/>
          </w:tcPr>
          <w:p w:rsidR="00000000" w:rsidRDefault="00905244">
            <w:pPr>
              <w:divId w:val="1538811807"/>
              <w:rPr>
                <w:rFonts w:eastAsia="Times New Roman"/>
              </w:rPr>
            </w:pPr>
            <w:hyperlink w:anchor="i137f04c25e1e4da3b6d1f469d06f3319_37" w:history="1">
              <w:r>
                <w:rPr>
                  <w:rStyle w:val="a3"/>
                  <w:rFonts w:eastAsia="Times New Roman"/>
                  <w:sz w:val="20"/>
                  <w:szCs w:val="20"/>
                </w:rPr>
                <w:t>5.</w:t>
              </w:r>
            </w:hyperlink>
          </w:p>
        </w:tc>
        <w:tc>
          <w:tcPr>
            <w:tcW w:w="0" w:type="auto"/>
            <w:gridSpan w:val="3"/>
            <w:tcMar>
              <w:top w:w="30" w:type="dxa"/>
              <w:left w:w="20" w:type="dxa"/>
              <w:bottom w:w="30" w:type="dxa"/>
              <w:right w:w="20" w:type="dxa"/>
            </w:tcMar>
            <w:vAlign w:val="bottom"/>
            <w:hideMark/>
          </w:tcPr>
          <w:p w:rsidR="00000000" w:rsidRDefault="00905244">
            <w:pPr>
              <w:divId w:val="1429154060"/>
              <w:rPr>
                <w:rFonts w:eastAsia="Times New Roman"/>
              </w:rPr>
            </w:pPr>
            <w:hyperlink w:anchor="i137f04c25e1e4da3b6d1f469d06f3319_37" w:history="1">
              <w:r>
                <w:rPr>
                  <w:rStyle w:val="a3"/>
                  <w:rFonts w:eastAsia="Times New Roman"/>
                  <w:sz w:val="20"/>
                  <w:szCs w:val="20"/>
                </w:rPr>
                <w:t>Market for Registrant’s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hyperlink w:anchor="i137f04c25e1e4da3b6d1f469d06f3319_37" w:history="1">
              <w:r>
                <w:rPr>
                  <w:rStyle w:val="a3"/>
                  <w:rFonts w:eastAsia="Times New Roman"/>
                  <w:sz w:val="20"/>
                  <w:szCs w:val="20"/>
                </w:rPr>
                <w:t>26</w:t>
              </w:r>
            </w:hyperlink>
          </w:p>
        </w:tc>
      </w:tr>
      <w:tr w:rsidR="00000000">
        <w:trPr>
          <w:divId w:val="1724056836"/>
        </w:trPr>
        <w:tc>
          <w:tcPr>
            <w:tcW w:w="0" w:type="auto"/>
            <w:gridSpan w:val="3"/>
            <w:shd w:val="clear" w:color="auto" w:fill="CCEEFF"/>
            <w:tcMar>
              <w:top w:w="30" w:type="dxa"/>
              <w:left w:w="20" w:type="dxa"/>
              <w:bottom w:w="30" w:type="dxa"/>
              <w:right w:w="20" w:type="dxa"/>
            </w:tcMar>
            <w:vAlign w:val="bottom"/>
            <w:hideMark/>
          </w:tcPr>
          <w:p w:rsidR="00000000" w:rsidRDefault="00905244">
            <w:pPr>
              <w:divId w:val="1292320503"/>
              <w:rPr>
                <w:rFonts w:eastAsia="Times New Roman"/>
              </w:rPr>
            </w:pPr>
            <w:hyperlink w:anchor="i137f04c25e1e4da3b6d1f469d06f3319_40" w:history="1">
              <w:r>
                <w:rPr>
                  <w:rStyle w:val="a3"/>
                  <w:rFonts w:eastAsia="Times New Roman"/>
                  <w:sz w:val="20"/>
                  <w:szCs w:val="20"/>
                </w:rPr>
                <w:t>6.</w:t>
              </w:r>
            </w:hyperlink>
          </w:p>
        </w:tc>
        <w:tc>
          <w:tcPr>
            <w:tcW w:w="0" w:type="auto"/>
            <w:gridSpan w:val="3"/>
            <w:shd w:val="clear" w:color="auto" w:fill="CCEEFF"/>
            <w:tcMar>
              <w:top w:w="30" w:type="dxa"/>
              <w:left w:w="20" w:type="dxa"/>
              <w:bottom w:w="30" w:type="dxa"/>
              <w:right w:w="20" w:type="dxa"/>
            </w:tcMar>
            <w:vAlign w:val="bottom"/>
            <w:hideMark/>
          </w:tcPr>
          <w:p w:rsidR="00000000" w:rsidRDefault="00905244">
            <w:pPr>
              <w:divId w:val="561867851"/>
              <w:rPr>
                <w:rFonts w:eastAsia="Times New Roman"/>
              </w:rPr>
            </w:pPr>
            <w:hyperlink w:anchor="i137f04c25e1e4da3b6d1f469d06f3319_40" w:history="1">
              <w:r>
                <w:rPr>
                  <w:rStyle w:val="a3"/>
                  <w:rFonts w:eastAsia="Times New Roman"/>
                  <w:sz w:val="20"/>
                  <w:szCs w:val="20"/>
                </w:rPr>
                <w:t>Selected Financial Data</w:t>
              </w:r>
            </w:hyperlink>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hyperlink w:anchor="i137f04c25e1e4da3b6d1f469d06f3319_40" w:history="1">
              <w:r>
                <w:rPr>
                  <w:rStyle w:val="a3"/>
                  <w:rFonts w:eastAsia="Times New Roman"/>
                  <w:sz w:val="20"/>
                  <w:szCs w:val="20"/>
                </w:rPr>
                <w:t>29</w:t>
              </w:r>
            </w:hyperlink>
          </w:p>
        </w:tc>
      </w:tr>
      <w:tr w:rsidR="00000000">
        <w:trPr>
          <w:divId w:val="1724056836"/>
        </w:trPr>
        <w:tc>
          <w:tcPr>
            <w:tcW w:w="0" w:type="auto"/>
            <w:gridSpan w:val="3"/>
            <w:tcMar>
              <w:top w:w="30" w:type="dxa"/>
              <w:left w:w="20" w:type="dxa"/>
              <w:bottom w:w="30" w:type="dxa"/>
              <w:right w:w="20" w:type="dxa"/>
            </w:tcMar>
            <w:vAlign w:val="bottom"/>
            <w:hideMark/>
          </w:tcPr>
          <w:p w:rsidR="00000000" w:rsidRDefault="00905244">
            <w:pPr>
              <w:divId w:val="748962364"/>
              <w:rPr>
                <w:rFonts w:eastAsia="Times New Roman"/>
              </w:rPr>
            </w:pPr>
            <w:hyperlink w:anchor="i137f04c25e1e4da3b6d1f469d06f3319_43" w:history="1">
              <w:r>
                <w:rPr>
                  <w:rStyle w:val="a3"/>
                  <w:rFonts w:eastAsia="Times New Roman"/>
                  <w:sz w:val="20"/>
                  <w:szCs w:val="20"/>
                </w:rPr>
                <w:t>7.</w:t>
              </w:r>
            </w:hyperlink>
          </w:p>
        </w:tc>
        <w:tc>
          <w:tcPr>
            <w:tcW w:w="0" w:type="auto"/>
            <w:gridSpan w:val="3"/>
            <w:tcMar>
              <w:top w:w="30" w:type="dxa"/>
              <w:left w:w="20" w:type="dxa"/>
              <w:bottom w:w="30" w:type="dxa"/>
              <w:right w:w="20" w:type="dxa"/>
            </w:tcMar>
            <w:vAlign w:val="bottom"/>
            <w:hideMark/>
          </w:tcPr>
          <w:p w:rsidR="00000000" w:rsidRDefault="00905244">
            <w:pPr>
              <w:divId w:val="331028146"/>
              <w:rPr>
                <w:rFonts w:eastAsia="Times New Roman"/>
              </w:rPr>
            </w:pPr>
            <w:hyperlink w:anchor="i137f04c25e1e4da3b6d1f469d06f3319_43" w:history="1">
              <w:r>
                <w:rPr>
                  <w:rStyle w:val="a3"/>
                  <w:rFonts w:eastAsia="Times New Roman"/>
                  <w:sz w:val="20"/>
                  <w:szCs w:val="20"/>
                </w:rPr>
                <w:t>Management’s Discussion and Analysis of Financial Condition and Resu</w:t>
              </w:r>
              <w:r>
                <w:rPr>
                  <w:rStyle w:val="a3"/>
                  <w:rFonts w:eastAsia="Times New Roman"/>
                  <w:sz w:val="20"/>
                  <w:szCs w:val="20"/>
                </w:rPr>
                <w:t>lts of Operations</w:t>
              </w:r>
            </w:hyperlink>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hyperlink w:anchor="i137f04c25e1e4da3b6d1f469d06f3319_43" w:history="1">
              <w:r>
                <w:rPr>
                  <w:rStyle w:val="a3"/>
                  <w:rFonts w:eastAsia="Times New Roman"/>
                  <w:sz w:val="20"/>
                  <w:szCs w:val="20"/>
                </w:rPr>
                <w:t>30</w:t>
              </w:r>
            </w:hyperlink>
          </w:p>
        </w:tc>
      </w:tr>
      <w:tr w:rsidR="00000000">
        <w:trPr>
          <w:divId w:val="1724056836"/>
        </w:trPr>
        <w:tc>
          <w:tcPr>
            <w:tcW w:w="0" w:type="auto"/>
            <w:gridSpan w:val="3"/>
            <w:shd w:val="clear" w:color="auto" w:fill="CCEEFF"/>
            <w:tcMar>
              <w:top w:w="30" w:type="dxa"/>
              <w:left w:w="20" w:type="dxa"/>
              <w:bottom w:w="30" w:type="dxa"/>
              <w:right w:w="20" w:type="dxa"/>
            </w:tcMar>
            <w:vAlign w:val="bottom"/>
            <w:hideMark/>
          </w:tcPr>
          <w:p w:rsidR="00000000" w:rsidRDefault="00905244">
            <w:pPr>
              <w:divId w:val="848525217"/>
              <w:rPr>
                <w:rFonts w:eastAsia="Times New Roman"/>
              </w:rPr>
            </w:pPr>
            <w:hyperlink w:anchor="i137f04c25e1e4da3b6d1f469d06f3319_70" w:history="1">
              <w:r>
                <w:rPr>
                  <w:rStyle w:val="a3"/>
                  <w:rFonts w:eastAsia="Times New Roman"/>
                  <w:sz w:val="20"/>
                  <w:szCs w:val="20"/>
                </w:rPr>
                <w:t>7A.</w:t>
              </w:r>
            </w:hyperlink>
          </w:p>
        </w:tc>
        <w:tc>
          <w:tcPr>
            <w:tcW w:w="0" w:type="auto"/>
            <w:gridSpan w:val="3"/>
            <w:shd w:val="clear" w:color="auto" w:fill="CCEEFF"/>
            <w:tcMar>
              <w:top w:w="30" w:type="dxa"/>
              <w:left w:w="20" w:type="dxa"/>
              <w:bottom w:w="30" w:type="dxa"/>
              <w:right w:w="20" w:type="dxa"/>
            </w:tcMar>
            <w:vAlign w:val="bottom"/>
            <w:hideMark/>
          </w:tcPr>
          <w:p w:rsidR="00000000" w:rsidRDefault="00905244">
            <w:pPr>
              <w:divId w:val="113066099"/>
              <w:rPr>
                <w:rFonts w:eastAsia="Times New Roman"/>
              </w:rPr>
            </w:pPr>
            <w:hyperlink w:anchor="i137f04c25e1e4da3b6d1f469d06f3319_70" w:history="1">
              <w:r>
                <w:rPr>
                  <w:rStyle w:val="a3"/>
                  <w:rFonts w:eastAsia="Times New Roman"/>
                  <w:sz w:val="20"/>
                  <w:szCs w:val="20"/>
                </w:rPr>
                <w:t xml:space="preserve">Quantitative and Qualitative Disclosures About </w:t>
              </w:r>
              <w:r>
                <w:rPr>
                  <w:rStyle w:val="a3"/>
                  <w:rFonts w:eastAsia="Times New Roman"/>
                  <w:sz w:val="20"/>
                  <w:szCs w:val="20"/>
                </w:rPr>
                <w:t>Market Risk</w:t>
              </w:r>
            </w:hyperlink>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hyperlink w:anchor="i137f04c25e1e4da3b6d1f469d06f3319_70" w:history="1">
              <w:r>
                <w:rPr>
                  <w:rStyle w:val="a3"/>
                  <w:rFonts w:eastAsia="Times New Roman"/>
                  <w:sz w:val="20"/>
                  <w:szCs w:val="20"/>
                </w:rPr>
                <w:t>45</w:t>
              </w:r>
            </w:hyperlink>
          </w:p>
        </w:tc>
      </w:tr>
      <w:tr w:rsidR="00000000">
        <w:trPr>
          <w:divId w:val="1724056836"/>
        </w:trPr>
        <w:tc>
          <w:tcPr>
            <w:tcW w:w="0" w:type="auto"/>
            <w:gridSpan w:val="3"/>
            <w:tcMar>
              <w:top w:w="30" w:type="dxa"/>
              <w:left w:w="20" w:type="dxa"/>
              <w:bottom w:w="30" w:type="dxa"/>
              <w:right w:w="20" w:type="dxa"/>
            </w:tcMar>
            <w:vAlign w:val="bottom"/>
            <w:hideMark/>
          </w:tcPr>
          <w:p w:rsidR="00000000" w:rsidRDefault="00905244">
            <w:pPr>
              <w:divId w:val="629438735"/>
              <w:rPr>
                <w:rFonts w:eastAsia="Times New Roman"/>
              </w:rPr>
            </w:pPr>
            <w:hyperlink w:anchor="i137f04c25e1e4da3b6d1f469d06f3319_73" w:history="1">
              <w:r>
                <w:rPr>
                  <w:rStyle w:val="a3"/>
                  <w:rFonts w:eastAsia="Times New Roman"/>
                  <w:sz w:val="20"/>
                  <w:szCs w:val="20"/>
                </w:rPr>
                <w:t>8.</w:t>
              </w:r>
            </w:hyperlink>
          </w:p>
        </w:tc>
        <w:tc>
          <w:tcPr>
            <w:tcW w:w="0" w:type="auto"/>
            <w:gridSpan w:val="3"/>
            <w:tcMar>
              <w:top w:w="30" w:type="dxa"/>
              <w:left w:w="20" w:type="dxa"/>
              <w:bottom w:w="30" w:type="dxa"/>
              <w:right w:w="20" w:type="dxa"/>
            </w:tcMar>
            <w:vAlign w:val="bottom"/>
            <w:hideMark/>
          </w:tcPr>
          <w:p w:rsidR="00000000" w:rsidRDefault="00905244">
            <w:pPr>
              <w:divId w:val="1866821867"/>
              <w:rPr>
                <w:rFonts w:eastAsia="Times New Roman"/>
              </w:rPr>
            </w:pPr>
            <w:hyperlink w:anchor="i137f04c25e1e4da3b6d1f469d06f3319_73" w:history="1">
              <w:r>
                <w:rPr>
                  <w:rStyle w:val="a3"/>
                  <w:rFonts w:eastAsia="Times New Roman"/>
                  <w:sz w:val="20"/>
                  <w:szCs w:val="20"/>
                </w:rPr>
                <w:t>Financial Statements and Supplementary Data</w:t>
              </w:r>
            </w:hyperlink>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hyperlink w:anchor="i137f04c25e1e4da3b6d1f469d06f3319_73" w:history="1">
              <w:r>
                <w:rPr>
                  <w:rStyle w:val="a3"/>
                  <w:rFonts w:eastAsia="Times New Roman"/>
                  <w:sz w:val="20"/>
                  <w:szCs w:val="20"/>
                </w:rPr>
                <w:t>46</w:t>
              </w:r>
            </w:hyperlink>
          </w:p>
        </w:tc>
      </w:tr>
      <w:tr w:rsidR="00000000">
        <w:trPr>
          <w:divId w:val="1724056836"/>
        </w:trPr>
        <w:tc>
          <w:tcPr>
            <w:tcW w:w="0" w:type="auto"/>
            <w:gridSpan w:val="3"/>
            <w:shd w:val="clear" w:color="auto" w:fill="CCEEFF"/>
            <w:tcMar>
              <w:top w:w="30" w:type="dxa"/>
              <w:left w:w="20" w:type="dxa"/>
              <w:bottom w:w="30" w:type="dxa"/>
              <w:right w:w="20" w:type="dxa"/>
            </w:tcMar>
            <w:vAlign w:val="bottom"/>
            <w:hideMark/>
          </w:tcPr>
          <w:p w:rsidR="00000000" w:rsidRDefault="00905244">
            <w:pPr>
              <w:divId w:val="360668638"/>
              <w:rPr>
                <w:rFonts w:eastAsia="Times New Roman"/>
              </w:rPr>
            </w:pPr>
            <w:hyperlink w:anchor="i137f04c25e1e4da3b6d1f469d06f3319_160" w:history="1">
              <w:r>
                <w:rPr>
                  <w:rStyle w:val="a3"/>
                  <w:rFonts w:eastAsia="Times New Roman"/>
                  <w:sz w:val="20"/>
                  <w:szCs w:val="20"/>
                </w:rPr>
                <w:t>9.</w:t>
              </w:r>
            </w:hyperlink>
          </w:p>
        </w:tc>
        <w:tc>
          <w:tcPr>
            <w:tcW w:w="0" w:type="auto"/>
            <w:gridSpan w:val="3"/>
            <w:shd w:val="clear" w:color="auto" w:fill="CCEEFF"/>
            <w:tcMar>
              <w:top w:w="30" w:type="dxa"/>
              <w:left w:w="20" w:type="dxa"/>
              <w:bottom w:w="30" w:type="dxa"/>
              <w:right w:w="20" w:type="dxa"/>
            </w:tcMar>
            <w:vAlign w:val="bottom"/>
            <w:hideMark/>
          </w:tcPr>
          <w:p w:rsidR="00000000" w:rsidRDefault="00905244">
            <w:pPr>
              <w:divId w:val="954824748"/>
              <w:rPr>
                <w:rFonts w:eastAsia="Times New Roman"/>
              </w:rPr>
            </w:pPr>
            <w:hyperlink w:anchor="i137f04c25e1e4da3b6d1f469d06f3319_160" w:history="1">
              <w:r>
                <w:rPr>
                  <w:rStyle w:val="a3"/>
                  <w:rFonts w:eastAsia="Times New Roman"/>
                  <w:sz w:val="20"/>
                  <w:szCs w:val="20"/>
                </w:rPr>
                <w:t>Changes in and Disag</w:t>
              </w:r>
              <w:r>
                <w:rPr>
                  <w:rStyle w:val="a3"/>
                  <w:rFonts w:eastAsia="Times New Roman"/>
                  <w:sz w:val="20"/>
                  <w:szCs w:val="20"/>
                </w:rPr>
                <w:t>reements with Accountants on Accounting and Financial Disclosure</w:t>
              </w:r>
            </w:hyperlink>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hyperlink w:anchor="i137f04c25e1e4da3b6d1f469d06f3319_160" w:history="1">
              <w:r>
                <w:rPr>
                  <w:rStyle w:val="a3"/>
                  <w:rFonts w:eastAsia="Times New Roman"/>
                  <w:sz w:val="20"/>
                  <w:szCs w:val="20"/>
                </w:rPr>
                <w:t>79</w:t>
              </w:r>
            </w:hyperlink>
          </w:p>
        </w:tc>
      </w:tr>
      <w:tr w:rsidR="00000000">
        <w:trPr>
          <w:divId w:val="1724056836"/>
        </w:trPr>
        <w:tc>
          <w:tcPr>
            <w:tcW w:w="0" w:type="auto"/>
            <w:gridSpan w:val="3"/>
            <w:tcMar>
              <w:top w:w="30" w:type="dxa"/>
              <w:left w:w="20" w:type="dxa"/>
              <w:bottom w:w="30" w:type="dxa"/>
              <w:right w:w="20" w:type="dxa"/>
            </w:tcMar>
            <w:vAlign w:val="bottom"/>
            <w:hideMark/>
          </w:tcPr>
          <w:p w:rsidR="00000000" w:rsidRDefault="00905244">
            <w:pPr>
              <w:divId w:val="1687512669"/>
              <w:rPr>
                <w:rFonts w:eastAsia="Times New Roman"/>
              </w:rPr>
            </w:pPr>
            <w:hyperlink w:anchor="i137f04c25e1e4da3b6d1f469d06f3319_163" w:history="1">
              <w:r>
                <w:rPr>
                  <w:rStyle w:val="a3"/>
                  <w:rFonts w:eastAsia="Times New Roman"/>
                  <w:sz w:val="20"/>
                  <w:szCs w:val="20"/>
                </w:rPr>
                <w:t>9A.</w:t>
              </w:r>
            </w:hyperlink>
          </w:p>
        </w:tc>
        <w:tc>
          <w:tcPr>
            <w:tcW w:w="0" w:type="auto"/>
            <w:gridSpan w:val="3"/>
            <w:tcMar>
              <w:top w:w="30" w:type="dxa"/>
              <w:left w:w="20" w:type="dxa"/>
              <w:bottom w:w="30" w:type="dxa"/>
              <w:right w:w="20" w:type="dxa"/>
            </w:tcMar>
            <w:vAlign w:val="bottom"/>
            <w:hideMark/>
          </w:tcPr>
          <w:p w:rsidR="00000000" w:rsidRDefault="00905244">
            <w:pPr>
              <w:divId w:val="349454583"/>
              <w:rPr>
                <w:rFonts w:eastAsia="Times New Roman"/>
              </w:rPr>
            </w:pPr>
            <w:hyperlink w:anchor="i137f04c25e1e4da3b6d1f469d06f3319_163"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hyperlink w:anchor="i137f04c25e1e4da3b6d1f469d06f3319_163" w:history="1">
              <w:r>
                <w:rPr>
                  <w:rStyle w:val="a3"/>
                  <w:rFonts w:eastAsia="Times New Roman"/>
                  <w:sz w:val="20"/>
                  <w:szCs w:val="20"/>
                </w:rPr>
                <w:t>79</w:t>
              </w:r>
            </w:hyperlink>
          </w:p>
        </w:tc>
      </w:tr>
      <w:tr w:rsidR="00000000">
        <w:trPr>
          <w:divId w:val="1724056836"/>
        </w:trPr>
        <w:tc>
          <w:tcPr>
            <w:tcW w:w="0" w:type="auto"/>
            <w:gridSpan w:val="3"/>
            <w:shd w:val="clear" w:color="auto" w:fill="CCEEFF"/>
            <w:tcMar>
              <w:top w:w="30" w:type="dxa"/>
              <w:left w:w="20" w:type="dxa"/>
              <w:bottom w:w="30" w:type="dxa"/>
              <w:right w:w="20" w:type="dxa"/>
            </w:tcMar>
            <w:vAlign w:val="bottom"/>
            <w:hideMark/>
          </w:tcPr>
          <w:p w:rsidR="00000000" w:rsidRDefault="00905244">
            <w:pPr>
              <w:divId w:val="1467158458"/>
              <w:rPr>
                <w:rFonts w:eastAsia="Times New Roman"/>
              </w:rPr>
            </w:pPr>
            <w:hyperlink w:anchor="i137f04c25e1e4da3b6d1f469d06f3319_166" w:history="1">
              <w:r>
                <w:rPr>
                  <w:rStyle w:val="a3"/>
                  <w:rFonts w:eastAsia="Times New Roman"/>
                  <w:sz w:val="20"/>
                  <w:szCs w:val="20"/>
                </w:rPr>
                <w:t>9B.</w:t>
              </w:r>
            </w:hyperlink>
          </w:p>
        </w:tc>
        <w:tc>
          <w:tcPr>
            <w:tcW w:w="0" w:type="auto"/>
            <w:gridSpan w:val="3"/>
            <w:shd w:val="clear" w:color="auto" w:fill="CCEEFF"/>
            <w:tcMar>
              <w:top w:w="30" w:type="dxa"/>
              <w:left w:w="20" w:type="dxa"/>
              <w:bottom w:w="30" w:type="dxa"/>
              <w:right w:w="20" w:type="dxa"/>
            </w:tcMar>
            <w:vAlign w:val="bottom"/>
            <w:hideMark/>
          </w:tcPr>
          <w:p w:rsidR="00000000" w:rsidRDefault="00905244">
            <w:pPr>
              <w:divId w:val="1411736494"/>
              <w:rPr>
                <w:rFonts w:eastAsia="Times New Roman"/>
              </w:rPr>
            </w:pPr>
            <w:hyperlink w:anchor="i137f04c25e1e4da3b6d1f469d06f3319_166" w:history="1">
              <w:r>
                <w:rPr>
                  <w:rStyle w:val="a3"/>
                  <w:rFonts w:eastAsia="Times New Roman"/>
                  <w:sz w:val="20"/>
                  <w:szCs w:val="20"/>
                </w:rPr>
                <w:t>Other Information</w:t>
              </w:r>
            </w:hyperlink>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hyperlink w:anchor="i137f04c25e1e4da3b6d1f469d06f3319_166" w:history="1">
              <w:r>
                <w:rPr>
                  <w:rStyle w:val="a3"/>
                  <w:rFonts w:eastAsia="Times New Roman"/>
                  <w:sz w:val="20"/>
                  <w:szCs w:val="20"/>
                </w:rPr>
                <w:t>80</w:t>
              </w:r>
            </w:hyperlink>
          </w:p>
        </w:tc>
      </w:tr>
      <w:tr w:rsidR="00000000">
        <w:trPr>
          <w:divId w:val="1724056836"/>
          <w:trHeight w:val="300"/>
        </w:trPr>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724056836"/>
        </w:trPr>
        <w:tc>
          <w:tcPr>
            <w:tcW w:w="0" w:type="auto"/>
            <w:gridSpan w:val="6"/>
            <w:shd w:val="clear" w:color="auto" w:fill="CCEEFF"/>
            <w:tcMar>
              <w:top w:w="30" w:type="dxa"/>
              <w:left w:w="20" w:type="dxa"/>
              <w:bottom w:w="30" w:type="dxa"/>
              <w:right w:w="20" w:type="dxa"/>
            </w:tcMar>
            <w:vAlign w:val="bottom"/>
            <w:hideMark/>
          </w:tcPr>
          <w:p w:rsidR="00000000" w:rsidRDefault="00905244">
            <w:pPr>
              <w:divId w:val="693580840"/>
              <w:rPr>
                <w:rFonts w:eastAsia="Times New Roman"/>
              </w:rPr>
            </w:pPr>
            <w:hyperlink w:anchor="i137f04c25e1e4da3b6d1f469d06f3319_169" w:history="1">
              <w:r>
                <w:rPr>
                  <w:rStyle w:val="a3"/>
                  <w:rFonts w:eastAsia="Times New Roman"/>
                  <w:sz w:val="20"/>
                  <w:szCs w:val="20"/>
                </w:rPr>
                <w:t>PART III</w:t>
              </w:r>
            </w:hyperlink>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hyperlink w:anchor="i137f04c25e1e4da3b6d1f469d06f3319_169" w:history="1">
              <w:r>
                <w:rPr>
                  <w:rStyle w:val="a3"/>
                  <w:rFonts w:eastAsia="Times New Roman"/>
                  <w:sz w:val="20"/>
                  <w:szCs w:val="20"/>
                </w:rPr>
                <w:t>80</w:t>
              </w:r>
            </w:hyperlink>
          </w:p>
        </w:tc>
      </w:tr>
      <w:tr w:rsidR="00000000">
        <w:trPr>
          <w:divId w:val="1724056836"/>
        </w:trPr>
        <w:tc>
          <w:tcPr>
            <w:tcW w:w="0" w:type="auto"/>
            <w:gridSpan w:val="3"/>
            <w:tcMar>
              <w:top w:w="30" w:type="dxa"/>
              <w:left w:w="20" w:type="dxa"/>
              <w:bottom w:w="30" w:type="dxa"/>
              <w:right w:w="20" w:type="dxa"/>
            </w:tcMar>
            <w:vAlign w:val="bottom"/>
            <w:hideMark/>
          </w:tcPr>
          <w:p w:rsidR="00000000" w:rsidRDefault="00905244">
            <w:pPr>
              <w:divId w:val="1873033153"/>
              <w:rPr>
                <w:rFonts w:eastAsia="Times New Roman"/>
              </w:rPr>
            </w:pPr>
            <w:hyperlink w:anchor="i137f04c25e1e4da3b6d1f469d06f3319_172" w:history="1">
              <w:r>
                <w:rPr>
                  <w:rStyle w:val="a3"/>
                  <w:rFonts w:eastAsia="Times New Roman"/>
                  <w:sz w:val="20"/>
                  <w:szCs w:val="20"/>
                </w:rPr>
                <w:t>10.</w:t>
              </w:r>
            </w:hyperlink>
          </w:p>
        </w:tc>
        <w:tc>
          <w:tcPr>
            <w:tcW w:w="0" w:type="auto"/>
            <w:gridSpan w:val="3"/>
            <w:tcMar>
              <w:top w:w="30" w:type="dxa"/>
              <w:left w:w="20" w:type="dxa"/>
              <w:bottom w:w="30" w:type="dxa"/>
              <w:right w:w="20" w:type="dxa"/>
            </w:tcMar>
            <w:vAlign w:val="bottom"/>
            <w:hideMark/>
          </w:tcPr>
          <w:p w:rsidR="00000000" w:rsidRDefault="00905244">
            <w:pPr>
              <w:divId w:val="2106531644"/>
              <w:rPr>
                <w:rFonts w:eastAsia="Times New Roman"/>
              </w:rPr>
            </w:pPr>
            <w:hyperlink w:anchor="i137f04c25e1e4da3b6d1f469d06f3319_172" w:history="1">
              <w:r>
                <w:rPr>
                  <w:rStyle w:val="a3"/>
                  <w:rFonts w:eastAsia="Times New Roman"/>
                  <w:sz w:val="20"/>
                  <w:szCs w:val="20"/>
                </w:rPr>
                <w:t>Directors, Executive Officers, and Corporate Governance</w:t>
              </w:r>
            </w:hyperlink>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hyperlink w:anchor="i137f04c25e1e4da3b6d1f469d06f3319_172" w:history="1">
              <w:r>
                <w:rPr>
                  <w:rStyle w:val="a3"/>
                  <w:rFonts w:eastAsia="Times New Roman"/>
                  <w:sz w:val="20"/>
                  <w:szCs w:val="20"/>
                </w:rPr>
                <w:t>80</w:t>
              </w:r>
            </w:hyperlink>
          </w:p>
        </w:tc>
      </w:tr>
      <w:tr w:rsidR="00000000">
        <w:trPr>
          <w:divId w:val="1724056836"/>
        </w:trPr>
        <w:tc>
          <w:tcPr>
            <w:tcW w:w="0" w:type="auto"/>
            <w:gridSpan w:val="3"/>
            <w:shd w:val="clear" w:color="auto" w:fill="CCEEFF"/>
            <w:tcMar>
              <w:top w:w="30" w:type="dxa"/>
              <w:left w:w="20" w:type="dxa"/>
              <w:bottom w:w="30" w:type="dxa"/>
              <w:right w:w="20" w:type="dxa"/>
            </w:tcMar>
            <w:vAlign w:val="bottom"/>
            <w:hideMark/>
          </w:tcPr>
          <w:p w:rsidR="00000000" w:rsidRDefault="00905244">
            <w:pPr>
              <w:divId w:val="1396927727"/>
              <w:rPr>
                <w:rFonts w:eastAsia="Times New Roman"/>
              </w:rPr>
            </w:pPr>
            <w:hyperlink w:anchor="i137f04c25e1e4da3b6d1f469d06f3319_175" w:history="1">
              <w:r>
                <w:rPr>
                  <w:rStyle w:val="a3"/>
                  <w:rFonts w:eastAsia="Times New Roman"/>
                  <w:sz w:val="20"/>
                  <w:szCs w:val="20"/>
                </w:rPr>
                <w:t>11.</w:t>
              </w:r>
            </w:hyperlink>
          </w:p>
        </w:tc>
        <w:tc>
          <w:tcPr>
            <w:tcW w:w="0" w:type="auto"/>
            <w:gridSpan w:val="3"/>
            <w:shd w:val="clear" w:color="auto" w:fill="CCEEFF"/>
            <w:tcMar>
              <w:top w:w="30" w:type="dxa"/>
              <w:left w:w="20" w:type="dxa"/>
              <w:bottom w:w="30" w:type="dxa"/>
              <w:right w:w="20" w:type="dxa"/>
            </w:tcMar>
            <w:vAlign w:val="bottom"/>
            <w:hideMark/>
          </w:tcPr>
          <w:p w:rsidR="00000000" w:rsidRDefault="00905244">
            <w:pPr>
              <w:divId w:val="595871429"/>
              <w:rPr>
                <w:rFonts w:eastAsia="Times New Roman"/>
              </w:rPr>
            </w:pPr>
            <w:hyperlink w:anchor="i137f04c25e1e4da3b6d1f469d06f3319_175" w:history="1">
              <w:r>
                <w:rPr>
                  <w:rStyle w:val="a3"/>
                  <w:rFonts w:eastAsia="Times New Roman"/>
                  <w:sz w:val="20"/>
                  <w:szCs w:val="20"/>
                </w:rPr>
                <w:t>Executive Compensation</w:t>
              </w:r>
            </w:hyperlink>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hyperlink w:anchor="i137f04c25e1e4da3b6d1f469d06f3319_175" w:history="1">
              <w:r>
                <w:rPr>
                  <w:rStyle w:val="a3"/>
                  <w:rFonts w:eastAsia="Times New Roman"/>
                  <w:sz w:val="20"/>
                  <w:szCs w:val="20"/>
                </w:rPr>
                <w:t>80</w:t>
              </w:r>
            </w:hyperlink>
          </w:p>
        </w:tc>
      </w:tr>
      <w:tr w:rsidR="00000000">
        <w:trPr>
          <w:divId w:val="1724056836"/>
        </w:trPr>
        <w:tc>
          <w:tcPr>
            <w:tcW w:w="0" w:type="auto"/>
            <w:gridSpan w:val="3"/>
            <w:tcMar>
              <w:top w:w="30" w:type="dxa"/>
              <w:left w:w="20" w:type="dxa"/>
              <w:bottom w:w="30" w:type="dxa"/>
              <w:right w:w="20" w:type="dxa"/>
            </w:tcMar>
            <w:vAlign w:val="bottom"/>
            <w:hideMark/>
          </w:tcPr>
          <w:p w:rsidR="00000000" w:rsidRDefault="00905244">
            <w:pPr>
              <w:divId w:val="2109426641"/>
              <w:rPr>
                <w:rFonts w:eastAsia="Times New Roman"/>
              </w:rPr>
            </w:pPr>
            <w:hyperlink w:anchor="i137f04c25e1e4da3b6d1f469d06f3319_178" w:history="1">
              <w:r>
                <w:rPr>
                  <w:rStyle w:val="a3"/>
                  <w:rFonts w:eastAsia="Times New Roman"/>
                  <w:sz w:val="20"/>
                  <w:szCs w:val="20"/>
                </w:rPr>
                <w:t>12.</w:t>
              </w:r>
            </w:hyperlink>
          </w:p>
        </w:tc>
        <w:tc>
          <w:tcPr>
            <w:tcW w:w="0" w:type="auto"/>
            <w:gridSpan w:val="3"/>
            <w:tcMar>
              <w:top w:w="30" w:type="dxa"/>
              <w:left w:w="20" w:type="dxa"/>
              <w:bottom w:w="30" w:type="dxa"/>
              <w:right w:w="20" w:type="dxa"/>
            </w:tcMar>
            <w:vAlign w:val="bottom"/>
            <w:hideMark/>
          </w:tcPr>
          <w:p w:rsidR="00000000" w:rsidRDefault="00905244">
            <w:pPr>
              <w:divId w:val="740248562"/>
              <w:rPr>
                <w:rFonts w:eastAsia="Times New Roman"/>
              </w:rPr>
            </w:pPr>
            <w:hyperlink w:anchor="i137f04c25e1e4da3b6d1f469d06f3319_178" w:history="1">
              <w:r>
                <w:rPr>
                  <w:rStyle w:val="a3"/>
                  <w:rFonts w:eastAsia="Times New Roman"/>
                  <w:sz w:val="20"/>
                  <w:szCs w:val="20"/>
                </w:rPr>
                <w:t>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hyperlink w:anchor="i137f04c25e1e4da3b6d1f469d06f3319_178" w:history="1">
              <w:r>
                <w:rPr>
                  <w:rStyle w:val="a3"/>
                  <w:rFonts w:eastAsia="Times New Roman"/>
                  <w:sz w:val="20"/>
                  <w:szCs w:val="20"/>
                </w:rPr>
                <w:t>80</w:t>
              </w:r>
            </w:hyperlink>
          </w:p>
        </w:tc>
      </w:tr>
      <w:tr w:rsidR="00000000">
        <w:trPr>
          <w:divId w:val="1724056836"/>
        </w:trPr>
        <w:tc>
          <w:tcPr>
            <w:tcW w:w="0" w:type="auto"/>
            <w:gridSpan w:val="3"/>
            <w:shd w:val="clear" w:color="auto" w:fill="CCEEFF"/>
            <w:tcMar>
              <w:top w:w="30" w:type="dxa"/>
              <w:left w:w="20" w:type="dxa"/>
              <w:bottom w:w="30" w:type="dxa"/>
              <w:right w:w="20" w:type="dxa"/>
            </w:tcMar>
            <w:vAlign w:val="bottom"/>
            <w:hideMark/>
          </w:tcPr>
          <w:p w:rsidR="00000000" w:rsidRDefault="00905244">
            <w:pPr>
              <w:divId w:val="855122764"/>
              <w:rPr>
                <w:rFonts w:eastAsia="Times New Roman"/>
              </w:rPr>
            </w:pPr>
            <w:hyperlink w:anchor="i137f04c25e1e4da3b6d1f469d06f3319_181" w:history="1">
              <w:r>
                <w:rPr>
                  <w:rStyle w:val="a3"/>
                  <w:rFonts w:eastAsia="Times New Roman"/>
                  <w:sz w:val="20"/>
                  <w:szCs w:val="20"/>
                </w:rPr>
                <w:t>13.</w:t>
              </w:r>
            </w:hyperlink>
          </w:p>
        </w:tc>
        <w:tc>
          <w:tcPr>
            <w:tcW w:w="0" w:type="auto"/>
            <w:gridSpan w:val="3"/>
            <w:shd w:val="clear" w:color="auto" w:fill="CCEEFF"/>
            <w:tcMar>
              <w:top w:w="30" w:type="dxa"/>
              <w:left w:w="20" w:type="dxa"/>
              <w:bottom w:w="30" w:type="dxa"/>
              <w:right w:w="20" w:type="dxa"/>
            </w:tcMar>
            <w:vAlign w:val="bottom"/>
            <w:hideMark/>
          </w:tcPr>
          <w:p w:rsidR="00000000" w:rsidRDefault="00905244">
            <w:pPr>
              <w:divId w:val="797069230"/>
              <w:rPr>
                <w:rFonts w:eastAsia="Times New Roman"/>
              </w:rPr>
            </w:pPr>
            <w:hyperlink w:anchor="i137f04c25e1e4da3b6d1f469d06f3319_181" w:history="1">
              <w:r>
                <w:rPr>
                  <w:rStyle w:val="a3"/>
                  <w:rFonts w:eastAsia="Times New Roman"/>
                  <w:sz w:val="20"/>
                  <w:szCs w:val="20"/>
                </w:rPr>
                <w:t>Certain Relationships and Related Transactions, and Director Independence</w:t>
              </w:r>
            </w:hyperlink>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hyperlink w:anchor="i137f04c25e1e4da3b6d1f469d06f3319_181" w:history="1">
              <w:r>
                <w:rPr>
                  <w:rStyle w:val="a3"/>
                  <w:rFonts w:eastAsia="Times New Roman"/>
                  <w:sz w:val="20"/>
                  <w:szCs w:val="20"/>
                </w:rPr>
                <w:t>81</w:t>
              </w:r>
            </w:hyperlink>
          </w:p>
        </w:tc>
      </w:tr>
      <w:tr w:rsidR="00000000">
        <w:trPr>
          <w:divId w:val="1724056836"/>
        </w:trPr>
        <w:tc>
          <w:tcPr>
            <w:tcW w:w="0" w:type="auto"/>
            <w:gridSpan w:val="3"/>
            <w:tcMar>
              <w:top w:w="30" w:type="dxa"/>
              <w:left w:w="20" w:type="dxa"/>
              <w:bottom w:w="30" w:type="dxa"/>
              <w:right w:w="20" w:type="dxa"/>
            </w:tcMar>
            <w:vAlign w:val="bottom"/>
            <w:hideMark/>
          </w:tcPr>
          <w:p w:rsidR="00000000" w:rsidRDefault="00905244">
            <w:pPr>
              <w:divId w:val="1842622272"/>
              <w:rPr>
                <w:rFonts w:eastAsia="Times New Roman"/>
              </w:rPr>
            </w:pPr>
            <w:hyperlink w:anchor="i137f04c25e1e4da3b6d1f469d06f3319_184" w:history="1">
              <w:r>
                <w:rPr>
                  <w:rStyle w:val="a3"/>
                  <w:rFonts w:eastAsia="Times New Roman"/>
                  <w:sz w:val="20"/>
                  <w:szCs w:val="20"/>
                </w:rPr>
                <w:t>14.</w:t>
              </w:r>
            </w:hyperlink>
          </w:p>
        </w:tc>
        <w:tc>
          <w:tcPr>
            <w:tcW w:w="0" w:type="auto"/>
            <w:gridSpan w:val="3"/>
            <w:tcMar>
              <w:top w:w="30" w:type="dxa"/>
              <w:left w:w="20" w:type="dxa"/>
              <w:bottom w:w="30" w:type="dxa"/>
              <w:right w:w="20" w:type="dxa"/>
            </w:tcMar>
            <w:vAlign w:val="bottom"/>
            <w:hideMark/>
          </w:tcPr>
          <w:p w:rsidR="00000000" w:rsidRDefault="00905244">
            <w:pPr>
              <w:divId w:val="775367585"/>
              <w:rPr>
                <w:rFonts w:eastAsia="Times New Roman"/>
              </w:rPr>
            </w:pPr>
            <w:hyperlink w:anchor="i137f04c25e1e4da3b6d1f469d06f3319_184" w:history="1">
              <w:r>
                <w:rPr>
                  <w:rStyle w:val="a3"/>
                  <w:rFonts w:eastAsia="Times New Roman"/>
                  <w:sz w:val="20"/>
                  <w:szCs w:val="20"/>
                </w:rPr>
                <w:t>Principal Accountant Fees and Services</w:t>
              </w:r>
            </w:hyperlink>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hyperlink w:anchor="i137f04c25e1e4da3b6d1f469d06f3319_184" w:history="1">
              <w:r>
                <w:rPr>
                  <w:rStyle w:val="a3"/>
                  <w:rFonts w:eastAsia="Times New Roman"/>
                  <w:sz w:val="20"/>
                  <w:szCs w:val="20"/>
                </w:rPr>
                <w:t>81</w:t>
              </w:r>
            </w:hyperlink>
          </w:p>
        </w:tc>
      </w:tr>
      <w:tr w:rsidR="00000000">
        <w:trPr>
          <w:divId w:val="1724056836"/>
          <w:trHeight w:val="300"/>
        </w:trPr>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724056836"/>
        </w:trPr>
        <w:tc>
          <w:tcPr>
            <w:tcW w:w="0" w:type="auto"/>
            <w:gridSpan w:val="6"/>
            <w:tcMar>
              <w:top w:w="30" w:type="dxa"/>
              <w:left w:w="20" w:type="dxa"/>
              <w:bottom w:w="30" w:type="dxa"/>
              <w:right w:w="20" w:type="dxa"/>
            </w:tcMar>
            <w:vAlign w:val="bottom"/>
            <w:hideMark/>
          </w:tcPr>
          <w:p w:rsidR="00000000" w:rsidRDefault="00905244">
            <w:pPr>
              <w:divId w:val="1170557685"/>
              <w:rPr>
                <w:rFonts w:eastAsia="Times New Roman"/>
              </w:rPr>
            </w:pPr>
            <w:hyperlink w:anchor="i137f04c25e1e4da3b6d1f469d06f3319_187" w:history="1">
              <w:r>
                <w:rPr>
                  <w:rStyle w:val="a3"/>
                  <w:rFonts w:eastAsia="Times New Roman"/>
                  <w:sz w:val="20"/>
                  <w:szCs w:val="20"/>
                </w:rPr>
                <w:t>PART IV</w:t>
              </w:r>
            </w:hyperlink>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hyperlink w:anchor="i137f04c25e1e4da3b6d1f469d06f3319_187" w:history="1">
              <w:r>
                <w:rPr>
                  <w:rStyle w:val="a3"/>
                  <w:rFonts w:eastAsia="Times New Roman"/>
                  <w:sz w:val="20"/>
                  <w:szCs w:val="20"/>
                </w:rPr>
                <w:t>81</w:t>
              </w:r>
            </w:hyperlink>
          </w:p>
        </w:tc>
      </w:tr>
      <w:tr w:rsidR="00000000">
        <w:trPr>
          <w:divId w:val="1724056836"/>
        </w:trPr>
        <w:tc>
          <w:tcPr>
            <w:tcW w:w="0" w:type="auto"/>
            <w:gridSpan w:val="3"/>
            <w:shd w:val="clear" w:color="auto" w:fill="CCEEFF"/>
            <w:tcMar>
              <w:top w:w="30" w:type="dxa"/>
              <w:left w:w="20" w:type="dxa"/>
              <w:bottom w:w="30" w:type="dxa"/>
              <w:right w:w="20" w:type="dxa"/>
            </w:tcMar>
            <w:vAlign w:val="bottom"/>
            <w:hideMark/>
          </w:tcPr>
          <w:p w:rsidR="00000000" w:rsidRDefault="00905244">
            <w:pPr>
              <w:divId w:val="770248187"/>
              <w:rPr>
                <w:rFonts w:eastAsia="Times New Roman"/>
              </w:rPr>
            </w:pPr>
            <w:hyperlink w:anchor="i137f04c25e1e4da3b6d1f469d06f3319_190" w:history="1">
              <w:r>
                <w:rPr>
                  <w:rStyle w:val="a3"/>
                  <w:rFonts w:eastAsia="Times New Roman"/>
                  <w:sz w:val="20"/>
                  <w:szCs w:val="20"/>
                </w:rPr>
                <w:t>15.</w:t>
              </w:r>
            </w:hyperlink>
          </w:p>
        </w:tc>
        <w:tc>
          <w:tcPr>
            <w:tcW w:w="0" w:type="auto"/>
            <w:gridSpan w:val="3"/>
            <w:shd w:val="clear" w:color="auto" w:fill="CCEEFF"/>
            <w:tcMar>
              <w:top w:w="30" w:type="dxa"/>
              <w:left w:w="20" w:type="dxa"/>
              <w:bottom w:w="30" w:type="dxa"/>
              <w:right w:w="20" w:type="dxa"/>
            </w:tcMar>
            <w:vAlign w:val="bottom"/>
            <w:hideMark/>
          </w:tcPr>
          <w:p w:rsidR="00000000" w:rsidRDefault="00905244">
            <w:pPr>
              <w:divId w:val="1562593261"/>
              <w:rPr>
                <w:rFonts w:eastAsia="Times New Roman"/>
              </w:rPr>
            </w:pPr>
            <w:hyperlink w:anchor="i137f04c25e1e4da3b6d1f469d06f3319_190" w:history="1">
              <w:r>
                <w:rPr>
                  <w:rStyle w:val="a3"/>
                  <w:rFonts w:eastAsia="Times New Roman"/>
                  <w:sz w:val="20"/>
                  <w:szCs w:val="20"/>
                </w:rPr>
                <w:t>Exhibits and Financial Statement Schedules</w:t>
              </w:r>
            </w:hyperlink>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hyperlink w:anchor="i137f04c25e1e4da3b6d1f469d06f3319_190" w:history="1">
              <w:r>
                <w:rPr>
                  <w:rStyle w:val="a3"/>
                  <w:rFonts w:eastAsia="Times New Roman"/>
                  <w:sz w:val="20"/>
                  <w:szCs w:val="20"/>
                </w:rPr>
                <w:t>81</w:t>
              </w:r>
            </w:hyperlink>
          </w:p>
        </w:tc>
      </w:tr>
      <w:tr w:rsidR="00000000">
        <w:trPr>
          <w:divId w:val="1724056836"/>
        </w:trPr>
        <w:tc>
          <w:tcPr>
            <w:tcW w:w="0" w:type="auto"/>
            <w:gridSpan w:val="3"/>
            <w:tcMar>
              <w:top w:w="30" w:type="dxa"/>
              <w:left w:w="20" w:type="dxa"/>
              <w:bottom w:w="30" w:type="dxa"/>
              <w:right w:w="20" w:type="dxa"/>
            </w:tcMar>
            <w:vAlign w:val="bottom"/>
            <w:hideMark/>
          </w:tcPr>
          <w:p w:rsidR="00000000" w:rsidRDefault="00905244">
            <w:pPr>
              <w:divId w:val="1740177563"/>
              <w:rPr>
                <w:rFonts w:eastAsia="Times New Roman"/>
              </w:rPr>
            </w:pPr>
            <w:hyperlink w:anchor="i137f04c25e1e4da3b6d1f469d06f3319_193" w:history="1">
              <w:r>
                <w:rPr>
                  <w:rStyle w:val="a3"/>
                  <w:rFonts w:eastAsia="Times New Roman"/>
                  <w:sz w:val="20"/>
                  <w:szCs w:val="20"/>
                </w:rPr>
                <w:t>16.</w:t>
              </w:r>
            </w:hyperlink>
          </w:p>
        </w:tc>
        <w:tc>
          <w:tcPr>
            <w:tcW w:w="0" w:type="auto"/>
            <w:gridSpan w:val="3"/>
            <w:tcMar>
              <w:top w:w="30" w:type="dxa"/>
              <w:left w:w="20" w:type="dxa"/>
              <w:bottom w:w="30" w:type="dxa"/>
              <w:right w:w="20" w:type="dxa"/>
            </w:tcMar>
            <w:vAlign w:val="bottom"/>
            <w:hideMark/>
          </w:tcPr>
          <w:p w:rsidR="00000000" w:rsidRDefault="00905244">
            <w:pPr>
              <w:divId w:val="798768916"/>
              <w:rPr>
                <w:rFonts w:eastAsia="Times New Roman"/>
              </w:rPr>
            </w:pPr>
            <w:hyperlink w:anchor="i137f04c25e1e4da3b6d1f469d06f3319_193" w:history="1">
              <w:r>
                <w:rPr>
                  <w:rStyle w:val="a3"/>
                  <w:rFonts w:eastAsia="Times New Roman"/>
                  <w:sz w:val="20"/>
                  <w:szCs w:val="20"/>
                </w:rPr>
                <w:t>Form 10-K Summary</w:t>
              </w:r>
            </w:hyperlink>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hyperlink w:anchor="i137f04c25e1e4da3b6d1f469d06f3319_193" w:history="1">
              <w:r>
                <w:rPr>
                  <w:rStyle w:val="a3"/>
                  <w:rFonts w:eastAsia="Times New Roman"/>
                  <w:sz w:val="20"/>
                  <w:szCs w:val="20"/>
                </w:rPr>
                <w:t>81</w:t>
              </w:r>
            </w:hyperlink>
          </w:p>
        </w:tc>
      </w:tr>
    </w:tbl>
    <w:p w:rsidR="00000000" w:rsidRDefault="00905244">
      <w:pPr>
        <w:divId w:val="1901477851"/>
        <w:rPr>
          <w:rFonts w:eastAsia="Times New Roman"/>
        </w:rPr>
      </w:pPr>
    </w:p>
    <w:p w:rsidR="00000000" w:rsidRDefault="00905244">
      <w:pPr>
        <w:jc w:val="center"/>
        <w:divId w:val="1455828269"/>
        <w:rPr>
          <w:rFonts w:eastAsia="Times New Roman"/>
        </w:rPr>
      </w:pPr>
      <w:r>
        <w:rPr>
          <w:rFonts w:eastAsia="Times New Roman"/>
          <w:color w:val="000000"/>
          <w:sz w:val="20"/>
          <w:szCs w:val="20"/>
        </w:rPr>
        <w:t>i</w:t>
      </w:r>
    </w:p>
    <w:p w:rsidR="00000000" w:rsidRDefault="00905244">
      <w:pPr>
        <w:rPr>
          <w:rFonts w:eastAsia="Times New Roman"/>
        </w:rPr>
      </w:pPr>
      <w:r>
        <w:rPr>
          <w:rFonts w:eastAsia="Times New Roman"/>
        </w:rPr>
        <w:pict>
          <v:rect id="_x0000_i1027" style="width:0;height:1.5pt" o:hralign="center" o:hrstd="t" o:hr="t" fillcolor="#a0a0a0" stroked="f"/>
        </w:pict>
      </w:r>
    </w:p>
    <w:p w:rsidR="00000000" w:rsidRDefault="00905244">
      <w:pPr>
        <w:divId w:val="1420832133"/>
        <w:rPr>
          <w:rFonts w:eastAsia="Times New Roman"/>
        </w:rPr>
      </w:pPr>
      <w:hyperlink w:anchor="i137f04c25e1e4da3b6d1f469d06f3319_7" w:history="1">
        <w:r>
          <w:rPr>
            <w:rStyle w:val="a3"/>
            <w:rFonts w:eastAsia="Times New Roman"/>
            <w:sz w:val="18"/>
            <w:szCs w:val="18"/>
          </w:rPr>
          <w:t>Index</w:t>
        </w:r>
      </w:hyperlink>
    </w:p>
    <w:p w:rsidR="00000000" w:rsidRDefault="00905244">
      <w:pPr>
        <w:jc w:val="center"/>
        <w:rPr>
          <w:rFonts w:eastAsia="Times New Roman"/>
        </w:rPr>
      </w:pPr>
      <w:r>
        <w:rPr>
          <w:rFonts w:eastAsia="Times New Roman"/>
          <w:b/>
          <w:bCs/>
          <w:color w:val="000000"/>
          <w:sz w:val="20"/>
          <w:szCs w:val="20"/>
        </w:rPr>
        <w:t>FORWARD-LOOKING STATEMENTS OR INFORMATION</w:t>
      </w:r>
    </w:p>
    <w:p w:rsidR="00000000" w:rsidRDefault="00905244">
      <w:pPr>
        <w:divId w:val="1188446171"/>
        <w:rPr>
          <w:rFonts w:eastAsia="Times New Roman"/>
        </w:rPr>
      </w:pPr>
    </w:p>
    <w:p w:rsidR="00000000" w:rsidRDefault="00905244">
      <w:pPr>
        <w:jc w:val="both"/>
        <w:rPr>
          <w:rFonts w:eastAsia="Times New Roman"/>
        </w:rPr>
      </w:pPr>
      <w:r>
        <w:rPr>
          <w:rFonts w:eastAsia="Times New Roman"/>
          <w:color w:val="000000"/>
          <w:sz w:val="20"/>
          <w:szCs w:val="20"/>
        </w:rPr>
        <w:t>This Form 10-K and statements included or incorporated by reference in this Form 10-K include certain historical</w:t>
      </w:r>
      <w:r>
        <w:rPr>
          <w:rFonts w:eastAsia="Times New Roman"/>
          <w:color w:val="000000"/>
          <w:sz w:val="20"/>
          <w:szCs w:val="20"/>
        </w:rPr>
        <w:t xml:space="preserve"> and forward-looking information.  The forward-looking statements included are made pursuant to the safe harbor provisions of the Private Securities Litigation Reform Act of 1995 (the “Act”).  All statements, other than statements of historical facts, whic</w:t>
      </w:r>
      <w:r>
        <w:rPr>
          <w:rFonts w:eastAsia="Times New Roman"/>
          <w:color w:val="000000"/>
          <w:sz w:val="20"/>
          <w:szCs w:val="20"/>
        </w:rPr>
        <w:t>h address activities, events, or developments that we expect or anticipate will or may occur in the future, including such things as future capital expenditures (including their amount and nature), business strategy, expansion, and growth of the business o</w:t>
      </w:r>
      <w:r>
        <w:rPr>
          <w:rFonts w:eastAsia="Times New Roman"/>
          <w:color w:val="000000"/>
          <w:sz w:val="20"/>
          <w:szCs w:val="20"/>
        </w:rPr>
        <w:t xml:space="preserve">perations and other such matters are forward-looking statements.  To take advantage of the safe harbor provided by the Act, we are identifying certain factors that could cause actual results to differ materially from those expressed in any forward-looking </w:t>
      </w:r>
      <w:r>
        <w:rPr>
          <w:rFonts w:eastAsia="Times New Roman"/>
          <w:color w:val="000000"/>
          <w:sz w:val="20"/>
          <w:szCs w:val="20"/>
        </w:rPr>
        <w:t>statements, whether oral, or written.  These factors include, without limitation, national, regional, and local economic conditions affecting consumer spending, including the effects of COVID-19, the effects that “shelter in place” or other similar mandate</w:t>
      </w:r>
      <w:r>
        <w:rPr>
          <w:rFonts w:eastAsia="Times New Roman"/>
          <w:color w:val="000000"/>
          <w:sz w:val="20"/>
          <w:szCs w:val="20"/>
        </w:rPr>
        <w:t>d or suggested social distancing protocols could have on the business, the costs of doing business as a retailer during the COVID-19 pandemic, the effectiveness of the Company’s responses to COVID-19 and customer response with respect to those actions, the</w:t>
      </w:r>
      <w:r>
        <w:rPr>
          <w:rFonts w:eastAsia="Times New Roman"/>
          <w:color w:val="000000"/>
          <w:sz w:val="20"/>
          <w:szCs w:val="20"/>
        </w:rPr>
        <w:t xml:space="preserve"> effects of COVID-19 on our suppliers, business partners and supply chain, the timing and acceptance of new products, the timing and mix of goods sold, weather conditions, the seasonal nature of the business, the timing and mix of goods sold,  purchase pri</w:t>
      </w:r>
      <w:r>
        <w:rPr>
          <w:rFonts w:eastAsia="Times New Roman"/>
          <w:color w:val="000000"/>
          <w:sz w:val="20"/>
          <w:szCs w:val="20"/>
        </w:rPr>
        <w:t>ce volatility (including inflationary and deflationary pressures), the ability to increase sales at existing stores, the failure to realize anticipated benefits of our investments in technology, infrastructure, and digital and omni-channel capabilities, th</w:t>
      </w:r>
      <w:r>
        <w:rPr>
          <w:rFonts w:eastAsia="Times New Roman"/>
          <w:color w:val="000000"/>
          <w:sz w:val="20"/>
          <w:szCs w:val="20"/>
        </w:rPr>
        <w:t>e ability to manage growth and identify suitable locations, failure of an acquisition to produce anticipated results, the ability to successfully manage expenses, particularly in light of COVID-19, including but not limited to, increases in wages, and exec</w:t>
      </w:r>
      <w:r>
        <w:rPr>
          <w:rFonts w:eastAsia="Times New Roman"/>
          <w:color w:val="000000"/>
          <w:sz w:val="20"/>
          <w:szCs w:val="20"/>
        </w:rPr>
        <w:t>ute key gross margin enhancing initiatives, increases in fuel, carrier and other transportation costs, increases in wages due to competitive pressures or minimum wage laws and regulations, the availability of favorable credit sources, capital market condit</w:t>
      </w:r>
      <w:r>
        <w:rPr>
          <w:rFonts w:eastAsia="Times New Roman"/>
          <w:color w:val="000000"/>
          <w:sz w:val="20"/>
          <w:szCs w:val="20"/>
        </w:rPr>
        <w:t>ions in general, the ability to open new stores in the manner, timing and number currently contemplated, the impact of new stores on the business, competition, including competition from online retailers, effective merchandising initiatives and marketing e</w:t>
      </w:r>
      <w:r>
        <w:rPr>
          <w:rFonts w:eastAsia="Times New Roman"/>
          <w:color w:val="000000"/>
          <w:sz w:val="20"/>
          <w:szCs w:val="20"/>
        </w:rPr>
        <w:t>mphasis, the ability to retain vendors, reliance on foreign suppliers, the ability to attract, train and retain qualified employees, the unionization or collective bargaining of employees, product liability and other claims, changes in federal, state or lo</w:t>
      </w:r>
      <w:r>
        <w:rPr>
          <w:rFonts w:eastAsia="Times New Roman"/>
          <w:color w:val="000000"/>
          <w:sz w:val="20"/>
          <w:szCs w:val="20"/>
        </w:rPr>
        <w:t>cal regulations, potential judgments, fines, legal fees and other costs, breach of information systems or theft of employee or customer data, ongoing and potential future legal or regulatory proceedings, management of the Company’s information systems, fai</w:t>
      </w:r>
      <w:r>
        <w:rPr>
          <w:rFonts w:eastAsia="Times New Roman"/>
          <w:color w:val="000000"/>
          <w:sz w:val="20"/>
          <w:szCs w:val="20"/>
        </w:rPr>
        <w:t>lure to develop and implement new technologies, the failure of customer-facing technology systems, business disruption including from the implementation of supply chain technologies, effective tax rate changes, including expected effects of the Tax Cuts an</w:t>
      </w:r>
      <w:r>
        <w:rPr>
          <w:rFonts w:eastAsia="Times New Roman"/>
          <w:color w:val="000000"/>
          <w:sz w:val="20"/>
          <w:szCs w:val="20"/>
        </w:rPr>
        <w:t>d Jobs Act, and results of examination by taxing authorities, the imposition of tariffs on imported products or the disallowance of tax deductions on imported products, the ability to maintain an effective system of internal control over financial reportin</w:t>
      </w:r>
      <w:r>
        <w:rPr>
          <w:rFonts w:eastAsia="Times New Roman"/>
          <w:color w:val="000000"/>
          <w:sz w:val="20"/>
          <w:szCs w:val="20"/>
        </w:rPr>
        <w:t>g, changes in accounting standards, assumptions and estimates, and those described in Item 1A. “Risk Factors.”  Forward-looking statements are based on currently available information and are based on our current expectations and projections about future e</w:t>
      </w:r>
      <w:r>
        <w:rPr>
          <w:rFonts w:eastAsia="Times New Roman"/>
          <w:color w:val="000000"/>
          <w:sz w:val="20"/>
          <w:szCs w:val="20"/>
        </w:rPr>
        <w:t>vents.  We undertake no obligation to release publicly any revisions to these forward-looking statements to reflect events or circumstances after the date hereof or to reflect the occurrence of unanticipated events.</w:t>
      </w:r>
    </w:p>
    <w:p w:rsidR="00000000" w:rsidRDefault="00905244">
      <w:pPr>
        <w:divId w:val="1642153561"/>
        <w:rPr>
          <w:rFonts w:eastAsia="Times New Roman"/>
        </w:rPr>
      </w:pPr>
    </w:p>
    <w:p w:rsidR="00000000" w:rsidRDefault="00905244">
      <w:pPr>
        <w:rPr>
          <w:rFonts w:eastAsia="Times New Roman"/>
        </w:rPr>
      </w:pPr>
      <w:r>
        <w:rPr>
          <w:rFonts w:eastAsia="Times New Roman"/>
        </w:rPr>
        <w:pict>
          <v:rect id="_x0000_i1028" style="width:0;height:1.5pt" o:hralign="center" o:hrstd="t" o:hr="t" fillcolor="#a0a0a0" stroked="f"/>
        </w:pict>
      </w:r>
    </w:p>
    <w:p w:rsidR="00000000" w:rsidRDefault="00905244">
      <w:pPr>
        <w:divId w:val="218591170"/>
        <w:rPr>
          <w:rFonts w:eastAsia="Times New Roman"/>
        </w:rPr>
      </w:pPr>
      <w:hyperlink w:anchor="i137f04c25e1e4da3b6d1f469d06f3319_7" w:history="1">
        <w:r>
          <w:rPr>
            <w:rStyle w:val="a3"/>
            <w:rFonts w:eastAsia="Times New Roman"/>
            <w:sz w:val="18"/>
            <w:szCs w:val="18"/>
          </w:rPr>
          <w:t>Index</w:t>
        </w:r>
      </w:hyperlink>
    </w:p>
    <w:p w:rsidR="00000000" w:rsidRDefault="00905244">
      <w:pPr>
        <w:jc w:val="center"/>
        <w:rPr>
          <w:rFonts w:eastAsia="Times New Roman"/>
        </w:rPr>
      </w:pPr>
      <w:r>
        <w:rPr>
          <w:rFonts w:eastAsia="Times New Roman"/>
          <w:b/>
          <w:bCs/>
          <w:color w:val="000000"/>
          <w:sz w:val="20"/>
          <w:szCs w:val="20"/>
        </w:rPr>
        <w:t>PART I</w:t>
      </w:r>
    </w:p>
    <w:p w:rsidR="00000000" w:rsidRDefault="00905244">
      <w:pPr>
        <w:divId w:val="987435397"/>
        <w:rPr>
          <w:rFonts w:eastAsia="Times New Roman"/>
        </w:rPr>
      </w:pPr>
    </w:p>
    <w:p w:rsidR="00000000" w:rsidRDefault="00905244">
      <w:pPr>
        <w:ind w:hanging="1440"/>
        <w:jc w:val="both"/>
        <w:rPr>
          <w:rFonts w:eastAsia="Times New Roman"/>
        </w:rPr>
      </w:pPr>
      <w:r>
        <w:rPr>
          <w:rFonts w:eastAsia="Times New Roman"/>
          <w:b/>
          <w:bCs/>
          <w:color w:val="000000"/>
          <w:sz w:val="20"/>
          <w:szCs w:val="20"/>
          <w:u w:val="single"/>
        </w:rPr>
        <w:t>Item 1</w:t>
      </w:r>
      <w:r>
        <w:rPr>
          <w:rFonts w:eastAsia="Times New Roman"/>
          <w:b/>
          <w:bCs/>
          <w:color w:val="000000"/>
          <w:sz w:val="20"/>
          <w:szCs w:val="20"/>
        </w:rPr>
        <w:t>.        </w:t>
      </w:r>
      <w:r>
        <w:rPr>
          <w:rFonts w:eastAsia="Times New Roman"/>
          <w:b/>
          <w:bCs/>
          <w:color w:val="000000"/>
          <w:sz w:val="20"/>
          <w:szCs w:val="20"/>
          <w:u w:val="single"/>
        </w:rPr>
        <w:t>Business</w:t>
      </w:r>
    </w:p>
    <w:p w:rsidR="00000000" w:rsidRDefault="00905244">
      <w:pPr>
        <w:divId w:val="812329586"/>
        <w:rPr>
          <w:rFonts w:eastAsia="Times New Roman"/>
        </w:rPr>
      </w:pPr>
    </w:p>
    <w:p w:rsidR="00000000" w:rsidRDefault="00905244">
      <w:pPr>
        <w:jc w:val="both"/>
        <w:rPr>
          <w:rFonts w:eastAsia="Times New Roman"/>
        </w:rPr>
      </w:pPr>
      <w:r>
        <w:rPr>
          <w:rFonts w:eastAsia="Times New Roman"/>
          <w:b/>
          <w:bCs/>
          <w:color w:val="000000"/>
          <w:sz w:val="20"/>
          <w:szCs w:val="20"/>
        </w:rPr>
        <w:t>Overview</w:t>
      </w:r>
    </w:p>
    <w:p w:rsidR="00000000" w:rsidRDefault="00905244">
      <w:pPr>
        <w:divId w:val="2026783078"/>
        <w:rPr>
          <w:rFonts w:eastAsia="Times New Roman"/>
        </w:rPr>
      </w:pPr>
    </w:p>
    <w:p w:rsidR="00000000" w:rsidRDefault="00905244">
      <w:pPr>
        <w:jc w:val="both"/>
        <w:rPr>
          <w:rFonts w:eastAsia="Times New Roman"/>
        </w:rPr>
      </w:pPr>
      <w:r>
        <w:rPr>
          <w:rFonts w:eastAsia="Times New Roman"/>
          <w:color w:val="000000"/>
          <w:sz w:val="20"/>
          <w:szCs w:val="20"/>
        </w:rPr>
        <w:t>Tractor Supply Company (the “Company” or “we” or “our” or “us”</w:t>
      </w:r>
      <w:r>
        <w:rPr>
          <w:rFonts w:eastAsia="Times New Roman"/>
          <w:color w:val="000000"/>
          <w:sz w:val="20"/>
          <w:szCs w:val="20"/>
        </w:rPr>
        <w:t>) is the largest rural lifestyle retailer in the United States (“U.S.”). The Company is focused on supplying the needs of recreational farmers, ranchers, and all those who enjoy living the rural lifestyle (which we refer to as the “</w:t>
      </w:r>
      <w:r>
        <w:rPr>
          <w:rFonts w:eastAsia="Times New Roman"/>
          <w:i/>
          <w:iCs/>
          <w:color w:val="000000"/>
          <w:sz w:val="20"/>
          <w:szCs w:val="20"/>
        </w:rPr>
        <w:t>Out Here</w:t>
      </w:r>
      <w:r>
        <w:rPr>
          <w:rFonts w:eastAsia="Times New Roman"/>
          <w:color w:val="000000"/>
          <w:sz w:val="20"/>
          <w:szCs w:val="20"/>
        </w:rPr>
        <w:t>” lifestyle), as</w:t>
      </w:r>
      <w:r>
        <w:rPr>
          <w:rFonts w:eastAsia="Times New Roman"/>
          <w:color w:val="000000"/>
          <w:sz w:val="20"/>
          <w:szCs w:val="20"/>
        </w:rPr>
        <w:t xml:space="preserve"> well as tradesmen and small businesses.  We operate retail stores under the names </w:t>
      </w:r>
      <w:r>
        <w:rPr>
          <w:rFonts w:eastAsia="Times New Roman"/>
          <w:i/>
          <w:iCs/>
          <w:color w:val="000000"/>
          <w:sz w:val="20"/>
          <w:szCs w:val="20"/>
        </w:rPr>
        <w:t>Tractor Supply Company, Del’s Feed &amp; Farm Supply,</w:t>
      </w:r>
      <w:r>
        <w:rPr>
          <w:rFonts w:eastAsia="Times New Roman"/>
          <w:color w:val="000000"/>
          <w:sz w:val="20"/>
          <w:szCs w:val="20"/>
        </w:rPr>
        <w:t xml:space="preserve"> and </w:t>
      </w:r>
      <w:r>
        <w:rPr>
          <w:rFonts w:eastAsia="Times New Roman"/>
          <w:i/>
          <w:iCs/>
          <w:color w:val="000000"/>
          <w:sz w:val="20"/>
          <w:szCs w:val="20"/>
        </w:rPr>
        <w:t xml:space="preserve">Petsense. </w:t>
      </w:r>
      <w:r>
        <w:rPr>
          <w:rFonts w:eastAsia="Times New Roman"/>
          <w:color w:val="000000"/>
          <w:sz w:val="20"/>
          <w:szCs w:val="20"/>
        </w:rPr>
        <w:t>Our stores are located primarily in towns outlying major metropolitan markets and in rural communities. We al</w:t>
      </w:r>
      <w:r>
        <w:rPr>
          <w:rFonts w:eastAsia="Times New Roman"/>
          <w:color w:val="000000"/>
          <w:sz w:val="20"/>
          <w:szCs w:val="20"/>
        </w:rPr>
        <w:t xml:space="preserve">so operate websites under the names </w:t>
      </w:r>
      <w:r>
        <w:rPr>
          <w:rFonts w:eastAsia="Times New Roman"/>
          <w:i/>
          <w:iCs/>
          <w:color w:val="000000"/>
          <w:sz w:val="20"/>
          <w:szCs w:val="20"/>
          <w:u w:val="single"/>
        </w:rPr>
        <w:t>TractorSupply.com</w:t>
      </w:r>
      <w:r>
        <w:rPr>
          <w:rFonts w:eastAsia="Times New Roman"/>
          <w:color w:val="000000"/>
          <w:sz w:val="20"/>
          <w:szCs w:val="20"/>
        </w:rPr>
        <w:t xml:space="preserve"> and</w:t>
      </w:r>
      <w:r>
        <w:rPr>
          <w:rFonts w:eastAsia="Times New Roman"/>
          <w:i/>
          <w:iCs/>
          <w:color w:val="000000"/>
          <w:sz w:val="20"/>
          <w:szCs w:val="20"/>
        </w:rPr>
        <w:t xml:space="preserve"> </w:t>
      </w:r>
      <w:r>
        <w:rPr>
          <w:rFonts w:eastAsia="Times New Roman"/>
          <w:i/>
          <w:iCs/>
          <w:color w:val="000000"/>
          <w:sz w:val="20"/>
          <w:szCs w:val="20"/>
          <w:u w:val="single"/>
        </w:rPr>
        <w:t>Petsense.com</w:t>
      </w:r>
      <w:r>
        <w:rPr>
          <w:rFonts w:eastAsia="Times New Roman"/>
          <w:color w:val="000000"/>
          <w:sz w:val="20"/>
          <w:szCs w:val="20"/>
        </w:rPr>
        <w:t xml:space="preserve"> as well as a Tractor Supply Company mobile application.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Company has one reportable industry segment which is the retail sale of products that support the rural lifestyle. At Dec</w:t>
      </w:r>
      <w:r>
        <w:rPr>
          <w:rFonts w:eastAsia="Times New Roman"/>
          <w:color w:val="000000"/>
          <w:sz w:val="20"/>
          <w:szCs w:val="20"/>
        </w:rPr>
        <w:t>ember 26, 2020, we operated 2,105 retail stores in 49 states (1,923 Tractor Supply and Del’s retail stores and 182 Petsense retail stores). Our Tractor Supply stores typically range in size from 15,000 to 20,000 square feet of inside selling space, along w</w:t>
      </w:r>
      <w:r>
        <w:rPr>
          <w:rFonts w:eastAsia="Times New Roman"/>
          <w:color w:val="000000"/>
          <w:sz w:val="20"/>
          <w:szCs w:val="20"/>
        </w:rPr>
        <w:t>ith additional outside selling space, and our Petsense stores have approximately 5,500 square feet of inside selling space. For Tractor Supply retail locations, we use a standard design for most new built-to-suit locations that includes approximately 15,50</w:t>
      </w:r>
      <w:r>
        <w:rPr>
          <w:rFonts w:eastAsia="Times New Roman"/>
          <w:color w:val="000000"/>
          <w:sz w:val="20"/>
          <w:szCs w:val="20"/>
        </w:rPr>
        <w:t>0 square feet of inside selling space. Our online selling websites and our mobile application are positioned to offer an extended assortment of products beyond those offered in-store and drive traffic into our stores through our buy online and pickup in-st</w:t>
      </w:r>
      <w:r>
        <w:rPr>
          <w:rFonts w:eastAsia="Times New Roman"/>
          <w:color w:val="000000"/>
          <w:sz w:val="20"/>
          <w:szCs w:val="20"/>
        </w:rPr>
        <w:t xml:space="preserve">ore and ship to store programs. Our retail store locations and digital capabilities provide the convenience to allow our customers to engage with us anytime, anywhere and in any way they choose. </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 xml:space="preserve">Business Strategy for Tractor Supply Company </w:t>
      </w:r>
    </w:p>
    <w:p w:rsidR="00000000" w:rsidRDefault="00905244">
      <w:pPr>
        <w:divId w:val="2043628377"/>
        <w:rPr>
          <w:rFonts w:eastAsia="Times New Roman"/>
        </w:rPr>
      </w:pPr>
    </w:p>
    <w:p w:rsidR="00000000" w:rsidRDefault="00905244">
      <w:pPr>
        <w:jc w:val="both"/>
        <w:rPr>
          <w:rFonts w:eastAsia="Times New Roman"/>
        </w:rPr>
      </w:pPr>
      <w:r>
        <w:rPr>
          <w:rFonts w:eastAsia="Times New Roman"/>
          <w:color w:val="000000"/>
          <w:sz w:val="20"/>
          <w:szCs w:val="20"/>
        </w:rPr>
        <w:t>We believe our sales and earnings growth is the result of executing our business strategy, which includes the following key components:</w:t>
      </w:r>
    </w:p>
    <w:p w:rsidR="00000000" w:rsidRDefault="00905244">
      <w:pPr>
        <w:jc w:val="both"/>
        <w:rPr>
          <w:rFonts w:eastAsia="Times New Roman"/>
        </w:rPr>
      </w:pPr>
      <w:r>
        <w:rPr>
          <w:rFonts w:eastAsia="Times New Roman"/>
          <w:color w:val="000000"/>
          <w:sz w:val="20"/>
          <w:szCs w:val="20"/>
        </w:rPr>
        <w:t> </w:t>
      </w:r>
    </w:p>
    <w:p w:rsidR="00000000" w:rsidRDefault="00905244">
      <w:pPr>
        <w:jc w:val="both"/>
        <w:rPr>
          <w:rFonts w:eastAsia="Times New Roman"/>
        </w:rPr>
      </w:pPr>
      <w:r>
        <w:rPr>
          <w:rFonts w:eastAsia="Times New Roman"/>
          <w:i/>
          <w:iCs/>
          <w:color w:val="000000"/>
          <w:sz w:val="20"/>
          <w:szCs w:val="20"/>
        </w:rPr>
        <w:t>Market Niche</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have identified a specialized market niche: supplyin</w:t>
      </w:r>
      <w:r>
        <w:rPr>
          <w:rFonts w:eastAsia="Times New Roman"/>
          <w:color w:val="000000"/>
          <w:sz w:val="20"/>
          <w:szCs w:val="20"/>
        </w:rPr>
        <w:t>g the lifestyle needs of recreational farmers, ranchers, and all those who enjoy living the rural lifestyle, as well as tradesmen and small businesses.  By focusing our product assortment on these core customers, we believe we are differentiated from gener</w:t>
      </w:r>
      <w:r>
        <w:rPr>
          <w:rFonts w:eastAsia="Times New Roman"/>
          <w:color w:val="000000"/>
          <w:sz w:val="20"/>
          <w:szCs w:val="20"/>
        </w:rPr>
        <w:t>al merchandise, home center, and other specialty retailers. We cater to the rural lifestyle and often serve a market by being a trip consolidator for many basic maintenance needs for farm, ranch, and rural customers through convenient shopping options both</w:t>
      </w:r>
      <w:r>
        <w:rPr>
          <w:rFonts w:eastAsia="Times New Roman"/>
          <w:color w:val="000000"/>
          <w:sz w:val="20"/>
          <w:szCs w:val="20"/>
        </w:rPr>
        <w:t xml:space="preserve"> in-store and online.</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Customers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Our target customers are home, land, pet, and livestock owners who generally have above average income and below average cost of living. We seek to serve a customer base that primarily lives in towns outlying major metro</w:t>
      </w:r>
      <w:r>
        <w:rPr>
          <w:rFonts w:eastAsia="Times New Roman"/>
          <w:color w:val="000000"/>
          <w:sz w:val="20"/>
          <w:szCs w:val="20"/>
        </w:rPr>
        <w:t>politan markets and in rural communities. This customer base includes recreational farmers, ranchers, and all those who enjoy living the rural lifestyle, as well as tradesmen and small businesses.</w:t>
      </w:r>
    </w:p>
    <w:p w:rsidR="00000000" w:rsidRDefault="00905244">
      <w:pPr>
        <w:divId w:val="1190220606"/>
        <w:rPr>
          <w:rFonts w:eastAsia="Times New Roman"/>
        </w:rPr>
      </w:pPr>
    </w:p>
    <w:p w:rsidR="00000000" w:rsidRDefault="00905244">
      <w:pPr>
        <w:jc w:val="both"/>
        <w:rPr>
          <w:rFonts w:eastAsia="Times New Roman"/>
        </w:rPr>
      </w:pPr>
      <w:r>
        <w:rPr>
          <w:rFonts w:eastAsia="Times New Roman"/>
          <w:i/>
          <w:iCs/>
          <w:color w:val="000000"/>
          <w:sz w:val="20"/>
          <w:szCs w:val="20"/>
        </w:rPr>
        <w:t>Customer Service</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are committed to providing our cust</w:t>
      </w:r>
      <w:r>
        <w:rPr>
          <w:rFonts w:eastAsia="Times New Roman"/>
          <w:color w:val="000000"/>
          <w:sz w:val="20"/>
          <w:szCs w:val="20"/>
        </w:rPr>
        <w:t>omers reliable product availability and a convenient, customer-centric experience across shopping channels. In our stores, we believe the ability of our motivated, well-trained team members to provide friendly, responsive and seasoned advice helps our cust</w:t>
      </w:r>
      <w:r>
        <w:rPr>
          <w:rFonts w:eastAsia="Times New Roman"/>
          <w:color w:val="000000"/>
          <w:sz w:val="20"/>
          <w:szCs w:val="20"/>
        </w:rPr>
        <w:t>omers find the right products to satisfy their everyday needs, as well as the specialty items needed to complete their rural lifestyle projects. In addition, our stores have been equipped with tools such as team member communication devices, wireless inter</w:t>
      </w:r>
      <w:r>
        <w:rPr>
          <w:rFonts w:eastAsia="Times New Roman"/>
          <w:color w:val="000000"/>
          <w:sz w:val="20"/>
          <w:szCs w:val="20"/>
        </w:rPr>
        <w:t>net, and mobile point-of-sale devices that enable our team members to provide an enhanced shopping experience to our customers. We also engage with our customers through our e-commerce websites and mobile application, which provide the opportunity to allow</w:t>
      </w:r>
      <w:r>
        <w:rPr>
          <w:rFonts w:eastAsia="Times New Roman"/>
          <w:color w:val="000000"/>
          <w:sz w:val="20"/>
          <w:szCs w:val="20"/>
        </w:rPr>
        <w:t xml:space="preserve"> customers to shop anytime, anywhere, and in any way they choose, while delivering enhanced product information, research, and decision tools that support product selection and informational needs in specific subject areas.  Additionally, we maintain a Cus</w:t>
      </w:r>
      <w:r>
        <w:rPr>
          <w:rFonts w:eastAsia="Times New Roman"/>
          <w:color w:val="000000"/>
          <w:sz w:val="20"/>
          <w:szCs w:val="20"/>
        </w:rPr>
        <w:t xml:space="preserve">tomer Solutions Center at our Store Support Center located in Brentwood, Tennessee, to support our in-store and online customers, as well as our store team members. We believe this commitment to customer service promotes strong customer loyalty </w:t>
      </w:r>
      <w:r>
        <w:rPr>
          <w:rFonts w:eastAsia="Times New Roman"/>
          <w:color w:val="000000"/>
          <w:sz w:val="20"/>
          <w:szCs w:val="20"/>
        </w:rPr>
        <w:lastRenderedPageBreak/>
        <w:t>through per</w:t>
      </w:r>
      <w:r>
        <w:rPr>
          <w:rFonts w:eastAsia="Times New Roman"/>
          <w:color w:val="000000"/>
          <w:sz w:val="20"/>
          <w:szCs w:val="20"/>
        </w:rPr>
        <w:t xml:space="preserve">sonalized experiences and provides convenience that our customers expect, which drives repeat shopping experiences. </w:t>
      </w:r>
    </w:p>
    <w:p w:rsidR="00000000" w:rsidRDefault="00905244">
      <w:pPr>
        <w:divId w:val="199053100"/>
        <w:rPr>
          <w:rFonts w:eastAsia="Times New Roman"/>
        </w:rPr>
      </w:pPr>
    </w:p>
    <w:p w:rsidR="00000000" w:rsidRDefault="00905244">
      <w:pPr>
        <w:jc w:val="center"/>
        <w:divId w:val="2012096362"/>
        <w:rPr>
          <w:rFonts w:eastAsia="Times New Roman"/>
        </w:rPr>
      </w:pPr>
      <w:r>
        <w:rPr>
          <w:rFonts w:eastAsia="Times New Roman"/>
          <w:color w:val="000000"/>
          <w:sz w:val="20"/>
          <w:szCs w:val="20"/>
        </w:rPr>
        <w:t>1</w:t>
      </w:r>
    </w:p>
    <w:p w:rsidR="00000000" w:rsidRDefault="00905244">
      <w:pPr>
        <w:rPr>
          <w:rFonts w:eastAsia="Times New Roman"/>
        </w:rPr>
      </w:pPr>
      <w:r>
        <w:rPr>
          <w:rFonts w:eastAsia="Times New Roman"/>
        </w:rPr>
        <w:pict>
          <v:rect id="_x0000_i1029" style="width:0;height:1.5pt" o:hralign="center" o:hrstd="t" o:hr="t" fillcolor="#a0a0a0" stroked="f"/>
        </w:pict>
      </w:r>
    </w:p>
    <w:p w:rsidR="00000000" w:rsidRDefault="00905244">
      <w:pPr>
        <w:divId w:val="1167088245"/>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We use a third-party provider to s</w:t>
      </w:r>
      <w:r>
        <w:rPr>
          <w:rFonts w:eastAsia="Times New Roman"/>
          <w:color w:val="000000"/>
          <w:sz w:val="20"/>
          <w:szCs w:val="20"/>
        </w:rPr>
        <w:t>urvey and measure our level of customer service.  This process allows customers to provide feedback on their shopping experience.  Based on the third-party provider’s data, we believe our customer satisfaction scores are among the best-in-class.  We carefu</w:t>
      </w:r>
      <w:r>
        <w:rPr>
          <w:rFonts w:eastAsia="Times New Roman"/>
          <w:color w:val="000000"/>
          <w:sz w:val="20"/>
          <w:szCs w:val="20"/>
        </w:rPr>
        <w:t>lly evaluate the feedback we receive from our customers and implement improvements at both the Company and the individual store level based on that feedback.</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Store Environment</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Our stores are designed and managed to make shopping an enjoyable experience</w:t>
      </w:r>
      <w:r>
        <w:rPr>
          <w:rFonts w:eastAsia="Times New Roman"/>
          <w:color w:val="000000"/>
          <w:sz w:val="20"/>
          <w:szCs w:val="20"/>
        </w:rPr>
        <w:t xml:space="preserve"> and to maximize sales and operating efficiencies.  Stores are strategically arranged to provide an open environment for optimal product placement and visual display. In addition, these layouts allow for departmental space to be easily reallocated and visu</w:t>
      </w:r>
      <w:r>
        <w:rPr>
          <w:rFonts w:eastAsia="Times New Roman"/>
          <w:color w:val="000000"/>
          <w:sz w:val="20"/>
          <w:szCs w:val="20"/>
        </w:rPr>
        <w:t>al displays to be changed for seasonal products and promotions. Display and product placement information is routinely sent to stores to ensure quality and uniformity among the stores.  Our store layouts and visual displays are designed to provide our cust</w:t>
      </w:r>
      <w:r>
        <w:rPr>
          <w:rFonts w:eastAsia="Times New Roman"/>
          <w:color w:val="000000"/>
          <w:sz w:val="20"/>
          <w:szCs w:val="20"/>
        </w:rPr>
        <w:t xml:space="preserve">omers a feeling of familiarity and convenience to enhance the shopping experience.  Informative signs are located in key product categories to conveniently assist customers with purchasing decisions and merchandise location.  These signs provide customers </w:t>
      </w:r>
      <w:r>
        <w:rPr>
          <w:rFonts w:eastAsia="Times New Roman"/>
          <w:color w:val="000000"/>
          <w:sz w:val="20"/>
          <w:szCs w:val="20"/>
        </w:rPr>
        <w:t xml:space="preserve">with a comparison of product qualities, clear pricing, useful information regarding product benefits, and suggestions for appropriate accessories. Also, our store team members wear highly visible red vests or aprons with nametags, and our customer service </w:t>
      </w:r>
      <w:r>
        <w:rPr>
          <w:rFonts w:eastAsia="Times New Roman"/>
          <w:color w:val="000000"/>
          <w:sz w:val="20"/>
          <w:szCs w:val="20"/>
        </w:rPr>
        <w:t>and checkout counters are conveniently located near the front of the store. Our stores have been equipped with tools such as team member communication devices, wireless internet, and mobile point-of-sale devices that enable our team members to provide an e</w:t>
      </w:r>
      <w:r>
        <w:rPr>
          <w:rFonts w:eastAsia="Times New Roman"/>
          <w:color w:val="000000"/>
          <w:sz w:val="20"/>
          <w:szCs w:val="20"/>
        </w:rPr>
        <w:t xml:space="preserve">nhanced shopping experience to our customers. In addition, our buy online and pick up in-store program, including curbside pick up, provides convenient access for customers to pick up merchandise from our store locations. </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Merchandising and Purchasing</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offer an extensive assortment of products for all those seeking to enjoy the “</w:t>
      </w:r>
      <w:r>
        <w:rPr>
          <w:rFonts w:eastAsia="Times New Roman"/>
          <w:i/>
          <w:iCs/>
          <w:color w:val="000000"/>
          <w:sz w:val="20"/>
          <w:szCs w:val="20"/>
        </w:rPr>
        <w:t>Out Here”</w:t>
      </w:r>
      <w:r>
        <w:rPr>
          <w:rFonts w:eastAsia="Times New Roman"/>
          <w:color w:val="000000"/>
          <w:sz w:val="20"/>
          <w:szCs w:val="20"/>
        </w:rPr>
        <w:t xml:space="preserve"> lifestyle, as well as tradesmen and small businesses.  Our product assortment is tailored to meet the needs of our customers in variou</w:t>
      </w:r>
      <w:r>
        <w:rPr>
          <w:rFonts w:eastAsia="Times New Roman"/>
          <w:color w:val="000000"/>
          <w:sz w:val="20"/>
          <w:szCs w:val="20"/>
        </w:rPr>
        <w:t>s geographic markets.  Our full line of product offerings includes a broad selection of high quality, reputable brand name and exclusive brand products with approximately 15,500 to 20,000 products per store as well as over 125,000 products online.  No sing</w:t>
      </w:r>
      <w:r>
        <w:rPr>
          <w:rFonts w:eastAsia="Times New Roman"/>
          <w:color w:val="000000"/>
          <w:sz w:val="20"/>
          <w:szCs w:val="20"/>
        </w:rPr>
        <w:t>le product accounted for more than 10% of our sales during fiscal 2020. Our comprehensive selection of merchandise is comprised of the following major product categories:</w:t>
      </w:r>
    </w:p>
    <w:p w:rsidR="00000000" w:rsidRDefault="00905244">
      <w:pPr>
        <w:divId w:val="295569573"/>
        <w:rPr>
          <w:rFonts w:eastAsia="Times New Roman"/>
        </w:rPr>
      </w:pPr>
    </w:p>
    <w:p w:rsidR="00000000" w:rsidRDefault="00905244">
      <w:pPr>
        <w:ind w:hanging="360"/>
        <w:divId w:val="708184436"/>
        <w:rPr>
          <w:rFonts w:eastAsia="Times New Roman"/>
        </w:rPr>
      </w:pPr>
      <w:r>
        <w:rPr>
          <w:rFonts w:eastAsia="Times New Roman"/>
          <w:color w:val="000000"/>
          <w:sz w:val="20"/>
          <w:szCs w:val="20"/>
        </w:rPr>
        <w:t>•</w:t>
      </w:r>
      <w:r>
        <w:rPr>
          <w:rFonts w:eastAsia="Times New Roman"/>
          <w:color w:val="000000"/>
          <w:sz w:val="20"/>
          <w:szCs w:val="20"/>
        </w:rPr>
        <w:t>Equine, livestock, pet, and small animal products, including items necessary for their health, care, growth, and containment;</w:t>
      </w:r>
    </w:p>
    <w:p w:rsidR="00000000" w:rsidRDefault="00905244">
      <w:pPr>
        <w:ind w:hanging="360"/>
        <w:divId w:val="1118987758"/>
        <w:rPr>
          <w:rFonts w:eastAsia="Times New Roman"/>
        </w:rPr>
      </w:pPr>
      <w:r>
        <w:rPr>
          <w:rFonts w:eastAsia="Times New Roman"/>
          <w:color w:val="000000"/>
          <w:sz w:val="20"/>
          <w:szCs w:val="20"/>
        </w:rPr>
        <w:t>•Hardware, truck, towing, and tool products;</w:t>
      </w:r>
    </w:p>
    <w:p w:rsidR="00000000" w:rsidRDefault="00905244">
      <w:pPr>
        <w:ind w:hanging="360"/>
        <w:divId w:val="1878929737"/>
        <w:rPr>
          <w:rFonts w:eastAsia="Times New Roman"/>
        </w:rPr>
      </w:pPr>
      <w:r>
        <w:rPr>
          <w:rFonts w:eastAsia="Times New Roman"/>
          <w:color w:val="000000"/>
          <w:sz w:val="20"/>
          <w:szCs w:val="20"/>
        </w:rPr>
        <w:t>•Seasonal products, including heating, lawn and garden items, power equipment, gifts,</w:t>
      </w:r>
      <w:r>
        <w:rPr>
          <w:rFonts w:eastAsia="Times New Roman"/>
          <w:color w:val="000000"/>
          <w:sz w:val="20"/>
          <w:szCs w:val="20"/>
        </w:rPr>
        <w:t xml:space="preserve"> and toys;</w:t>
      </w:r>
    </w:p>
    <w:p w:rsidR="00000000" w:rsidRDefault="00905244">
      <w:pPr>
        <w:ind w:hanging="360"/>
        <w:divId w:val="1650792799"/>
        <w:rPr>
          <w:rFonts w:eastAsia="Times New Roman"/>
        </w:rPr>
      </w:pPr>
      <w:r>
        <w:rPr>
          <w:rFonts w:eastAsia="Times New Roman"/>
          <w:color w:val="000000"/>
          <w:sz w:val="20"/>
          <w:szCs w:val="20"/>
        </w:rPr>
        <w:t>•Work/recreational clothing and footwear; and</w:t>
      </w:r>
    </w:p>
    <w:p w:rsidR="00000000" w:rsidRDefault="00905244">
      <w:pPr>
        <w:ind w:hanging="360"/>
        <w:divId w:val="1681005051"/>
        <w:rPr>
          <w:rFonts w:eastAsia="Times New Roman"/>
        </w:rPr>
      </w:pPr>
      <w:r>
        <w:rPr>
          <w:rFonts w:eastAsia="Times New Roman"/>
          <w:color w:val="000000"/>
          <w:sz w:val="20"/>
          <w:szCs w:val="20"/>
        </w:rPr>
        <w:t>•Maintenance products for agricultural and rural use.</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following table indicates the percentage of net sales represented by each of our major product categories during fiscal 2020, 2019, and 201</w:t>
      </w:r>
      <w:r>
        <w:rPr>
          <w:rFonts w:eastAsia="Times New Roman"/>
          <w:color w:val="000000"/>
          <w:sz w:val="20"/>
          <w:szCs w:val="20"/>
        </w:rPr>
        <w:t>8:</w:t>
      </w: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4822"/>
        <w:gridCol w:w="38"/>
        <w:gridCol w:w="37"/>
        <w:gridCol w:w="874"/>
        <w:gridCol w:w="188"/>
        <w:gridCol w:w="36"/>
        <w:gridCol w:w="36"/>
        <w:gridCol w:w="36"/>
        <w:gridCol w:w="37"/>
        <w:gridCol w:w="813"/>
        <w:gridCol w:w="188"/>
        <w:gridCol w:w="36"/>
        <w:gridCol w:w="36"/>
        <w:gridCol w:w="36"/>
        <w:gridCol w:w="37"/>
        <w:gridCol w:w="816"/>
        <w:gridCol w:w="188"/>
      </w:tblGrid>
      <w:tr w:rsidR="00000000">
        <w:trPr>
          <w:divId w:val="1171796574"/>
          <w:jc w:val="center"/>
        </w:trPr>
        <w:tc>
          <w:tcPr>
            <w:tcW w:w="50" w:type="pct"/>
            <w:vAlign w:val="center"/>
            <w:hideMark/>
          </w:tcPr>
          <w:p w:rsidR="00000000" w:rsidRDefault="00905244">
            <w:pPr>
              <w:jc w:val="both"/>
              <w:rPr>
                <w:rFonts w:eastAsia="Times New Roman"/>
              </w:rPr>
            </w:pPr>
          </w:p>
        </w:tc>
        <w:tc>
          <w:tcPr>
            <w:tcW w:w="296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8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8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8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171796574"/>
          <w:jc w:val="center"/>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Percent of Net Sales</w:t>
            </w:r>
          </w:p>
        </w:tc>
      </w:tr>
      <w:tr w:rsidR="00000000">
        <w:trPr>
          <w:divId w:val="1171796574"/>
          <w:jc w:val="center"/>
        </w:trPr>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w:t>
            </w:r>
          </w:p>
        </w:tc>
      </w:tr>
      <w:tr w:rsidR="00000000">
        <w:trPr>
          <w:divId w:val="1171796574"/>
          <w:jc w:val="center"/>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Product Category:</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2018</w:t>
            </w:r>
          </w:p>
        </w:tc>
      </w:tr>
      <w:tr w:rsidR="00000000">
        <w:trPr>
          <w:divId w:val="1171796574"/>
          <w:jc w:val="center"/>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Livestock and Pet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w:t>
            </w:r>
          </w:p>
        </w:tc>
      </w:tr>
      <w:tr w:rsidR="00000000">
        <w:trPr>
          <w:divId w:val="1171796574"/>
          <w:jc w:val="center"/>
        </w:trPr>
        <w:tc>
          <w:tcPr>
            <w:tcW w:w="0" w:type="auto"/>
            <w:gridSpan w:val="3"/>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Hardware, Tools and Truck</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22 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171796574"/>
          <w:jc w:val="center"/>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Seasonal, Gift and Toy Products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171796574"/>
          <w:jc w:val="center"/>
        </w:trPr>
        <w:tc>
          <w:tcPr>
            <w:tcW w:w="0" w:type="auto"/>
            <w:gridSpan w:val="3"/>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Clothing and Footwear</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171796574"/>
          <w:jc w:val="center"/>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lastRenderedPageBreak/>
              <w:t>Agriculture</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171796574"/>
          <w:jc w:val="center"/>
        </w:trPr>
        <w:tc>
          <w:tcPr>
            <w:tcW w:w="0" w:type="auto"/>
            <w:gridSpan w:val="3"/>
            <w:tcMar>
              <w:top w:w="30" w:type="dxa"/>
              <w:left w:w="245"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w:t>
            </w:r>
          </w:p>
        </w:tc>
      </w:tr>
    </w:tbl>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Our buying team continuously reviews and updates our product assortment to respond to customer needs and to offer new, relevant products.  We are focused on providing key products that our customers use on a regular basis for their lifestyle and maintenanc</w:t>
      </w:r>
      <w:r>
        <w:rPr>
          <w:rFonts w:eastAsia="Times New Roman"/>
          <w:color w:val="000000"/>
          <w:sz w:val="20"/>
          <w:szCs w:val="20"/>
        </w:rPr>
        <w:t>e needs with emphasis on consumable, usable, and edible (“C.U.E.”) products.  Examples of C.U.E. product categories include, but are not limited to, livestock feed and bedding, pet food, bird seed, lubricants, propane, and various seasonal products, such a</w:t>
      </w:r>
      <w:r>
        <w:rPr>
          <w:rFonts w:eastAsia="Times New Roman"/>
          <w:color w:val="000000"/>
          <w:sz w:val="20"/>
          <w:szCs w:val="20"/>
        </w:rPr>
        <w:t xml:space="preserve">s heating, fertilizer, weed control, mulch, pest control, and twine. </w:t>
      </w:r>
    </w:p>
    <w:p w:rsidR="00000000" w:rsidRDefault="00905244">
      <w:pPr>
        <w:jc w:val="both"/>
        <w:rPr>
          <w:rFonts w:eastAsia="Times New Roman"/>
        </w:rPr>
      </w:pPr>
    </w:p>
    <w:p w:rsidR="00000000" w:rsidRDefault="00905244">
      <w:pPr>
        <w:jc w:val="center"/>
        <w:divId w:val="1532375763"/>
        <w:rPr>
          <w:rFonts w:eastAsia="Times New Roman"/>
        </w:rPr>
      </w:pPr>
      <w:r>
        <w:rPr>
          <w:rFonts w:eastAsia="Times New Roman"/>
          <w:color w:val="000000"/>
          <w:sz w:val="20"/>
          <w:szCs w:val="20"/>
        </w:rPr>
        <w:t>2</w:t>
      </w:r>
    </w:p>
    <w:p w:rsidR="00000000" w:rsidRDefault="00905244">
      <w:pPr>
        <w:rPr>
          <w:rFonts w:eastAsia="Times New Roman"/>
        </w:rPr>
      </w:pPr>
      <w:r>
        <w:rPr>
          <w:rFonts w:eastAsia="Times New Roman"/>
        </w:rPr>
        <w:pict>
          <v:rect id="_x0000_i1030" style="width:0;height:1.5pt" o:hralign="center" o:hrstd="t" o:hr="t" fillcolor="#a0a0a0" stroked="f"/>
        </w:pict>
      </w:r>
    </w:p>
    <w:p w:rsidR="00000000" w:rsidRDefault="00905244">
      <w:pPr>
        <w:divId w:val="1042246888"/>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 xml:space="preserve">Our products are sourced through both domestic and international vendors, each of </w:t>
      </w:r>
      <w:r>
        <w:rPr>
          <w:rFonts w:eastAsia="Times New Roman"/>
          <w:color w:val="000000"/>
          <w:sz w:val="20"/>
          <w:szCs w:val="20"/>
        </w:rPr>
        <w:t>whom are expected to adhere to a code of conduct that guides our relationship.  Our business is not dependent upon any single vendor or particular group of vendors.  We purchase our products from a group of approximately 975 vendors, with no one vendor rep</w:t>
      </w:r>
      <w:r>
        <w:rPr>
          <w:rFonts w:eastAsia="Times New Roman"/>
          <w:color w:val="000000"/>
          <w:sz w:val="20"/>
          <w:szCs w:val="20"/>
        </w:rPr>
        <w:t>resenting more than 10% of our purchases during fiscal 2020.  Approximately 375 core vendors accounted for 90% of our merchandise purchases during fiscal 2020.  We have not experienced any significant difficulty in obtaining satisfactory alternative source</w:t>
      </w:r>
      <w:r>
        <w:rPr>
          <w:rFonts w:eastAsia="Times New Roman"/>
          <w:color w:val="000000"/>
          <w:sz w:val="20"/>
          <w:szCs w:val="20"/>
        </w:rPr>
        <w:t xml:space="preserve">s of supply for our products, and we believe that adequate sources of supply exist at substantially similar costs for nearly all of our products.  We have no material long-term contractual commitments with any of our product vendors. </w:t>
      </w:r>
    </w:p>
    <w:p w:rsidR="00000000" w:rsidRDefault="00905244">
      <w:pPr>
        <w:divId w:val="1270894501"/>
        <w:rPr>
          <w:rFonts w:eastAsia="Times New Roman"/>
        </w:rPr>
      </w:pPr>
    </w:p>
    <w:p w:rsidR="00000000" w:rsidRDefault="00905244">
      <w:pPr>
        <w:jc w:val="both"/>
        <w:rPr>
          <w:rFonts w:eastAsia="Times New Roman"/>
        </w:rPr>
      </w:pPr>
      <w:r>
        <w:rPr>
          <w:rFonts w:eastAsia="Times New Roman"/>
          <w:color w:val="000000"/>
          <w:sz w:val="20"/>
          <w:szCs w:val="20"/>
        </w:rPr>
        <w:t>Our buying teams fo</w:t>
      </w:r>
      <w:r>
        <w:rPr>
          <w:rFonts w:eastAsia="Times New Roman"/>
          <w:color w:val="000000"/>
          <w:sz w:val="20"/>
          <w:szCs w:val="20"/>
        </w:rPr>
        <w:t xml:space="preserve">cus on merchandise procurement, vendor line reviews, and testing of new products and programs.  We also employ a dedicated inventory management team that focuses exclusively on forecasting and inventory replenishment, a committed merchandise planning team </w:t>
      </w:r>
      <w:r>
        <w:rPr>
          <w:rFonts w:eastAsia="Times New Roman"/>
          <w:color w:val="000000"/>
          <w:sz w:val="20"/>
          <w:szCs w:val="20"/>
        </w:rPr>
        <w:t>that concentrates on assortment planning, and a specialized pricing team that seeks to optimize market-specific pricing for our products.  Through the combined efforts of these teams, we continue to focus on improving our overall inventory productivity and</w:t>
      </w:r>
      <w:r>
        <w:rPr>
          <w:rFonts w:eastAsia="Times New Roman"/>
          <w:color w:val="000000"/>
          <w:sz w:val="20"/>
          <w:szCs w:val="20"/>
        </w:rPr>
        <w:t xml:space="preserve"> in-stock inventory position.</w:t>
      </w:r>
    </w:p>
    <w:p w:rsidR="00000000" w:rsidRDefault="00905244">
      <w:pPr>
        <w:divId w:val="86122805"/>
        <w:rPr>
          <w:rFonts w:eastAsia="Times New Roman"/>
        </w:rPr>
      </w:pPr>
    </w:p>
    <w:p w:rsidR="00000000" w:rsidRDefault="00905244">
      <w:pPr>
        <w:jc w:val="both"/>
        <w:rPr>
          <w:rFonts w:eastAsia="Times New Roman"/>
        </w:rPr>
      </w:pPr>
      <w:r>
        <w:rPr>
          <w:rFonts w:eastAsia="Times New Roman"/>
          <w:i/>
          <w:iCs/>
          <w:color w:val="000000"/>
          <w:sz w:val="20"/>
          <w:szCs w:val="20"/>
        </w:rPr>
        <w:t xml:space="preserve">Intellectual Property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Our subsidiary, Tractor Supply Co. of Texas, LP (“TSCT”), owns registrations with the U.S. Patent and Trademark Office (“USPTO”</w:t>
      </w:r>
      <w:r>
        <w:rPr>
          <w:rFonts w:eastAsia="Times New Roman"/>
          <w:color w:val="000000"/>
          <w:sz w:val="20"/>
          <w:szCs w:val="20"/>
        </w:rPr>
        <w:t xml:space="preserve">) for various service marks including </w:t>
      </w:r>
      <w:r>
        <w:rPr>
          <w:rFonts w:eastAsia="Times New Roman"/>
          <w:i/>
          <w:iCs/>
          <w:color w:val="000000"/>
          <w:sz w:val="20"/>
          <w:szCs w:val="20"/>
        </w:rPr>
        <w:t>TS</w:t>
      </w:r>
      <w:r>
        <w:rPr>
          <w:rFonts w:eastAsia="Times New Roman"/>
          <w:i/>
          <w:iCs/>
          <w:color w:val="000000"/>
          <w:sz w:val="20"/>
          <w:szCs w:val="20"/>
        </w:rPr>
        <w:t>C</w:t>
      </w:r>
      <w:r>
        <w:rPr>
          <w:rFonts w:eastAsia="Times New Roman"/>
          <w:color w:val="000000"/>
          <w:sz w:val="13"/>
          <w:szCs w:val="13"/>
        </w:rPr>
        <w:t>®</w:t>
      </w:r>
      <w:r>
        <w:rPr>
          <w:rFonts w:eastAsia="Times New Roman"/>
          <w:color w:val="000000"/>
          <w:sz w:val="20"/>
          <w:szCs w:val="20"/>
        </w:rPr>
        <w:t xml:space="preserve">, </w:t>
      </w:r>
      <w:r>
        <w:rPr>
          <w:rFonts w:eastAsia="Times New Roman"/>
          <w:i/>
          <w:iCs/>
          <w:color w:val="000000"/>
          <w:sz w:val="20"/>
          <w:szCs w:val="20"/>
        </w:rPr>
        <w:t>Tractor Supply Co</w:t>
      </w:r>
      <w:r>
        <w:rPr>
          <w:rFonts w:eastAsia="Times New Roman"/>
          <w:i/>
          <w:iCs/>
          <w:color w:val="000000"/>
          <w:sz w:val="20"/>
          <w:szCs w:val="20"/>
        </w:rPr>
        <w:t>.</w:t>
      </w:r>
      <w:r>
        <w:rPr>
          <w:rFonts w:eastAsia="Times New Roman"/>
          <w:color w:val="000000"/>
          <w:sz w:val="13"/>
          <w:szCs w:val="13"/>
        </w:rPr>
        <w:t>®</w:t>
      </w:r>
      <w:r>
        <w:rPr>
          <w:rFonts w:eastAsia="Times New Roman"/>
          <w:color w:val="000000"/>
          <w:sz w:val="20"/>
          <w:szCs w:val="20"/>
        </w:rPr>
        <w:t xml:space="preserve">, </w:t>
      </w:r>
      <w:r>
        <w:rPr>
          <w:rFonts w:eastAsia="Times New Roman"/>
          <w:i/>
          <w:iCs/>
          <w:color w:val="000000"/>
          <w:sz w:val="20"/>
          <w:szCs w:val="20"/>
        </w:rPr>
        <w:t>TSC Tractor Supply Co</w:t>
      </w:r>
      <w:r>
        <w:rPr>
          <w:rFonts w:eastAsia="Times New Roman"/>
          <w:i/>
          <w:iCs/>
          <w:color w:val="000000"/>
          <w:sz w:val="20"/>
          <w:szCs w:val="20"/>
        </w:rPr>
        <w:t>.</w:t>
      </w:r>
      <w:r>
        <w:rPr>
          <w:rFonts w:eastAsia="Times New Roman"/>
          <w:color w:val="000000"/>
          <w:sz w:val="13"/>
          <w:szCs w:val="13"/>
        </w:rPr>
        <w:t>®</w:t>
      </w:r>
      <w:r>
        <w:rPr>
          <w:rFonts w:eastAsia="Times New Roman"/>
          <w:color w:val="000000"/>
          <w:sz w:val="20"/>
          <w:szCs w:val="20"/>
        </w:rPr>
        <w:t>, and the trapezium design for retail services. We consider these service marks, and the accompanying goodwill and name recognition, to be valuable assets of our busine</w:t>
      </w:r>
      <w:r>
        <w:rPr>
          <w:rFonts w:eastAsia="Times New Roman"/>
          <w:color w:val="000000"/>
          <w:sz w:val="20"/>
          <w:szCs w:val="20"/>
        </w:rPr>
        <w:t xml:space="preserve">ss. TSCT also owns several other service marks for retail services, some of which have been registered with the USPTO and some of which are the subject of applications for registration pending before the USPTO.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In addition to selling products that bear </w:t>
      </w:r>
      <w:r>
        <w:rPr>
          <w:rFonts w:eastAsia="Times New Roman"/>
          <w:color w:val="000000"/>
          <w:sz w:val="20"/>
          <w:szCs w:val="20"/>
        </w:rPr>
        <w:t>nationally-known manufacturer brands, we also sell products manufactured for us under a number of exclusive brands that we consider to be important to our business. These exclusive brands are manufactured for us by a number of vendors and provide an altern</w:t>
      </w:r>
      <w:r>
        <w:rPr>
          <w:rFonts w:eastAsia="Times New Roman"/>
          <w:color w:val="000000"/>
          <w:sz w:val="20"/>
          <w:szCs w:val="20"/>
        </w:rPr>
        <w:t xml:space="preserve">ative to the national brands, which helps provide value for our customers and positions us as a destination retailer.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Our exclusive brands represented approximately 29% of our total sales in fiscal 2020 and 31% of our total sales in fiscal 2019 and 2018</w:t>
      </w:r>
      <w:r>
        <w:rPr>
          <w:rFonts w:eastAsia="Times New Roman"/>
          <w:color w:val="000000"/>
          <w:sz w:val="20"/>
          <w:szCs w:val="20"/>
        </w:rPr>
        <w:t>, respectively. Our exclusive brands include:</w:t>
      </w:r>
    </w:p>
    <w:p w:rsidR="00000000" w:rsidRDefault="00905244">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3718"/>
        <w:gridCol w:w="38"/>
        <w:gridCol w:w="68"/>
        <w:gridCol w:w="4376"/>
        <w:gridCol w:w="38"/>
      </w:tblGrid>
      <w:tr w:rsidR="00000000">
        <w:trPr>
          <w:divId w:val="667946201"/>
          <w:jc w:val="center"/>
        </w:trPr>
        <w:tc>
          <w:tcPr>
            <w:tcW w:w="50" w:type="pct"/>
            <w:vAlign w:val="center"/>
            <w:hideMark/>
          </w:tcPr>
          <w:p w:rsidR="00000000" w:rsidRDefault="00905244">
            <w:pPr>
              <w:jc w:val="both"/>
              <w:rPr>
                <w:rFonts w:eastAsia="Times New Roman"/>
              </w:rPr>
            </w:pPr>
          </w:p>
        </w:tc>
        <w:tc>
          <w:tcPr>
            <w:tcW w:w="224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264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667946201"/>
          <w:jc w:val="center"/>
        </w:trPr>
        <w:tc>
          <w:tcPr>
            <w:tcW w:w="0" w:type="auto"/>
            <w:gridSpan w:val="3"/>
            <w:shd w:val="clear" w:color="auto" w:fill="CCEEFF"/>
            <w:tcMar>
              <w:top w:w="30" w:type="dxa"/>
              <w:left w:w="20" w:type="dxa"/>
              <w:bottom w:w="30" w:type="dxa"/>
              <w:right w:w="20" w:type="dxa"/>
            </w:tcMar>
            <w:hideMark/>
          </w:tcPr>
          <w:p w:rsidR="00000000" w:rsidRDefault="00905244">
            <w:pPr>
              <w:divId w:val="1898466150"/>
              <w:rPr>
                <w:rFonts w:eastAsia="Times New Roman"/>
              </w:rPr>
            </w:pPr>
            <w:r>
              <w:rPr>
                <w:rFonts w:eastAsia="Times New Roman"/>
                <w:i/>
                <w:iCs/>
                <w:color w:val="000000"/>
                <w:sz w:val="20"/>
                <w:szCs w:val="20"/>
              </w:rPr>
              <w:t>4healt</w:t>
            </w:r>
            <w:r>
              <w:rPr>
                <w:rFonts w:eastAsia="Times New Roman"/>
                <w:i/>
                <w:iCs/>
                <w:color w:val="000000"/>
                <w:sz w:val="20"/>
                <w:szCs w:val="20"/>
              </w:rPr>
              <w:t>h</w:t>
            </w:r>
            <w:r>
              <w:rPr>
                <w:rFonts w:eastAsia="Times New Roman"/>
                <w:color w:val="000000"/>
                <w:sz w:val="13"/>
                <w:szCs w:val="13"/>
              </w:rPr>
              <w:t>®</w:t>
            </w:r>
            <w:r>
              <w:rPr>
                <w:rFonts w:eastAsia="Times New Roman"/>
                <w:color w:val="000000"/>
                <w:sz w:val="20"/>
                <w:szCs w:val="20"/>
              </w:rPr>
              <w:t xml:space="preserve"> (pet foods and supplies)</w:t>
            </w:r>
          </w:p>
        </w:tc>
        <w:tc>
          <w:tcPr>
            <w:tcW w:w="0" w:type="auto"/>
            <w:gridSpan w:val="3"/>
            <w:shd w:val="clear" w:color="auto" w:fill="CCEEFF"/>
            <w:tcMar>
              <w:top w:w="30" w:type="dxa"/>
              <w:left w:w="20" w:type="dxa"/>
              <w:bottom w:w="30" w:type="dxa"/>
              <w:right w:w="20" w:type="dxa"/>
            </w:tcMar>
            <w:hideMark/>
          </w:tcPr>
          <w:p w:rsidR="00000000" w:rsidRDefault="00905244">
            <w:pPr>
              <w:ind w:hanging="270"/>
              <w:divId w:val="868567171"/>
              <w:rPr>
                <w:rFonts w:eastAsia="Times New Roman"/>
              </w:rPr>
            </w:pPr>
            <w:r>
              <w:rPr>
                <w:rFonts w:eastAsia="Times New Roman"/>
                <w:i/>
                <w:iCs/>
                <w:color w:val="000000"/>
                <w:sz w:val="20"/>
                <w:szCs w:val="20"/>
              </w:rPr>
              <w:t>Producer’s Prid</w:t>
            </w:r>
            <w:r>
              <w:rPr>
                <w:rFonts w:eastAsia="Times New Roman"/>
                <w:i/>
                <w:iCs/>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(livestock and horse feed and supplies)</w:t>
            </w:r>
          </w:p>
        </w:tc>
      </w:tr>
      <w:tr w:rsidR="00000000">
        <w:trPr>
          <w:divId w:val="667946201"/>
          <w:jc w:val="center"/>
        </w:trPr>
        <w:tc>
          <w:tcPr>
            <w:tcW w:w="0" w:type="auto"/>
            <w:gridSpan w:val="3"/>
            <w:shd w:val="clear" w:color="auto" w:fill="FFFFFF"/>
            <w:tcMar>
              <w:top w:w="30" w:type="dxa"/>
              <w:left w:w="20" w:type="dxa"/>
              <w:bottom w:w="30" w:type="dxa"/>
              <w:right w:w="20" w:type="dxa"/>
            </w:tcMar>
            <w:hideMark/>
          </w:tcPr>
          <w:p w:rsidR="00000000" w:rsidRDefault="00905244">
            <w:pPr>
              <w:divId w:val="1712150505"/>
              <w:rPr>
                <w:rFonts w:eastAsia="Times New Roman"/>
              </w:rPr>
            </w:pPr>
            <w:r>
              <w:rPr>
                <w:rFonts w:eastAsia="Times New Roman"/>
                <w:i/>
                <w:iCs/>
                <w:color w:val="000000"/>
                <w:sz w:val="20"/>
                <w:szCs w:val="20"/>
              </w:rPr>
              <w:t>American Farmwork</w:t>
            </w:r>
            <w:r>
              <w:rPr>
                <w:rFonts w:eastAsia="Times New Roman"/>
                <w:i/>
                <w:iCs/>
                <w:color w:val="000000"/>
                <w:sz w:val="20"/>
                <w:szCs w:val="20"/>
              </w:rPr>
              <w:t>s</w:t>
            </w:r>
            <w:r>
              <w:rPr>
                <w:rFonts w:eastAsia="Times New Roman"/>
                <w:color w:val="000000"/>
                <w:sz w:val="13"/>
                <w:szCs w:val="13"/>
              </w:rPr>
              <w:t>®</w:t>
            </w:r>
            <w:r>
              <w:rPr>
                <w:rFonts w:eastAsia="Times New Roman"/>
                <w:color w:val="000000"/>
                <w:sz w:val="20"/>
                <w:szCs w:val="20"/>
              </w:rPr>
              <w:t xml:space="preserve"> (livestock, farm and ranch</w:t>
            </w:r>
          </w:p>
        </w:tc>
        <w:tc>
          <w:tcPr>
            <w:tcW w:w="0" w:type="auto"/>
            <w:gridSpan w:val="3"/>
            <w:shd w:val="clear" w:color="auto" w:fill="FFFFFF"/>
            <w:tcMar>
              <w:top w:w="30" w:type="dxa"/>
              <w:left w:w="20" w:type="dxa"/>
              <w:bottom w:w="30" w:type="dxa"/>
              <w:right w:w="20" w:type="dxa"/>
            </w:tcMar>
            <w:hideMark/>
          </w:tcPr>
          <w:p w:rsidR="00000000" w:rsidRDefault="00905244">
            <w:pPr>
              <w:divId w:val="917179160"/>
              <w:rPr>
                <w:rFonts w:eastAsia="Times New Roman"/>
              </w:rPr>
            </w:pPr>
            <w:r>
              <w:rPr>
                <w:rFonts w:eastAsia="Times New Roman"/>
                <w:i/>
                <w:iCs/>
                <w:color w:val="000000"/>
                <w:sz w:val="20"/>
                <w:szCs w:val="20"/>
              </w:rPr>
              <w:t>Red She</w:t>
            </w:r>
            <w:r>
              <w:rPr>
                <w:rFonts w:eastAsia="Times New Roman"/>
                <w:i/>
                <w:iCs/>
                <w:color w:val="000000"/>
                <w:sz w:val="20"/>
                <w:szCs w:val="20"/>
              </w:rPr>
              <w:t>d</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(gifts, collectibles, and outdoor furniture)</w:t>
            </w:r>
          </w:p>
        </w:tc>
      </w:tr>
      <w:tr w:rsidR="00000000">
        <w:trPr>
          <w:divId w:val="667946201"/>
          <w:jc w:val="center"/>
        </w:trPr>
        <w:tc>
          <w:tcPr>
            <w:tcW w:w="0" w:type="auto"/>
            <w:gridSpan w:val="3"/>
            <w:tcMar>
              <w:top w:w="30" w:type="dxa"/>
              <w:left w:w="380" w:type="dxa"/>
              <w:bottom w:w="30" w:type="dxa"/>
              <w:right w:w="20" w:type="dxa"/>
            </w:tcMar>
            <w:hideMark/>
          </w:tcPr>
          <w:p w:rsidR="00000000" w:rsidRDefault="00905244">
            <w:pPr>
              <w:rPr>
                <w:rFonts w:eastAsia="Times New Roman"/>
              </w:rPr>
            </w:pPr>
            <w:r>
              <w:rPr>
                <w:rFonts w:eastAsia="Times New Roman"/>
                <w:color w:val="000000"/>
                <w:sz w:val="20"/>
                <w:szCs w:val="20"/>
              </w:rPr>
              <w:t>equipment)</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r>
      <w:tr w:rsidR="00000000">
        <w:trPr>
          <w:divId w:val="667946201"/>
          <w:jc w:val="center"/>
        </w:trPr>
        <w:tc>
          <w:tcPr>
            <w:tcW w:w="0" w:type="auto"/>
            <w:gridSpan w:val="3"/>
            <w:shd w:val="clear" w:color="auto" w:fill="CCEEFF"/>
            <w:tcMar>
              <w:top w:w="30" w:type="dxa"/>
              <w:left w:w="20" w:type="dxa"/>
              <w:bottom w:w="30" w:type="dxa"/>
              <w:right w:w="20" w:type="dxa"/>
            </w:tcMar>
            <w:hideMark/>
          </w:tcPr>
          <w:p w:rsidR="00000000" w:rsidRDefault="00905244">
            <w:pPr>
              <w:divId w:val="300354609"/>
              <w:rPr>
                <w:rFonts w:eastAsia="Times New Roman"/>
              </w:rPr>
            </w:pPr>
            <w:r>
              <w:rPr>
                <w:rFonts w:eastAsia="Times New Roman"/>
                <w:i/>
                <w:iCs/>
                <w:color w:val="000000"/>
                <w:sz w:val="20"/>
                <w:szCs w:val="20"/>
              </w:rPr>
              <w:t>Bit &amp; Bridl</w:t>
            </w:r>
            <w:r>
              <w:rPr>
                <w:rFonts w:eastAsia="Times New Roman"/>
                <w:i/>
                <w:iCs/>
                <w:color w:val="000000"/>
                <w:sz w:val="20"/>
                <w:szCs w:val="20"/>
              </w:rPr>
              <w:t>e</w:t>
            </w:r>
            <w:r>
              <w:rPr>
                <w:rFonts w:eastAsia="Times New Roman"/>
                <w:color w:val="000000"/>
                <w:sz w:val="13"/>
                <w:szCs w:val="13"/>
              </w:rPr>
              <w:t>®</w:t>
            </w:r>
            <w:r>
              <w:rPr>
                <w:rFonts w:eastAsia="Times New Roman"/>
                <w:color w:val="000000"/>
                <w:sz w:val="20"/>
                <w:szCs w:val="20"/>
              </w:rPr>
              <w:t xml:space="preserve"> (apparel and footwear)</w:t>
            </w:r>
          </w:p>
        </w:tc>
        <w:tc>
          <w:tcPr>
            <w:tcW w:w="0" w:type="auto"/>
            <w:gridSpan w:val="3"/>
            <w:shd w:val="clear" w:color="auto" w:fill="CCEEFF"/>
            <w:tcMar>
              <w:top w:w="30" w:type="dxa"/>
              <w:left w:w="20" w:type="dxa"/>
              <w:bottom w:w="30" w:type="dxa"/>
              <w:right w:w="20" w:type="dxa"/>
            </w:tcMar>
            <w:hideMark/>
          </w:tcPr>
          <w:p w:rsidR="00000000" w:rsidRDefault="00905244">
            <w:pPr>
              <w:divId w:val="1109085895"/>
              <w:rPr>
                <w:rFonts w:eastAsia="Times New Roman"/>
              </w:rPr>
            </w:pPr>
            <w:r>
              <w:rPr>
                <w:rFonts w:eastAsia="Times New Roman"/>
                <w:i/>
                <w:iCs/>
                <w:color w:val="000000"/>
                <w:sz w:val="20"/>
                <w:szCs w:val="20"/>
              </w:rPr>
              <w:t>Redston</w:t>
            </w:r>
            <w:r>
              <w:rPr>
                <w:rFonts w:eastAsia="Times New Roman"/>
                <w:i/>
                <w:iCs/>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(heating products)</w:t>
            </w:r>
          </w:p>
        </w:tc>
      </w:tr>
      <w:tr w:rsidR="00000000">
        <w:trPr>
          <w:divId w:val="667946201"/>
          <w:jc w:val="center"/>
        </w:trPr>
        <w:tc>
          <w:tcPr>
            <w:tcW w:w="0" w:type="auto"/>
            <w:gridSpan w:val="3"/>
            <w:shd w:val="clear" w:color="auto" w:fill="FFFFFF"/>
            <w:tcMar>
              <w:top w:w="30" w:type="dxa"/>
              <w:left w:w="20" w:type="dxa"/>
              <w:bottom w:w="30" w:type="dxa"/>
              <w:right w:w="20" w:type="dxa"/>
            </w:tcMar>
            <w:hideMark/>
          </w:tcPr>
          <w:p w:rsidR="00000000" w:rsidRDefault="00905244">
            <w:pPr>
              <w:divId w:val="1432048381"/>
              <w:rPr>
                <w:rFonts w:eastAsia="Times New Roman"/>
              </w:rPr>
            </w:pPr>
            <w:r>
              <w:rPr>
                <w:rFonts w:eastAsia="Times New Roman"/>
                <w:i/>
                <w:iCs/>
                <w:color w:val="000000"/>
                <w:sz w:val="20"/>
                <w:szCs w:val="20"/>
              </w:rPr>
              <w:t>Blue Mountai</w:t>
            </w:r>
            <w:r>
              <w:rPr>
                <w:rFonts w:eastAsia="Times New Roman"/>
                <w:i/>
                <w:iCs/>
                <w:color w:val="000000"/>
                <w:sz w:val="20"/>
                <w:szCs w:val="20"/>
              </w:rPr>
              <w:t>n</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(apparel)</w:t>
            </w:r>
          </w:p>
        </w:tc>
        <w:tc>
          <w:tcPr>
            <w:tcW w:w="0" w:type="auto"/>
            <w:gridSpan w:val="3"/>
            <w:shd w:val="clear" w:color="auto" w:fill="FFFFFF"/>
            <w:tcMar>
              <w:top w:w="30" w:type="dxa"/>
              <w:left w:w="20" w:type="dxa"/>
              <w:bottom w:w="30" w:type="dxa"/>
              <w:right w:w="20" w:type="dxa"/>
            </w:tcMar>
            <w:hideMark/>
          </w:tcPr>
          <w:p w:rsidR="00000000" w:rsidRDefault="00905244">
            <w:pPr>
              <w:divId w:val="1623535690"/>
              <w:rPr>
                <w:rFonts w:eastAsia="Times New Roman"/>
              </w:rPr>
            </w:pPr>
            <w:r>
              <w:rPr>
                <w:rFonts w:eastAsia="Times New Roman"/>
                <w:i/>
                <w:iCs/>
                <w:color w:val="000000"/>
                <w:sz w:val="20"/>
                <w:szCs w:val="20"/>
              </w:rPr>
              <w:t>Retrieve</w:t>
            </w:r>
            <w:r>
              <w:rPr>
                <w:rFonts w:eastAsia="Times New Roman"/>
                <w:i/>
                <w:iCs/>
                <w:color w:val="000000"/>
                <w:sz w:val="20"/>
                <w:szCs w:val="20"/>
              </w:rPr>
              <w:t>r</w:t>
            </w:r>
            <w:r>
              <w:rPr>
                <w:rFonts w:eastAsia="Times New Roman"/>
                <w:color w:val="000000"/>
                <w:sz w:val="13"/>
                <w:szCs w:val="13"/>
              </w:rPr>
              <w:t>®</w:t>
            </w:r>
            <w:r>
              <w:rPr>
                <w:rFonts w:eastAsia="Times New Roman"/>
                <w:color w:val="000000"/>
                <w:sz w:val="20"/>
                <w:szCs w:val="20"/>
              </w:rPr>
              <w:t xml:space="preserve"> (pet foods and supplies)</w:t>
            </w:r>
          </w:p>
        </w:tc>
      </w:tr>
      <w:tr w:rsidR="00000000">
        <w:trPr>
          <w:divId w:val="667946201"/>
          <w:jc w:val="center"/>
        </w:trPr>
        <w:tc>
          <w:tcPr>
            <w:tcW w:w="0" w:type="auto"/>
            <w:gridSpan w:val="3"/>
            <w:shd w:val="clear" w:color="auto" w:fill="CCEEFF"/>
            <w:tcMar>
              <w:top w:w="30" w:type="dxa"/>
              <w:left w:w="20" w:type="dxa"/>
              <w:bottom w:w="30" w:type="dxa"/>
              <w:right w:w="20" w:type="dxa"/>
            </w:tcMar>
            <w:hideMark/>
          </w:tcPr>
          <w:p w:rsidR="00000000" w:rsidRDefault="00905244">
            <w:pPr>
              <w:divId w:val="669329270"/>
              <w:rPr>
                <w:rFonts w:eastAsia="Times New Roman"/>
              </w:rPr>
            </w:pPr>
            <w:r>
              <w:rPr>
                <w:rFonts w:eastAsia="Times New Roman"/>
                <w:i/>
                <w:iCs/>
                <w:color w:val="000000"/>
                <w:sz w:val="20"/>
                <w:szCs w:val="20"/>
              </w:rPr>
              <w:t>C.E. Schmid</w:t>
            </w:r>
            <w:r>
              <w:rPr>
                <w:rFonts w:eastAsia="Times New Roman"/>
                <w:i/>
                <w:iCs/>
                <w:color w:val="000000"/>
                <w:sz w:val="20"/>
                <w:szCs w:val="20"/>
              </w:rPr>
              <w:t>t</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(apparel and footwear)</w:t>
            </w:r>
          </w:p>
        </w:tc>
        <w:tc>
          <w:tcPr>
            <w:tcW w:w="0" w:type="auto"/>
            <w:gridSpan w:val="3"/>
            <w:shd w:val="clear" w:color="auto" w:fill="CCEEFF"/>
            <w:tcMar>
              <w:top w:w="30" w:type="dxa"/>
              <w:left w:w="20" w:type="dxa"/>
              <w:bottom w:w="30" w:type="dxa"/>
              <w:right w:w="20" w:type="dxa"/>
            </w:tcMar>
            <w:hideMark/>
          </w:tcPr>
          <w:p w:rsidR="00000000" w:rsidRDefault="00905244">
            <w:pPr>
              <w:divId w:val="2131587573"/>
              <w:rPr>
                <w:rFonts w:eastAsia="Times New Roman"/>
              </w:rPr>
            </w:pPr>
            <w:r>
              <w:rPr>
                <w:rFonts w:eastAsia="Times New Roman"/>
                <w:i/>
                <w:iCs/>
                <w:color w:val="000000"/>
                <w:sz w:val="20"/>
                <w:szCs w:val="20"/>
              </w:rPr>
              <w:t>Ridgecu</w:t>
            </w:r>
            <w:r>
              <w:rPr>
                <w:rFonts w:eastAsia="Times New Roman"/>
                <w:i/>
                <w:iCs/>
                <w:color w:val="000000"/>
                <w:sz w:val="20"/>
                <w:szCs w:val="20"/>
              </w:rPr>
              <w:t>t</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(apparel)</w:t>
            </w:r>
          </w:p>
        </w:tc>
      </w:tr>
      <w:tr w:rsidR="00000000">
        <w:trPr>
          <w:divId w:val="667946201"/>
          <w:jc w:val="center"/>
        </w:trPr>
        <w:tc>
          <w:tcPr>
            <w:tcW w:w="0" w:type="auto"/>
            <w:gridSpan w:val="3"/>
            <w:shd w:val="clear" w:color="auto" w:fill="FFFFFF"/>
            <w:tcMar>
              <w:top w:w="30" w:type="dxa"/>
              <w:left w:w="20" w:type="dxa"/>
              <w:bottom w:w="30" w:type="dxa"/>
              <w:right w:w="20" w:type="dxa"/>
            </w:tcMar>
            <w:hideMark/>
          </w:tcPr>
          <w:p w:rsidR="00000000" w:rsidRDefault="00905244">
            <w:pPr>
              <w:divId w:val="1883177026"/>
              <w:rPr>
                <w:rFonts w:eastAsia="Times New Roman"/>
              </w:rPr>
            </w:pPr>
            <w:r>
              <w:rPr>
                <w:rFonts w:eastAsia="Times New Roman"/>
                <w:i/>
                <w:iCs/>
                <w:color w:val="000000"/>
                <w:sz w:val="20"/>
                <w:szCs w:val="20"/>
              </w:rPr>
              <w:t>Countylin</w:t>
            </w:r>
            <w:r>
              <w:rPr>
                <w:rFonts w:eastAsia="Times New Roman"/>
                <w:i/>
                <w:iCs/>
                <w:color w:val="000000"/>
                <w:sz w:val="20"/>
                <w:szCs w:val="20"/>
              </w:rPr>
              <w:t>e</w:t>
            </w:r>
            <w:r>
              <w:rPr>
                <w:rFonts w:eastAsia="Times New Roman"/>
                <w:color w:val="000000"/>
                <w:sz w:val="13"/>
                <w:szCs w:val="13"/>
              </w:rPr>
              <w:t>®</w:t>
            </w:r>
            <w:r>
              <w:rPr>
                <w:rFonts w:eastAsia="Times New Roman"/>
                <w:color w:val="000000"/>
                <w:sz w:val="20"/>
                <w:szCs w:val="20"/>
              </w:rPr>
              <w:t xml:space="preserve"> (livestock, farm and ranch equipment)</w:t>
            </w:r>
          </w:p>
        </w:tc>
        <w:tc>
          <w:tcPr>
            <w:tcW w:w="0" w:type="auto"/>
            <w:gridSpan w:val="3"/>
            <w:shd w:val="clear" w:color="auto" w:fill="FFFFFF"/>
            <w:tcMar>
              <w:top w:w="30" w:type="dxa"/>
              <w:left w:w="20" w:type="dxa"/>
              <w:bottom w:w="30" w:type="dxa"/>
              <w:right w:w="20" w:type="dxa"/>
            </w:tcMar>
            <w:hideMark/>
          </w:tcPr>
          <w:p w:rsidR="00000000" w:rsidRDefault="00905244">
            <w:pPr>
              <w:divId w:val="2088645078"/>
              <w:rPr>
                <w:rFonts w:eastAsia="Times New Roman"/>
              </w:rPr>
            </w:pPr>
            <w:r>
              <w:rPr>
                <w:rFonts w:eastAsia="Times New Roman"/>
                <w:i/>
                <w:iCs/>
                <w:color w:val="000000"/>
                <w:sz w:val="20"/>
                <w:szCs w:val="20"/>
              </w:rPr>
              <w:t>Royal Win</w:t>
            </w:r>
            <w:r>
              <w:rPr>
                <w:rFonts w:eastAsia="Times New Roman"/>
                <w:i/>
                <w:iCs/>
                <w:color w:val="000000"/>
                <w:sz w:val="20"/>
                <w:szCs w:val="20"/>
              </w:rPr>
              <w:t>g</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(bird feed and supplies)</w:t>
            </w:r>
          </w:p>
        </w:tc>
      </w:tr>
      <w:tr w:rsidR="00000000">
        <w:trPr>
          <w:divId w:val="667946201"/>
          <w:jc w:val="center"/>
        </w:trPr>
        <w:tc>
          <w:tcPr>
            <w:tcW w:w="0" w:type="auto"/>
            <w:gridSpan w:val="3"/>
            <w:shd w:val="clear" w:color="auto" w:fill="CCEEFF"/>
            <w:tcMar>
              <w:top w:w="30" w:type="dxa"/>
              <w:left w:w="20" w:type="dxa"/>
              <w:bottom w:w="30" w:type="dxa"/>
              <w:right w:w="20" w:type="dxa"/>
            </w:tcMar>
            <w:hideMark/>
          </w:tcPr>
          <w:p w:rsidR="00000000" w:rsidRDefault="00905244">
            <w:pPr>
              <w:divId w:val="1682050567"/>
              <w:rPr>
                <w:rFonts w:eastAsia="Times New Roman"/>
              </w:rPr>
            </w:pPr>
            <w:r>
              <w:rPr>
                <w:rFonts w:eastAsia="Times New Roman"/>
                <w:i/>
                <w:iCs/>
                <w:color w:val="000000"/>
                <w:sz w:val="20"/>
                <w:szCs w:val="20"/>
              </w:rPr>
              <w:t>Dumo</w:t>
            </w:r>
            <w:r>
              <w:rPr>
                <w:rFonts w:eastAsia="Times New Roman"/>
                <w:i/>
                <w:iCs/>
                <w:color w:val="000000"/>
                <w:sz w:val="20"/>
                <w:szCs w:val="20"/>
              </w:rPr>
              <w:t>r</w:t>
            </w:r>
            <w:r>
              <w:rPr>
                <w:rFonts w:eastAsia="Times New Roman"/>
                <w:color w:val="000000"/>
                <w:sz w:val="13"/>
                <w:szCs w:val="13"/>
              </w:rPr>
              <w:t>®</w:t>
            </w:r>
            <w:r>
              <w:rPr>
                <w:rFonts w:eastAsia="Times New Roman"/>
                <w:color w:val="000000"/>
                <w:sz w:val="20"/>
                <w:szCs w:val="20"/>
              </w:rPr>
              <w:t xml:space="preserve"> (livestock and horse feed and supplies)</w:t>
            </w:r>
          </w:p>
        </w:tc>
        <w:tc>
          <w:tcPr>
            <w:tcW w:w="0" w:type="auto"/>
            <w:gridSpan w:val="3"/>
            <w:shd w:val="clear" w:color="auto" w:fill="CCEEFF"/>
            <w:tcMar>
              <w:top w:w="30" w:type="dxa"/>
              <w:left w:w="20" w:type="dxa"/>
              <w:bottom w:w="30" w:type="dxa"/>
              <w:right w:w="20" w:type="dxa"/>
            </w:tcMar>
            <w:hideMark/>
          </w:tcPr>
          <w:p w:rsidR="00000000" w:rsidRDefault="00905244">
            <w:pPr>
              <w:divId w:val="789203173"/>
              <w:rPr>
                <w:rFonts w:eastAsia="Times New Roman"/>
              </w:rPr>
            </w:pPr>
            <w:r>
              <w:rPr>
                <w:rFonts w:eastAsia="Times New Roman"/>
                <w:i/>
                <w:iCs/>
                <w:color w:val="000000"/>
                <w:sz w:val="20"/>
                <w:szCs w:val="20"/>
              </w:rPr>
              <w:t>Striv</w:t>
            </w:r>
            <w:r>
              <w:rPr>
                <w:rFonts w:eastAsia="Times New Roman"/>
                <w:i/>
                <w:iCs/>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(pet food)</w:t>
            </w:r>
          </w:p>
        </w:tc>
      </w:tr>
      <w:tr w:rsidR="00000000">
        <w:trPr>
          <w:divId w:val="667946201"/>
          <w:jc w:val="center"/>
        </w:trPr>
        <w:tc>
          <w:tcPr>
            <w:tcW w:w="0" w:type="auto"/>
            <w:gridSpan w:val="3"/>
            <w:shd w:val="clear" w:color="auto" w:fill="FFFFFF"/>
            <w:tcMar>
              <w:top w:w="30" w:type="dxa"/>
              <w:left w:w="20" w:type="dxa"/>
              <w:bottom w:w="30" w:type="dxa"/>
              <w:right w:w="20" w:type="dxa"/>
            </w:tcMar>
            <w:hideMark/>
          </w:tcPr>
          <w:p w:rsidR="00000000" w:rsidRDefault="00905244">
            <w:pPr>
              <w:divId w:val="627324353"/>
              <w:rPr>
                <w:rFonts w:eastAsia="Times New Roman"/>
              </w:rPr>
            </w:pPr>
            <w:r>
              <w:rPr>
                <w:rFonts w:eastAsia="Times New Roman"/>
                <w:i/>
                <w:iCs/>
                <w:color w:val="000000"/>
                <w:sz w:val="20"/>
                <w:szCs w:val="20"/>
              </w:rPr>
              <w:t>Groundwor</w:t>
            </w:r>
            <w:r>
              <w:rPr>
                <w:rFonts w:eastAsia="Times New Roman"/>
                <w:i/>
                <w:iCs/>
                <w:color w:val="000000"/>
                <w:sz w:val="20"/>
                <w:szCs w:val="20"/>
              </w:rPr>
              <w:t>k</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(lawn and garden supplies)</w:t>
            </w:r>
          </w:p>
        </w:tc>
        <w:tc>
          <w:tcPr>
            <w:tcW w:w="0" w:type="auto"/>
            <w:gridSpan w:val="3"/>
            <w:shd w:val="clear" w:color="auto" w:fill="FFFFFF"/>
            <w:tcMar>
              <w:top w:w="30" w:type="dxa"/>
              <w:left w:w="20" w:type="dxa"/>
              <w:bottom w:w="30" w:type="dxa"/>
              <w:right w:w="20" w:type="dxa"/>
            </w:tcMar>
            <w:hideMark/>
          </w:tcPr>
          <w:p w:rsidR="00000000" w:rsidRDefault="00905244">
            <w:pPr>
              <w:divId w:val="1340623622"/>
              <w:rPr>
                <w:rFonts w:eastAsia="Times New Roman"/>
              </w:rPr>
            </w:pPr>
            <w:r>
              <w:rPr>
                <w:rFonts w:eastAsia="Times New Roman"/>
                <w:i/>
                <w:iCs/>
                <w:color w:val="000000"/>
                <w:sz w:val="20"/>
                <w:szCs w:val="20"/>
              </w:rPr>
              <w:t>Travelle</w:t>
            </w:r>
            <w:r>
              <w:rPr>
                <w:rFonts w:eastAsia="Times New Roman"/>
                <w:i/>
                <w:iCs/>
                <w:color w:val="000000"/>
                <w:sz w:val="20"/>
                <w:szCs w:val="20"/>
              </w:rPr>
              <w:t>r</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(truck and automotive products)</w:t>
            </w:r>
          </w:p>
        </w:tc>
      </w:tr>
      <w:tr w:rsidR="00000000">
        <w:trPr>
          <w:divId w:val="667946201"/>
          <w:jc w:val="center"/>
        </w:trPr>
        <w:tc>
          <w:tcPr>
            <w:tcW w:w="0" w:type="auto"/>
            <w:gridSpan w:val="3"/>
            <w:shd w:val="clear" w:color="auto" w:fill="CCEEFF"/>
            <w:tcMar>
              <w:top w:w="30" w:type="dxa"/>
              <w:left w:w="20" w:type="dxa"/>
              <w:bottom w:w="30" w:type="dxa"/>
              <w:right w:w="20" w:type="dxa"/>
            </w:tcMar>
            <w:hideMark/>
          </w:tcPr>
          <w:p w:rsidR="00000000" w:rsidRDefault="00905244">
            <w:pPr>
              <w:divId w:val="845634161"/>
              <w:rPr>
                <w:rFonts w:eastAsia="Times New Roman"/>
              </w:rPr>
            </w:pPr>
            <w:r>
              <w:rPr>
                <w:rFonts w:eastAsia="Times New Roman"/>
                <w:i/>
                <w:iCs/>
                <w:color w:val="000000"/>
                <w:sz w:val="20"/>
                <w:szCs w:val="20"/>
              </w:rPr>
              <w:t>Huske</w:t>
            </w:r>
            <w:r>
              <w:rPr>
                <w:rFonts w:eastAsia="Times New Roman"/>
                <w:i/>
                <w:iCs/>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(outdoor power equipment)</w:t>
            </w:r>
          </w:p>
        </w:tc>
        <w:tc>
          <w:tcPr>
            <w:tcW w:w="0" w:type="auto"/>
            <w:gridSpan w:val="3"/>
            <w:shd w:val="clear" w:color="auto" w:fill="CCEEFF"/>
            <w:tcMar>
              <w:top w:w="30" w:type="dxa"/>
              <w:left w:w="20" w:type="dxa"/>
              <w:bottom w:w="30" w:type="dxa"/>
              <w:right w:w="20" w:type="dxa"/>
            </w:tcMar>
            <w:hideMark/>
          </w:tcPr>
          <w:p w:rsidR="00000000" w:rsidRDefault="00905244">
            <w:pPr>
              <w:divId w:val="1122767034"/>
              <w:rPr>
                <w:rFonts w:eastAsia="Times New Roman"/>
              </w:rPr>
            </w:pPr>
            <w:r>
              <w:rPr>
                <w:rFonts w:eastAsia="Times New Roman"/>
                <w:i/>
                <w:iCs/>
                <w:color w:val="000000"/>
                <w:sz w:val="22"/>
                <w:szCs w:val="22"/>
              </w:rPr>
              <w:t>Treelin</w:t>
            </w:r>
            <w:r>
              <w:rPr>
                <w:rFonts w:eastAsia="Times New Roman"/>
                <w:i/>
                <w:iCs/>
                <w:color w:val="000000"/>
                <w:sz w:val="22"/>
                <w:szCs w:val="22"/>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(hunting gear and accessories)</w:t>
            </w:r>
          </w:p>
        </w:tc>
      </w:tr>
      <w:tr w:rsidR="00000000">
        <w:trPr>
          <w:divId w:val="667946201"/>
          <w:jc w:val="center"/>
        </w:trPr>
        <w:tc>
          <w:tcPr>
            <w:tcW w:w="0" w:type="auto"/>
            <w:gridSpan w:val="3"/>
            <w:shd w:val="clear" w:color="auto" w:fill="FFFFFF"/>
            <w:tcMar>
              <w:top w:w="30" w:type="dxa"/>
              <w:left w:w="20" w:type="dxa"/>
              <w:bottom w:w="30" w:type="dxa"/>
              <w:right w:w="20" w:type="dxa"/>
            </w:tcMar>
            <w:hideMark/>
          </w:tcPr>
          <w:p w:rsidR="00000000" w:rsidRDefault="00905244">
            <w:pPr>
              <w:divId w:val="1044674977"/>
              <w:rPr>
                <w:rFonts w:eastAsia="Times New Roman"/>
              </w:rPr>
            </w:pPr>
            <w:r>
              <w:rPr>
                <w:rFonts w:eastAsia="Times New Roman"/>
                <w:i/>
                <w:iCs/>
                <w:color w:val="000000"/>
                <w:sz w:val="20"/>
                <w:szCs w:val="20"/>
              </w:rPr>
              <w:t>JobSmar</w:t>
            </w:r>
            <w:r>
              <w:rPr>
                <w:rFonts w:eastAsia="Times New Roman"/>
                <w:i/>
                <w:iCs/>
                <w:color w:val="000000"/>
                <w:sz w:val="20"/>
                <w:szCs w:val="20"/>
              </w:rPr>
              <w:t>t</w:t>
            </w:r>
            <w:r>
              <w:rPr>
                <w:rFonts w:eastAsia="Times New Roman"/>
                <w:color w:val="000000"/>
                <w:sz w:val="13"/>
                <w:szCs w:val="13"/>
              </w:rPr>
              <w:t>®</w:t>
            </w:r>
            <w:r>
              <w:rPr>
                <w:rFonts w:eastAsia="Times New Roman"/>
                <w:color w:val="000000"/>
                <w:sz w:val="20"/>
                <w:szCs w:val="20"/>
              </w:rPr>
              <w:t xml:space="preserve"> (tools)</w:t>
            </w:r>
          </w:p>
        </w:tc>
        <w:tc>
          <w:tcPr>
            <w:tcW w:w="0" w:type="auto"/>
            <w:gridSpan w:val="3"/>
            <w:shd w:val="clear" w:color="auto" w:fill="FFFFFF"/>
            <w:tcMar>
              <w:top w:w="30" w:type="dxa"/>
              <w:left w:w="20" w:type="dxa"/>
              <w:bottom w:w="30" w:type="dxa"/>
              <w:right w:w="20" w:type="dxa"/>
            </w:tcMar>
            <w:hideMark/>
          </w:tcPr>
          <w:p w:rsidR="00000000" w:rsidRDefault="00905244">
            <w:pPr>
              <w:divId w:val="1388340197"/>
              <w:rPr>
                <w:rFonts w:eastAsia="Times New Roman"/>
              </w:rPr>
            </w:pPr>
            <w:r>
              <w:rPr>
                <w:rFonts w:eastAsia="Times New Roman"/>
                <w:i/>
                <w:iCs/>
                <w:color w:val="000000"/>
                <w:sz w:val="20"/>
                <w:szCs w:val="20"/>
              </w:rPr>
              <w:t>TSC Tractor Supply C</w:t>
            </w:r>
            <w:r>
              <w:rPr>
                <w:rFonts w:eastAsia="Times New Roman"/>
                <w:i/>
                <w:iCs/>
                <w:color w:val="000000"/>
                <w:sz w:val="20"/>
                <w:szCs w:val="20"/>
              </w:rPr>
              <w:t>o</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(trailers, truck tool boxes, and animal</w:t>
            </w:r>
          </w:p>
        </w:tc>
      </w:tr>
      <w:tr w:rsidR="00000000">
        <w:trPr>
          <w:divId w:val="667946201"/>
          <w:jc w:val="center"/>
        </w:trPr>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380" w:type="dxa"/>
              <w:bottom w:w="30" w:type="dxa"/>
              <w:right w:w="20" w:type="dxa"/>
            </w:tcMar>
            <w:hideMark/>
          </w:tcPr>
          <w:p w:rsidR="00000000" w:rsidRDefault="00905244">
            <w:pPr>
              <w:rPr>
                <w:rFonts w:eastAsia="Times New Roman"/>
              </w:rPr>
            </w:pPr>
            <w:r>
              <w:rPr>
                <w:rFonts w:eastAsia="Times New Roman"/>
                <w:color w:val="000000"/>
                <w:sz w:val="20"/>
                <w:szCs w:val="20"/>
              </w:rPr>
              <w:t>bedding)</w:t>
            </w:r>
          </w:p>
        </w:tc>
      </w:tr>
      <w:tr w:rsidR="00000000">
        <w:trPr>
          <w:divId w:val="667946201"/>
          <w:jc w:val="center"/>
        </w:trPr>
        <w:tc>
          <w:tcPr>
            <w:tcW w:w="0" w:type="auto"/>
            <w:gridSpan w:val="3"/>
            <w:shd w:val="clear" w:color="auto" w:fill="CCEEFF"/>
            <w:tcMar>
              <w:top w:w="30" w:type="dxa"/>
              <w:left w:w="20" w:type="dxa"/>
              <w:bottom w:w="30" w:type="dxa"/>
              <w:right w:w="20" w:type="dxa"/>
            </w:tcMar>
            <w:hideMark/>
          </w:tcPr>
          <w:p w:rsidR="00000000" w:rsidRDefault="00905244">
            <w:pPr>
              <w:divId w:val="1843542015"/>
              <w:rPr>
                <w:rFonts w:eastAsia="Times New Roman"/>
              </w:rPr>
            </w:pPr>
            <w:r>
              <w:rPr>
                <w:rFonts w:eastAsia="Times New Roman"/>
                <w:i/>
                <w:iCs/>
                <w:color w:val="000000"/>
                <w:sz w:val="20"/>
                <w:szCs w:val="20"/>
              </w:rPr>
              <w:t>Paws &amp; Claw</w:t>
            </w:r>
            <w:r>
              <w:rPr>
                <w:rFonts w:eastAsia="Times New Roman"/>
                <w:i/>
                <w:iCs/>
                <w:color w:val="000000"/>
                <w:sz w:val="20"/>
                <w:szCs w:val="20"/>
              </w:rPr>
              <w:t>s</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(pet foods and supplies)</w:t>
            </w:r>
          </w:p>
        </w:tc>
        <w:tc>
          <w:tcPr>
            <w:tcW w:w="0" w:type="auto"/>
            <w:gridSpan w:val="3"/>
            <w:shd w:val="clear" w:color="auto" w:fill="CCEEFF"/>
            <w:tcMar>
              <w:top w:w="30" w:type="dxa"/>
              <w:left w:w="20" w:type="dxa"/>
              <w:bottom w:w="30" w:type="dxa"/>
              <w:right w:w="20" w:type="dxa"/>
            </w:tcMar>
            <w:hideMark/>
          </w:tcPr>
          <w:p w:rsidR="00000000" w:rsidRDefault="00905244">
            <w:pPr>
              <w:divId w:val="1237667318"/>
              <w:rPr>
                <w:rFonts w:eastAsia="Times New Roman"/>
              </w:rPr>
            </w:pPr>
            <w:r>
              <w:rPr>
                <w:rFonts w:eastAsia="Times New Roman"/>
                <w:i/>
                <w:iCs/>
                <w:color w:val="000000"/>
                <w:sz w:val="22"/>
                <w:szCs w:val="22"/>
              </w:rPr>
              <w:t>Untame</w:t>
            </w:r>
            <w:r>
              <w:rPr>
                <w:rFonts w:eastAsia="Times New Roman"/>
                <w:i/>
                <w:iCs/>
                <w:color w:val="000000"/>
                <w:sz w:val="22"/>
                <w:szCs w:val="22"/>
              </w:rPr>
              <w:t>d</w:t>
            </w:r>
            <w:r>
              <w:rPr>
                <w:rFonts w:eastAsia="Times New Roman"/>
                <w:color w:val="000000"/>
                <w:sz w:val="13"/>
                <w:szCs w:val="13"/>
              </w:rPr>
              <w:t>®</w:t>
            </w:r>
            <w:r>
              <w:rPr>
                <w:rFonts w:eastAsia="Times New Roman"/>
                <w:color w:val="000000"/>
                <w:sz w:val="20"/>
                <w:szCs w:val="20"/>
              </w:rPr>
              <w:t xml:space="preserve"> (pet foods)</w:t>
            </w:r>
          </w:p>
          <w:p w:rsidR="00000000" w:rsidRDefault="00905244">
            <w:pPr>
              <w:divId w:val="2138452239"/>
              <w:rPr>
                <w:rFonts w:eastAsia="Times New Roman"/>
              </w:rPr>
            </w:pPr>
          </w:p>
        </w:tc>
      </w:tr>
    </w:tbl>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The exclusive brands identified above have been registered as trademarks with the USPTO for certain products and some are the subject of additional applications for registration pending before the USPTO for other products.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Our trademark and service mark</w:t>
      </w:r>
      <w:r>
        <w:rPr>
          <w:rFonts w:eastAsia="Times New Roman"/>
          <w:color w:val="000000"/>
          <w:sz w:val="20"/>
          <w:szCs w:val="20"/>
        </w:rPr>
        <w:t xml:space="preserve"> registrations have various expiration dates; however, provided that we continue to use the marks and file appropriate maintenance and renewal documentation with the USPTO in a timely manner, the registrations are potentially perpetual in duration. Our pat</w:t>
      </w:r>
      <w:r>
        <w:rPr>
          <w:rFonts w:eastAsia="Times New Roman"/>
          <w:color w:val="000000"/>
          <w:sz w:val="20"/>
          <w:szCs w:val="20"/>
        </w:rPr>
        <w:t xml:space="preserve">ents (both United States and foreign) have expiration dates ranging from March, 2024 to December, 2045 and protect various elements, designs or functions of farm and ranch equipment, as well as light systems for trucks and other vehicles. </w:t>
      </w:r>
    </w:p>
    <w:p w:rsidR="00000000" w:rsidRDefault="00905244">
      <w:pPr>
        <w:jc w:val="both"/>
        <w:rPr>
          <w:rFonts w:eastAsia="Times New Roman"/>
        </w:rPr>
      </w:pPr>
    </w:p>
    <w:p w:rsidR="00000000" w:rsidRDefault="00905244">
      <w:pPr>
        <w:jc w:val="center"/>
        <w:divId w:val="1752462359"/>
        <w:rPr>
          <w:rFonts w:eastAsia="Times New Roman"/>
        </w:rPr>
      </w:pPr>
      <w:r>
        <w:rPr>
          <w:rFonts w:eastAsia="Times New Roman"/>
          <w:color w:val="000000"/>
          <w:sz w:val="20"/>
          <w:szCs w:val="20"/>
        </w:rPr>
        <w:t>3</w:t>
      </w:r>
    </w:p>
    <w:p w:rsidR="00000000" w:rsidRDefault="00905244">
      <w:pPr>
        <w:rPr>
          <w:rFonts w:eastAsia="Times New Roman"/>
        </w:rPr>
      </w:pPr>
      <w:r>
        <w:rPr>
          <w:rFonts w:eastAsia="Times New Roman"/>
        </w:rPr>
        <w:pict>
          <v:rect id="_x0000_i1031" style="width:0;height:1.5pt" o:hralign="center" o:hrstd="t" o:hr="t" fillcolor="#a0a0a0" stroked="f"/>
        </w:pict>
      </w:r>
    </w:p>
    <w:p w:rsidR="00000000" w:rsidRDefault="00905244">
      <w:pPr>
        <w:divId w:val="355892875"/>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We believe our intellectual property, which includes the trademarks and service marks identified above, together with certain tradenames, domain names, patents, and copyrights, has significant value and is an important component of our merchandising and ma</w:t>
      </w:r>
      <w:r>
        <w:rPr>
          <w:rFonts w:eastAsia="Times New Roman"/>
          <w:color w:val="000000"/>
          <w:sz w:val="20"/>
          <w:szCs w:val="20"/>
        </w:rPr>
        <w:t xml:space="preserve">rketing strategies. </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Distribution</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currently operate a distribution facility network for supplying stores with merchandise and delivering product ordered through our websites and mobile application. In fiscal 2020, our Tractor Supply stores received approximately 75% of merchandise throu</w:t>
      </w:r>
      <w:r>
        <w:rPr>
          <w:rFonts w:eastAsia="Times New Roman"/>
          <w:color w:val="000000"/>
          <w:sz w:val="20"/>
          <w:szCs w:val="20"/>
        </w:rPr>
        <w:t xml:space="preserve">gh this network while the remaining merchandise shipped directly from our vendors to our stores or customers. We believe this flow facilitates the prompt and efficient distribution of merchandise that allows us to be a dependable supplier to our customers </w:t>
      </w:r>
      <w:r>
        <w:rPr>
          <w:rFonts w:eastAsia="Times New Roman"/>
          <w:color w:val="000000"/>
          <w:sz w:val="20"/>
          <w:szCs w:val="20"/>
        </w:rPr>
        <w:t>for their "</w:t>
      </w:r>
      <w:r>
        <w:rPr>
          <w:rFonts w:eastAsia="Times New Roman"/>
          <w:i/>
          <w:iCs/>
          <w:color w:val="000000"/>
          <w:sz w:val="20"/>
          <w:szCs w:val="20"/>
        </w:rPr>
        <w:t>Out Here"</w:t>
      </w:r>
      <w:r>
        <w:rPr>
          <w:rFonts w:eastAsia="Times New Roman"/>
          <w:color w:val="000000"/>
          <w:sz w:val="20"/>
          <w:szCs w:val="20"/>
        </w:rPr>
        <w:t xml:space="preserve"> lifestyle solutions by enhancing in-stock inventory positions, while minimizing freight expense and improving the inventory turn rate. Our distribution facilities, located in Arizona, Georgia, Indiana, Kentucky, Maryland, Nebraska, New</w:t>
      </w:r>
      <w:r>
        <w:rPr>
          <w:rFonts w:eastAsia="Times New Roman"/>
          <w:color w:val="000000"/>
          <w:sz w:val="20"/>
          <w:szCs w:val="20"/>
        </w:rPr>
        <w:t xml:space="preserve"> York, Texas, and Washington represent a total distribution center capacity of 6.1 million square feet. We also use third-party operated import centers and mixing centers which provide additional distribution capacity.</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On December 7, 2020, the Company an</w:t>
      </w:r>
      <w:r>
        <w:rPr>
          <w:rFonts w:eastAsia="Times New Roman"/>
          <w:color w:val="000000"/>
          <w:sz w:val="20"/>
          <w:szCs w:val="20"/>
        </w:rPr>
        <w:t>nounced plans to build a new distribution center in Navarre, Ohio. The new distribution center is expected to be approximately 895,000 square feet. Construction is planned to begin in fiscal 2021 and is currently anticipated to be complete by the end of fi</w:t>
      </w:r>
      <w:r>
        <w:rPr>
          <w:rFonts w:eastAsia="Times New Roman"/>
          <w:color w:val="000000"/>
          <w:sz w:val="20"/>
          <w:szCs w:val="20"/>
        </w:rPr>
        <w:t>scal 2022.</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select the locations of our distribution facilities in an effort to minimize logistics costs and optimize the distance from distribution facilities to our stores. Our distribution centers utilize warehouse and labor management tools that su</w:t>
      </w:r>
      <w:r>
        <w:rPr>
          <w:rFonts w:eastAsia="Times New Roman"/>
          <w:color w:val="000000"/>
          <w:sz w:val="20"/>
          <w:szCs w:val="20"/>
        </w:rPr>
        <w:t>pport the planning, control, and processing of inventory. We manage our inbound and outbound transportation activity in-house through the use of a transportation management system.  We utilize multiple common carriers for store and direct to customer deliv</w:t>
      </w:r>
      <w:r>
        <w:rPr>
          <w:rFonts w:eastAsia="Times New Roman"/>
          <w:color w:val="000000"/>
          <w:sz w:val="20"/>
          <w:szCs w:val="20"/>
        </w:rPr>
        <w:t>eries. We manage our transportation costs through carrier negotiations, monitoring of transportation routes, and scheduling of deliveries.</w:t>
      </w:r>
    </w:p>
    <w:p w:rsidR="00000000" w:rsidRDefault="00905244">
      <w:pPr>
        <w:divId w:val="598757434"/>
        <w:rPr>
          <w:rFonts w:eastAsia="Times New Roman"/>
        </w:rPr>
      </w:pPr>
    </w:p>
    <w:p w:rsidR="00000000" w:rsidRDefault="00905244">
      <w:pPr>
        <w:jc w:val="both"/>
        <w:rPr>
          <w:rFonts w:eastAsia="Times New Roman"/>
        </w:rPr>
      </w:pPr>
      <w:r>
        <w:rPr>
          <w:rFonts w:eastAsia="Times New Roman"/>
          <w:i/>
          <w:iCs/>
          <w:color w:val="000000"/>
          <w:sz w:val="20"/>
          <w:szCs w:val="20"/>
        </w:rPr>
        <w:t>Marketing</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utilize an “everyday value price” philosophy to consistently offer our products at competitive price</w:t>
      </w:r>
      <w:r>
        <w:rPr>
          <w:rFonts w:eastAsia="Times New Roman"/>
          <w:color w:val="000000"/>
          <w:sz w:val="20"/>
          <w:szCs w:val="20"/>
        </w:rPr>
        <w:t>s complemented by strategically planned promotions throughout the year. To drive store traffic and position ourselves as a destination retailer, we promote a broad selection of merchandise through various digital and social media initiatives, television, n</w:t>
      </w:r>
      <w:r>
        <w:rPr>
          <w:rFonts w:eastAsia="Times New Roman"/>
          <w:color w:val="000000"/>
          <w:sz w:val="20"/>
          <w:szCs w:val="20"/>
        </w:rPr>
        <w:t xml:space="preserve">ewspaper circulars, and customer-targeted direct e-mail and direct mail, as well as limited use of radio and other media channels.  In addition, our </w:t>
      </w:r>
      <w:r>
        <w:rPr>
          <w:rFonts w:eastAsia="Times New Roman"/>
          <w:i/>
          <w:iCs/>
          <w:color w:val="000000"/>
          <w:sz w:val="20"/>
          <w:szCs w:val="20"/>
        </w:rPr>
        <w:t>Neighbor’s Club</w:t>
      </w:r>
      <w:r>
        <w:rPr>
          <w:rFonts w:eastAsia="Times New Roman"/>
          <w:color w:val="000000"/>
          <w:sz w:val="20"/>
          <w:szCs w:val="20"/>
        </w:rPr>
        <w:t xml:space="preserve"> loyalty program enhances our ability to create engagement with our best customers. Vendors </w:t>
      </w:r>
      <w:r>
        <w:rPr>
          <w:rFonts w:eastAsia="Times New Roman"/>
          <w:color w:val="000000"/>
          <w:sz w:val="20"/>
          <w:szCs w:val="20"/>
        </w:rPr>
        <w:t>frequently support these specific programs by offering temporary cost reductions and honoring coupons. Our vendors also provide assistance with product presentation and fixture design, brochures, support for in-store events, point-of-purchase materials for</w:t>
      </w:r>
      <w:r>
        <w:rPr>
          <w:rFonts w:eastAsia="Times New Roman"/>
          <w:color w:val="000000"/>
          <w:sz w:val="20"/>
          <w:szCs w:val="20"/>
        </w:rPr>
        <w:t xml:space="preserve"> customer education, and product knowledge for our team members. </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Omni-Channel</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Ensuring that our customers can engage with us in the most convenient manner for them whether in our stores, on our website, on our mobile application, or via our Customer S</w:t>
      </w:r>
      <w:r>
        <w:rPr>
          <w:rFonts w:eastAsia="Times New Roman"/>
          <w:color w:val="000000"/>
          <w:sz w:val="20"/>
          <w:szCs w:val="20"/>
        </w:rPr>
        <w:t>olutions Center, is a high priority for us. Our goal is to be available anytime, anywhere, and in any way our customers choose to engage with our brand. We provide our customers the opportunity to shop in a manner that fits their lifestyle and is most conv</w:t>
      </w:r>
      <w:r>
        <w:rPr>
          <w:rFonts w:eastAsia="Times New Roman"/>
          <w:color w:val="000000"/>
          <w:sz w:val="20"/>
          <w:szCs w:val="20"/>
        </w:rPr>
        <w:t>enient for them. Our focus is on delivering a comprehensive mobile experience while maintaining a straight-forward shopping experience to further offer the convenience our customers need. We offer a buy online and pick up in-store program, including curbsi</w:t>
      </w:r>
      <w:r>
        <w:rPr>
          <w:rFonts w:eastAsia="Times New Roman"/>
          <w:color w:val="000000"/>
          <w:sz w:val="20"/>
          <w:szCs w:val="20"/>
        </w:rPr>
        <w:t>de pick up, which provides convenient access for customers to pick up merchandise from our store locations. Additionally, our online experience offers an expansive product assortment including a direct to consumer assortment. This allows us to extend our a</w:t>
      </w:r>
      <w:r>
        <w:rPr>
          <w:rFonts w:eastAsia="Times New Roman"/>
          <w:color w:val="000000"/>
          <w:sz w:val="20"/>
          <w:szCs w:val="20"/>
        </w:rPr>
        <w:t xml:space="preserve">isles beyond our store locations and provides convenient and useful content that is relevant to our customers’ lifestyle. We provide our customers the ability to have products shipped directly to our retail store locations or to their homes or offices. We </w:t>
      </w:r>
      <w:r>
        <w:rPr>
          <w:rFonts w:eastAsia="Times New Roman"/>
          <w:color w:val="000000"/>
          <w:sz w:val="20"/>
          <w:szCs w:val="20"/>
        </w:rPr>
        <w:t>use our distribution facility network to support our e-commerce activities. Our digital capabilities have further enhanced our in-store shopping and customer service experience, allowed us to engage with our customers anytime, anywhere, and in any way they</w:t>
      </w:r>
      <w:r>
        <w:rPr>
          <w:rFonts w:eastAsia="Times New Roman"/>
          <w:color w:val="000000"/>
          <w:sz w:val="20"/>
          <w:szCs w:val="20"/>
        </w:rPr>
        <w:t xml:space="preserve"> choose, and expanded our target markets outside of our current retail store locations.</w:t>
      </w:r>
    </w:p>
    <w:p w:rsidR="00000000" w:rsidRDefault="00905244">
      <w:pPr>
        <w:jc w:val="both"/>
        <w:rPr>
          <w:rFonts w:eastAsia="Times New Roman"/>
        </w:rPr>
      </w:pPr>
    </w:p>
    <w:p w:rsidR="00000000" w:rsidRDefault="00905244">
      <w:pPr>
        <w:jc w:val="center"/>
        <w:divId w:val="1656491682"/>
        <w:rPr>
          <w:rFonts w:eastAsia="Times New Roman"/>
        </w:rPr>
      </w:pPr>
      <w:r>
        <w:rPr>
          <w:rFonts w:eastAsia="Times New Roman"/>
          <w:color w:val="000000"/>
          <w:sz w:val="20"/>
          <w:szCs w:val="20"/>
        </w:rPr>
        <w:t>4</w:t>
      </w:r>
    </w:p>
    <w:p w:rsidR="00000000" w:rsidRDefault="00905244">
      <w:pPr>
        <w:rPr>
          <w:rFonts w:eastAsia="Times New Roman"/>
        </w:rPr>
      </w:pPr>
      <w:r>
        <w:rPr>
          <w:rFonts w:eastAsia="Times New Roman"/>
        </w:rPr>
        <w:pict>
          <v:rect id="_x0000_i1032" style="width:0;height:1.5pt" o:hralign="center" o:hrstd="t" o:hr="t" fillcolor="#a0a0a0" stroked="f"/>
        </w:pict>
      </w:r>
    </w:p>
    <w:p w:rsidR="00000000" w:rsidRDefault="00905244">
      <w:pPr>
        <w:divId w:val="531192100"/>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i/>
          <w:iCs/>
          <w:color w:val="000000"/>
          <w:sz w:val="20"/>
          <w:szCs w:val="20"/>
        </w:rPr>
        <w:t>Continuous Improvement</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are committed to a continuous improv</w:t>
      </w:r>
      <w:r>
        <w:rPr>
          <w:rFonts w:eastAsia="Times New Roman"/>
          <w:color w:val="000000"/>
          <w:sz w:val="20"/>
          <w:szCs w:val="20"/>
        </w:rPr>
        <w:t>ement program to drive change throughout our organization.  Using data analytics and team member engagement, we examine business processes and identify opportunities to reduce costs, drive innovation, and improve effectiveness.  We have implemented numerou</w:t>
      </w:r>
      <w:r>
        <w:rPr>
          <w:rFonts w:eastAsia="Times New Roman"/>
          <w:color w:val="000000"/>
          <w:sz w:val="20"/>
          <w:szCs w:val="20"/>
        </w:rPr>
        <w:t>s continuous improvement projects, with team members from multiple areas of our business, to evaluate key operations and implement process change. Team members are empowered and expected to challenge current paradigms and improve processes. Management enco</w:t>
      </w:r>
      <w:r>
        <w:rPr>
          <w:rFonts w:eastAsia="Times New Roman"/>
          <w:color w:val="000000"/>
          <w:sz w:val="20"/>
          <w:szCs w:val="20"/>
        </w:rPr>
        <w:t>urages the participation of all team members in the decision-making process, regularly solicits input and suggestions from our team members, and incorporates suggestions into our improvement activities.</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Management Information and Control Systems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hav</w:t>
      </w:r>
      <w:r>
        <w:rPr>
          <w:rFonts w:eastAsia="Times New Roman"/>
          <w:color w:val="000000"/>
          <w:sz w:val="20"/>
          <w:szCs w:val="20"/>
        </w:rPr>
        <w:t xml:space="preserve">e invested resources in management information and control systems to provide legendary customer service and to deliver the right products in the right place at the right time. This includes use of digital technologies that support the </w:t>
      </w:r>
      <w:r>
        <w:rPr>
          <w:rFonts w:eastAsia="Times New Roman"/>
          <w:i/>
          <w:iCs/>
          <w:color w:val="000000"/>
          <w:sz w:val="20"/>
          <w:szCs w:val="20"/>
        </w:rPr>
        <w:t>"Out Here"</w:t>
      </w:r>
      <w:r>
        <w:rPr>
          <w:rFonts w:eastAsia="Times New Roman"/>
          <w:color w:val="000000"/>
          <w:sz w:val="20"/>
          <w:szCs w:val="20"/>
        </w:rPr>
        <w:t xml:space="preserve"> lifestyle</w:t>
      </w:r>
      <w:r>
        <w:rPr>
          <w:rFonts w:eastAsia="Times New Roman"/>
          <w:color w:val="000000"/>
          <w:sz w:val="20"/>
          <w:szCs w:val="20"/>
        </w:rPr>
        <w:t xml:space="preserve"> and integrate the customer experience in-store, online, and through our Customer Solutions Center, which offers customers the ability to shop anytime, anywhere, and in any way they choose. Our key platforms include:</w:t>
      </w:r>
    </w:p>
    <w:p w:rsidR="00000000" w:rsidRDefault="00905244">
      <w:pPr>
        <w:jc w:val="both"/>
        <w:rPr>
          <w:rFonts w:eastAsia="Times New Roman"/>
        </w:rPr>
      </w:pPr>
    </w:p>
    <w:p w:rsidR="00000000" w:rsidRDefault="00905244">
      <w:pPr>
        <w:ind w:hanging="360"/>
        <w:divId w:val="1499735318"/>
        <w:rPr>
          <w:rFonts w:eastAsia="Times New Roman"/>
        </w:rPr>
      </w:pPr>
      <w:r>
        <w:rPr>
          <w:rFonts w:eastAsia="Times New Roman"/>
          <w:color w:val="000000"/>
          <w:sz w:val="20"/>
          <w:szCs w:val="20"/>
        </w:rPr>
        <w:t>•Point-of-sale system;</w:t>
      </w:r>
    </w:p>
    <w:p w:rsidR="00000000" w:rsidRDefault="00905244">
      <w:pPr>
        <w:ind w:hanging="360"/>
        <w:divId w:val="1326083843"/>
        <w:rPr>
          <w:rFonts w:eastAsia="Times New Roman"/>
        </w:rPr>
      </w:pPr>
      <w:r>
        <w:rPr>
          <w:rFonts w:eastAsia="Times New Roman"/>
          <w:color w:val="000000"/>
          <w:sz w:val="20"/>
          <w:szCs w:val="20"/>
        </w:rPr>
        <w:t>•</w:t>
      </w:r>
      <w:r>
        <w:rPr>
          <w:rFonts w:eastAsia="Times New Roman"/>
          <w:color w:val="000000"/>
          <w:sz w:val="20"/>
          <w:szCs w:val="20"/>
        </w:rPr>
        <w:t>In-store mobility;</w:t>
      </w:r>
    </w:p>
    <w:p w:rsidR="00000000" w:rsidRDefault="00905244">
      <w:pPr>
        <w:ind w:hanging="360"/>
        <w:divId w:val="2133287128"/>
        <w:rPr>
          <w:rFonts w:eastAsia="Times New Roman"/>
        </w:rPr>
      </w:pPr>
      <w:r>
        <w:rPr>
          <w:rFonts w:eastAsia="Times New Roman"/>
          <w:color w:val="000000"/>
          <w:sz w:val="20"/>
          <w:szCs w:val="20"/>
        </w:rPr>
        <w:t>•E-commerce platform;</w:t>
      </w:r>
    </w:p>
    <w:p w:rsidR="00000000" w:rsidRDefault="00905244">
      <w:pPr>
        <w:ind w:hanging="360"/>
        <w:divId w:val="1780947372"/>
        <w:rPr>
          <w:rFonts w:eastAsia="Times New Roman"/>
        </w:rPr>
      </w:pPr>
      <w:r>
        <w:rPr>
          <w:rFonts w:eastAsia="Times New Roman"/>
          <w:color w:val="000000"/>
          <w:sz w:val="20"/>
          <w:szCs w:val="20"/>
        </w:rPr>
        <w:t>•Replenishment and allocation systems;</w:t>
      </w:r>
    </w:p>
    <w:p w:rsidR="00000000" w:rsidRDefault="00905244">
      <w:pPr>
        <w:ind w:hanging="360"/>
        <w:divId w:val="1785735820"/>
        <w:rPr>
          <w:rFonts w:eastAsia="Times New Roman"/>
        </w:rPr>
      </w:pPr>
      <w:r>
        <w:rPr>
          <w:rFonts w:eastAsia="Times New Roman"/>
          <w:color w:val="000000"/>
          <w:sz w:val="20"/>
          <w:szCs w:val="20"/>
        </w:rPr>
        <w:t>•Merchandising presentation and inventory management tools;</w:t>
      </w:r>
    </w:p>
    <w:p w:rsidR="00000000" w:rsidRDefault="00905244">
      <w:pPr>
        <w:ind w:hanging="360"/>
        <w:divId w:val="1265458036"/>
        <w:rPr>
          <w:rFonts w:eastAsia="Times New Roman"/>
        </w:rPr>
      </w:pPr>
      <w:r>
        <w:rPr>
          <w:rFonts w:eastAsia="Times New Roman"/>
          <w:color w:val="000000"/>
          <w:sz w:val="20"/>
          <w:szCs w:val="20"/>
        </w:rPr>
        <w:t xml:space="preserve">•Warehouse and transportation management systems; </w:t>
      </w:r>
    </w:p>
    <w:p w:rsidR="00000000" w:rsidRDefault="00905244">
      <w:pPr>
        <w:ind w:hanging="360"/>
        <w:divId w:val="476801698"/>
        <w:rPr>
          <w:rFonts w:eastAsia="Times New Roman"/>
        </w:rPr>
      </w:pPr>
      <w:r>
        <w:rPr>
          <w:rFonts w:eastAsia="Times New Roman"/>
          <w:color w:val="000000"/>
          <w:sz w:val="20"/>
          <w:szCs w:val="20"/>
        </w:rPr>
        <w:t>•Labor management tools for stores and supply chain;</w:t>
      </w:r>
    </w:p>
    <w:p w:rsidR="00000000" w:rsidRDefault="00905244">
      <w:pPr>
        <w:ind w:hanging="360"/>
        <w:divId w:val="1596595431"/>
        <w:rPr>
          <w:rFonts w:eastAsia="Times New Roman"/>
        </w:rPr>
      </w:pPr>
      <w:r>
        <w:rPr>
          <w:rFonts w:eastAsia="Times New Roman"/>
          <w:color w:val="000000"/>
          <w:sz w:val="20"/>
          <w:szCs w:val="20"/>
        </w:rPr>
        <w:t>•Price optim</w:t>
      </w:r>
      <w:r>
        <w:rPr>
          <w:rFonts w:eastAsia="Times New Roman"/>
          <w:color w:val="000000"/>
          <w:sz w:val="20"/>
          <w:szCs w:val="20"/>
        </w:rPr>
        <w:t>ization system;</w:t>
      </w:r>
    </w:p>
    <w:p w:rsidR="00000000" w:rsidRDefault="00905244">
      <w:pPr>
        <w:ind w:hanging="360"/>
        <w:divId w:val="1644967936"/>
        <w:rPr>
          <w:rFonts w:eastAsia="Times New Roman"/>
        </w:rPr>
      </w:pPr>
      <w:r>
        <w:rPr>
          <w:rFonts w:eastAsia="Times New Roman"/>
          <w:color w:val="000000"/>
          <w:sz w:val="20"/>
          <w:szCs w:val="20"/>
        </w:rPr>
        <w:t>•Vendor purchase order control system;</w:t>
      </w:r>
    </w:p>
    <w:p w:rsidR="00000000" w:rsidRDefault="00905244">
      <w:pPr>
        <w:ind w:hanging="360"/>
        <w:divId w:val="1898855974"/>
        <w:rPr>
          <w:rFonts w:eastAsia="Times New Roman"/>
        </w:rPr>
      </w:pPr>
      <w:r>
        <w:rPr>
          <w:rFonts w:eastAsia="Times New Roman"/>
          <w:color w:val="000000"/>
          <w:sz w:val="20"/>
          <w:szCs w:val="20"/>
        </w:rPr>
        <w:t xml:space="preserve">•Business intelligence and analytics tools; and </w:t>
      </w:r>
    </w:p>
    <w:p w:rsidR="00000000" w:rsidRDefault="00905244">
      <w:pPr>
        <w:ind w:hanging="360"/>
        <w:divId w:val="1160148155"/>
        <w:rPr>
          <w:rFonts w:eastAsia="Times New Roman"/>
        </w:rPr>
      </w:pPr>
      <w:r>
        <w:rPr>
          <w:rFonts w:eastAsia="Times New Roman"/>
          <w:color w:val="000000"/>
          <w:sz w:val="20"/>
          <w:szCs w:val="20"/>
        </w:rPr>
        <w:t xml:space="preserve">•Customer loyalty system.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These systems are integrated through an enterprise resource planning (“ERP”) system. This ERP system tracks merchandise fro</w:t>
      </w:r>
      <w:r>
        <w:rPr>
          <w:rFonts w:eastAsia="Times New Roman"/>
          <w:color w:val="000000"/>
          <w:sz w:val="20"/>
          <w:szCs w:val="20"/>
        </w:rPr>
        <w:t>m initial order through ultimate sale and interfaces with our financial systems.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continue to invest in technology to support store, online, and distribution facility expansion and our long-term strategic growth initiatives focused heavily on improving</w:t>
      </w:r>
      <w:r>
        <w:rPr>
          <w:rFonts w:eastAsia="Times New Roman"/>
          <w:color w:val="000000"/>
          <w:sz w:val="20"/>
          <w:szCs w:val="20"/>
        </w:rPr>
        <w:t xml:space="preserve"> the customer experience across all channels. We also continue to evaluate and improve the functionality of our systems to maximize their effectiveness.  Such efforts include ongoing hardware and software evaluations, refreshes, and upgrades to support opt</w:t>
      </w:r>
      <w:r>
        <w:rPr>
          <w:rFonts w:eastAsia="Times New Roman"/>
          <w:color w:val="000000"/>
          <w:sz w:val="20"/>
          <w:szCs w:val="20"/>
        </w:rPr>
        <w:t>imal software configurations, and application performance. We plan to continue to invest in information technology and implement efficiency-driving system enhancements such as in-store mobility, labor management tools, and back-office support systems</w:t>
      </w:r>
      <w:r>
        <w:rPr>
          <w:rFonts w:eastAsia="Times New Roman"/>
          <w:color w:val="000000"/>
        </w:rPr>
        <w:t xml:space="preserve">. </w:t>
      </w:r>
      <w:r>
        <w:rPr>
          <w:rFonts w:eastAsia="Times New Roman"/>
          <w:color w:val="000000"/>
          <w:sz w:val="20"/>
          <w:szCs w:val="20"/>
        </w:rPr>
        <w:t>We will continue to evaluate the use of technologies to improve productivity such as artificial intelligence, automation software, quantum computing, and other technologies. We also maintain and continue to strengthen the security of our information system</w:t>
      </w:r>
      <w:r>
        <w:rPr>
          <w:rFonts w:eastAsia="Times New Roman"/>
          <w:color w:val="000000"/>
          <w:sz w:val="20"/>
          <w:szCs w:val="20"/>
        </w:rPr>
        <w:t>s to help protect and prevent unauthorized access to personal information of our customers, employees, vendors, and other confidential Company data as well as endeavoring to adhere to industry privacy laws and standards. Areas of focus include cloud, end p</w:t>
      </w:r>
      <w:r>
        <w:rPr>
          <w:rFonts w:eastAsia="Times New Roman"/>
          <w:color w:val="000000"/>
          <w:sz w:val="20"/>
          <w:szCs w:val="20"/>
        </w:rPr>
        <w:t>oint protection and privacy. Collectively, these efforts are directed toward improving business processes, maintaining secure, efficient, and stable systems, and enabling the continued growth and success of our business.</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Petsense</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Petsense is a small-bo</w:t>
      </w:r>
      <w:r>
        <w:rPr>
          <w:rFonts w:eastAsia="Times New Roman"/>
          <w:color w:val="000000"/>
          <w:sz w:val="20"/>
          <w:szCs w:val="20"/>
        </w:rPr>
        <w:t>x pet specialty supply retailer focused on meeting the needs of pet owners, primarily in small and mid-sized communities, and offering a variety of pet products and services. At December 26, 2020, we operated a total of 182 Petsense stores in 25 states, wi</w:t>
      </w:r>
      <w:r>
        <w:rPr>
          <w:rFonts w:eastAsia="Times New Roman"/>
          <w:color w:val="000000"/>
          <w:sz w:val="20"/>
          <w:szCs w:val="20"/>
        </w:rPr>
        <w:t>th approximately 500 full-time and 1,000 part-time team members, and an e-commerce website (</w:t>
      </w:r>
      <w:r>
        <w:rPr>
          <w:rFonts w:eastAsia="Times New Roman"/>
          <w:i/>
          <w:iCs/>
          <w:color w:val="000000"/>
          <w:sz w:val="20"/>
          <w:szCs w:val="20"/>
          <w:u w:val="single"/>
        </w:rPr>
        <w:t>Petsense.com</w:t>
      </w:r>
      <w:r>
        <w:rPr>
          <w:rFonts w:eastAsia="Times New Roman"/>
          <w:color w:val="000000"/>
          <w:sz w:val="20"/>
          <w:szCs w:val="20"/>
        </w:rPr>
        <w:t xml:space="preserve">). Petsense owns a registered trademark for its exclusive brand, </w:t>
      </w:r>
      <w:r>
        <w:rPr>
          <w:rFonts w:eastAsia="Times New Roman"/>
          <w:i/>
          <w:iCs/>
          <w:color w:val="000000"/>
          <w:sz w:val="20"/>
          <w:szCs w:val="20"/>
        </w:rPr>
        <w:t>TrueSourc</w:t>
      </w:r>
      <w:r>
        <w:rPr>
          <w:rFonts w:eastAsia="Times New Roman"/>
          <w:i/>
          <w:iCs/>
          <w:color w:val="000000"/>
          <w:sz w:val="20"/>
          <w:szCs w:val="20"/>
        </w:rPr>
        <w:t>e</w:t>
      </w:r>
      <w:r>
        <w:rPr>
          <w:rFonts w:eastAsia="Times New Roman"/>
          <w:color w:val="000000"/>
          <w:sz w:val="13"/>
          <w:szCs w:val="13"/>
        </w:rPr>
        <w:t>®</w:t>
      </w:r>
      <w:r>
        <w:rPr>
          <w:rFonts w:eastAsia="Times New Roman"/>
          <w:color w:val="000000"/>
          <w:sz w:val="20"/>
          <w:szCs w:val="20"/>
        </w:rPr>
        <w:t xml:space="preserve"> pet food, and the Petsense name is registered with the USPTO.</w:t>
      </w:r>
    </w:p>
    <w:p w:rsidR="00000000" w:rsidRDefault="00905244">
      <w:pPr>
        <w:jc w:val="center"/>
        <w:divId w:val="1222516747"/>
        <w:rPr>
          <w:rFonts w:eastAsia="Times New Roman"/>
        </w:rPr>
      </w:pPr>
      <w:r>
        <w:rPr>
          <w:rFonts w:eastAsia="Times New Roman"/>
          <w:color w:val="000000"/>
          <w:sz w:val="20"/>
          <w:szCs w:val="20"/>
        </w:rPr>
        <w:t>5</w:t>
      </w:r>
    </w:p>
    <w:p w:rsidR="00000000" w:rsidRDefault="00905244">
      <w:pPr>
        <w:rPr>
          <w:rFonts w:eastAsia="Times New Roman"/>
        </w:rPr>
      </w:pPr>
      <w:r>
        <w:rPr>
          <w:rFonts w:eastAsia="Times New Roman"/>
        </w:rPr>
        <w:pict>
          <v:rect id="_x0000_i1033" style="width:0;height:1.5pt" o:hralign="center" o:hrstd="t" o:hr="t" fillcolor="#a0a0a0" stroked="f"/>
        </w:pict>
      </w:r>
    </w:p>
    <w:p w:rsidR="00000000" w:rsidRDefault="00905244">
      <w:pPr>
        <w:divId w:val="1640960696"/>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Human Capital</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believe that our team members are the foundation of our business and that their hard work drives our success. As a result of our commitment to ou</w:t>
      </w:r>
      <w:r>
        <w:rPr>
          <w:rFonts w:eastAsia="Times New Roman"/>
          <w:color w:val="000000"/>
          <w:sz w:val="20"/>
          <w:szCs w:val="20"/>
        </w:rPr>
        <w:t xml:space="preserve">r team members, we were recognized by the Great Place to Work Institute as a </w:t>
      </w:r>
      <w:r>
        <w:rPr>
          <w:rFonts w:eastAsia="Times New Roman"/>
          <w:i/>
          <w:iCs/>
          <w:color w:val="000000"/>
          <w:sz w:val="20"/>
          <w:szCs w:val="20"/>
        </w:rPr>
        <w:t xml:space="preserve">"Great Place to Work-Certified" </w:t>
      </w:r>
      <w:r>
        <w:rPr>
          <w:rFonts w:eastAsia="Times New Roman"/>
          <w:color w:val="000000"/>
          <w:sz w:val="20"/>
          <w:szCs w:val="20"/>
        </w:rPr>
        <w:t>company. Below are further descriptions of our Company and our focus on the development and support of our team members:</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Management and Team Memb</w:t>
      </w:r>
      <w:r>
        <w:rPr>
          <w:rFonts w:eastAsia="Times New Roman"/>
          <w:i/>
          <w:iCs/>
          <w:color w:val="000000"/>
          <w:sz w:val="20"/>
          <w:szCs w:val="20"/>
        </w:rPr>
        <w:t>ers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As of December 26, 2020, we employed approximately 20,000 full-time and 21,000 part-time Tractor Supply team members. </w:t>
      </w:r>
      <w:r>
        <w:rPr>
          <w:rFonts w:eastAsia="Times New Roman"/>
          <w:color w:val="000000"/>
          <w:sz w:val="20"/>
          <w:szCs w:val="20"/>
        </w:rPr>
        <w:t>We typically employ additional part-time team members throughout the year during high sales volume periods.  We are not party to any collective bargaining agreements.</w:t>
      </w:r>
    </w:p>
    <w:p w:rsidR="00000000" w:rsidRDefault="00905244">
      <w:pPr>
        <w:divId w:val="427577856"/>
        <w:rPr>
          <w:rFonts w:eastAsia="Times New Roman"/>
        </w:rPr>
      </w:pPr>
    </w:p>
    <w:p w:rsidR="00000000" w:rsidRDefault="00905244">
      <w:pPr>
        <w:jc w:val="both"/>
        <w:rPr>
          <w:rFonts w:eastAsia="Times New Roman"/>
        </w:rPr>
      </w:pPr>
      <w:r>
        <w:rPr>
          <w:rFonts w:eastAsia="Times New Roman"/>
          <w:color w:val="000000"/>
          <w:sz w:val="20"/>
          <w:szCs w:val="20"/>
        </w:rPr>
        <w:t>Our store operations are organized into regions, each of which is led by a regional vic</w:t>
      </w:r>
      <w:r>
        <w:rPr>
          <w:rFonts w:eastAsia="Times New Roman"/>
          <w:color w:val="000000"/>
          <w:sz w:val="20"/>
          <w:szCs w:val="20"/>
        </w:rPr>
        <w:t>e president. The region is further organized into districts, each of which is led by a district manager.  We have two internal advisory boards, one comprised of store managers and the other comprised of district managers.  These groups bring a grassroots p</w:t>
      </w:r>
      <w:r>
        <w:rPr>
          <w:rFonts w:eastAsia="Times New Roman"/>
          <w:color w:val="000000"/>
          <w:sz w:val="20"/>
          <w:szCs w:val="20"/>
        </w:rPr>
        <w:t>erspective to operational initiatives and generate chain-wide endorsement of proposed best-practice solutions.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All of our team members participate in one of our various bonus incentive programs, which provide the opportunity to receive additional compens</w:t>
      </w:r>
      <w:r>
        <w:rPr>
          <w:rFonts w:eastAsia="Times New Roman"/>
          <w:color w:val="000000"/>
          <w:sz w:val="20"/>
          <w:szCs w:val="20"/>
        </w:rPr>
        <w:t>ation based upon team and/or Company performance. In addition to bonus incentive programs, we provide our eligible team members the opportunity to participate in an employee stock purchase plan and a 401(k) retirement savings plan. We also share in the cos</w:t>
      </w:r>
      <w:r>
        <w:rPr>
          <w:rFonts w:eastAsia="Times New Roman"/>
          <w:color w:val="000000"/>
          <w:sz w:val="20"/>
          <w:szCs w:val="20"/>
        </w:rPr>
        <w:t xml:space="preserve">t of health insurance provided to eligible team members, and team members receive a discount on merchandise purchased from the Company. We additionally provide our team members with paid time off and a six-week parental leave policy for new parents. </w:t>
      </w:r>
    </w:p>
    <w:p w:rsidR="00000000" w:rsidRDefault="00905244">
      <w:pPr>
        <w:divId w:val="1853837767"/>
        <w:rPr>
          <w:rFonts w:eastAsia="Times New Roman"/>
        </w:rPr>
      </w:pPr>
    </w:p>
    <w:p w:rsidR="00000000" w:rsidRDefault="00905244">
      <w:pPr>
        <w:jc w:val="both"/>
        <w:rPr>
          <w:rFonts w:eastAsia="Times New Roman"/>
        </w:rPr>
      </w:pPr>
      <w:r>
        <w:rPr>
          <w:rFonts w:eastAsia="Times New Roman"/>
          <w:color w:val="000000"/>
          <w:sz w:val="20"/>
          <w:szCs w:val="20"/>
        </w:rPr>
        <w:t xml:space="preserve">We </w:t>
      </w:r>
      <w:r>
        <w:rPr>
          <w:rFonts w:eastAsia="Times New Roman"/>
          <w:color w:val="000000"/>
          <w:sz w:val="20"/>
          <w:szCs w:val="20"/>
        </w:rPr>
        <w:t xml:space="preserve">encourage a promote-from-within environment when internal resources permit.  We also provide internal leadership development programs designed to prepare our high-potential team members for greater responsibility. Our current team of district managers and </w:t>
      </w:r>
      <w:r>
        <w:rPr>
          <w:rFonts w:eastAsia="Times New Roman"/>
          <w:color w:val="000000"/>
          <w:sz w:val="20"/>
          <w:szCs w:val="20"/>
        </w:rPr>
        <w:t>store managers have an average tenure of approximately nine and six years, respectively.  We believe internal promotions, coupled with the hiring of individuals with previous retail experience, will provide the management structure necessary to support our</w:t>
      </w:r>
      <w:r>
        <w:rPr>
          <w:rFonts w:eastAsia="Times New Roman"/>
          <w:color w:val="000000"/>
          <w:sz w:val="20"/>
          <w:szCs w:val="20"/>
        </w:rPr>
        <w:t xml:space="preserve"> long-term strategic growth initiatives. </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Store Personnel and Training</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We seek to hire store team members who live and appreciate the </w:t>
      </w:r>
      <w:r>
        <w:rPr>
          <w:rFonts w:eastAsia="Times New Roman"/>
          <w:i/>
          <w:iCs/>
          <w:color w:val="000000"/>
          <w:sz w:val="20"/>
          <w:szCs w:val="20"/>
        </w:rPr>
        <w:t>"Out Here"</w:t>
      </w:r>
      <w:r>
        <w:rPr>
          <w:rFonts w:eastAsia="Times New Roman"/>
          <w:color w:val="000000"/>
          <w:sz w:val="20"/>
          <w:szCs w:val="20"/>
        </w:rPr>
        <w:t xml:space="preserve"> lifestyle, including those with farming and ranching backgrounds, with particular emphasis on general maint</w:t>
      </w:r>
      <w:r>
        <w:rPr>
          <w:rFonts w:eastAsia="Times New Roman"/>
          <w:color w:val="000000"/>
          <w:sz w:val="20"/>
          <w:szCs w:val="20"/>
        </w:rPr>
        <w:t>enance, equine, and welding. We endeavor to staff our stores with courteous, highly motivated team members and devote considerable resources to training store team members, often in cooperation with our vendors.  Our training programs include:</w:t>
      </w:r>
    </w:p>
    <w:p w:rsidR="00000000" w:rsidRDefault="00905244">
      <w:pPr>
        <w:jc w:val="both"/>
        <w:rPr>
          <w:rFonts w:eastAsia="Times New Roman"/>
        </w:rPr>
      </w:pPr>
    </w:p>
    <w:p w:rsidR="00000000" w:rsidRDefault="00905244">
      <w:pPr>
        <w:ind w:hanging="360"/>
        <w:divId w:val="1827893888"/>
        <w:rPr>
          <w:rFonts w:eastAsia="Times New Roman"/>
        </w:rPr>
      </w:pPr>
      <w:r>
        <w:rPr>
          <w:rFonts w:eastAsia="Times New Roman"/>
          <w:color w:val="000000"/>
          <w:sz w:val="20"/>
          <w:szCs w:val="20"/>
        </w:rPr>
        <w:t>•A thoroug</w:t>
      </w:r>
      <w:r>
        <w:rPr>
          <w:rFonts w:eastAsia="Times New Roman"/>
          <w:color w:val="000000"/>
          <w:sz w:val="20"/>
          <w:szCs w:val="20"/>
        </w:rPr>
        <w:t>h on-boarding process to prepare new team members for their new role;</w:t>
      </w:r>
    </w:p>
    <w:p w:rsidR="00000000" w:rsidRDefault="00905244">
      <w:pPr>
        <w:ind w:hanging="360"/>
        <w:divId w:val="855118601"/>
        <w:rPr>
          <w:rFonts w:eastAsia="Times New Roman"/>
        </w:rPr>
      </w:pPr>
      <w:r>
        <w:rPr>
          <w:rFonts w:eastAsia="Times New Roman"/>
          <w:color w:val="000000"/>
          <w:sz w:val="20"/>
          <w:szCs w:val="20"/>
        </w:rPr>
        <w:t>•Productive workplace environment training that is intended to educate team members on Company policies and procedures covering topics such as harassment, discrimination, and retaliation</w:t>
      </w:r>
      <w:r>
        <w:rPr>
          <w:rFonts w:eastAsia="Times New Roman"/>
          <w:color w:val="000000"/>
          <w:sz w:val="20"/>
          <w:szCs w:val="20"/>
        </w:rPr>
        <w:t>;</w:t>
      </w:r>
    </w:p>
    <w:p w:rsidR="00000000" w:rsidRDefault="00905244">
      <w:pPr>
        <w:ind w:hanging="360"/>
        <w:divId w:val="999042817"/>
        <w:rPr>
          <w:rFonts w:eastAsia="Times New Roman"/>
        </w:rPr>
      </w:pPr>
      <w:r>
        <w:rPr>
          <w:rFonts w:eastAsia="Times New Roman"/>
          <w:color w:val="000000"/>
          <w:sz w:val="20"/>
          <w:szCs w:val="20"/>
        </w:rPr>
        <w:t>•Diversity and Inclusion training which is intended to advance a diverse and inclusive culture built on our core value of Respect, to foster different perspectives, ideas and innovative thinking;</w:t>
      </w:r>
    </w:p>
    <w:p w:rsidR="00000000" w:rsidRDefault="00905244">
      <w:pPr>
        <w:ind w:hanging="360"/>
        <w:divId w:val="1474061055"/>
        <w:rPr>
          <w:rFonts w:eastAsia="Times New Roman"/>
        </w:rPr>
      </w:pPr>
      <w:r>
        <w:rPr>
          <w:rFonts w:eastAsia="Times New Roman"/>
          <w:color w:val="000000"/>
          <w:sz w:val="20"/>
          <w:szCs w:val="20"/>
        </w:rPr>
        <w:t>•New store opening training that prepares our store manage</w:t>
      </w:r>
      <w:r>
        <w:rPr>
          <w:rFonts w:eastAsia="Times New Roman"/>
          <w:color w:val="000000"/>
          <w:sz w:val="20"/>
          <w:szCs w:val="20"/>
        </w:rPr>
        <w:t>rs to open new stores to Company standards;</w:t>
      </w:r>
    </w:p>
    <w:p w:rsidR="00000000" w:rsidRDefault="00905244">
      <w:pPr>
        <w:ind w:hanging="360"/>
        <w:divId w:val="1661499501"/>
        <w:rPr>
          <w:rFonts w:eastAsia="Times New Roman"/>
        </w:rPr>
      </w:pPr>
      <w:r>
        <w:rPr>
          <w:rFonts w:eastAsia="Times New Roman"/>
          <w:color w:val="000000"/>
          <w:sz w:val="20"/>
          <w:szCs w:val="20"/>
        </w:rPr>
        <w:t>•</w:t>
      </w:r>
      <w:r>
        <w:rPr>
          <w:rFonts w:eastAsia="Times New Roman"/>
          <w:color w:val="000000"/>
          <w:sz w:val="20"/>
          <w:szCs w:val="20"/>
        </w:rPr>
        <w:t>A management training program which covers all aspects of our store operations, delivering superior service, and managing the team member experience;</w:t>
      </w:r>
    </w:p>
    <w:p w:rsidR="00000000" w:rsidRDefault="00905244">
      <w:pPr>
        <w:ind w:hanging="360"/>
        <w:divId w:val="613513416"/>
        <w:rPr>
          <w:rFonts w:eastAsia="Times New Roman"/>
        </w:rPr>
      </w:pPr>
      <w:r>
        <w:rPr>
          <w:rFonts w:eastAsia="Times New Roman"/>
          <w:color w:val="000000"/>
          <w:sz w:val="20"/>
          <w:szCs w:val="20"/>
        </w:rPr>
        <w:t>•Structured training on customer service and selling skills;</w:t>
      </w:r>
    </w:p>
    <w:p w:rsidR="00000000" w:rsidRDefault="00905244">
      <w:pPr>
        <w:ind w:hanging="360"/>
        <w:divId w:val="1133522631"/>
        <w:rPr>
          <w:rFonts w:eastAsia="Times New Roman"/>
        </w:rPr>
      </w:pPr>
      <w:r>
        <w:rPr>
          <w:rFonts w:eastAsia="Times New Roman"/>
          <w:color w:val="000000"/>
          <w:sz w:val="20"/>
          <w:szCs w:val="20"/>
        </w:rPr>
        <w:t>•Online product knowledge training produced i</w:t>
      </w:r>
      <w:r>
        <w:rPr>
          <w:rFonts w:eastAsia="Times New Roman"/>
          <w:color w:val="000000"/>
          <w:sz w:val="20"/>
          <w:szCs w:val="20"/>
        </w:rPr>
        <w:t>n conjunction with key vendors;</w:t>
      </w:r>
    </w:p>
    <w:p w:rsidR="00000000" w:rsidRDefault="00905244">
      <w:pPr>
        <w:ind w:hanging="360"/>
        <w:divId w:val="764617217"/>
        <w:rPr>
          <w:rFonts w:eastAsia="Times New Roman"/>
        </w:rPr>
      </w:pPr>
      <w:r>
        <w:rPr>
          <w:rFonts w:eastAsia="Times New Roman"/>
          <w:color w:val="000000"/>
          <w:sz w:val="20"/>
          <w:szCs w:val="20"/>
        </w:rPr>
        <w:t>•Leadership development programs that prepare leaders to expand their current contributions; and</w:t>
      </w:r>
    </w:p>
    <w:p w:rsidR="00000000" w:rsidRDefault="00905244">
      <w:pPr>
        <w:ind w:hanging="360"/>
        <w:divId w:val="538274914"/>
        <w:rPr>
          <w:rFonts w:eastAsia="Times New Roman"/>
        </w:rPr>
      </w:pPr>
      <w:r>
        <w:rPr>
          <w:rFonts w:eastAsia="Times New Roman"/>
          <w:color w:val="000000"/>
          <w:sz w:val="20"/>
          <w:szCs w:val="20"/>
        </w:rPr>
        <w:t>•An annual store manager meeting with vendor product presentations.</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COVID-19 Response</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Company has been and continues to</w:t>
      </w:r>
      <w:r>
        <w:rPr>
          <w:rFonts w:eastAsia="Times New Roman"/>
          <w:color w:val="000000"/>
          <w:sz w:val="20"/>
          <w:szCs w:val="20"/>
        </w:rPr>
        <w:t xml:space="preserve"> closely monitor the impact of the COVID-19 pandemic on all facets of our business. This includes the impact on our team members, customers, suppliers, vendors, business partners, and supply chain networks.</w:t>
      </w:r>
    </w:p>
    <w:p w:rsidR="00000000" w:rsidRDefault="00905244">
      <w:pPr>
        <w:jc w:val="both"/>
        <w:rPr>
          <w:rFonts w:eastAsia="Times New Roman"/>
        </w:rPr>
      </w:pPr>
    </w:p>
    <w:p w:rsidR="00000000" w:rsidRDefault="00905244">
      <w:pPr>
        <w:jc w:val="center"/>
        <w:divId w:val="45297686"/>
        <w:rPr>
          <w:rFonts w:eastAsia="Times New Roman"/>
        </w:rPr>
      </w:pPr>
      <w:r>
        <w:rPr>
          <w:rFonts w:eastAsia="Times New Roman"/>
          <w:color w:val="000000"/>
          <w:sz w:val="20"/>
          <w:szCs w:val="20"/>
        </w:rPr>
        <w:t>6</w:t>
      </w:r>
    </w:p>
    <w:p w:rsidR="00000000" w:rsidRDefault="00905244">
      <w:pPr>
        <w:rPr>
          <w:rFonts w:eastAsia="Times New Roman"/>
        </w:rPr>
      </w:pPr>
      <w:r>
        <w:rPr>
          <w:rFonts w:eastAsia="Times New Roman"/>
        </w:rPr>
        <w:pict>
          <v:rect id="_x0000_i1034" style="width:0;height:1.5pt" o:hralign="center" o:hrstd="t" o:hr="t" fillcolor="#a0a0a0" stroked="f"/>
        </w:pict>
      </w:r>
    </w:p>
    <w:p w:rsidR="00000000" w:rsidRDefault="00905244">
      <w:pPr>
        <w:divId w:val="1751462341"/>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The health and safety of our team members and customers are the primary concerns of our management team. We have taken and continue to take numerous actions</w:t>
      </w:r>
      <w:r>
        <w:rPr>
          <w:rFonts w:eastAsia="Times New Roman"/>
          <w:color w:val="000000"/>
          <w:sz w:val="20"/>
          <w:szCs w:val="20"/>
        </w:rPr>
        <w:t xml:space="preserve"> to promote health and safety, including, providing personal protective equipment to our team members, establishing mask protocols in our facilities, rolling out additional functionality to support contactless shopping experiences, adding services for clea</w:t>
      </w:r>
      <w:r>
        <w:rPr>
          <w:rFonts w:eastAsia="Times New Roman"/>
          <w:color w:val="000000"/>
          <w:sz w:val="20"/>
          <w:szCs w:val="20"/>
        </w:rPr>
        <w:t xml:space="preserve">ning and sanitation in our stores and distribution centers, hiring additional team members to assist in promoting social distancing and cleaning actions in our stores, and implementing remote work plans at our store support center.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Additionally, we have</w:t>
      </w:r>
      <w:r>
        <w:rPr>
          <w:rFonts w:eastAsia="Times New Roman"/>
          <w:color w:val="000000"/>
          <w:sz w:val="20"/>
          <w:szCs w:val="20"/>
        </w:rPr>
        <w:t xml:space="preserve"> taken significant actions to support our team members during this pandemic including COVID-19 paid medical leave, 100% coverage of COVID-19 testing and treatment under our medical plan, and the payment of incremental appreciation bonuses for frontline tea</w:t>
      </w:r>
      <w:r>
        <w:rPr>
          <w:rFonts w:eastAsia="Times New Roman"/>
          <w:color w:val="000000"/>
          <w:sz w:val="20"/>
          <w:szCs w:val="20"/>
        </w:rPr>
        <w:t>m members of approximately $44 million in fiscal 2020. Effective June 28, 2020, we implemented permanent wage increases for all of our hourly team members in our stores and distribution centers of a minimum of $1 per hour and are now providing a new benefi</w:t>
      </w:r>
      <w:r>
        <w:rPr>
          <w:rFonts w:eastAsia="Times New Roman"/>
          <w:color w:val="000000"/>
          <w:sz w:val="20"/>
          <w:szCs w:val="20"/>
        </w:rPr>
        <w:t xml:space="preserve">t package for part-time team members, including medical, vision and dental coverage, behavioral health services, paid sick time and life insurance. We have also implemented annual restricted stock unit grants to more than 2,000 frontline salaried managers </w:t>
      </w:r>
      <w:r>
        <w:rPr>
          <w:rFonts w:eastAsia="Times New Roman"/>
          <w:color w:val="000000"/>
          <w:sz w:val="20"/>
          <w:szCs w:val="20"/>
        </w:rPr>
        <w:t xml:space="preserve">in our stores and distribution centers. </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Diversity, Equity and Inclusion</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Tractor Supply is committed to the principles of diversity, equity and inclusion. We have built a strong and diverse team by purposefully seeking highly qualified diverse candidat</w:t>
      </w:r>
      <w:r>
        <w:rPr>
          <w:rFonts w:eastAsia="Times New Roman"/>
          <w:color w:val="000000"/>
          <w:sz w:val="20"/>
          <w:szCs w:val="20"/>
        </w:rPr>
        <w:t xml:space="preserve">es with different backgrounds, perspectives, ideas and skill sets. As we move forward, we are working to implement new diversity, equity and inclusion initiatives that will result in an even more diverse team across the entire company.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We are committed </w:t>
      </w:r>
      <w:r>
        <w:rPr>
          <w:rFonts w:eastAsia="Times New Roman"/>
          <w:color w:val="000000"/>
          <w:sz w:val="20"/>
          <w:szCs w:val="20"/>
        </w:rPr>
        <w:t>to providing a diverse and inclusive culture supported by our Mission &amp; Values where we respectfully foster different perspectives, ideas and innovative thinking. We know that together we are better, and we believe in the authenticity our team members brin</w:t>
      </w:r>
      <w:r>
        <w:rPr>
          <w:rFonts w:eastAsia="Times New Roman"/>
          <w:color w:val="000000"/>
          <w:sz w:val="20"/>
          <w:szCs w:val="20"/>
        </w:rPr>
        <w:t>g to work every day. By focusing on our team members, we know that our customers and communities will be well served. Diversity and inclusion play a key role in moving our business forward. Our workforce is approximately 51% male and 49% female. Minorities</w:t>
      </w:r>
      <w:r>
        <w:rPr>
          <w:rFonts w:eastAsia="Times New Roman"/>
          <w:color w:val="000000"/>
          <w:sz w:val="20"/>
          <w:szCs w:val="20"/>
        </w:rPr>
        <w:t xml:space="preserve"> comprise approximately 17% of our workforce. Women serve in several key leadership roles including Executive Vice President, Chief Human Resources Officer, Senior Vice President, General Counsel and Corporate Secretary, Senior Vice President of Investor R</w:t>
      </w:r>
      <w:r>
        <w:rPr>
          <w:rFonts w:eastAsia="Times New Roman"/>
          <w:color w:val="000000"/>
          <w:sz w:val="20"/>
          <w:szCs w:val="20"/>
        </w:rPr>
        <w:t>elations and Public Relations, Senior Vice President of Marketing and Senior Vice President of E-Commerce. We have taken several steps over the past 18 months to further enhance our diversity including the hiring of a diversity, equity and inclusion office</w:t>
      </w:r>
      <w:r>
        <w:rPr>
          <w:rFonts w:eastAsia="Times New Roman"/>
          <w:color w:val="000000"/>
          <w:sz w:val="20"/>
          <w:szCs w:val="20"/>
        </w:rPr>
        <w:t>r, Company-wide training, formation of a diversity, equity and inclusion council composed of executive leaders and establishment of numerous team member engagement groups supporting the development, community involvement and allyship within our Company. We</w:t>
      </w:r>
      <w:r>
        <w:rPr>
          <w:rFonts w:eastAsia="Times New Roman"/>
          <w:color w:val="000000"/>
          <w:sz w:val="20"/>
          <w:szCs w:val="20"/>
        </w:rPr>
        <w:t xml:space="preserve"> will continue to build on these initiatives to enhance our culture of respect and teamwork across our organization.</w:t>
      </w:r>
    </w:p>
    <w:p w:rsidR="00000000" w:rsidRDefault="00905244">
      <w:pPr>
        <w:divId w:val="1262101622"/>
        <w:rPr>
          <w:rFonts w:eastAsia="Times New Roman"/>
        </w:rPr>
      </w:pPr>
    </w:p>
    <w:p w:rsidR="00000000" w:rsidRDefault="00905244">
      <w:pPr>
        <w:jc w:val="both"/>
        <w:rPr>
          <w:rFonts w:eastAsia="Times New Roman"/>
        </w:rPr>
      </w:pPr>
      <w:r>
        <w:rPr>
          <w:rFonts w:eastAsia="Times New Roman"/>
          <w:b/>
          <w:bCs/>
          <w:color w:val="000000"/>
          <w:sz w:val="20"/>
          <w:szCs w:val="20"/>
        </w:rPr>
        <w:t>Growth Strategy</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Tractor Supply believes we can grow our business by being an integral part of our customers’ lives as the dependable su</w:t>
      </w:r>
      <w:r>
        <w:rPr>
          <w:rFonts w:eastAsia="Times New Roman"/>
          <w:color w:val="000000"/>
          <w:sz w:val="20"/>
          <w:szCs w:val="20"/>
        </w:rPr>
        <w:t xml:space="preserve">pplier of </w:t>
      </w:r>
      <w:r>
        <w:rPr>
          <w:rFonts w:eastAsia="Times New Roman"/>
          <w:i/>
          <w:iCs/>
          <w:color w:val="000000"/>
          <w:sz w:val="20"/>
          <w:szCs w:val="20"/>
        </w:rPr>
        <w:t>"Out Here"</w:t>
      </w:r>
      <w:r>
        <w:rPr>
          <w:rFonts w:eastAsia="Times New Roman"/>
          <w:color w:val="000000"/>
          <w:sz w:val="20"/>
          <w:szCs w:val="20"/>
        </w:rPr>
        <w:t xml:space="preserve"> lifestyle solutions, creating customer loyalty through personalized experiences, and providing convenience that our customers expect at anytime, anywhere, and in any way they choose. Our long-term growth strategy is to: (1) expand and </w:t>
      </w:r>
      <w:r>
        <w:rPr>
          <w:rFonts w:eastAsia="Times New Roman"/>
          <w:color w:val="000000"/>
          <w:sz w:val="20"/>
          <w:szCs w:val="20"/>
        </w:rPr>
        <w:t>deepen our customer base by providing personal, localized, and memorable customer engagements by leveraging content, social media, and digital shopping experiences, attracting new customers and driving loyalty, (2) evolve customer experiences by digitizing</w:t>
      </w:r>
      <w:r>
        <w:rPr>
          <w:rFonts w:eastAsia="Times New Roman"/>
          <w:color w:val="000000"/>
          <w:sz w:val="20"/>
          <w:szCs w:val="20"/>
        </w:rPr>
        <w:t xml:space="preserve"> our business processes and furthering our omni-channel capabilities, (3) offer relevant assortments and services across all channels through exclusive and national brands and continue to introduce new products and services through our test and learn strat</w:t>
      </w:r>
      <w:r>
        <w:rPr>
          <w:rFonts w:eastAsia="Times New Roman"/>
          <w:color w:val="000000"/>
          <w:sz w:val="20"/>
          <w:szCs w:val="20"/>
        </w:rPr>
        <w:t>egy, (4) drive operational excellence and productivity through continuous improvement, increasing space utilization, and implementing advanced supply chain capabilities to support growth, scale and agility, and (5) expand through selective acquisitions, as</w:t>
      </w:r>
      <w:r>
        <w:rPr>
          <w:rFonts w:eastAsia="Times New Roman"/>
          <w:color w:val="000000"/>
          <w:sz w:val="20"/>
          <w:szCs w:val="20"/>
        </w:rPr>
        <w:t xml:space="preserve"> such opportunities arise, to add complementary businesses and to enhance penetration into new and existing markets to supplement organic growth.</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Achieving this strategy will require a foundational focus on: (1) connecting, empowering and growing our tea</w:t>
      </w:r>
      <w:r>
        <w:rPr>
          <w:rFonts w:eastAsia="Times New Roman"/>
          <w:color w:val="000000"/>
          <w:sz w:val="20"/>
          <w:szCs w:val="20"/>
        </w:rPr>
        <w:t>m to enhance their lives and the communities they live in, enabling them to provide legendary service to our customers, and (2) allocating resources in a disciplined and efficient manner to drive profitable growth and build shareholder value, including lev</w:t>
      </w:r>
      <w:r>
        <w:rPr>
          <w:rFonts w:eastAsia="Times New Roman"/>
          <w:color w:val="000000"/>
          <w:sz w:val="20"/>
          <w:szCs w:val="20"/>
        </w:rPr>
        <w:t>eraging technology and automation, to align our cost structure to support new business capabilities for margin improvement and cost reductions.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Over the past five years, we have experienced considerable sales growth, resulting in a compounded annual grow</w:t>
      </w:r>
      <w:r>
        <w:rPr>
          <w:rFonts w:eastAsia="Times New Roman"/>
          <w:color w:val="000000"/>
          <w:sz w:val="20"/>
          <w:szCs w:val="20"/>
        </w:rPr>
        <w:t xml:space="preserve">th rate of approximately 11.3%. We plan to open approximately 80 new Tractor Supply and 10 new Petsense stores in fiscal 2021, a selling square footage increase of approximately 4%.  In fiscal 2020, we opened 80 new Tractor Supply stores and nine new </w:t>
      </w:r>
    </w:p>
    <w:p w:rsidR="00000000" w:rsidRDefault="00905244">
      <w:pPr>
        <w:jc w:val="center"/>
        <w:divId w:val="1203438135"/>
        <w:rPr>
          <w:rFonts w:eastAsia="Times New Roman"/>
        </w:rPr>
      </w:pPr>
      <w:r>
        <w:rPr>
          <w:rFonts w:eastAsia="Times New Roman"/>
          <w:color w:val="000000"/>
          <w:sz w:val="20"/>
          <w:szCs w:val="20"/>
        </w:rPr>
        <w:t>7</w:t>
      </w:r>
    </w:p>
    <w:p w:rsidR="00000000" w:rsidRDefault="00905244">
      <w:pPr>
        <w:rPr>
          <w:rFonts w:eastAsia="Times New Roman"/>
        </w:rPr>
      </w:pPr>
      <w:r>
        <w:rPr>
          <w:rFonts w:eastAsia="Times New Roman"/>
        </w:rPr>
        <w:pict>
          <v:rect id="_x0000_i1035" style="width:0;height:1.5pt" o:hralign="center" o:hrstd="t" o:hr="t" fillcolor="#a0a0a0" stroked="f"/>
        </w:pict>
      </w:r>
    </w:p>
    <w:p w:rsidR="00000000" w:rsidRDefault="00905244">
      <w:pPr>
        <w:divId w:val="1565722321"/>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Petsense stores. In fiscal 2019, we opened 80 new Tractor Supply stores and eight new Petsense stores. This represents a selling square footage increase of ap</w:t>
      </w:r>
      <w:r>
        <w:rPr>
          <w:rFonts w:eastAsia="Times New Roman"/>
          <w:color w:val="000000"/>
          <w:sz w:val="20"/>
          <w:szCs w:val="20"/>
        </w:rPr>
        <w:t>proximately 4% during each of fiscal 2020 and fiscal 2019.</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At December 26, 2020, we operated 2,105 retail stores in 49 states (1,923 Tractor Supply and Del’s retail stores and 182 Petsense retail stores). Given the size of the communities that we target,</w:t>
      </w:r>
      <w:r>
        <w:rPr>
          <w:rFonts w:eastAsia="Times New Roman"/>
          <w:color w:val="000000"/>
          <w:sz w:val="20"/>
          <w:szCs w:val="20"/>
        </w:rPr>
        <w:t xml:space="preserve"> we believe that there is ample opportunity for new store growth in many existing and new markets. We have developed a proven method for selecting store sites and we believe we have significant additional opportunities for new Tractor Supply stores. We als</w:t>
      </w:r>
      <w:r>
        <w:rPr>
          <w:rFonts w:eastAsia="Times New Roman"/>
          <w:color w:val="000000"/>
          <w:sz w:val="20"/>
          <w:szCs w:val="20"/>
        </w:rPr>
        <w:t xml:space="preserve">o believe that there is opportunity for continued growth for Petsense stores.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Approximately 56% of our stores are in freestanding buildings and 44% are located in shopping centers.  We lease approximately 95% of our stores and own the remaining 5%.</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In addition to new store expansion, we also plan to further support our strategic growth through expansion of our distribution network and initiatives including, among others, space productivity and side lot improvements in certain existing stores as well </w:t>
      </w:r>
      <w:r>
        <w:rPr>
          <w:rFonts w:eastAsia="Times New Roman"/>
          <w:color w:val="000000"/>
          <w:sz w:val="20"/>
          <w:szCs w:val="20"/>
        </w:rPr>
        <w:t>as continued improvements in technology and infrastructure at our existing stores, and ongoing investments to enhance our digital and omni-channel capabilities to better serve our customers.</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Competition</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operate in a competitive retail industry. The principal competitive factors include location of stores, fulfillment options, price, quality of merchandise, in-stock inventory consistency, merchandise assortment and presentation, product knowledge, onlin</w:t>
      </w:r>
      <w:r>
        <w:rPr>
          <w:rFonts w:eastAsia="Times New Roman"/>
          <w:color w:val="000000"/>
          <w:sz w:val="20"/>
          <w:szCs w:val="20"/>
        </w:rPr>
        <w:t>e competitors, and customer service. We compete with general merchandise retailers, home center retailers, pet retailers, specialty and discount retailers, independently owned retail farm and ranch stores, numerous privately-held regional farm store chains</w:t>
      </w:r>
      <w:r>
        <w:rPr>
          <w:rFonts w:eastAsia="Times New Roman"/>
          <w:color w:val="000000"/>
          <w:sz w:val="20"/>
          <w:szCs w:val="20"/>
        </w:rPr>
        <w:t xml:space="preserve"> and farm cooperatives, as well as internet-based retailers.  However, we believe we successfully differentiate ourselves from many of these retailers by focusing on our specialized market niche for customers living the rural lifestyle. See further discuss</w:t>
      </w:r>
      <w:r>
        <w:rPr>
          <w:rFonts w:eastAsia="Times New Roman"/>
          <w:color w:val="000000"/>
          <w:sz w:val="20"/>
          <w:szCs w:val="20"/>
        </w:rPr>
        <w:t>ion of competition in 1A. “Risk Factors” of this Annual Report on Form 10-K.</w:t>
      </w:r>
    </w:p>
    <w:p w:rsidR="00000000" w:rsidRDefault="00905244">
      <w:pPr>
        <w:divId w:val="117264664"/>
        <w:rPr>
          <w:rFonts w:eastAsia="Times New Roman"/>
        </w:rPr>
      </w:pPr>
    </w:p>
    <w:p w:rsidR="00000000" w:rsidRDefault="00905244">
      <w:pPr>
        <w:divId w:val="813568350"/>
        <w:rPr>
          <w:rFonts w:eastAsia="Times New Roman"/>
        </w:rPr>
      </w:pPr>
      <w:r>
        <w:rPr>
          <w:rFonts w:eastAsia="Times New Roman"/>
          <w:b/>
          <w:bCs/>
          <w:color w:val="000000"/>
          <w:sz w:val="20"/>
          <w:szCs w:val="20"/>
        </w:rPr>
        <w:t>Seasonality and Weather</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Our business is seasonal.  Historically, our sales and profits are the highest in the second and fourth fiscal quarters due to the sale of seasonal pro</w:t>
      </w:r>
      <w:r>
        <w:rPr>
          <w:rFonts w:eastAsia="Times New Roman"/>
          <w:color w:val="000000"/>
          <w:sz w:val="20"/>
          <w:szCs w:val="20"/>
        </w:rPr>
        <w:t>ducts. We usually experience our highest inventory and accounts payable balances during our first fiscal quarter for purchases of seasonal products to support the higher sales volume of the spring selling season, and again during our third fiscal quarter t</w:t>
      </w:r>
      <w:r>
        <w:rPr>
          <w:rFonts w:eastAsia="Times New Roman"/>
          <w:color w:val="000000"/>
          <w:sz w:val="20"/>
          <w:szCs w:val="20"/>
        </w:rPr>
        <w:t>o support the higher sales volume of the cold-weather selling season. We believe that our business can be more accurately assessed by focusing on the performance of the halves, not the quarters, due to the fact that different weather patterns from year-to-</w:t>
      </w:r>
      <w:r>
        <w:rPr>
          <w:rFonts w:eastAsia="Times New Roman"/>
          <w:color w:val="000000"/>
          <w:sz w:val="20"/>
          <w:szCs w:val="20"/>
        </w:rPr>
        <w:t xml:space="preserve">year can shift the timing of sales and profits between quarters, particularly between the first and second fiscal quarters and the third and fourth fiscal quarters.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Historically, weather conditions, including unseasonably warm weather in the fall and wi</w:t>
      </w:r>
      <w:r>
        <w:rPr>
          <w:rFonts w:eastAsia="Times New Roman"/>
          <w:color w:val="000000"/>
          <w:sz w:val="20"/>
          <w:szCs w:val="20"/>
        </w:rPr>
        <w:t>nter months and unseasonably cool weather in the spring and summer months, have unfavorably affected the timing and volume of our sales and results of operations. In addition, extreme weather conditions, including snow and ice storms, flood and wind damage</w:t>
      </w:r>
      <w:r>
        <w:rPr>
          <w:rFonts w:eastAsia="Times New Roman"/>
          <w:color w:val="000000"/>
          <w:sz w:val="20"/>
          <w:szCs w:val="20"/>
        </w:rPr>
        <w:t>, hurricanes, tornadoes, extreme rain, and droughts have impacted operating results both negatively and positively, depending on the severity and length of these conditions. Our strategy is to manage product flow and adjust merchandise assortments and dept</w:t>
      </w:r>
      <w:r>
        <w:rPr>
          <w:rFonts w:eastAsia="Times New Roman"/>
          <w:color w:val="000000"/>
          <w:sz w:val="20"/>
          <w:szCs w:val="20"/>
        </w:rPr>
        <w:t xml:space="preserve">h of inventory to capitalize on seasonal demand trends.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Furthermore, we are not able to predict at this time the impact that the COVID-19 pandemic may have on the seasonality of our business in the future.</w:t>
      </w:r>
    </w:p>
    <w:p w:rsidR="00000000" w:rsidRDefault="00905244">
      <w:pPr>
        <w:jc w:val="both"/>
        <w:rPr>
          <w:rFonts w:eastAsia="Times New Roman"/>
        </w:rPr>
      </w:pPr>
    </w:p>
    <w:p w:rsidR="00000000" w:rsidRDefault="00905244">
      <w:pPr>
        <w:jc w:val="center"/>
        <w:divId w:val="1154105924"/>
        <w:rPr>
          <w:rFonts w:eastAsia="Times New Roman"/>
        </w:rPr>
      </w:pPr>
      <w:r>
        <w:rPr>
          <w:rFonts w:eastAsia="Times New Roman"/>
          <w:color w:val="000000"/>
          <w:sz w:val="20"/>
          <w:szCs w:val="20"/>
        </w:rPr>
        <w:t>8</w:t>
      </w:r>
    </w:p>
    <w:p w:rsidR="00000000" w:rsidRDefault="00905244">
      <w:pPr>
        <w:rPr>
          <w:rFonts w:eastAsia="Times New Roman"/>
        </w:rPr>
      </w:pPr>
      <w:r>
        <w:rPr>
          <w:rFonts w:eastAsia="Times New Roman"/>
        </w:rPr>
        <w:pict>
          <v:rect id="_x0000_i1036" style="width:0;height:1.5pt" o:hralign="center" o:hrstd="t" o:hr="t" fillcolor="#a0a0a0" stroked="f"/>
        </w:pict>
      </w:r>
    </w:p>
    <w:p w:rsidR="00000000" w:rsidRDefault="00905244">
      <w:pPr>
        <w:divId w:val="258369090"/>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b/>
          <w:bCs/>
          <w:color w:val="000000"/>
          <w:sz w:val="20"/>
          <w:szCs w:val="20"/>
        </w:rPr>
        <w:t>Stewardship and Compliance with Environmental Matters</w:t>
      </w:r>
    </w:p>
    <w:p w:rsidR="00000000" w:rsidRDefault="00905244">
      <w:pPr>
        <w:divId w:val="1611814764"/>
        <w:rPr>
          <w:rFonts w:eastAsia="Times New Roman"/>
        </w:rPr>
      </w:pPr>
    </w:p>
    <w:p w:rsidR="00000000" w:rsidRDefault="00905244">
      <w:pPr>
        <w:jc w:val="both"/>
        <w:rPr>
          <w:rFonts w:eastAsia="Times New Roman"/>
        </w:rPr>
      </w:pPr>
      <w:r>
        <w:rPr>
          <w:rFonts w:eastAsia="Times New Roman"/>
          <w:color w:val="000000"/>
          <w:sz w:val="20"/>
          <w:szCs w:val="20"/>
        </w:rPr>
        <w:t>Our operations are subject to numerous federal, state, and local laws and regulations, enacted or adopted, regulating the discharge of materia</w:t>
      </w:r>
      <w:r>
        <w:rPr>
          <w:rFonts w:eastAsia="Times New Roman"/>
          <w:color w:val="000000"/>
          <w:sz w:val="20"/>
          <w:szCs w:val="20"/>
        </w:rPr>
        <w:t xml:space="preserve">ls into the environment or otherwise relating to the protection of the environment.  We are committed to complying with all applicable environmental laws and regulations.  We are also committed to becoming a more environmentally sustainable company.  This </w:t>
      </w:r>
      <w:r>
        <w:rPr>
          <w:rFonts w:eastAsia="Times New Roman"/>
          <w:color w:val="000000"/>
          <w:sz w:val="20"/>
          <w:szCs w:val="20"/>
        </w:rPr>
        <w:t>commitment is demonstrated through our Stewardship Program, which is our environmental sustainability program.  Through this program, the Company has implemented a number of initiatives designed to reduce our impact on the environment.  These initiatives i</w:t>
      </w:r>
      <w:r>
        <w:rPr>
          <w:rFonts w:eastAsia="Times New Roman"/>
          <w:color w:val="000000"/>
          <w:sz w:val="20"/>
          <w:szCs w:val="20"/>
        </w:rPr>
        <w:t>nclude the installation of energy management systems, LED lighting, high efficiency heating/air conditioning systems, and recycling programs in our stores, distribution facilities, and Store Support Center. Our Store Support Center and our distribution cen</w:t>
      </w:r>
      <w:r>
        <w:rPr>
          <w:rFonts w:eastAsia="Times New Roman"/>
          <w:color w:val="000000"/>
          <w:sz w:val="20"/>
          <w:szCs w:val="20"/>
        </w:rPr>
        <w:t>ters in Casa Grande, Arizona, and Frankfort, New York, are LEED (Leadership in Energy and Environmental Design) Silver certified for environmentally sustainable design, construction, and operation.  We also installed solar arrays at the Store Support Cente</w:t>
      </w:r>
      <w:r>
        <w:rPr>
          <w:rFonts w:eastAsia="Times New Roman"/>
          <w:color w:val="000000"/>
          <w:sz w:val="20"/>
          <w:szCs w:val="20"/>
        </w:rPr>
        <w:t xml:space="preserve">r in Brentwood, Tennessee, and our Tractor Supply store in Hendersonville, Tennessee.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Company has been a SmartWay Transport partner since 2013. SmartWay Transport is a public-private initiative between the U.S. Environmental Protection Agency, large</w:t>
      </w:r>
      <w:r>
        <w:rPr>
          <w:rFonts w:eastAsia="Times New Roman"/>
          <w:color w:val="000000"/>
          <w:sz w:val="20"/>
          <w:szCs w:val="20"/>
        </w:rPr>
        <w:t xml:space="preserve"> and small trucking companies, retailers, and other federal and state agencies. Its purpose is to improve fuel efficiency and the environmental performance (reduction of both greenhouse gas emissions and air pollution) of supply chains.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In December 2018,</w:t>
      </w:r>
      <w:r>
        <w:rPr>
          <w:rFonts w:eastAsia="Times New Roman"/>
          <w:color w:val="000000"/>
          <w:sz w:val="20"/>
          <w:szCs w:val="20"/>
        </w:rPr>
        <w:t xml:space="preserve"> we announced a goal to reduce carbon emissions from our facilities by 25% by 2025 from our 2015 baseline as part of the Company's Stewardship Program. In December 2020, we announced that we had reached this goal five years early.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Additionally in 2020, </w:t>
      </w:r>
      <w:r>
        <w:rPr>
          <w:rFonts w:eastAsia="Times New Roman"/>
          <w:color w:val="000000"/>
          <w:sz w:val="20"/>
          <w:szCs w:val="20"/>
        </w:rPr>
        <w:t>we released our inaugural report in response to the Task Force on Climate-related Financial Disclosures, announced our commitment to increasing our level of renewable energy purchased for electric consumption, and that the Company is partnering with variou</w:t>
      </w:r>
      <w:r>
        <w:rPr>
          <w:rFonts w:eastAsia="Times New Roman"/>
          <w:color w:val="000000"/>
          <w:sz w:val="20"/>
          <w:szCs w:val="20"/>
        </w:rPr>
        <w:t>s utility companies to purchase solar energy for select store locations and to participate in community solar programs.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Additional information can be found in our annual sustainability report on our website (</w:t>
      </w:r>
      <w:r>
        <w:rPr>
          <w:rFonts w:eastAsia="Times New Roman"/>
          <w:i/>
          <w:iCs/>
          <w:color w:val="000000"/>
          <w:sz w:val="20"/>
          <w:szCs w:val="20"/>
          <w:u w:val="single"/>
        </w:rPr>
        <w:t>TractorSupply.com)</w:t>
      </w:r>
      <w:r>
        <w:rPr>
          <w:rFonts w:eastAsia="Times New Roman"/>
          <w:color w:val="000000"/>
          <w:sz w:val="20"/>
          <w:szCs w:val="20"/>
        </w:rPr>
        <w:t>.</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Information about our Executive Officers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Pursuant to General Instruction G(3) of Form 10-K, the following list is included in Part I of this Report in lieu of being included in the Proxy Statement for the Annual Meeting of Stockholders to be held on May </w:t>
      </w:r>
      <w:r>
        <w:rPr>
          <w:rFonts w:eastAsia="Times New Roman"/>
          <w:color w:val="000000"/>
          <w:sz w:val="20"/>
          <w:szCs w:val="20"/>
        </w:rPr>
        <w:t>6, 2021.</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following is a list of the names and ages of all executive officers of the registrant, indicating all positions and offices with the registrant held by each such person and each person’s principal occupations and employment during at least t</w:t>
      </w:r>
      <w:r>
        <w:rPr>
          <w:rFonts w:eastAsia="Times New Roman"/>
          <w:color w:val="000000"/>
          <w:sz w:val="20"/>
          <w:szCs w:val="20"/>
        </w:rPr>
        <w:t>he past five years:</w:t>
      </w:r>
    </w:p>
    <w:tbl>
      <w:tblPr>
        <w:tblW w:w="5000" w:type="pct"/>
        <w:tblCellMar>
          <w:top w:w="15" w:type="dxa"/>
          <w:left w:w="15" w:type="dxa"/>
          <w:bottom w:w="15" w:type="dxa"/>
          <w:right w:w="15" w:type="dxa"/>
        </w:tblCellMar>
        <w:tblLook w:val="04A0" w:firstRow="1" w:lastRow="0" w:firstColumn="1" w:lastColumn="0" w:noHBand="0" w:noVBand="1"/>
      </w:tblPr>
      <w:tblGrid>
        <w:gridCol w:w="68"/>
        <w:gridCol w:w="1627"/>
        <w:gridCol w:w="38"/>
        <w:gridCol w:w="69"/>
        <w:gridCol w:w="5558"/>
        <w:gridCol w:w="38"/>
        <w:gridCol w:w="69"/>
        <w:gridCol w:w="803"/>
        <w:gridCol w:w="36"/>
      </w:tblGrid>
      <w:tr w:rsidR="00000000">
        <w:trPr>
          <w:divId w:val="1663966612"/>
        </w:trPr>
        <w:tc>
          <w:tcPr>
            <w:tcW w:w="50" w:type="pct"/>
            <w:vAlign w:val="center"/>
            <w:hideMark/>
          </w:tcPr>
          <w:p w:rsidR="00000000" w:rsidRDefault="00905244">
            <w:pPr>
              <w:jc w:val="both"/>
              <w:rPr>
                <w:rFonts w:eastAsia="Times New Roman"/>
              </w:rPr>
            </w:pPr>
          </w:p>
        </w:tc>
        <w:tc>
          <w:tcPr>
            <w:tcW w:w="98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3353"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9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663966612"/>
        </w:trPr>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b/>
                <w:bCs/>
                <w:color w:val="000000"/>
                <w:sz w:val="20"/>
                <w:szCs w:val="20"/>
              </w:rPr>
              <w:t>Name</w:t>
            </w: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b/>
                <w:bCs/>
                <w:color w:val="000000"/>
                <w:sz w:val="20"/>
                <w:szCs w:val="20"/>
              </w:rPr>
              <w:t>Position</w:t>
            </w: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b/>
                <w:bCs/>
                <w:color w:val="000000"/>
                <w:sz w:val="20"/>
                <w:szCs w:val="20"/>
              </w:rPr>
              <w:t>Age</w:t>
            </w:r>
          </w:p>
        </w:tc>
      </w:tr>
      <w:tr w:rsidR="00000000">
        <w:trPr>
          <w:divId w:val="1663966612"/>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Harry A. Lawton, III</w:t>
            </w: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President and Chief Executive Officer</w:t>
            </w: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46</w:t>
            </w:r>
          </w:p>
        </w:tc>
      </w:tr>
      <w:tr w:rsidR="00000000">
        <w:trPr>
          <w:divId w:val="1663966612"/>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Kurt D. Barton</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Executive Vice President – Chief Financial Officer and Treasurer</w:t>
            </w: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49</w:t>
            </w:r>
          </w:p>
        </w:tc>
      </w:tr>
      <w:tr w:rsidR="00000000">
        <w:trPr>
          <w:divId w:val="1663966612"/>
        </w:trPr>
        <w:tc>
          <w:tcPr>
            <w:tcW w:w="0" w:type="auto"/>
            <w:gridSpan w:val="3"/>
            <w:shd w:val="clear" w:color="auto" w:fill="CCEEFF"/>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Robert D. Mills</w:t>
            </w:r>
          </w:p>
        </w:tc>
        <w:tc>
          <w:tcPr>
            <w:tcW w:w="0" w:type="auto"/>
            <w:gridSpan w:val="3"/>
            <w:shd w:val="clear" w:color="auto" w:fill="CCEEFF"/>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Executive Vice President – Chief Technology, Digital Commerce and Strategy Officer</w:t>
            </w:r>
          </w:p>
        </w:tc>
        <w:tc>
          <w:tcPr>
            <w:tcW w:w="0" w:type="auto"/>
            <w:gridSpan w:val="3"/>
            <w:shd w:val="clear" w:color="auto" w:fill="CCEEFF"/>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48</w:t>
            </w:r>
          </w:p>
        </w:tc>
      </w:tr>
      <w:tr w:rsidR="00000000">
        <w:trPr>
          <w:divId w:val="1663966612"/>
        </w:trPr>
        <w:tc>
          <w:tcPr>
            <w:tcW w:w="0" w:type="auto"/>
            <w:gridSpan w:val="3"/>
            <w:shd w:val="clear" w:color="auto" w:fill="FFFFFF"/>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John P. Ordus</w:t>
            </w:r>
          </w:p>
        </w:tc>
        <w:tc>
          <w:tcPr>
            <w:tcW w:w="0" w:type="auto"/>
            <w:gridSpan w:val="3"/>
            <w:shd w:val="clear" w:color="auto" w:fill="FFFFFF"/>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Executive Vice President – Chief Stores Officer</w:t>
            </w:r>
          </w:p>
        </w:tc>
        <w:tc>
          <w:tcPr>
            <w:tcW w:w="0" w:type="auto"/>
            <w:gridSpan w:val="3"/>
            <w:shd w:val="clear" w:color="auto" w:fill="FFFFFF"/>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45</w:t>
            </w:r>
          </w:p>
        </w:tc>
      </w:tr>
      <w:tr w:rsidR="00000000">
        <w:trPr>
          <w:divId w:val="1663966612"/>
        </w:trPr>
        <w:tc>
          <w:tcPr>
            <w:tcW w:w="0" w:type="auto"/>
            <w:gridSpan w:val="3"/>
            <w:shd w:val="clear" w:color="auto" w:fill="CCEEFF"/>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Jonathan S. Estep</w:t>
            </w:r>
          </w:p>
        </w:tc>
        <w:tc>
          <w:tcPr>
            <w:tcW w:w="0" w:type="auto"/>
            <w:gridSpan w:val="3"/>
            <w:shd w:val="clear" w:color="auto" w:fill="CCEEFF"/>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Executive Vice President – Chief Merchandising Officer</w:t>
            </w:r>
          </w:p>
        </w:tc>
        <w:tc>
          <w:tcPr>
            <w:tcW w:w="0" w:type="auto"/>
            <w:gridSpan w:val="3"/>
            <w:shd w:val="clear" w:color="auto" w:fill="CCEEFF"/>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41</w:t>
            </w:r>
          </w:p>
        </w:tc>
      </w:tr>
      <w:tr w:rsidR="00000000">
        <w:trPr>
          <w:divId w:val="1663966612"/>
        </w:trPr>
        <w:tc>
          <w:tcPr>
            <w:tcW w:w="0" w:type="auto"/>
            <w:gridSpan w:val="3"/>
            <w:shd w:val="clear" w:color="auto" w:fill="FFFFFF"/>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Melissa D. Kersey</w:t>
            </w:r>
          </w:p>
        </w:tc>
        <w:tc>
          <w:tcPr>
            <w:tcW w:w="0" w:type="auto"/>
            <w:gridSpan w:val="3"/>
            <w:shd w:val="clear" w:color="auto" w:fill="FFFFFF"/>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Executive Vice President – Chief Human Resources Officer</w:t>
            </w:r>
          </w:p>
        </w:tc>
        <w:tc>
          <w:tcPr>
            <w:tcW w:w="0" w:type="auto"/>
            <w:gridSpan w:val="3"/>
            <w:shd w:val="clear" w:color="auto" w:fill="FFFFFF"/>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46</w:t>
            </w:r>
          </w:p>
        </w:tc>
      </w:tr>
      <w:tr w:rsidR="00000000">
        <w:trPr>
          <w:divId w:val="1663966612"/>
        </w:trPr>
        <w:tc>
          <w:tcPr>
            <w:tcW w:w="0" w:type="auto"/>
            <w:gridSpan w:val="3"/>
            <w:shd w:val="clear" w:color="auto" w:fill="CCEEFF"/>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Colin W. Yankee</w:t>
            </w:r>
          </w:p>
        </w:tc>
        <w:tc>
          <w:tcPr>
            <w:tcW w:w="0" w:type="auto"/>
            <w:gridSpan w:val="3"/>
            <w:shd w:val="clear" w:color="auto" w:fill="CCEEFF"/>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Executive Vice President – Chief Supply Chain Officer</w:t>
            </w:r>
          </w:p>
        </w:tc>
        <w:tc>
          <w:tcPr>
            <w:tcW w:w="0" w:type="auto"/>
            <w:gridSpan w:val="3"/>
            <w:shd w:val="clear" w:color="auto" w:fill="CCEEFF"/>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43</w:t>
            </w:r>
          </w:p>
        </w:tc>
      </w:tr>
      <w:tr w:rsidR="00000000">
        <w:trPr>
          <w:divId w:val="1663966612"/>
        </w:trPr>
        <w:tc>
          <w:tcPr>
            <w:tcW w:w="0" w:type="auto"/>
            <w:gridSpan w:val="3"/>
            <w:shd w:val="clear" w:color="auto" w:fill="FFFFFF"/>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Noni L. Ellison</w:t>
            </w:r>
          </w:p>
        </w:tc>
        <w:tc>
          <w:tcPr>
            <w:tcW w:w="0" w:type="auto"/>
            <w:gridSpan w:val="3"/>
            <w:shd w:val="clear" w:color="auto" w:fill="FFFFFF"/>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 xml:space="preserve">Senior Vice President – </w:t>
            </w:r>
            <w:r>
              <w:rPr>
                <w:rFonts w:eastAsia="Times New Roman"/>
                <w:color w:val="000000"/>
                <w:sz w:val="20"/>
                <w:szCs w:val="20"/>
              </w:rPr>
              <w:t>General Counsel and Corporate Secretary</w:t>
            </w:r>
          </w:p>
        </w:tc>
        <w:tc>
          <w:tcPr>
            <w:tcW w:w="0" w:type="auto"/>
            <w:gridSpan w:val="3"/>
            <w:shd w:val="clear" w:color="auto" w:fill="FFFFFF"/>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49</w:t>
            </w:r>
          </w:p>
        </w:tc>
      </w:tr>
      <w:tr w:rsidR="00000000">
        <w:trPr>
          <w:divId w:val="1663966612"/>
        </w:trPr>
        <w:tc>
          <w:tcPr>
            <w:tcW w:w="0" w:type="auto"/>
            <w:gridSpan w:val="3"/>
            <w:shd w:val="clear" w:color="auto" w:fill="CCEEFF"/>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Christi C. Korzekwa</w:t>
            </w:r>
          </w:p>
        </w:tc>
        <w:tc>
          <w:tcPr>
            <w:tcW w:w="0" w:type="auto"/>
            <w:gridSpan w:val="3"/>
            <w:shd w:val="clear" w:color="auto" w:fill="CCEEFF"/>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Senior Vice President – Marketing</w:t>
            </w:r>
          </w:p>
        </w:tc>
        <w:tc>
          <w:tcPr>
            <w:tcW w:w="0" w:type="auto"/>
            <w:gridSpan w:val="3"/>
            <w:shd w:val="clear" w:color="auto" w:fill="CCEEFF"/>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55</w:t>
            </w:r>
          </w:p>
        </w:tc>
      </w:tr>
      <w:tr w:rsidR="00000000">
        <w:trPr>
          <w:divId w:val="1663966612"/>
        </w:trPr>
        <w:tc>
          <w:tcPr>
            <w:tcW w:w="0" w:type="auto"/>
            <w:gridSpan w:val="3"/>
            <w:shd w:val="clear" w:color="auto" w:fill="FFFFFF"/>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Matthew L. Rubin</w:t>
            </w:r>
          </w:p>
        </w:tc>
        <w:tc>
          <w:tcPr>
            <w:tcW w:w="0" w:type="auto"/>
            <w:gridSpan w:val="3"/>
            <w:shd w:val="clear" w:color="auto" w:fill="FFFFFF"/>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Senior Vice President and General Manager of Petsense</w:t>
            </w:r>
          </w:p>
        </w:tc>
        <w:tc>
          <w:tcPr>
            <w:tcW w:w="0" w:type="auto"/>
            <w:gridSpan w:val="3"/>
            <w:shd w:val="clear" w:color="auto" w:fill="FFFFFF"/>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41</w:t>
            </w:r>
          </w:p>
        </w:tc>
      </w:tr>
    </w:tbl>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Harry A. Lawton, III was appointed as President and Chief Executive Officer on January 13, 2020. Mr. Lawton served as President of Macy's, Inc. from September 2017 to December 2019. Prior to that time, Mr. Lawton served as Senior Vice President, North Amer</w:t>
      </w:r>
      <w:r>
        <w:rPr>
          <w:rFonts w:eastAsia="Times New Roman"/>
          <w:color w:val="000000"/>
          <w:sz w:val="20"/>
          <w:szCs w:val="20"/>
        </w:rPr>
        <w:t>ica at eBay, Inc. since May 2015. Mr. Lawton previously held a number of leadership positions at Home Depot, Inc. from 2005 to 2015, including Senior Vice President of Merchandising and head of Home Depot's online business. Since January 2019, Mr. Lawton h</w:t>
      </w:r>
      <w:r>
        <w:rPr>
          <w:rFonts w:eastAsia="Times New Roman"/>
          <w:color w:val="000000"/>
          <w:sz w:val="20"/>
          <w:szCs w:val="20"/>
        </w:rPr>
        <w:t xml:space="preserve">as served as a director of Sealed Air Corporation and previously served as a director of Buffalo Wild Wings, Inc. from October 2016 to February 2018. </w:t>
      </w:r>
    </w:p>
    <w:p w:rsidR="00000000" w:rsidRDefault="00905244">
      <w:pPr>
        <w:jc w:val="both"/>
        <w:rPr>
          <w:rFonts w:eastAsia="Times New Roman"/>
        </w:rPr>
      </w:pPr>
    </w:p>
    <w:p w:rsidR="00000000" w:rsidRDefault="00905244">
      <w:pPr>
        <w:jc w:val="center"/>
        <w:divId w:val="1348098836"/>
        <w:rPr>
          <w:rFonts w:eastAsia="Times New Roman"/>
        </w:rPr>
      </w:pPr>
      <w:r>
        <w:rPr>
          <w:rFonts w:eastAsia="Times New Roman"/>
          <w:color w:val="000000"/>
          <w:sz w:val="20"/>
          <w:szCs w:val="20"/>
        </w:rPr>
        <w:t>9</w:t>
      </w:r>
    </w:p>
    <w:p w:rsidR="00000000" w:rsidRDefault="00905244">
      <w:pPr>
        <w:rPr>
          <w:rFonts w:eastAsia="Times New Roman"/>
        </w:rPr>
      </w:pPr>
      <w:r>
        <w:rPr>
          <w:rFonts w:eastAsia="Times New Roman"/>
        </w:rPr>
        <w:pict>
          <v:rect id="_x0000_i1037" style="width:0;height:1.5pt" o:hralign="center" o:hrstd="t" o:hr="t" fillcolor="#a0a0a0" stroked="f"/>
        </w:pict>
      </w:r>
    </w:p>
    <w:p w:rsidR="00000000" w:rsidRDefault="00905244">
      <w:pPr>
        <w:divId w:val="706370653"/>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 xml:space="preserve">Kurt D. Barton was promoted to Executive Vice President – </w:t>
      </w:r>
      <w:r>
        <w:rPr>
          <w:rFonts w:eastAsia="Times New Roman"/>
          <w:color w:val="000000"/>
          <w:sz w:val="20"/>
          <w:szCs w:val="20"/>
        </w:rPr>
        <w:t xml:space="preserve">Chief Financial Officer and Treasurer in February 2019, after having served as Senior Vice President – Chief Financial Officer and Treasurer since March 2017. Prior to that time, Mr. Barton served as Senior Vice President – Controller of the Company since </w:t>
      </w:r>
      <w:r>
        <w:rPr>
          <w:rFonts w:eastAsia="Times New Roman"/>
          <w:color w:val="000000"/>
          <w:sz w:val="20"/>
          <w:szCs w:val="20"/>
        </w:rPr>
        <w:t xml:space="preserve">February 2016.  Mr. Barton previously served as Vice President – Controller from February 2009, after having served as Director, Internal Audit from July 2002 to February 2009. Mr. Barton has served in various other leadership roles in accounting since he </w:t>
      </w:r>
      <w:r>
        <w:rPr>
          <w:rFonts w:eastAsia="Times New Roman"/>
          <w:color w:val="000000"/>
          <w:sz w:val="20"/>
          <w:szCs w:val="20"/>
        </w:rPr>
        <w:t>joined the Company in 1999. Mr. Barton, a Certified Public Accountant, began his career in public accounting in 1993, spending six years at Ernst &amp; Young, LLP.</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Robert D. Mills has served as Executive Vice President – Chief Technology, Digital Commerce an</w:t>
      </w:r>
      <w:r>
        <w:rPr>
          <w:rFonts w:eastAsia="Times New Roman"/>
          <w:color w:val="000000"/>
          <w:sz w:val="20"/>
          <w:szCs w:val="20"/>
        </w:rPr>
        <w:t>d Strategy Officer since August 2018, prior to which he served as Senior Vice President – Chief Information Officer since February 2014. Mr. Mills previously served as Chief Information Officer for Ulta Beauty from October 2011, until he joined the Company</w:t>
      </w:r>
      <w:r>
        <w:rPr>
          <w:rFonts w:eastAsia="Times New Roman"/>
          <w:color w:val="000000"/>
          <w:sz w:val="20"/>
          <w:szCs w:val="20"/>
        </w:rPr>
        <w:t>. From 2005 to 2011, Mr. Mills was Vice President, Chief Information Officer for the online business unit at Sears Holdings Corporation where he began as an Information Technology Customer Relationship Leader in 2001. Prior to 2001, Mr. Mills held roles at</w:t>
      </w:r>
      <w:r>
        <w:rPr>
          <w:rFonts w:eastAsia="Times New Roman"/>
          <w:color w:val="000000"/>
          <w:sz w:val="20"/>
          <w:szCs w:val="20"/>
        </w:rPr>
        <w:t xml:space="preserve"> Allstate Insurance, Rockwell International Telecommunications Division, and Household Finance Corporation. Since March 2018, Mr. Mills has served as a director of B&amp;G Foods, Inc.</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John P. Ordus was promoted to Executive Vice President – Chief Stores Offi</w:t>
      </w:r>
      <w:r>
        <w:rPr>
          <w:rFonts w:eastAsia="Times New Roman"/>
          <w:color w:val="000000"/>
          <w:sz w:val="20"/>
          <w:szCs w:val="20"/>
        </w:rPr>
        <w:t>cer in February 2020, after having served as Senior Vice President - Store Operations since August 2015. Prior to that time, Mr. Ordus served the Company as Regional Vice President from June 2010 and as a Regional Director for the Company since September 2</w:t>
      </w:r>
      <w:r>
        <w:rPr>
          <w:rFonts w:eastAsia="Times New Roman"/>
          <w:color w:val="000000"/>
          <w:sz w:val="20"/>
          <w:szCs w:val="20"/>
        </w:rPr>
        <w:t>008. Mr. Ordus joined the Company as a District Manager in February 2002 after the acquisition of Quality Farm and Fleet with which Mr. Ordus held roles since January 1988.</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Jonathan S. Estep was promoted to Executive Vice President – Chief Merchandising </w:t>
      </w:r>
      <w:r>
        <w:rPr>
          <w:rFonts w:eastAsia="Times New Roman"/>
          <w:color w:val="000000"/>
          <w:sz w:val="20"/>
          <w:szCs w:val="20"/>
        </w:rPr>
        <w:t>Officer in February 2020, after having served as the Senior Vice President, General Merchandising since April 2017. Prior to that time, Mr. Estep served the Company as a Vice President, Divisional Merchandise Manager from February 2014. Mr. Estep also prev</w:t>
      </w:r>
      <w:r>
        <w:rPr>
          <w:rFonts w:eastAsia="Times New Roman"/>
          <w:color w:val="000000"/>
          <w:sz w:val="20"/>
          <w:szCs w:val="20"/>
        </w:rPr>
        <w:t xml:space="preserve">iously served in various other leadership roles in merchandising since he re-joined the Company in January 2008.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Melissa D. Kersey was appointed as Executive Vice President – Chief Human Resources Officer on July 20, 2020. Ms. Kersey was previously Seni</w:t>
      </w:r>
      <w:r>
        <w:rPr>
          <w:rFonts w:eastAsia="Times New Roman"/>
          <w:color w:val="000000"/>
          <w:sz w:val="20"/>
          <w:szCs w:val="20"/>
        </w:rPr>
        <w:t>or Vice President and Chief People Officer for McDonald's USA from 2017 until July 2020. Ms. Kersey also previously held a number of executive level roles with Walmart from 2008 to 2017, including Senior Vice President of Global Human Resource Transformati</w:t>
      </w:r>
      <w:r>
        <w:rPr>
          <w:rFonts w:eastAsia="Times New Roman"/>
          <w:color w:val="000000"/>
          <w:sz w:val="20"/>
          <w:szCs w:val="20"/>
        </w:rPr>
        <w:t>on and People Services, Senior Vice President and Chief Human Resources Officer for U.S. Stores, and Senior Vice President of Learning and Human Resources Strategy. Prior to that time, Ms. Kersey spent eight years with Alltel and four years with the Target</w:t>
      </w:r>
      <w:r>
        <w:rPr>
          <w:rFonts w:eastAsia="Times New Roman"/>
          <w:color w:val="000000"/>
          <w:sz w:val="20"/>
          <w:szCs w:val="20"/>
        </w:rPr>
        <w:t xml:space="preserve"> Corporation in Operations, Distribution, Human Resources and Technology roles.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Colin W. Yankee was promoted to Executive Vice President - Chief Supply Chain Officer in February 2020, after having served as Senior Vice President, Supply Chain since Novem</w:t>
      </w:r>
      <w:r>
        <w:rPr>
          <w:rFonts w:eastAsia="Times New Roman"/>
          <w:color w:val="000000"/>
          <w:sz w:val="20"/>
          <w:szCs w:val="20"/>
        </w:rPr>
        <w:t>ber 2015 when he joined the Company. Mr. Yankee was previously Vice President of Logistics for Neiman Marcus from 2013 to 2015. Prior to that time, Mr. Yankee held various leadership roles in logistics and supply chain with the Target Corporation since 200</w:t>
      </w:r>
      <w:r>
        <w:rPr>
          <w:rFonts w:eastAsia="Times New Roman"/>
          <w:color w:val="000000"/>
          <w:sz w:val="20"/>
          <w:szCs w:val="20"/>
        </w:rPr>
        <w:t>4. He began his career as a Cavalry Officer, Captain in the United States Army.</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Noni L. Ellison was appointed as Senior Vice President – General Counsel and Corporate Secretary on January 11, 2021. Ms. Ellison was previously General Counsel, Chief Compli</w:t>
      </w:r>
      <w:r>
        <w:rPr>
          <w:rFonts w:eastAsia="Times New Roman"/>
          <w:color w:val="000000"/>
          <w:sz w:val="20"/>
          <w:szCs w:val="20"/>
        </w:rPr>
        <w:t>ance Officer and Corporate Secretary for Carestream Dental from August 2017 until January 2021. Ms. Ellison also previously served as Associate General Counsel and Assistant Corporate Secretary at W.W. Grainger, Inc. from February 2015 until July 2017. Pri</w:t>
      </w:r>
      <w:r>
        <w:rPr>
          <w:rFonts w:eastAsia="Times New Roman"/>
          <w:color w:val="000000"/>
          <w:sz w:val="20"/>
          <w:szCs w:val="20"/>
        </w:rPr>
        <w:t>or to that time, Ms. Ellison held roles of increasing responsibility at Turner Broadcasting System, Inc. and Scripps Networks and practiced law with two national law firms as a corporate finance and securities associate.</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Christi C. Korzekwa has served as</w:t>
      </w:r>
      <w:r>
        <w:rPr>
          <w:rFonts w:eastAsia="Times New Roman"/>
          <w:color w:val="000000"/>
          <w:sz w:val="20"/>
          <w:szCs w:val="20"/>
        </w:rPr>
        <w:t xml:space="preserve"> Senior Vice President – Marketing since February 2015, having previously served as Vice President, Marketing since she joined the Company in February 2012. Prior to joining the Company, Ms. Korzekwa served as Senior Vice President, Director of Client Serv</w:t>
      </w:r>
      <w:r>
        <w:rPr>
          <w:rFonts w:eastAsia="Times New Roman"/>
          <w:color w:val="000000"/>
          <w:sz w:val="20"/>
          <w:szCs w:val="20"/>
        </w:rPr>
        <w:t>ices for Blue Sky Agency. She worked for Home Depot, Inc. from 2004 to 2011 in roles of increasing importance in marketing and advertising, most recently as Senior Director, Marketing. Before joining Home Depot, Ms. Korzekwa spent 17 years with TM Advertis</w:t>
      </w:r>
      <w:r>
        <w:rPr>
          <w:rFonts w:eastAsia="Times New Roman"/>
          <w:color w:val="000000"/>
          <w:sz w:val="20"/>
          <w:szCs w:val="20"/>
        </w:rPr>
        <w:t>ing, most recently serving as their Senior Vice President, Global Media Director.</w:t>
      </w:r>
    </w:p>
    <w:p w:rsidR="00000000" w:rsidRDefault="00905244">
      <w:pPr>
        <w:jc w:val="both"/>
        <w:rPr>
          <w:rFonts w:eastAsia="Times New Roman"/>
        </w:rPr>
      </w:pPr>
    </w:p>
    <w:p w:rsidR="00000000" w:rsidRDefault="00905244">
      <w:pPr>
        <w:jc w:val="center"/>
        <w:divId w:val="1844931580"/>
        <w:rPr>
          <w:rFonts w:eastAsia="Times New Roman"/>
        </w:rPr>
      </w:pPr>
      <w:r>
        <w:rPr>
          <w:rFonts w:eastAsia="Times New Roman"/>
          <w:color w:val="000000"/>
          <w:sz w:val="20"/>
          <w:szCs w:val="20"/>
        </w:rPr>
        <w:t>10</w:t>
      </w:r>
    </w:p>
    <w:p w:rsidR="00000000" w:rsidRDefault="00905244">
      <w:pPr>
        <w:rPr>
          <w:rFonts w:eastAsia="Times New Roman"/>
        </w:rPr>
      </w:pPr>
      <w:r>
        <w:rPr>
          <w:rFonts w:eastAsia="Times New Roman"/>
        </w:rPr>
        <w:pict>
          <v:rect id="_x0000_i1038" style="width:0;height:1.5pt" o:hralign="center" o:hrstd="t" o:hr="t" fillcolor="#a0a0a0" stroked="f"/>
        </w:pict>
      </w:r>
    </w:p>
    <w:p w:rsidR="00000000" w:rsidRDefault="00905244">
      <w:pPr>
        <w:divId w:val="800457880"/>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Matthew L. Rubin was appointed Senior Vice President and General Man</w:t>
      </w:r>
      <w:r>
        <w:rPr>
          <w:rFonts w:eastAsia="Times New Roman"/>
          <w:color w:val="000000"/>
          <w:sz w:val="20"/>
          <w:szCs w:val="20"/>
        </w:rPr>
        <w:t xml:space="preserve">ager of Petsense on February 1, 2021. Mr. Rubin previously served as Senior Vice President of Business Development &amp; Growth at The Michaels Companies from October 2018 until January 2021. Mr. Rubin was previously an executive in Accenture Strategy's North </w:t>
      </w:r>
      <w:r>
        <w:rPr>
          <w:rFonts w:eastAsia="Times New Roman"/>
          <w:color w:val="000000"/>
          <w:sz w:val="20"/>
          <w:szCs w:val="20"/>
        </w:rPr>
        <w:t>America Retail Practice from April 2015 to October 2018. Before April 2015, Mr. Rubin was a Partner at Consolidated Venture Partners &amp; Consolidated Marketing and a Co-Founder &amp; Finance Partner at OnTrend Products. Mr. Rubin also previously served as Vice P</w:t>
      </w:r>
      <w:r>
        <w:rPr>
          <w:rFonts w:eastAsia="Times New Roman"/>
          <w:color w:val="000000"/>
          <w:sz w:val="20"/>
          <w:szCs w:val="20"/>
        </w:rPr>
        <w:t>resident of Specialty Business Operations at BJ’s Wholesale Club. Mr. Rubin began his career at Office Depot where he had multiple merchandising and strategic project leadership roles of increasing responsibility.</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Additional Information</w:t>
      </w:r>
    </w:p>
    <w:p w:rsidR="00000000" w:rsidRDefault="00905244">
      <w:pPr>
        <w:divId w:val="1919436473"/>
        <w:rPr>
          <w:rFonts w:eastAsia="Times New Roman"/>
        </w:rPr>
      </w:pPr>
    </w:p>
    <w:p w:rsidR="00000000" w:rsidRDefault="00905244">
      <w:pPr>
        <w:jc w:val="both"/>
        <w:rPr>
          <w:rFonts w:eastAsia="Times New Roman"/>
        </w:rPr>
      </w:pPr>
      <w:r>
        <w:rPr>
          <w:rFonts w:eastAsia="Times New Roman"/>
          <w:color w:val="000000"/>
          <w:sz w:val="20"/>
          <w:szCs w:val="20"/>
        </w:rPr>
        <w:t>We file reports</w:t>
      </w:r>
      <w:r>
        <w:rPr>
          <w:rFonts w:eastAsia="Times New Roman"/>
          <w:color w:val="000000"/>
          <w:sz w:val="20"/>
          <w:szCs w:val="20"/>
        </w:rPr>
        <w:t xml:space="preserve"> with the Securities and Exchange Commission (“SEC”), including Annual Reports on Form 10-K, quarterly reports on Form 10-Q, current reports on Form 8-K and other reports as required. We are an electronic filer and the SEC maintains an Internet website at </w:t>
      </w:r>
      <w:r>
        <w:rPr>
          <w:rFonts w:eastAsia="Times New Roman"/>
          <w:i/>
          <w:iCs/>
          <w:color w:val="000000"/>
          <w:sz w:val="20"/>
          <w:szCs w:val="20"/>
          <w:u w:val="single"/>
        </w:rPr>
        <w:t>sec.gov</w:t>
      </w:r>
      <w:r>
        <w:rPr>
          <w:rFonts w:eastAsia="Times New Roman"/>
          <w:color w:val="000000"/>
          <w:sz w:val="20"/>
          <w:szCs w:val="20"/>
        </w:rPr>
        <w:t xml:space="preserve"> that contains the reports, proxy and information statements, and other information we file.</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We make available, free of charge through our Internet website, </w:t>
      </w:r>
      <w:r>
        <w:rPr>
          <w:rFonts w:eastAsia="Times New Roman"/>
          <w:i/>
          <w:iCs/>
          <w:color w:val="000000"/>
          <w:sz w:val="20"/>
          <w:szCs w:val="20"/>
          <w:u w:val="single"/>
        </w:rPr>
        <w:t>TractorSupply.com</w:t>
      </w:r>
      <w:r>
        <w:rPr>
          <w:rFonts w:eastAsia="Times New Roman"/>
          <w:color w:val="000000"/>
          <w:sz w:val="20"/>
          <w:szCs w:val="20"/>
        </w:rPr>
        <w:t>, our Annual Report on Form 10-K, quarterly reports on Form 10-Q, current</w:t>
      </w:r>
      <w:r>
        <w:rPr>
          <w:rFonts w:eastAsia="Times New Roman"/>
          <w:color w:val="000000"/>
          <w:sz w:val="20"/>
          <w:szCs w:val="20"/>
        </w:rPr>
        <w:t xml:space="preserve"> reports on Form 8-K, and all amendments to those reports as soon as reasonably practicable after such material is electronically filed with or furnished to the SEC.  The information provided on our website is not part of this report, and is therefore not </w:t>
      </w:r>
      <w:r>
        <w:rPr>
          <w:rFonts w:eastAsia="Times New Roman"/>
          <w:color w:val="000000"/>
          <w:sz w:val="20"/>
          <w:szCs w:val="20"/>
        </w:rPr>
        <w:t>incorporated by reference unless such information is otherwise specifically referenced elsewhere in this report.</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u w:val="single"/>
        </w:rPr>
        <w:t>Item 1A</w:t>
      </w:r>
      <w:r>
        <w:rPr>
          <w:rFonts w:eastAsia="Times New Roman"/>
          <w:b/>
          <w:bCs/>
          <w:color w:val="000000"/>
          <w:sz w:val="20"/>
          <w:szCs w:val="20"/>
        </w:rPr>
        <w:t>.    </w:t>
      </w:r>
      <w:r>
        <w:rPr>
          <w:rFonts w:eastAsia="Times New Roman"/>
          <w:b/>
          <w:bCs/>
          <w:color w:val="000000"/>
          <w:sz w:val="20"/>
          <w:szCs w:val="20"/>
          <w:u w:val="single"/>
        </w:rPr>
        <w:t>Risk Factors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Our business faces many risks. </w:t>
      </w:r>
      <w:r>
        <w:rPr>
          <w:rFonts w:eastAsia="Times New Roman"/>
          <w:color w:val="000000"/>
          <w:sz w:val="20"/>
          <w:szCs w:val="20"/>
        </w:rPr>
        <w:t>Certain risks of which we are currently aware and deem to be material are described below.  If any of the events or circumstances described in the following risk factors occur, our business, financial condition or results of operations may significantly su</w:t>
      </w:r>
      <w:r>
        <w:rPr>
          <w:rFonts w:eastAsia="Times New Roman"/>
          <w:color w:val="000000"/>
          <w:sz w:val="20"/>
          <w:szCs w:val="20"/>
        </w:rPr>
        <w:t>ffer, and the trading price of our common stock could decline.  These risk factors should be read in conjunction with the other information in this Form 10-K.</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Strategic and Competitive Risks</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Failure to protect our reputation could have a material adver</w:t>
      </w:r>
      <w:r>
        <w:rPr>
          <w:rFonts w:eastAsia="Times New Roman"/>
          <w:i/>
          <w:iCs/>
          <w:color w:val="000000"/>
          <w:sz w:val="20"/>
          <w:szCs w:val="20"/>
        </w:rPr>
        <w:t>se effect on our brand name or any of our exclusive brands.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Our success depends in part on the value and strength of the Tractor Supply name, including our exclusive brands. </w:t>
      </w:r>
      <w:r>
        <w:rPr>
          <w:rFonts w:eastAsia="Times New Roman"/>
          <w:color w:val="000000"/>
          <w:sz w:val="20"/>
          <w:szCs w:val="20"/>
        </w:rPr>
        <w:t>The Tractor Supply name is integral to our business, as well as to the implementation of our strategies for expanding our business. Maintaining, promoting, and positioning our brand will depend largely on the success of our marketing and merchandising effo</w:t>
      </w:r>
      <w:r>
        <w:rPr>
          <w:rFonts w:eastAsia="Times New Roman"/>
          <w:color w:val="000000"/>
          <w:sz w:val="20"/>
          <w:szCs w:val="20"/>
        </w:rPr>
        <w:t>rts and our ability to provide high quality merchandise and a consistent, high quality customer experience. Our brand could be adversely affected if we fail to achieve these objectives or if our public image or reputation were to be tarnished by negative p</w:t>
      </w:r>
      <w:r>
        <w:rPr>
          <w:rFonts w:eastAsia="Times New Roman"/>
          <w:color w:val="000000"/>
          <w:sz w:val="20"/>
          <w:szCs w:val="20"/>
        </w:rPr>
        <w:t>ublicity. Failure to comply or accusation of failure to comply with ethical, social, product, labor, data privacy, and environmental standards could also jeopardize our reputation and potentially lead to various adverse consumer actions. Any of these event</w:t>
      </w:r>
      <w:r>
        <w:rPr>
          <w:rFonts w:eastAsia="Times New Roman"/>
          <w:color w:val="000000"/>
          <w:sz w:val="20"/>
          <w:szCs w:val="20"/>
        </w:rPr>
        <w:t>s could result in decreased revenue or otherwise adversely affect our business.</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We may be unable to increase sales at our existing stores.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experience fluctuations in our comparable store sales at our existing stores, defined as sales in stores which</w:t>
      </w:r>
      <w:r>
        <w:rPr>
          <w:rFonts w:eastAsia="Times New Roman"/>
          <w:color w:val="000000"/>
          <w:sz w:val="20"/>
          <w:szCs w:val="20"/>
        </w:rPr>
        <w:t xml:space="preserve"> have been open for at least twelve months.  Various factors affect the comparable store sales at our existing stores, including, among others, the general retail sales environment, our ability to efficiently source and distribute products, changes in our </w:t>
      </w:r>
      <w:r>
        <w:rPr>
          <w:rFonts w:eastAsia="Times New Roman"/>
          <w:color w:val="000000"/>
          <w:sz w:val="20"/>
          <w:szCs w:val="20"/>
        </w:rPr>
        <w:t>merchandise assortment, competition, proximity of our locations to one another or to the locations of other competing retailers, increased presence of online retailers, current economic conditions, customer satisfaction with our products, retail pricing, t</w:t>
      </w:r>
      <w:r>
        <w:rPr>
          <w:rFonts w:eastAsia="Times New Roman"/>
          <w:color w:val="000000"/>
          <w:sz w:val="20"/>
          <w:szCs w:val="20"/>
        </w:rPr>
        <w:t>he timing of promotional events, the release of new merchandise, the success of marketing programs, weather conditions, and our ability to attract and retain qualified team members.  These factors may cause the comparable store sales results at our existin</w:t>
      </w:r>
      <w:r>
        <w:rPr>
          <w:rFonts w:eastAsia="Times New Roman"/>
          <w:color w:val="000000"/>
          <w:sz w:val="20"/>
          <w:szCs w:val="20"/>
        </w:rPr>
        <w:t>g stores to differ materially from prior periods and from expectations.  Past comparable store sales are not an indication of future results, and there can be no assurance that our comparable store sales will not decrease in the future.</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Furthermore, the </w:t>
      </w:r>
      <w:r>
        <w:rPr>
          <w:rFonts w:eastAsia="Times New Roman"/>
          <w:color w:val="000000"/>
          <w:sz w:val="20"/>
          <w:szCs w:val="20"/>
        </w:rPr>
        <w:t>significant positive impact of the COVID-19 pandemic on the demand for our products in fiscal 2020 resulted in a significant increase in new or reacquired customers and in comparable store sales growth. Our sales performance in fiscal 2020 may present a gr</w:t>
      </w:r>
      <w:r>
        <w:rPr>
          <w:rFonts w:eastAsia="Times New Roman"/>
          <w:color w:val="000000"/>
          <w:sz w:val="20"/>
          <w:szCs w:val="20"/>
        </w:rPr>
        <w:t xml:space="preserve">eater risk to our ability to increase comparable store sales in the following year(s) and in our ability to </w:t>
      </w:r>
    </w:p>
    <w:p w:rsidR="00000000" w:rsidRDefault="00905244">
      <w:pPr>
        <w:jc w:val="center"/>
        <w:divId w:val="1412846664"/>
        <w:rPr>
          <w:rFonts w:eastAsia="Times New Roman"/>
        </w:rPr>
      </w:pPr>
      <w:r>
        <w:rPr>
          <w:rFonts w:eastAsia="Times New Roman"/>
          <w:color w:val="000000"/>
          <w:sz w:val="20"/>
          <w:szCs w:val="20"/>
        </w:rPr>
        <w:t>11</w:t>
      </w:r>
    </w:p>
    <w:p w:rsidR="00000000" w:rsidRDefault="00905244">
      <w:pPr>
        <w:rPr>
          <w:rFonts w:eastAsia="Times New Roman"/>
        </w:rPr>
      </w:pPr>
      <w:r>
        <w:rPr>
          <w:rFonts w:eastAsia="Times New Roman"/>
        </w:rPr>
        <w:pict>
          <v:rect id="_x0000_i1039" style="width:0;height:1.5pt" o:hralign="center" o:hrstd="t" o:hr="t" fillcolor="#a0a0a0" stroked="f"/>
        </w:pict>
      </w:r>
    </w:p>
    <w:p w:rsidR="00000000" w:rsidRDefault="00905244">
      <w:pPr>
        <w:divId w:val="637496869"/>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maintain our new or reacquired customers gai</w:t>
      </w:r>
      <w:r>
        <w:rPr>
          <w:rFonts w:eastAsia="Times New Roman"/>
          <w:color w:val="000000"/>
          <w:sz w:val="20"/>
          <w:szCs w:val="20"/>
        </w:rPr>
        <w:t xml:space="preserve">ned in fiscal 2020. Therefore, we may not be able to sustain or increase our comparable store sales in fiscal 2021 and beyond. </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Failure to open and manage new stores in the number and manner currently contemplated could adversely affect our financial per</w:t>
      </w:r>
      <w:r>
        <w:rPr>
          <w:rFonts w:eastAsia="Times New Roman"/>
          <w:i/>
          <w:iCs/>
          <w:color w:val="000000"/>
          <w:sz w:val="20"/>
          <w:szCs w:val="20"/>
        </w:rPr>
        <w:t>formance.</w:t>
      </w:r>
    </w:p>
    <w:p w:rsidR="00000000" w:rsidRDefault="00905244">
      <w:pPr>
        <w:divId w:val="1237782315"/>
        <w:rPr>
          <w:rFonts w:eastAsia="Times New Roman"/>
        </w:rPr>
      </w:pPr>
    </w:p>
    <w:p w:rsidR="00000000" w:rsidRDefault="00905244">
      <w:pPr>
        <w:jc w:val="both"/>
        <w:rPr>
          <w:rFonts w:eastAsia="Times New Roman"/>
        </w:rPr>
      </w:pPr>
      <w:r>
        <w:rPr>
          <w:rFonts w:eastAsia="Times New Roman"/>
          <w:color w:val="000000"/>
          <w:sz w:val="20"/>
          <w:szCs w:val="20"/>
        </w:rPr>
        <w:t>An integral part of our business strategy includes the expansion of our store base through new store openings. This expansion strategy is dependent on our ability to find suitable locations, and we face competition from many retailers and other</w:t>
      </w:r>
      <w:r>
        <w:rPr>
          <w:rFonts w:eastAsia="Times New Roman"/>
          <w:color w:val="000000"/>
          <w:sz w:val="20"/>
          <w:szCs w:val="20"/>
        </w:rPr>
        <w:t xml:space="preserve"> businesses for such sites. If we are unable to implement this strategy, our ability to increase our sales, profitability, and cash flow could be impaired significantly. To the extent that we are unable to open new stores in the manner we anticipate (due t</w:t>
      </w:r>
      <w:r>
        <w:rPr>
          <w:rFonts w:eastAsia="Times New Roman"/>
          <w:color w:val="000000"/>
          <w:sz w:val="20"/>
          <w:szCs w:val="20"/>
        </w:rPr>
        <w:t>o, among other reasons, site approval or unforeseen delays in construction), our sales growth may be impeded.</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As we execute this expansion strategy, we may also experience managerial or operational challenges which may prevent any expected increase in sa</w:t>
      </w:r>
      <w:r>
        <w:rPr>
          <w:rFonts w:eastAsia="Times New Roman"/>
          <w:color w:val="000000"/>
          <w:sz w:val="20"/>
          <w:szCs w:val="20"/>
        </w:rPr>
        <w:t>les, profitability, or cash flow. Our ability to manage our planned expansion depends on the adequacy of our existing information systems, the efficiency and expansion of our distribution systems, the adequacy of the hiring and training process for new per</w:t>
      </w:r>
      <w:r>
        <w:rPr>
          <w:rFonts w:eastAsia="Times New Roman"/>
          <w:color w:val="000000"/>
          <w:sz w:val="20"/>
          <w:szCs w:val="20"/>
        </w:rPr>
        <w:t>sonnel (especially store managers), the effectiveness of our controls and procedures, and the ability to identify customer demand and build market awareness in different geographic areas. There can be no assurance that we will be able to achieve our planne</w:t>
      </w:r>
      <w:r>
        <w:rPr>
          <w:rFonts w:eastAsia="Times New Roman"/>
          <w:color w:val="000000"/>
          <w:sz w:val="20"/>
          <w:szCs w:val="20"/>
        </w:rPr>
        <w:t>d expansion, that the new stores will be effectively integrated into our existing operations or that such stores will be profitable.</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Although we have a rigorous real estate site selection and approval process, there can be no assurance that our new store</w:t>
      </w:r>
      <w:r>
        <w:rPr>
          <w:rFonts w:eastAsia="Times New Roman"/>
          <w:color w:val="000000"/>
          <w:sz w:val="20"/>
          <w:szCs w:val="20"/>
        </w:rPr>
        <w:t xml:space="preserve"> openings will be successful or result in incremental sales and profitability for the Company. New stores build their sales volumes and refine their merchandise selection over time and, as a result, generally have lower gross margins and higher operating e</w:t>
      </w:r>
      <w:r>
        <w:rPr>
          <w:rFonts w:eastAsia="Times New Roman"/>
          <w:color w:val="000000"/>
          <w:sz w:val="20"/>
          <w:szCs w:val="20"/>
        </w:rPr>
        <w:t>xpenses as a percentage of net sales than our more mature stores. As we continue to open new stores, there may be a negative impact on our results from a lower contribution margin of these new stores until their sales levels ramp to chain average, if at al</w:t>
      </w:r>
      <w:r>
        <w:rPr>
          <w:rFonts w:eastAsia="Times New Roman"/>
          <w:color w:val="000000"/>
          <w:sz w:val="20"/>
          <w:szCs w:val="20"/>
        </w:rPr>
        <w:t xml:space="preserve">l, as well as from the impact of related pre-opening costs. Additionally, new stores can also impact the sales and contribution margins of existing stores located in close proximity. </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Our merchandising and marketing initiatives may not provide expected results.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believe our past performance has been based on, and future success will depend, in part, upon the ability to develop and execute merchandising initiatives with effective mar</w:t>
      </w:r>
      <w:r>
        <w:rPr>
          <w:rFonts w:eastAsia="Times New Roman"/>
          <w:color w:val="000000"/>
          <w:sz w:val="20"/>
          <w:szCs w:val="20"/>
        </w:rPr>
        <w:t>keting programs.  These merchandising initiatives and marketing programs may not deliver expected results, and there is no assurance that we will correctly identify and respond in a timely manner to evolving trends and consumer preferences and expectations</w:t>
      </w:r>
      <w:r>
        <w:rPr>
          <w:rFonts w:eastAsia="Times New Roman"/>
          <w:color w:val="000000"/>
          <w:sz w:val="20"/>
          <w:szCs w:val="20"/>
        </w:rPr>
        <w:t>. Further, adverse publicity about our merchandise products, whether valid or not, may discourage consumers from buying the products we offer. If we misjudge the market or our marketing programs are not successful, we may overstock unpopular products and b</w:t>
      </w:r>
      <w:r>
        <w:rPr>
          <w:rFonts w:eastAsia="Times New Roman"/>
          <w:color w:val="000000"/>
          <w:sz w:val="20"/>
          <w:szCs w:val="20"/>
        </w:rPr>
        <w:t>e forced to take inventory impairment or retail price reductions that have a material adverse effect on our profitability. Failure to execute and promote such initiatives in a timely manner could harm our ability to grow the business and could have a mater</w:t>
      </w:r>
      <w:r>
        <w:rPr>
          <w:rFonts w:eastAsia="Times New Roman"/>
          <w:color w:val="000000"/>
          <w:sz w:val="20"/>
          <w:szCs w:val="20"/>
        </w:rPr>
        <w:t>ial adverse effect on our results of operations and financial condition.  Shortages of key merchandise could also have a material adverse effect on our financial condition and results of operations.</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Competition may hinder our ability to execute our busin</w:t>
      </w:r>
      <w:r>
        <w:rPr>
          <w:rFonts w:eastAsia="Times New Roman"/>
          <w:i/>
          <w:iCs/>
          <w:color w:val="000000"/>
          <w:sz w:val="20"/>
          <w:szCs w:val="20"/>
        </w:rPr>
        <w:t>ess strategy and adversely affect our operations.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operate in the highly competitive retail merchandise sector with numerous competitors. These competitors include general merchandise retailers, home center retailers, pet retailers, specialty and disco</w:t>
      </w:r>
      <w:r>
        <w:rPr>
          <w:rFonts w:eastAsia="Times New Roman"/>
          <w:color w:val="000000"/>
          <w:sz w:val="20"/>
          <w:szCs w:val="20"/>
        </w:rPr>
        <w:t>unt retailers, independently-owned retail farm and ranch stores, numerous privately-held regional farm store chains, and farm cooperatives, as well as internet-based retailers. We compete for customers, merchandise, real estate locations, and employees. Th</w:t>
      </w:r>
      <w:r>
        <w:rPr>
          <w:rFonts w:eastAsia="Times New Roman"/>
          <w:color w:val="000000"/>
          <w:sz w:val="20"/>
          <w:szCs w:val="20"/>
        </w:rPr>
        <w:t>is competitive environment subjects us to various other risks, including the inability to continue our store and sales growth and to provide attractive merchandise to our customers at competitive prices that allow us to maintain our profitability. Our fail</w:t>
      </w:r>
      <w:r>
        <w:rPr>
          <w:rFonts w:eastAsia="Times New Roman"/>
          <w:color w:val="000000"/>
          <w:sz w:val="20"/>
          <w:szCs w:val="20"/>
        </w:rPr>
        <w:t>ure to compete effectively in this environment could adversely impact our financial performance.</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We may pursue strategic acquisitions and the failure of an acquisition to produce the anticipated results or the inability to fully integrate the acquired co</w:t>
      </w:r>
      <w:r>
        <w:rPr>
          <w:rFonts w:eastAsia="Times New Roman"/>
          <w:i/>
          <w:iCs/>
          <w:color w:val="000000"/>
          <w:sz w:val="20"/>
          <w:szCs w:val="20"/>
        </w:rPr>
        <w:t>mpanies could have an adverse impact on our business.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may, from time to time, acquire businesses we believe to be complementary to our business. The success of an acquisition is based on our ability to make accurate assumptions regarding the valuation</w:t>
      </w:r>
      <w:r>
        <w:rPr>
          <w:rFonts w:eastAsia="Times New Roman"/>
          <w:color w:val="000000"/>
          <w:sz w:val="20"/>
          <w:szCs w:val="20"/>
        </w:rPr>
        <w:t>, operations, growth potential, integration, and other factors relating to the target business. Acquisitions may result in difficulties in assimilating acquired companies and may result in the diversion of our capital and our management’s attention from ot</w:t>
      </w:r>
      <w:r>
        <w:rPr>
          <w:rFonts w:eastAsia="Times New Roman"/>
          <w:color w:val="000000"/>
          <w:sz w:val="20"/>
          <w:szCs w:val="20"/>
        </w:rPr>
        <w:t xml:space="preserve">her business issues and opportunities. We may not </w:t>
      </w:r>
    </w:p>
    <w:p w:rsidR="00000000" w:rsidRDefault="00905244">
      <w:pPr>
        <w:jc w:val="center"/>
        <w:divId w:val="4405069"/>
        <w:rPr>
          <w:rFonts w:eastAsia="Times New Roman"/>
        </w:rPr>
      </w:pPr>
      <w:r>
        <w:rPr>
          <w:rFonts w:eastAsia="Times New Roman"/>
          <w:color w:val="000000"/>
          <w:sz w:val="20"/>
          <w:szCs w:val="20"/>
        </w:rPr>
        <w:t>12</w:t>
      </w:r>
    </w:p>
    <w:p w:rsidR="00000000" w:rsidRDefault="00905244">
      <w:pPr>
        <w:rPr>
          <w:rFonts w:eastAsia="Times New Roman"/>
        </w:rPr>
      </w:pPr>
      <w:r>
        <w:rPr>
          <w:rFonts w:eastAsia="Times New Roman"/>
        </w:rPr>
        <w:pict>
          <v:rect id="_x0000_i1040" style="width:0;height:1.5pt" o:hralign="center" o:hrstd="t" o:hr="t" fillcolor="#a0a0a0" stroked="f"/>
        </w:pict>
      </w:r>
    </w:p>
    <w:p w:rsidR="00000000" w:rsidRDefault="00905244">
      <w:pPr>
        <w:divId w:val="100729658"/>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be able to successfully integrate an organization that we acquire, including their personnel, financia</w:t>
      </w:r>
      <w:r>
        <w:rPr>
          <w:rFonts w:eastAsia="Times New Roman"/>
          <w:color w:val="000000"/>
          <w:sz w:val="20"/>
          <w:szCs w:val="20"/>
        </w:rPr>
        <w:t>l systems, distribution, operations, and general operating procedures. If we fail to successfully integrate acquisitions, we could experience increased costs associated with operating inefficiencies which could have an adverse effect on our financial resul</w:t>
      </w:r>
      <w:r>
        <w:rPr>
          <w:rFonts w:eastAsia="Times New Roman"/>
          <w:color w:val="000000"/>
          <w:sz w:val="20"/>
          <w:szCs w:val="20"/>
        </w:rPr>
        <w:t>ts. Also, while we employ several different methodologies to assess potential business opportunities, the new businesses may not meet our expectations and, therefore, adversely affect our financial performance. Additionally, acquired businesses may not ach</w:t>
      </w:r>
      <w:r>
        <w:rPr>
          <w:rFonts w:eastAsia="Times New Roman"/>
          <w:color w:val="000000"/>
          <w:sz w:val="20"/>
          <w:szCs w:val="20"/>
        </w:rPr>
        <w:t>ieve desired profitability objectives, causing lower than expected earnings and cash flows which could subsequently require impairment of long-lived assets, goodwill and other intangible assets.</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Weather and Climate Risks</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Weather conditions may have a s</w:t>
      </w:r>
      <w:r>
        <w:rPr>
          <w:rFonts w:eastAsia="Times New Roman"/>
          <w:i/>
          <w:iCs/>
          <w:color w:val="000000"/>
          <w:sz w:val="20"/>
          <w:szCs w:val="20"/>
        </w:rPr>
        <w:t>ignificant impact on our financial results.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Weather conditions affect the demand for, and in some cases the supply of, products, which in turn has an impact on prices.  Historically, weather conditions, including unseasonably warm weather in the fall and</w:t>
      </w:r>
      <w:r>
        <w:rPr>
          <w:rFonts w:eastAsia="Times New Roman"/>
          <w:color w:val="000000"/>
          <w:sz w:val="20"/>
          <w:szCs w:val="20"/>
        </w:rPr>
        <w:t xml:space="preserve"> winter months and unseasonably cool weather in the spring and summer months, have affected the timing and volume of our sales and results of operations. In addition, extreme weather conditions, including snow and ice storms, flood and wind damage, hurrica</w:t>
      </w:r>
      <w:r>
        <w:rPr>
          <w:rFonts w:eastAsia="Times New Roman"/>
          <w:color w:val="000000"/>
          <w:sz w:val="20"/>
          <w:szCs w:val="20"/>
        </w:rPr>
        <w:t>nes, tornadoes, extreme rain, fires and droughts, have impacted operating results. While extreme weather conditions can positively impact our operating results by increasing demand in affected locations for products needed to cope with the weather conditio</w:t>
      </w:r>
      <w:r>
        <w:rPr>
          <w:rFonts w:eastAsia="Times New Roman"/>
          <w:color w:val="000000"/>
          <w:sz w:val="20"/>
          <w:szCs w:val="20"/>
        </w:rPr>
        <w:t>n and its effects, they can also negatively affect our business depending on the severity and length of these conditions, as a result of store closings, damage to our stores or merchandise, or the inability of customers to shop at our stores due to weather</w:t>
      </w:r>
      <w:r>
        <w:rPr>
          <w:rFonts w:eastAsia="Times New Roman"/>
          <w:color w:val="000000"/>
          <w:sz w:val="20"/>
          <w:szCs w:val="20"/>
        </w:rPr>
        <w:t xml:space="preserve"> conditions. Our strategy is to manage product flow and adjust merchandise assortments and depth of inventory to capitalize on seasonal demand trends. Should such a strategy not be effective, the weather may have a material adverse effect on our financial </w:t>
      </w:r>
      <w:r>
        <w:rPr>
          <w:rFonts w:eastAsia="Times New Roman"/>
          <w:color w:val="000000"/>
          <w:sz w:val="20"/>
          <w:szCs w:val="20"/>
        </w:rPr>
        <w:t xml:space="preserve">condition and results of operations. </w:t>
      </w:r>
    </w:p>
    <w:p w:rsidR="00000000" w:rsidRDefault="00905244">
      <w:pPr>
        <w:jc w:val="both"/>
        <w:rPr>
          <w:rFonts w:eastAsia="Times New Roman"/>
        </w:rPr>
      </w:pP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Weather conditions may cause a disruption in our distribution and transportation network that would adversely affect our ability to conduct our operations.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We rely on our distribution and transportation network, </w:t>
      </w:r>
      <w:r>
        <w:rPr>
          <w:rFonts w:eastAsia="Times New Roman"/>
          <w:color w:val="000000"/>
          <w:sz w:val="20"/>
          <w:szCs w:val="20"/>
        </w:rPr>
        <w:t>including third-party logistics providers, to provide goods to our stores and to our customers in a timely and cost-effective manner through deliveries to our distribution facilities from vendors and then from the distribution facilities or direct ship ven</w:t>
      </w:r>
      <w:r>
        <w:rPr>
          <w:rFonts w:eastAsia="Times New Roman"/>
          <w:color w:val="000000"/>
          <w:sz w:val="20"/>
          <w:szCs w:val="20"/>
        </w:rPr>
        <w:t>dors to our stores or customers by various means of transportation, including shipments by sea, air, rail, and truck. Although we believe that our operations are efficient, disruptions due to extreme weather conditions, including snow and ice storms, flood</w:t>
      </w:r>
      <w:r>
        <w:rPr>
          <w:rFonts w:eastAsia="Times New Roman"/>
          <w:color w:val="000000"/>
          <w:sz w:val="20"/>
          <w:szCs w:val="20"/>
        </w:rPr>
        <w:t xml:space="preserve"> and wind damage, hurricanes, tornadoes, extreme rain, fires and droughts may result in delays in the transportation and delivery of merchandise to our distribution centers, our stores, or our customers. Significant disruptions or delays in our distributio</w:t>
      </w:r>
      <w:r>
        <w:rPr>
          <w:rFonts w:eastAsia="Times New Roman"/>
          <w:color w:val="000000"/>
          <w:sz w:val="20"/>
          <w:szCs w:val="20"/>
        </w:rPr>
        <w:t>n and transportation network could adversely affect sales and the satisfaction of our customers which could have a material adverse impact on our financial condition and results of operations.</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Factors associated with climate change could adversely affect our business.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use natural gas, diesel fuel, gasoline and electricity in conducting our operations. Increased government regulations to limit carbon dioxide and other greenhouse gas emissions may result in increased compliance costs and legislation or regulation affec</w:t>
      </w:r>
      <w:r>
        <w:rPr>
          <w:rFonts w:eastAsia="Times New Roman"/>
          <w:color w:val="000000"/>
          <w:sz w:val="20"/>
          <w:szCs w:val="20"/>
        </w:rPr>
        <w:t>ting energy inputs, which could materially affect our profitability. Further, climate change could affect our ability to procure needed commodities at costs and in the quantities that we currently expect. Additionally, climate change may be associated with</w:t>
      </w:r>
      <w:r>
        <w:rPr>
          <w:rFonts w:eastAsia="Times New Roman"/>
          <w:color w:val="000000"/>
          <w:sz w:val="20"/>
          <w:szCs w:val="20"/>
        </w:rPr>
        <w:t xml:space="preserve"> extreme weather conditions, such as more frequent or intense hurricanes, thunderstorms, tornadoes, floods, fire, drought, and snow or ice storms, as well as rising sea levels, all of which may negatively impact our business and have a material adverse eff</w:t>
      </w:r>
      <w:r>
        <w:rPr>
          <w:rFonts w:eastAsia="Times New Roman"/>
          <w:color w:val="000000"/>
          <w:sz w:val="20"/>
          <w:szCs w:val="20"/>
        </w:rPr>
        <w:t>ect on our financial condition and results of operations.</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Macroeconomic Risks</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General economic conditions may adversely affect our financial performance.</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Our results of operations may be sensitive to changes in overall economic conditions that impact</w:t>
      </w:r>
      <w:r>
        <w:rPr>
          <w:rFonts w:eastAsia="Times New Roman"/>
          <w:color w:val="000000"/>
          <w:sz w:val="20"/>
          <w:szCs w:val="20"/>
        </w:rPr>
        <w:t xml:space="preserve"> consumer spending, including discretionary spending. A weakening of economic conditions affecting disposable consumer income such as lower employment levels, uncertainty or changes in business or political conditions, higher interest rates, higher tax rat</w:t>
      </w:r>
      <w:r>
        <w:rPr>
          <w:rFonts w:eastAsia="Times New Roman"/>
          <w:color w:val="000000"/>
          <w:sz w:val="20"/>
          <w:szCs w:val="20"/>
        </w:rPr>
        <w:t>es, higher fuel and energy costs, higher labor and healthcare costs, the impact of natural disasters or acts of terrorism, general health epidemics, and other matters could reduce consumer spending or cause consumers to shift their spending to competitors.</w:t>
      </w:r>
      <w:r>
        <w:rPr>
          <w:rFonts w:eastAsia="Times New Roman"/>
          <w:color w:val="000000"/>
          <w:sz w:val="20"/>
          <w:szCs w:val="20"/>
        </w:rPr>
        <w:t xml:space="preserve"> A general reduction in the level of discretionary spending, shifts in consumer discretionary spending to our competitors or shifts in discretionary spending to less profitable products sold by us could result in lower net sales, slower inventory turnover,</w:t>
      </w:r>
      <w:r>
        <w:rPr>
          <w:rFonts w:eastAsia="Times New Roman"/>
          <w:color w:val="000000"/>
          <w:sz w:val="20"/>
          <w:szCs w:val="20"/>
        </w:rPr>
        <w:t xml:space="preserve"> greater markdowns on inventory, and a reduction in profitability due to lower margins.</w:t>
      </w:r>
    </w:p>
    <w:p w:rsidR="00000000" w:rsidRDefault="00905244">
      <w:pPr>
        <w:jc w:val="center"/>
        <w:divId w:val="451945808"/>
        <w:rPr>
          <w:rFonts w:eastAsia="Times New Roman"/>
        </w:rPr>
      </w:pPr>
      <w:r>
        <w:rPr>
          <w:rFonts w:eastAsia="Times New Roman"/>
          <w:color w:val="000000"/>
          <w:sz w:val="20"/>
          <w:szCs w:val="20"/>
        </w:rPr>
        <w:t>13</w:t>
      </w:r>
    </w:p>
    <w:p w:rsidR="00000000" w:rsidRDefault="00905244">
      <w:pPr>
        <w:rPr>
          <w:rFonts w:eastAsia="Times New Roman"/>
        </w:rPr>
      </w:pPr>
      <w:r>
        <w:rPr>
          <w:rFonts w:eastAsia="Times New Roman"/>
        </w:rPr>
        <w:pict>
          <v:rect id="_x0000_i1041" style="width:0;height:1.5pt" o:hralign="center" o:hrstd="t" o:hr="t" fillcolor="#a0a0a0" stroked="f"/>
        </w:pict>
      </w:r>
    </w:p>
    <w:p w:rsidR="00000000" w:rsidRDefault="00905244">
      <w:pPr>
        <w:divId w:val="916208649"/>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Purchase price volatility, including inflationary and deflatio</w:t>
      </w:r>
      <w:r>
        <w:rPr>
          <w:rFonts w:eastAsia="Times New Roman"/>
          <w:i/>
          <w:iCs/>
          <w:color w:val="000000"/>
          <w:sz w:val="20"/>
          <w:szCs w:val="20"/>
        </w:rPr>
        <w:t>nary pressures, may adversely affect our financial performance.</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Although we cannot determine the full effect of inflation and deflation on our operations, we believe our sales and results of operations are affected by both.  We are subject to market risk</w:t>
      </w:r>
      <w:r>
        <w:rPr>
          <w:rFonts w:eastAsia="Times New Roman"/>
          <w:color w:val="000000"/>
          <w:sz w:val="20"/>
          <w:szCs w:val="20"/>
        </w:rPr>
        <w:t xml:space="preserve"> with respect to the pricing of certain products and services, which include, among other items, grain, corn, steel, petroleum, cotton, and other commodities, as well as duties, tariffs, diesel fuel, and transportation services.  Therefore, we may experien</w:t>
      </w:r>
      <w:r>
        <w:rPr>
          <w:rFonts w:eastAsia="Times New Roman"/>
          <w:color w:val="000000"/>
          <w:sz w:val="20"/>
          <w:szCs w:val="20"/>
        </w:rPr>
        <w:t>ce both inflationary and deflationary pressure on product cost, which may impact consumer demand and, as a result, sales and gross margin.  Our strategy is to reduce or mitigate the effects of purchase price volatility principally by taking advantage of ve</w:t>
      </w:r>
      <w:r>
        <w:rPr>
          <w:rFonts w:eastAsia="Times New Roman"/>
          <w:color w:val="000000"/>
          <w:sz w:val="20"/>
          <w:szCs w:val="20"/>
        </w:rPr>
        <w:t xml:space="preserve">ndor incentive programs, economies of scale from increased volume of purchases, adjusting retail prices, and selectively buying from the most competitive vendors while maintaining product quality.  Should our strategy to mitigate purchase price volatility </w:t>
      </w:r>
      <w:r>
        <w:rPr>
          <w:rFonts w:eastAsia="Times New Roman"/>
          <w:color w:val="000000"/>
          <w:sz w:val="20"/>
          <w:szCs w:val="20"/>
        </w:rPr>
        <w:t>not be effective, our financial performance could be adversely impacted.</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Team Member Risks</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Our failure to attract and retain qualified team members, increases in wage, and labor costs, and changes in laws and other labor issues could adversely affect o</w:t>
      </w:r>
      <w:r>
        <w:rPr>
          <w:rFonts w:eastAsia="Times New Roman"/>
          <w:i/>
          <w:iCs/>
          <w:color w:val="000000"/>
          <w:sz w:val="20"/>
          <w:szCs w:val="20"/>
        </w:rPr>
        <w:t>ur financial performance.</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Our ability to maintain and continue expanding operations depends on our ability to attract and retain a large and growing number of qualified team members.  Our ability to meet labor needs while controlling wage and related lab</w:t>
      </w:r>
      <w:r>
        <w:rPr>
          <w:rFonts w:eastAsia="Times New Roman"/>
          <w:color w:val="000000"/>
          <w:sz w:val="20"/>
          <w:szCs w:val="20"/>
        </w:rPr>
        <w:t>or costs is subject to numerous external factors, including the availability of a sufficient number of qualified persons in the work force, unemployment levels, prevailing wage rates, increases in legally required minimum wage rates, changing demographics,</w:t>
      </w:r>
      <w:r>
        <w:rPr>
          <w:rFonts w:eastAsia="Times New Roman"/>
          <w:color w:val="000000"/>
          <w:sz w:val="20"/>
          <w:szCs w:val="20"/>
        </w:rPr>
        <w:t xml:space="preserve"> health and other insurance costs, changes in employment legislation and the potential for changes in local labor practices or union activities.  If we are unable to locate, attract or retain qualified personnel, or if costs of labor or related costs incre</w:t>
      </w:r>
      <w:r>
        <w:rPr>
          <w:rFonts w:eastAsia="Times New Roman"/>
          <w:color w:val="000000"/>
          <w:sz w:val="20"/>
          <w:szCs w:val="20"/>
        </w:rPr>
        <w:t>ase significantly, our financial performance could be adversely affected.</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We are subject to federal, state, and local laws governing employment practices and working conditions.  These laws cover wage and hour practices, labor relations, paid and family </w:t>
      </w:r>
      <w:r>
        <w:rPr>
          <w:rFonts w:eastAsia="Times New Roman"/>
          <w:color w:val="000000"/>
          <w:sz w:val="20"/>
          <w:szCs w:val="20"/>
        </w:rPr>
        <w:t>leave, workplace safety and immigration, among others.  The laws and regulations being passed at the state and local level create unique challenges for a multi-state employer.  We must continue to monitor and adapt our employment practices to comply with t</w:t>
      </w:r>
      <w:r>
        <w:rPr>
          <w:rFonts w:eastAsia="Times New Roman"/>
          <w:color w:val="000000"/>
          <w:sz w:val="20"/>
          <w:szCs w:val="20"/>
        </w:rPr>
        <w:t>hese various laws and regulations.  If our costs of labor or related costs increase significantly as new or revised labor laws, rules or regulations or healthcare laws are adopted or implemented, our financial performance could be adversely affected.</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The</w:t>
      </w:r>
      <w:r>
        <w:rPr>
          <w:rFonts w:eastAsia="Times New Roman"/>
          <w:i/>
          <w:iCs/>
          <w:color w:val="000000"/>
          <w:sz w:val="20"/>
          <w:szCs w:val="20"/>
        </w:rPr>
        <w:t xml:space="preserve"> loss of current members of our senior management team and other key team members or the failure to successfully manage an executive officer transition may adversely affect our operating results.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Our success depends in large part on the continued availab</w:t>
      </w:r>
      <w:r>
        <w:rPr>
          <w:rFonts w:eastAsia="Times New Roman"/>
          <w:color w:val="000000"/>
          <w:sz w:val="20"/>
          <w:szCs w:val="20"/>
        </w:rPr>
        <w:t>ility and service of our executive officers, senior management, and other key team members. Competition for senior management and key team members in our industry is strong and we may not be able to retain our key team members or attract new qualified team</w:t>
      </w:r>
      <w:r>
        <w:rPr>
          <w:rFonts w:eastAsia="Times New Roman"/>
          <w:color w:val="000000"/>
          <w:sz w:val="20"/>
          <w:szCs w:val="20"/>
        </w:rPr>
        <w:t xml:space="preserve"> members.  We must continue to recruit, retain, and motivate management and other team members sufficiently, both to maintain our current business and to execute our long-term strategic growth initiatives. The loss of any of our executive officers or other</w:t>
      </w:r>
      <w:r>
        <w:rPr>
          <w:rFonts w:eastAsia="Times New Roman"/>
          <w:color w:val="000000"/>
          <w:sz w:val="20"/>
          <w:szCs w:val="20"/>
        </w:rPr>
        <w:t xml:space="preserve"> key senior management without sufficient advance notice could prevent or delay the implementation and completion of our strategic initiatives or divert management’s attention to seeking qualified replacements. Additionally, any failure by us to manage a s</w:t>
      </w:r>
      <w:r>
        <w:rPr>
          <w:rFonts w:eastAsia="Times New Roman"/>
          <w:color w:val="000000"/>
          <w:sz w:val="20"/>
          <w:szCs w:val="20"/>
        </w:rPr>
        <w:t>uccessful leadership transition of an executive officer and to timely identify a qualified permanent replacement could harm our business and have a material adverse effect on our results of operations.</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Supply Chain and Third-Party Vendor Risks</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We face risks associated with vendors from whom our products are sourced.</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products we sell are sourced from a variety of domestic and international vendors.  We have agreements with our vendors in which the</w:t>
      </w:r>
      <w:r>
        <w:rPr>
          <w:rFonts w:eastAsia="Times New Roman"/>
          <w:color w:val="000000"/>
          <w:sz w:val="20"/>
          <w:szCs w:val="20"/>
        </w:rPr>
        <w:t xml:space="preserve"> vendors agree to comply with applicable laws, including labor and environmental laws, and to indemnify us against certain liabilities and costs.  Our ability to recover liabilities and costs under these vendor agreements is dependent upon the financial co</w:t>
      </w:r>
      <w:r>
        <w:rPr>
          <w:rFonts w:eastAsia="Times New Roman"/>
          <w:color w:val="000000"/>
          <w:sz w:val="20"/>
          <w:szCs w:val="20"/>
        </w:rPr>
        <w:t>ndition and integrity of the vendors. We rely on long-term relationships with our suppliers but have no significant long-term contracts with such suppliers.  Our future success will depend in large measure upon our ability to maintain our existing supplier</w:t>
      </w:r>
      <w:r>
        <w:rPr>
          <w:rFonts w:eastAsia="Times New Roman"/>
          <w:color w:val="000000"/>
          <w:sz w:val="20"/>
          <w:szCs w:val="20"/>
        </w:rPr>
        <w:t xml:space="preserve"> relationships or to develop new ones.  This reliance exposes us to the risk of inadequate and untimely supplies of various products due to political, economic, social, health (including, but not limited to, the COVID-19 coronavirus), or environmental cond</w:t>
      </w:r>
      <w:r>
        <w:rPr>
          <w:rFonts w:eastAsia="Times New Roman"/>
          <w:color w:val="000000"/>
          <w:sz w:val="20"/>
          <w:szCs w:val="20"/>
        </w:rPr>
        <w:t xml:space="preserve">itions, transportation delays, or changes in laws and regulations affecting distribution.  Our </w:t>
      </w:r>
    </w:p>
    <w:p w:rsidR="00000000" w:rsidRDefault="00905244">
      <w:pPr>
        <w:jc w:val="center"/>
        <w:divId w:val="959993208"/>
        <w:rPr>
          <w:rFonts w:eastAsia="Times New Roman"/>
        </w:rPr>
      </w:pPr>
      <w:r>
        <w:rPr>
          <w:rFonts w:eastAsia="Times New Roman"/>
          <w:color w:val="000000"/>
          <w:sz w:val="20"/>
          <w:szCs w:val="20"/>
        </w:rPr>
        <w:t>14</w:t>
      </w:r>
    </w:p>
    <w:p w:rsidR="00000000" w:rsidRDefault="00905244">
      <w:pPr>
        <w:rPr>
          <w:rFonts w:eastAsia="Times New Roman"/>
        </w:rPr>
      </w:pPr>
      <w:r>
        <w:rPr>
          <w:rFonts w:eastAsia="Times New Roman"/>
        </w:rPr>
        <w:pict>
          <v:rect id="_x0000_i1042" style="width:0;height:1.5pt" o:hralign="center" o:hrstd="t" o:hr="t" fillcolor="#a0a0a0" stroked="f"/>
        </w:pict>
      </w:r>
    </w:p>
    <w:p w:rsidR="00000000" w:rsidRDefault="00905244">
      <w:pPr>
        <w:divId w:val="551967939"/>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vendors may be forced to reduce their production, shut d</w:t>
      </w:r>
      <w:r>
        <w:rPr>
          <w:rFonts w:eastAsia="Times New Roman"/>
          <w:color w:val="000000"/>
          <w:sz w:val="20"/>
          <w:szCs w:val="20"/>
        </w:rPr>
        <w:t>own their operations or file for bankruptcy protection, which could make it difficult for us to serve the market’s needs and could have a material adverse effect on our business.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While the Company selects these third-party vendors carefully, it does not </w:t>
      </w:r>
      <w:r>
        <w:rPr>
          <w:rFonts w:eastAsia="Times New Roman"/>
          <w:color w:val="000000"/>
          <w:sz w:val="20"/>
          <w:szCs w:val="20"/>
        </w:rPr>
        <w:t>control their actions or the components or manufacture of their products. Any problems caused by these third-parties, or issues associated with their products or workforce, including customer or governmental complaints, breakdowns or other disruptions in c</w:t>
      </w:r>
      <w:r>
        <w:rPr>
          <w:rFonts w:eastAsia="Times New Roman"/>
          <w:color w:val="000000"/>
          <w:sz w:val="20"/>
          <w:szCs w:val="20"/>
        </w:rPr>
        <w:t>ommunication services provided by a vendor, failure of a vendor to handle current or higher volumes, and cyber attacks or security breaches at a vendor could subject the Company to litigation and adversely affect the Company’s ability to deliver products a</w:t>
      </w:r>
      <w:r>
        <w:rPr>
          <w:rFonts w:eastAsia="Times New Roman"/>
          <w:color w:val="000000"/>
          <w:sz w:val="20"/>
          <w:szCs w:val="20"/>
        </w:rPr>
        <w:t>nd services to its customers and have a material adverse effect on our results of operations and financial condition.</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rely on foreign manufacturers for various products that we sell.  In addition, many of our domestic suppliers purchase a portion of t</w:t>
      </w:r>
      <w:r>
        <w:rPr>
          <w:rFonts w:eastAsia="Times New Roman"/>
          <w:color w:val="000000"/>
          <w:sz w:val="20"/>
          <w:szCs w:val="20"/>
        </w:rPr>
        <w:t>heir products from foreign sources.  As an importer, our business is subject to the risks generally associated with doing business internationally, such as domestic and foreign governmental regulations, economic disruptions, global or regional health epide</w:t>
      </w:r>
      <w:r>
        <w:rPr>
          <w:rFonts w:eastAsia="Times New Roman"/>
          <w:color w:val="000000"/>
          <w:sz w:val="20"/>
          <w:szCs w:val="20"/>
        </w:rPr>
        <w:t>mics, delays in shipments, transportation capacity and costs, currency exchange rates, and changes in political or economic conditions in countries from which we purchase products.  If any such factors were to render the conduct of business in particular c</w:t>
      </w:r>
      <w:r>
        <w:rPr>
          <w:rFonts w:eastAsia="Times New Roman"/>
          <w:color w:val="000000"/>
          <w:sz w:val="20"/>
          <w:szCs w:val="20"/>
        </w:rPr>
        <w:t>ountries undesirable or impractical or if additional U.S. quotas, duties, tariffs, taxes, or other charges or restrictions were imposed upon the importation of our products in the future, our financial condition and results of operations could be materiall</w:t>
      </w:r>
      <w:r>
        <w:rPr>
          <w:rFonts w:eastAsia="Times New Roman"/>
          <w:color w:val="000000"/>
          <w:sz w:val="20"/>
          <w:szCs w:val="20"/>
        </w:rPr>
        <w:t>y adversely affected.</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political landscape in the U.S. contains uncertainty with respect to tax and trade policies, tariffs and regulations affecting trade between the U.S. and other countries. We source a portion of our merchandise from manufacturers</w:t>
      </w:r>
      <w:r>
        <w:rPr>
          <w:rFonts w:eastAsia="Times New Roman"/>
          <w:color w:val="000000"/>
          <w:sz w:val="20"/>
          <w:szCs w:val="20"/>
        </w:rPr>
        <w:t xml:space="preserve"> located outside the U.S., primarily in Asia and Central America. Major developments in tax policy or trade relations, such as the disallowance of tax deductions for imported merchandise or the imposition of tariffs on imported products, could have a mater</w:t>
      </w:r>
      <w:r>
        <w:rPr>
          <w:rFonts w:eastAsia="Times New Roman"/>
          <w:color w:val="000000"/>
          <w:sz w:val="20"/>
          <w:szCs w:val="20"/>
        </w:rPr>
        <w:t>ial adverse effect on our business, results of operations, and financial condition.</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We rely on manufacturers located in foreign countries, including China, for merchandise. Additionally, a portion of our domestically purchased merchandise is manufactured</w:t>
      </w:r>
      <w:r>
        <w:rPr>
          <w:rFonts w:eastAsia="Times New Roman"/>
          <w:i/>
          <w:iCs/>
          <w:color w:val="000000"/>
          <w:sz w:val="20"/>
          <w:szCs w:val="20"/>
        </w:rPr>
        <w:t xml:space="preserve"> abroad. Our business may be materially adversely affected by risks associated with international trade, including the impact of tariffs (imposed and potential) by the U.S. with respect to certain consumer goods imported from China.</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source a portion o</w:t>
      </w:r>
      <w:r>
        <w:rPr>
          <w:rFonts w:eastAsia="Times New Roman"/>
          <w:color w:val="000000"/>
          <w:sz w:val="20"/>
          <w:szCs w:val="20"/>
        </w:rPr>
        <w:t xml:space="preserve">f our merchandise from manufacturers located outside the U.S., primarily in Asia and Central America, and many of our domestic vendors have a global supply chain. The U.S. has imposed tariffs on certain products imported into the U.S. from China and could </w:t>
      </w:r>
      <w:r>
        <w:rPr>
          <w:rFonts w:eastAsia="Times New Roman"/>
          <w:color w:val="000000"/>
          <w:sz w:val="20"/>
          <w:szCs w:val="20"/>
        </w:rPr>
        <w:t>propose additional tariffs. The imposition of tariffs on imported products has increased our costs and could result in reduced sales and profits. In addition, the imposition of tariffs by the U.S. has resulted in the adoption of tariffs by China on U.S. ex</w:t>
      </w:r>
      <w:r>
        <w:rPr>
          <w:rFonts w:eastAsia="Times New Roman"/>
          <w:color w:val="000000"/>
          <w:sz w:val="20"/>
          <w:szCs w:val="20"/>
        </w:rPr>
        <w:t xml:space="preserve">ports and could result in the adoption of tariffs by other countries as well. A resulting trade war could have a significant adverse effect on world trade and the world economy. Further, the imposition of tariffs or other changes in world trade could have </w:t>
      </w:r>
      <w:r>
        <w:rPr>
          <w:rFonts w:eastAsia="Times New Roman"/>
          <w:color w:val="000000"/>
          <w:sz w:val="20"/>
          <w:szCs w:val="20"/>
        </w:rPr>
        <w:t>an impact on certain U.S. industries and consumers and could negatively impact the consumer demand for products that we sell.</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continue to evaluate the impact of the effective and potential tariffs on our supply chain, costs, sales, and profitability as well as our strategies to mitigate any negative impact, including negotiating with our vendors, seeking alternative sourcing o</w:t>
      </w:r>
      <w:r>
        <w:rPr>
          <w:rFonts w:eastAsia="Times New Roman"/>
          <w:color w:val="000000"/>
          <w:sz w:val="20"/>
          <w:szCs w:val="20"/>
        </w:rPr>
        <w:t>ptions, and adjusting retail selling prices. Given the uncertainty regarding the scope and duration of the current and potential tariffs, as well as the potential for additional trade actions by the U.S. or other countries, the impact on our business, resu</w:t>
      </w:r>
      <w:r>
        <w:rPr>
          <w:rFonts w:eastAsia="Times New Roman"/>
          <w:color w:val="000000"/>
          <w:sz w:val="20"/>
          <w:szCs w:val="20"/>
        </w:rPr>
        <w:t>lts of operations, and financial condition is uncertain but could be significant. Thus, we can provide no assurance that any strategies we implement to mitigate the impact of such tariffs or other trade actions will be successful in whole or in part in mit</w:t>
      </w:r>
      <w:r>
        <w:rPr>
          <w:rFonts w:eastAsia="Times New Roman"/>
          <w:color w:val="000000"/>
          <w:sz w:val="20"/>
          <w:szCs w:val="20"/>
        </w:rPr>
        <w:t>igating the impact of any current or future tariffs. To the extent that our supply chain, costs, sales, or profitability are negatively affected by the tariffs or other trade actions, our business, financial condition, and results of operations may be mate</w:t>
      </w:r>
      <w:r>
        <w:rPr>
          <w:rFonts w:eastAsia="Times New Roman"/>
          <w:color w:val="000000"/>
          <w:sz w:val="20"/>
          <w:szCs w:val="20"/>
        </w:rPr>
        <w:t>rially adversely affected.</w:t>
      </w:r>
    </w:p>
    <w:p w:rsidR="00000000" w:rsidRDefault="00905244">
      <w:pPr>
        <w:divId w:val="4598668"/>
        <w:rPr>
          <w:rFonts w:eastAsia="Times New Roman"/>
        </w:rPr>
      </w:pPr>
    </w:p>
    <w:p w:rsidR="00000000" w:rsidRDefault="00905244">
      <w:pPr>
        <w:jc w:val="both"/>
        <w:rPr>
          <w:rFonts w:eastAsia="Times New Roman"/>
        </w:rPr>
      </w:pPr>
      <w:r>
        <w:rPr>
          <w:rFonts w:eastAsia="Times New Roman"/>
          <w:i/>
          <w:iCs/>
          <w:color w:val="000000"/>
          <w:sz w:val="20"/>
          <w:szCs w:val="20"/>
        </w:rPr>
        <w:t xml:space="preserve">A significant disruption to our distribution network or to the timely receipt of inventory could adversely impact sales or increase our transportation costs, which would decrease our profits.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We rely on our distribution and </w:t>
      </w:r>
      <w:r>
        <w:rPr>
          <w:rFonts w:eastAsia="Times New Roman"/>
          <w:color w:val="000000"/>
          <w:sz w:val="20"/>
          <w:szCs w:val="20"/>
        </w:rPr>
        <w:t xml:space="preserve">transportation network, including third-party logistics providers, to provide goods to our stores in a timely and cost-effective manner through deliveries to our distribution facilities from vendors and then from the distribution facilities or direct ship </w:t>
      </w:r>
      <w:r>
        <w:rPr>
          <w:rFonts w:eastAsia="Times New Roman"/>
          <w:color w:val="000000"/>
          <w:sz w:val="20"/>
          <w:szCs w:val="20"/>
        </w:rPr>
        <w:t>vendors to our stores or customers by various means of transportation, including shipments by sea, air, rail, and truck. Any disruption, unanticipated expense, or operational failure related to this process could negatively affect our operations. For examp</w:t>
      </w:r>
      <w:r>
        <w:rPr>
          <w:rFonts w:eastAsia="Times New Roman"/>
          <w:color w:val="000000"/>
          <w:sz w:val="20"/>
          <w:szCs w:val="20"/>
        </w:rPr>
        <w:t xml:space="preserve">le, unexpected delivery delays (including delays due to weather, fuel shortages, work stoppages, global or regional health epidemics, product shortages from vendors, or other reasons) or increases in transportation </w:t>
      </w:r>
    </w:p>
    <w:p w:rsidR="00000000" w:rsidRDefault="00905244">
      <w:pPr>
        <w:jc w:val="center"/>
        <w:divId w:val="1085304761"/>
        <w:rPr>
          <w:rFonts w:eastAsia="Times New Roman"/>
        </w:rPr>
      </w:pPr>
      <w:r>
        <w:rPr>
          <w:rFonts w:eastAsia="Times New Roman"/>
          <w:color w:val="000000"/>
          <w:sz w:val="20"/>
          <w:szCs w:val="20"/>
        </w:rPr>
        <w:t>15</w:t>
      </w:r>
    </w:p>
    <w:p w:rsidR="00000000" w:rsidRDefault="00905244">
      <w:pPr>
        <w:rPr>
          <w:rFonts w:eastAsia="Times New Roman"/>
        </w:rPr>
      </w:pPr>
      <w:r>
        <w:rPr>
          <w:rFonts w:eastAsia="Times New Roman"/>
        </w:rPr>
        <w:pict>
          <v:rect id="_x0000_i1043" style="width:0;height:1.5pt" o:hralign="center" o:hrstd="t" o:hr="t" fillcolor="#a0a0a0" stroked="f"/>
        </w:pict>
      </w:r>
    </w:p>
    <w:p w:rsidR="00000000" w:rsidRDefault="00905244">
      <w:pPr>
        <w:divId w:val="953556888"/>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costs (including increased fuel costs or a decrease in transportation capacity for overseas shipments) could significantly decrease our ability to provide adequate products for sale, or produc</w:t>
      </w:r>
      <w:r>
        <w:rPr>
          <w:rFonts w:eastAsia="Times New Roman"/>
          <w:color w:val="000000"/>
          <w:sz w:val="20"/>
          <w:szCs w:val="20"/>
        </w:rPr>
        <w:t>ts at a desired price, resulting in lower sales and profitability. In addition, labor shortages or work stoppages in the transportation industry or long-term disruptions to the national and international transportation infrastructure that lead to delays or</w:t>
      </w:r>
      <w:r>
        <w:rPr>
          <w:rFonts w:eastAsia="Times New Roman"/>
          <w:color w:val="000000"/>
          <w:sz w:val="20"/>
          <w:szCs w:val="20"/>
        </w:rPr>
        <w:t xml:space="preserve"> interruptions of deliveries could negatively affect our business. Also, a fire, tornado, or other disaster at one of our distribution facilities could disrupt our timely receiving, processing, and shipment of merchandise to our stores which could adversel</w:t>
      </w:r>
      <w:r>
        <w:rPr>
          <w:rFonts w:eastAsia="Times New Roman"/>
          <w:color w:val="000000"/>
          <w:sz w:val="20"/>
          <w:szCs w:val="20"/>
        </w:rPr>
        <w:t>y affect our business.</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The implementation of our supply chain initiatives could disrupt our operations in the near term, and these initiatives might not provide the anticipated benefits or might fail.</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maintain a network of distribution facilities an</w:t>
      </w:r>
      <w:r>
        <w:rPr>
          <w:rFonts w:eastAsia="Times New Roman"/>
          <w:color w:val="000000"/>
          <w:sz w:val="20"/>
          <w:szCs w:val="20"/>
        </w:rPr>
        <w:t xml:space="preserve">d have plans to build new distribution facilities and expand existing facilities to support our long-term strategic growth initiatives. Delays in opening new or expanded distribution facilities could adversely affect our future operations by slowing store </w:t>
      </w:r>
      <w:r>
        <w:rPr>
          <w:rFonts w:eastAsia="Times New Roman"/>
          <w:color w:val="000000"/>
          <w:sz w:val="20"/>
          <w:szCs w:val="20"/>
        </w:rPr>
        <w:t>growth or negatively impacting our fulfillment capabilities, which may in turn reduce revenue growth. In addition, distribution-related construction or expansion projects entail risks which could cause delays and cost overruns, such as: shortages of materi</w:t>
      </w:r>
      <w:r>
        <w:rPr>
          <w:rFonts w:eastAsia="Times New Roman"/>
          <w:color w:val="000000"/>
          <w:sz w:val="20"/>
          <w:szCs w:val="20"/>
        </w:rPr>
        <w:t>als; shortages of skilled labor or work stoppages; unforeseen construction, scheduling, engineering, environmental, or geological problems; weather interference; fires or other casualty losses; and unanticipated cost increases. The completion date and ulti</w:t>
      </w:r>
      <w:r>
        <w:rPr>
          <w:rFonts w:eastAsia="Times New Roman"/>
          <w:color w:val="000000"/>
          <w:sz w:val="20"/>
          <w:szCs w:val="20"/>
        </w:rPr>
        <w:t xml:space="preserve">mate cost of future projects could differ significantly from initial expectations due to construction-related or other reasons. We cannot guarantee that all projects will be completed on time or within established budgets.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continue to make significan</w:t>
      </w:r>
      <w:r>
        <w:rPr>
          <w:rFonts w:eastAsia="Times New Roman"/>
          <w:color w:val="000000"/>
          <w:sz w:val="20"/>
          <w:szCs w:val="20"/>
        </w:rPr>
        <w:t>t technology investments in our supply chain. These initiatives are designed to streamline our distribution process so that we can optimize the delivery of goods and services to our stores, distribution facilities, and customers in a timely manner and at a</w:t>
      </w:r>
      <w:r>
        <w:rPr>
          <w:rFonts w:eastAsia="Times New Roman"/>
          <w:color w:val="000000"/>
          <w:sz w:val="20"/>
          <w:szCs w:val="20"/>
        </w:rPr>
        <w:t xml:space="preserve"> reasonable cost. The cost and potential problems and interruptions associated with the implementation of these initiatives, including those associated with managing third-party service providers and employing new web-based tools and services, could disrup</w:t>
      </w:r>
      <w:r>
        <w:rPr>
          <w:rFonts w:eastAsia="Times New Roman"/>
          <w:color w:val="000000"/>
          <w:sz w:val="20"/>
          <w:szCs w:val="20"/>
        </w:rPr>
        <w:t>t or reduce the efficiency of our operations in the near term. In addition, our improved supply chain technology might not provide the anticipated benefits, it might take longer than expected to realize the anticipated benefits, or the initiatives might fa</w:t>
      </w:r>
      <w:r>
        <w:rPr>
          <w:rFonts w:eastAsia="Times New Roman"/>
          <w:color w:val="000000"/>
          <w:sz w:val="20"/>
          <w:szCs w:val="20"/>
        </w:rPr>
        <w:t>il altogether.</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We face risks from our use of service providers or other third-parties whom we rely upon for conducting our business.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Company is dependent upon numerous service providers and other third-parties to conduct our business, including e-c</w:t>
      </w:r>
      <w:r>
        <w:rPr>
          <w:rFonts w:eastAsia="Times New Roman"/>
          <w:color w:val="000000"/>
          <w:sz w:val="20"/>
          <w:szCs w:val="20"/>
        </w:rPr>
        <w:t>ommerce among others. While the Company selects these third-party vendors carefully, it does not control their actions. Any failure of these third-parties to provide the expected or agreed-upon level of service in a timely manner for any reason could adver</w:t>
      </w:r>
      <w:r>
        <w:rPr>
          <w:rFonts w:eastAsia="Times New Roman"/>
          <w:color w:val="000000"/>
          <w:sz w:val="20"/>
          <w:szCs w:val="20"/>
        </w:rPr>
        <w:t>sely affect the Company’s ability to deliver products and services to its customers and otherwise conduct its business. Further, our reputation or brand could be adversely impacted by the actions of these third-parties.</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Technology, Data Security, Busines</w:t>
      </w:r>
      <w:r>
        <w:rPr>
          <w:rFonts w:eastAsia="Times New Roman"/>
          <w:b/>
          <w:bCs/>
          <w:color w:val="000000"/>
          <w:sz w:val="20"/>
          <w:szCs w:val="20"/>
        </w:rPr>
        <w:t>s Continuity and Disaster Recovery Risks</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Any failure to maintain the security of the information relating to our business, customers, employees, and vendors that we hold, whether as a result of cybersecurity attacks or otherwise, could damage our reputat</w:t>
      </w:r>
      <w:r>
        <w:rPr>
          <w:rFonts w:eastAsia="Times New Roman"/>
          <w:i/>
          <w:iCs/>
          <w:color w:val="000000"/>
          <w:sz w:val="20"/>
          <w:szCs w:val="20"/>
        </w:rPr>
        <w:t xml:space="preserve">ion with customers, employees, and vendors, could cause us to incur substantial additional costs and to become subject to litigation, and could materially affect our operating results, financial condition, and liquidity.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depend on information systems</w:t>
      </w:r>
      <w:r>
        <w:rPr>
          <w:rFonts w:eastAsia="Times New Roman"/>
          <w:color w:val="000000"/>
          <w:sz w:val="20"/>
          <w:szCs w:val="20"/>
        </w:rPr>
        <w:t xml:space="preserve"> and technology, some of which are managed or provided by third-parties, for many activities important to our business. As do most retailers, we receive and store in our information systems certain personal and other sensitive information about our busines</w:t>
      </w:r>
      <w:r>
        <w:rPr>
          <w:rFonts w:eastAsia="Times New Roman"/>
          <w:color w:val="000000"/>
          <w:sz w:val="20"/>
          <w:szCs w:val="20"/>
        </w:rPr>
        <w:t xml:space="preserve">s, customers, employees, and vendors. Additionally, we also receive and process information permitting cashless payments as part of our in-store and online operations at </w:t>
      </w:r>
      <w:r>
        <w:rPr>
          <w:rFonts w:eastAsia="Times New Roman"/>
          <w:i/>
          <w:iCs/>
          <w:color w:val="000000"/>
          <w:sz w:val="20"/>
          <w:szCs w:val="20"/>
          <w:u w:val="single"/>
        </w:rPr>
        <w:t>TractorSupply.com</w:t>
      </w:r>
      <w:r>
        <w:rPr>
          <w:rFonts w:eastAsia="Times New Roman"/>
          <w:color w:val="000000"/>
          <w:sz w:val="20"/>
          <w:szCs w:val="20"/>
        </w:rPr>
        <w:t xml:space="preserve"> and </w:t>
      </w:r>
      <w:r>
        <w:rPr>
          <w:rFonts w:eastAsia="Times New Roman"/>
          <w:i/>
          <w:iCs/>
          <w:color w:val="000000"/>
          <w:sz w:val="20"/>
          <w:szCs w:val="20"/>
          <w:u w:val="single"/>
        </w:rPr>
        <w:t>Petsense.com</w:t>
      </w:r>
      <w:r>
        <w:rPr>
          <w:rFonts w:eastAsia="Times New Roman"/>
          <w:color w:val="000000"/>
          <w:sz w:val="20"/>
          <w:szCs w:val="20"/>
        </w:rPr>
        <w:t xml:space="preserve"> and on our mobile application, some of which depend</w:t>
      </w:r>
      <w:r>
        <w:rPr>
          <w:rFonts w:eastAsia="Times New Roman"/>
          <w:color w:val="000000"/>
          <w:sz w:val="20"/>
          <w:szCs w:val="20"/>
        </w:rPr>
        <w:t xml:space="preserve"> upon the secure transmission of confidential information over public networks. The information that we receive and store makes us subject to cybersecurity attacks, cyber incidents and privacy regulations, which are occurring more frequently, are constantl</w:t>
      </w:r>
      <w:r>
        <w:rPr>
          <w:rFonts w:eastAsia="Times New Roman"/>
          <w:color w:val="000000"/>
          <w:sz w:val="20"/>
          <w:szCs w:val="20"/>
        </w:rPr>
        <w:t>y evolving in nature, are becoming more sophisticated, and are being made by groups and individuals with a wide range of expertise and motives. We are the target of attempted cyber and other security threats and continuously monitor our information technol</w:t>
      </w:r>
      <w:r>
        <w:rPr>
          <w:rFonts w:eastAsia="Times New Roman"/>
          <w:color w:val="000000"/>
          <w:sz w:val="20"/>
          <w:szCs w:val="20"/>
        </w:rPr>
        <w:t>ogy networks and infrastructure in an effort to prevent, detect, address and mitigate the risk of unauthorized access, misuse, computer viruses and other events that could have a security impact. However, these security measures cannot provide absolute ass</w:t>
      </w:r>
      <w:r>
        <w:rPr>
          <w:rFonts w:eastAsia="Times New Roman"/>
          <w:color w:val="000000"/>
          <w:sz w:val="20"/>
          <w:szCs w:val="20"/>
        </w:rPr>
        <w:t>urance or guarantee that we will be successful in preventing, detecting, or responding to every such breach or disruption and/or preventing the misuse of confidential information of our business, customers, employees, or vendors. Similar risks exist with r</w:t>
      </w:r>
      <w:r>
        <w:rPr>
          <w:rFonts w:eastAsia="Times New Roman"/>
          <w:color w:val="000000"/>
          <w:sz w:val="20"/>
          <w:szCs w:val="20"/>
        </w:rPr>
        <w:t xml:space="preserve">espect to the third-party vendors that we rely upon for aspects of our information technology support services and administrative functions, even if the attack or breach does not directly impact our systems or information. </w:t>
      </w:r>
    </w:p>
    <w:p w:rsidR="00000000" w:rsidRDefault="00905244">
      <w:pPr>
        <w:jc w:val="both"/>
        <w:rPr>
          <w:rFonts w:eastAsia="Times New Roman"/>
        </w:rPr>
      </w:pPr>
    </w:p>
    <w:p w:rsidR="00000000" w:rsidRDefault="00905244">
      <w:pPr>
        <w:jc w:val="center"/>
        <w:divId w:val="841700951"/>
        <w:rPr>
          <w:rFonts w:eastAsia="Times New Roman"/>
        </w:rPr>
      </w:pPr>
      <w:r>
        <w:rPr>
          <w:rFonts w:eastAsia="Times New Roman"/>
          <w:color w:val="000000"/>
          <w:sz w:val="20"/>
          <w:szCs w:val="20"/>
        </w:rPr>
        <w:t>16</w:t>
      </w:r>
    </w:p>
    <w:p w:rsidR="00000000" w:rsidRDefault="00905244">
      <w:pPr>
        <w:rPr>
          <w:rFonts w:eastAsia="Times New Roman"/>
        </w:rPr>
      </w:pPr>
      <w:r>
        <w:rPr>
          <w:rFonts w:eastAsia="Times New Roman"/>
        </w:rPr>
        <w:pict>
          <v:rect id="_x0000_i1044" style="width:0;height:1.5pt" o:hralign="center" o:hrstd="t" o:hr="t" fillcolor="#a0a0a0" stroked="f"/>
        </w:pict>
      </w:r>
    </w:p>
    <w:p w:rsidR="00000000" w:rsidRDefault="00905244">
      <w:pPr>
        <w:divId w:val="1194683812"/>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A compromise of our information security and privacy controls, or those of businesses and vendors with whom we interact, which results in confidential information being accessed, obt</w:t>
      </w:r>
      <w:r>
        <w:rPr>
          <w:rFonts w:eastAsia="Times New Roman"/>
          <w:color w:val="000000"/>
          <w:sz w:val="20"/>
          <w:szCs w:val="20"/>
        </w:rPr>
        <w:t>ained, damaged, or used by unauthorized or improper parties; loss or unavailability of data; disruptions to our business activities; or any other outcome stemming from a cybersecurity incident could materially adversely affect our reputation with our custo</w:t>
      </w:r>
      <w:r>
        <w:rPr>
          <w:rFonts w:eastAsia="Times New Roman"/>
          <w:color w:val="000000"/>
          <w:sz w:val="20"/>
          <w:szCs w:val="20"/>
        </w:rPr>
        <w:t>mers, team members, and vendors, as well as our operations, results of operations, financial condition, and liquidity, and could result in significant legal and financial exposure beyond the scope or limits of insurance coverage. Moreover, a security breac</w:t>
      </w:r>
      <w:r>
        <w:rPr>
          <w:rFonts w:eastAsia="Times New Roman"/>
          <w:color w:val="000000"/>
          <w:sz w:val="20"/>
          <w:szCs w:val="20"/>
        </w:rPr>
        <w:t>h could require that we expend significant additional resources to respond to the attack or breach and could result in a disruption of our operations.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In addition, states and the federal government are increasingly enacting laws and regulations relating </w:t>
      </w:r>
      <w:r>
        <w:rPr>
          <w:rFonts w:eastAsia="Times New Roman"/>
          <w:color w:val="000000"/>
          <w:sz w:val="20"/>
          <w:szCs w:val="20"/>
        </w:rPr>
        <w:t>to privacy, data breaches, and theft of employee and customer data.  These laws will likely increase the costs of doing business and, if we fail to comply with these laws and regulations, to implement appropriate safeguards, or to detect and provide prompt</w:t>
      </w:r>
      <w:r>
        <w:rPr>
          <w:rFonts w:eastAsia="Times New Roman"/>
          <w:color w:val="000000"/>
          <w:sz w:val="20"/>
          <w:szCs w:val="20"/>
        </w:rPr>
        <w:t xml:space="preserve"> notice of unauthorized access as required by some of these new laws, we could be subject to potential claims for damages and other remedies, which could harm our business. </w:t>
      </w:r>
    </w:p>
    <w:p w:rsidR="00000000" w:rsidRDefault="00905244">
      <w:pPr>
        <w:divId w:val="439498401"/>
        <w:rPr>
          <w:rFonts w:eastAsia="Times New Roman"/>
        </w:rPr>
      </w:pPr>
    </w:p>
    <w:p w:rsidR="00000000" w:rsidRDefault="00905244">
      <w:pPr>
        <w:jc w:val="both"/>
        <w:rPr>
          <w:rFonts w:eastAsia="Times New Roman"/>
        </w:rPr>
      </w:pPr>
      <w:r>
        <w:rPr>
          <w:rFonts w:eastAsia="Times New Roman"/>
          <w:i/>
          <w:iCs/>
          <w:color w:val="000000"/>
          <w:sz w:val="20"/>
          <w:szCs w:val="20"/>
        </w:rPr>
        <w:t>We are subject to payments-related risks that could increase our operating costs</w:t>
      </w:r>
      <w:r>
        <w:rPr>
          <w:rFonts w:eastAsia="Times New Roman"/>
          <w:i/>
          <w:iCs/>
          <w:color w:val="000000"/>
          <w:sz w:val="20"/>
          <w:szCs w:val="20"/>
        </w:rPr>
        <w:t>, expose us to fraud, subject us to potential liability, and potentially disrupt our business.</w:t>
      </w:r>
    </w:p>
    <w:p w:rsidR="00000000" w:rsidRDefault="00905244">
      <w:pPr>
        <w:divId w:val="1316491041"/>
        <w:rPr>
          <w:rFonts w:eastAsia="Times New Roman"/>
        </w:rPr>
      </w:pPr>
    </w:p>
    <w:p w:rsidR="00000000" w:rsidRDefault="00905244">
      <w:pPr>
        <w:jc w:val="both"/>
        <w:rPr>
          <w:rFonts w:eastAsia="Times New Roman"/>
        </w:rPr>
      </w:pPr>
      <w:r>
        <w:rPr>
          <w:rFonts w:eastAsia="Times New Roman"/>
          <w:color w:val="000000"/>
          <w:sz w:val="20"/>
          <w:szCs w:val="20"/>
        </w:rPr>
        <w:t>We accept payments using a variety of methods, including credit cards, debit cards, credit accounts, our private label credit cards, gift cards, direct debit from a customer’s bank account, consumer invoicing, and physical bank checks, and we may offer dif</w:t>
      </w:r>
      <w:r>
        <w:rPr>
          <w:rFonts w:eastAsia="Times New Roman"/>
          <w:color w:val="000000"/>
          <w:sz w:val="20"/>
          <w:szCs w:val="20"/>
        </w:rPr>
        <w:t>ferent payment options over time. These payment options subject us to many compliance requirements, including, but not limited to, compliance with payment card association operating rules, including data security rules, certification requirements, rules go</w:t>
      </w:r>
      <w:r>
        <w:rPr>
          <w:rFonts w:eastAsia="Times New Roman"/>
          <w:color w:val="000000"/>
          <w:sz w:val="20"/>
          <w:szCs w:val="20"/>
        </w:rPr>
        <w:t>verning electronic funds transfers, and Payment Card Industry Data Security Standards. They also subject us to potential fraud by criminal elements seeking to discover and take advantage of security vulnerabilities that may exist in some of these payment s</w:t>
      </w:r>
      <w:r>
        <w:rPr>
          <w:rFonts w:eastAsia="Times New Roman"/>
          <w:color w:val="000000"/>
          <w:sz w:val="20"/>
          <w:szCs w:val="20"/>
        </w:rPr>
        <w:t>ystems. For certain payment methods, including credit and debit cards, we pay interchange and other fees, which may increase over time and raise our operating costs and lower profitability. We rely on third parties to provide payment processing services, i</w:t>
      </w:r>
      <w:r>
        <w:rPr>
          <w:rFonts w:eastAsia="Times New Roman"/>
          <w:color w:val="000000"/>
          <w:sz w:val="20"/>
          <w:szCs w:val="20"/>
        </w:rPr>
        <w:t xml:space="preserve">ncluding the processing of credit cards, debit cards, electronic checks, gift cards and promotional financing, and it could disrupt our business if these companies become unwilling or unable to provide these services to us. If we fail to comply with these </w:t>
      </w:r>
      <w:r>
        <w:rPr>
          <w:rFonts w:eastAsia="Times New Roman"/>
          <w:color w:val="000000"/>
          <w:sz w:val="20"/>
          <w:szCs w:val="20"/>
        </w:rPr>
        <w:t>rules or requirements, adequately encrypt payment transaction data, or if our data security systems are breached or compromised, we may be liable for card issuing banks’ costs, subject to fines and higher transaction fees, and lose our ability to accept cr</w:t>
      </w:r>
      <w:r>
        <w:rPr>
          <w:rFonts w:eastAsia="Times New Roman"/>
          <w:color w:val="000000"/>
          <w:sz w:val="20"/>
          <w:szCs w:val="20"/>
        </w:rPr>
        <w:t>edit and debit card payments from our customers, process electronic funds transfers, or facilitate other types of online payments, and our business and operating results could be adversely affected.</w:t>
      </w:r>
    </w:p>
    <w:p w:rsidR="00000000" w:rsidRDefault="00905244">
      <w:pPr>
        <w:divId w:val="1927419810"/>
        <w:rPr>
          <w:rFonts w:eastAsia="Times New Roman"/>
        </w:rPr>
      </w:pPr>
    </w:p>
    <w:p w:rsidR="00000000" w:rsidRDefault="00905244">
      <w:pPr>
        <w:jc w:val="both"/>
        <w:rPr>
          <w:rFonts w:eastAsia="Times New Roman"/>
        </w:rPr>
      </w:pPr>
      <w:r>
        <w:rPr>
          <w:rFonts w:eastAsia="Times New Roman"/>
          <w:i/>
          <w:iCs/>
          <w:color w:val="000000"/>
          <w:sz w:val="20"/>
          <w:szCs w:val="20"/>
        </w:rPr>
        <w:t>Our business and operations could suffer material losse</w:t>
      </w:r>
      <w:r>
        <w:rPr>
          <w:rFonts w:eastAsia="Times New Roman"/>
          <w:i/>
          <w:iCs/>
          <w:color w:val="000000"/>
          <w:sz w:val="20"/>
          <w:szCs w:val="20"/>
        </w:rPr>
        <w:t>s in the event of system interruptions or failures.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Our information technology systems, some of which are dependent on services managed or provided by third-parties, serve an important role in the operation and administration of our business. These systems are vulnerable to damages from any number of source</w:t>
      </w:r>
      <w:r>
        <w:rPr>
          <w:rFonts w:eastAsia="Times New Roman"/>
          <w:color w:val="000000"/>
          <w:sz w:val="20"/>
          <w:szCs w:val="20"/>
        </w:rPr>
        <w:t>s, including, but not limited to, human error, cybersecurity attacks, computer viruses, unauthorized access, fire, flood, power outages, telecommunication failures, facility or equipment damage, natural disasters, terrorism, and war.  In addition, we conti</w:t>
      </w:r>
      <w:r>
        <w:rPr>
          <w:rFonts w:eastAsia="Times New Roman"/>
          <w:color w:val="000000"/>
          <w:sz w:val="20"/>
          <w:szCs w:val="20"/>
        </w:rPr>
        <w:t>nually make investments in technology to implement new processes and systems, as well as to maintain and update our existing processes and systems. Implementing process and system changes increases the risk of disruption. If our information technology syst</w:t>
      </w:r>
      <w:r>
        <w:rPr>
          <w:rFonts w:eastAsia="Times New Roman"/>
          <w:color w:val="000000"/>
          <w:sz w:val="20"/>
          <w:szCs w:val="20"/>
        </w:rPr>
        <w:t>ems are interrupted or fail and our redundant systems or recovery plans are not adequate to address such interruptions or failures on a timely basis, our revenues and profits could be reduced and the reputation of our brand and our business could be materi</w:t>
      </w:r>
      <w:r>
        <w:rPr>
          <w:rFonts w:eastAsia="Times New Roman"/>
          <w:color w:val="000000"/>
          <w:sz w:val="20"/>
          <w:szCs w:val="20"/>
        </w:rPr>
        <w:t>ally adversely affected.  Additionally, remediation of any problems with our systems could result in significant, unplanned expenses.</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Customer-facing technology systems are an important part of our sales and marketing strategy and the failure of those sy</w:t>
      </w:r>
      <w:r>
        <w:rPr>
          <w:rFonts w:eastAsia="Times New Roman"/>
          <w:i/>
          <w:iCs/>
          <w:color w:val="000000"/>
          <w:sz w:val="20"/>
          <w:szCs w:val="20"/>
        </w:rPr>
        <w:t>stems to perform effectively and reliably could keep us from delivering positive customer experiences.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Through our continued information technology enhancements, we are able to provide an improved overall shopping environment and an omni-channel experien</w:t>
      </w:r>
      <w:r>
        <w:rPr>
          <w:rFonts w:eastAsia="Times New Roman"/>
          <w:color w:val="000000"/>
          <w:sz w:val="20"/>
          <w:szCs w:val="20"/>
        </w:rPr>
        <w:t xml:space="preserve">ce that empowers our customers to shop and interact with us from computers, tablets, smart phones, and other mobile communication devices. We use our websites, </w:t>
      </w:r>
      <w:r>
        <w:rPr>
          <w:rFonts w:eastAsia="Times New Roman"/>
          <w:i/>
          <w:iCs/>
          <w:color w:val="000000"/>
          <w:sz w:val="20"/>
          <w:szCs w:val="20"/>
          <w:u w:val="single"/>
        </w:rPr>
        <w:t>TractorSupply.com</w:t>
      </w:r>
      <w:r>
        <w:rPr>
          <w:rFonts w:eastAsia="Times New Roman"/>
          <w:color w:val="000000"/>
          <w:sz w:val="20"/>
          <w:szCs w:val="20"/>
        </w:rPr>
        <w:t xml:space="preserve"> and </w:t>
      </w:r>
      <w:r>
        <w:rPr>
          <w:rFonts w:eastAsia="Times New Roman"/>
          <w:i/>
          <w:iCs/>
          <w:color w:val="000000"/>
          <w:sz w:val="20"/>
          <w:szCs w:val="20"/>
          <w:u w:val="single"/>
        </w:rPr>
        <w:t>Petsense.com</w:t>
      </w:r>
      <w:r>
        <w:rPr>
          <w:rFonts w:eastAsia="Times New Roman"/>
          <w:color w:val="000000"/>
          <w:sz w:val="20"/>
          <w:szCs w:val="20"/>
        </w:rPr>
        <w:t>, and our mobile application as both a sales channel for our p</w:t>
      </w:r>
      <w:r>
        <w:rPr>
          <w:rFonts w:eastAsia="Times New Roman"/>
          <w:color w:val="000000"/>
          <w:sz w:val="20"/>
          <w:szCs w:val="20"/>
        </w:rPr>
        <w:t>roducts and as a method of providing product, project, and other relevant information to our customers to drive in-store and online sales. Omni-channel retailing is continually evolving and expanding, and we must effectively respond to changing customer ex</w:t>
      </w:r>
      <w:r>
        <w:rPr>
          <w:rFonts w:eastAsia="Times New Roman"/>
          <w:color w:val="000000"/>
          <w:sz w:val="20"/>
          <w:szCs w:val="20"/>
        </w:rPr>
        <w:t>pectations and new developments. Disruptions, failures, or other performance issues with these customer-facing technology systems could impair the benefits that they provide to our in-store and online business and negatively affect our relationship with ou</w:t>
      </w:r>
      <w:r>
        <w:rPr>
          <w:rFonts w:eastAsia="Times New Roman"/>
          <w:color w:val="000000"/>
          <w:sz w:val="20"/>
          <w:szCs w:val="20"/>
        </w:rPr>
        <w:t>r customers.</w:t>
      </w:r>
    </w:p>
    <w:p w:rsidR="00000000" w:rsidRDefault="00905244">
      <w:pPr>
        <w:jc w:val="both"/>
        <w:rPr>
          <w:rFonts w:eastAsia="Times New Roman"/>
        </w:rPr>
      </w:pPr>
    </w:p>
    <w:p w:rsidR="00000000" w:rsidRDefault="00905244">
      <w:pPr>
        <w:jc w:val="center"/>
        <w:divId w:val="557714732"/>
        <w:rPr>
          <w:rFonts w:eastAsia="Times New Roman"/>
        </w:rPr>
      </w:pPr>
      <w:r>
        <w:rPr>
          <w:rFonts w:eastAsia="Times New Roman"/>
          <w:color w:val="000000"/>
          <w:sz w:val="20"/>
          <w:szCs w:val="20"/>
        </w:rPr>
        <w:t>17</w:t>
      </w:r>
    </w:p>
    <w:p w:rsidR="00000000" w:rsidRDefault="00905244">
      <w:pPr>
        <w:rPr>
          <w:rFonts w:eastAsia="Times New Roman"/>
        </w:rPr>
      </w:pPr>
      <w:r>
        <w:rPr>
          <w:rFonts w:eastAsia="Times New Roman"/>
        </w:rPr>
        <w:pict>
          <v:rect id="_x0000_i1045" style="width:0;height:1.5pt" o:hralign="center" o:hrstd="t" o:hr="t" fillcolor="#a0a0a0" stroked="f"/>
        </w:pict>
      </w:r>
    </w:p>
    <w:p w:rsidR="00000000" w:rsidRDefault="00905244">
      <w:pPr>
        <w:divId w:val="1608923362"/>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i/>
          <w:iCs/>
          <w:color w:val="000000"/>
          <w:sz w:val="20"/>
          <w:szCs w:val="20"/>
        </w:rPr>
        <w:t>If we are unable to maintain or upgrade our management information systems and software programs or if we are unable to convert to alterna</w:t>
      </w:r>
      <w:r>
        <w:rPr>
          <w:rFonts w:eastAsia="Times New Roman"/>
          <w:i/>
          <w:iCs/>
          <w:color w:val="000000"/>
          <w:sz w:val="20"/>
          <w:szCs w:val="20"/>
        </w:rPr>
        <w:t>te systems in an efficient and timely manner, our operations may be disrupted or become less efficient and our long-term strategic growth initiatives may not be successful.</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depend on management information systems for many aspects of our business.  We</w:t>
      </w:r>
      <w:r>
        <w:rPr>
          <w:rFonts w:eastAsia="Times New Roman"/>
          <w:color w:val="000000"/>
          <w:sz w:val="20"/>
          <w:szCs w:val="20"/>
        </w:rPr>
        <w:t xml:space="preserve"> rely on certain software vendors to maintain and periodically upgrade many of these systems so that we can continue to support our business. We could be materially adversely affected if we experienced a disruption or data loss relating to our management i</w:t>
      </w:r>
      <w:r>
        <w:rPr>
          <w:rFonts w:eastAsia="Times New Roman"/>
          <w:color w:val="000000"/>
          <w:sz w:val="20"/>
          <w:szCs w:val="20"/>
        </w:rPr>
        <w:t>nformation systems and are unable to recover timely. We could also be adversely impacted if we are unable to improve, upgrade, maintain, and expand our management information systems, particularly in light of the contemplated continued store growth.</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The </w:t>
      </w:r>
      <w:r>
        <w:rPr>
          <w:rFonts w:eastAsia="Times New Roman"/>
          <w:color w:val="000000"/>
          <w:sz w:val="20"/>
          <w:szCs w:val="20"/>
        </w:rPr>
        <w:t>success of our long-term strategic growth initiatives designed to increase our sales and improve margin are dependent in varying degrees on the timely delivery and the functionality of information technology systems to support them.  Extended delays or cos</w:t>
      </w:r>
      <w:r>
        <w:rPr>
          <w:rFonts w:eastAsia="Times New Roman"/>
          <w:color w:val="000000"/>
          <w:sz w:val="20"/>
          <w:szCs w:val="20"/>
        </w:rPr>
        <w:t>t overruns in securing, developing, and otherwise implementing technology solutions to support the long-term strategic growth initiatives would delay and possibly even prevent us from realizing the projected benefits of those initiatives.</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Financial Risks</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Changes in market conditions or in our credit rating could restrict capital and adversely affect our business operations and growth initiatives.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rely on the positive cash flow we generate from our operating activities and our access to the credit a</w:t>
      </w:r>
      <w:r>
        <w:rPr>
          <w:rFonts w:eastAsia="Times New Roman"/>
          <w:color w:val="000000"/>
          <w:sz w:val="20"/>
          <w:szCs w:val="20"/>
        </w:rPr>
        <w:t>nd capital markets to fund our operations, growth strategy, capital expenditures, and return of cash to our shareholders through share repurchases and dividends. Changes in the credit and capital markets, including market disruptions, limited liquidity and</w:t>
      </w:r>
      <w:r>
        <w:rPr>
          <w:rFonts w:eastAsia="Times New Roman"/>
          <w:color w:val="000000"/>
          <w:sz w:val="20"/>
          <w:szCs w:val="20"/>
        </w:rPr>
        <w:t xml:space="preserve"> interest rate fluctuations, may increase the cost of financing or restrict our access to these potential sources of future liquidity. Our continued access to liquidity sources on favorable terms depends on multiple factors, including our operating perform</w:t>
      </w:r>
      <w:r>
        <w:rPr>
          <w:rFonts w:eastAsia="Times New Roman"/>
          <w:color w:val="000000"/>
          <w:sz w:val="20"/>
          <w:szCs w:val="20"/>
        </w:rPr>
        <w:t xml:space="preserve">ance and credit ratings. There can be no assurance that we will be able to maintain and/or improve our current credit ratings. A rating organization may lower our rating, or change our ratings’ outlook, or decide not to rate our securities, temporarily or </w:t>
      </w:r>
      <w:r>
        <w:rPr>
          <w:rFonts w:eastAsia="Times New Roman"/>
          <w:color w:val="000000"/>
          <w:sz w:val="20"/>
          <w:szCs w:val="20"/>
        </w:rPr>
        <w:t>permanently, in its sole discretion. In the event that our current credit ratings are downgraded or removed, we would most likely incur higher borrowing costs and experience greater difficulty in obtaining additional financing, which in turn would have a m</w:t>
      </w:r>
      <w:r>
        <w:rPr>
          <w:rFonts w:eastAsia="Times New Roman"/>
          <w:color w:val="000000"/>
          <w:sz w:val="20"/>
          <w:szCs w:val="20"/>
        </w:rPr>
        <w:t>aterial adverse impact on our financial condition, results of operations, cash flows, and liquidity. We can make no assurances that our ability to obtain additional financing through the debt markets will not be adversely affected by economic conditions or</w:t>
      </w:r>
      <w:r>
        <w:rPr>
          <w:rFonts w:eastAsia="Times New Roman"/>
          <w:color w:val="000000"/>
          <w:sz w:val="20"/>
          <w:szCs w:val="20"/>
        </w:rPr>
        <w:t xml:space="preserve"> that we will be able to maintain or improve our current credit ratings.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In addition, tight lending practices may make it difficult for our real estate developers to obtain financing under acceptable loan terms and conditions.  Unfavorable lending condit</w:t>
      </w:r>
      <w:r>
        <w:rPr>
          <w:rFonts w:eastAsia="Times New Roman"/>
          <w:color w:val="000000"/>
          <w:sz w:val="20"/>
          <w:szCs w:val="20"/>
        </w:rPr>
        <w:t>ions could impact the timing of our store openings and materially adversely affect our ability to open new stores in desirable locations.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Longer-term disruptions in the capital and credit markets as a result of uncertainty, changing or increased regulati</w:t>
      </w:r>
      <w:r>
        <w:rPr>
          <w:rFonts w:eastAsia="Times New Roman"/>
          <w:color w:val="000000"/>
          <w:sz w:val="20"/>
          <w:szCs w:val="20"/>
        </w:rPr>
        <w:t>on, reduced funding alternatives, or failures of significant financial institutions could adversely affect our access to liquidity needed for our business.  Any disruption could require us to take measures to conserve cash until the markets stabilize or un</w:t>
      </w:r>
      <w:r>
        <w:rPr>
          <w:rFonts w:eastAsia="Times New Roman"/>
          <w:color w:val="000000"/>
          <w:sz w:val="20"/>
          <w:szCs w:val="20"/>
        </w:rPr>
        <w:t>til alternative credit arrangements or other funding for our business needs can be arranged.  Such measures could include deferring capital expenditures and reducing or eliminating future share repurchases, cash dividends, or other discretionary uses of ca</w:t>
      </w:r>
      <w:r>
        <w:rPr>
          <w:rFonts w:eastAsia="Times New Roman"/>
          <w:color w:val="000000"/>
          <w:sz w:val="20"/>
          <w:szCs w:val="20"/>
        </w:rPr>
        <w:t>sh.</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Our level of indebtedness could limit our cash flow available for operations and could adversely affect our ability to service our debt or obtain additional financing.</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As of December 26, 2020, our total outstanding consolidated debt was approximately $98</w:t>
      </w:r>
      <w:r>
        <w:rPr>
          <w:rFonts w:eastAsia="Times New Roman"/>
          <w:color w:val="000000"/>
          <w:sz w:val="20"/>
          <w:szCs w:val="20"/>
        </w:rPr>
        <w:t>4.3 million. Our level of indebtedness could restrict our operations and make it more difficult for us to satisfy our debt obligations. Our ability to make payments on our indebtedness, to refinance our indebtedness, and to fund planned capital expenditure</w:t>
      </w:r>
      <w:r>
        <w:rPr>
          <w:rFonts w:eastAsia="Times New Roman"/>
          <w:color w:val="000000"/>
          <w:sz w:val="20"/>
          <w:szCs w:val="20"/>
        </w:rPr>
        <w:t>s will depend on our ability to generate cash in the future.</w:t>
      </w:r>
      <w:r>
        <w:rPr>
          <w:rFonts w:eastAsia="Times New Roman"/>
          <w:color w:val="000000"/>
        </w:rPr>
        <w:t xml:space="preserve"> </w:t>
      </w:r>
      <w:r>
        <w:rPr>
          <w:rFonts w:eastAsia="Times New Roman"/>
          <w:color w:val="000000"/>
          <w:sz w:val="20"/>
          <w:szCs w:val="20"/>
        </w:rPr>
        <w:t>This, to a certain extent, is subject to general economic, financial, competitive, legislative, regulatory, and other factors that are beyond our control. The risk exists that our business will b</w:t>
      </w:r>
      <w:r>
        <w:rPr>
          <w:rFonts w:eastAsia="Times New Roman"/>
          <w:color w:val="000000"/>
          <w:sz w:val="20"/>
          <w:szCs w:val="20"/>
        </w:rPr>
        <w:t>e unable to generate sufficient cash flow from operations or that future borrowings will not be available to us in an amount sufficient to enable us to pay our indebtedness or to fund our other liquidity needs.</w:t>
      </w:r>
      <w:r>
        <w:rPr>
          <w:rFonts w:eastAsia="Times New Roman"/>
          <w:color w:val="000000"/>
        </w:rPr>
        <w:t xml:space="preserve"> </w:t>
      </w:r>
      <w:r>
        <w:rPr>
          <w:rFonts w:eastAsia="Times New Roman"/>
          <w:color w:val="000000"/>
          <w:sz w:val="20"/>
          <w:szCs w:val="20"/>
        </w:rPr>
        <w:t xml:space="preserve">We may need to refinance all or a portion of </w:t>
      </w:r>
      <w:r>
        <w:rPr>
          <w:rFonts w:eastAsia="Times New Roman"/>
          <w:color w:val="000000"/>
          <w:sz w:val="20"/>
          <w:szCs w:val="20"/>
        </w:rPr>
        <w:t>our indebtedness on or before maturity.</w:t>
      </w:r>
      <w:r>
        <w:rPr>
          <w:rFonts w:eastAsia="Times New Roman"/>
          <w:color w:val="000000"/>
        </w:rPr>
        <w:t xml:space="preserve"> </w:t>
      </w:r>
      <w:r>
        <w:rPr>
          <w:rFonts w:eastAsia="Times New Roman"/>
          <w:color w:val="000000"/>
          <w:sz w:val="20"/>
          <w:szCs w:val="20"/>
        </w:rPr>
        <w:t>Our ability to refinance all or a portion of our indebtedness on acceptable terms, or at all, will be dependent upon a number of factors, including our degree of leverage, the value of our assets, borrowing and other</w:t>
      </w:r>
      <w:r>
        <w:rPr>
          <w:rFonts w:eastAsia="Times New Roman"/>
          <w:color w:val="000000"/>
          <w:sz w:val="20"/>
          <w:szCs w:val="20"/>
        </w:rPr>
        <w:t xml:space="preserve"> financial restrictions imposed by lenders and conditions in the credit markets at the time we refinance. If we are unable to refinance our indebtedness on acceptable terms, we may be forced to agree to otherwise unfavorable financing terms. This could hav</w:t>
      </w:r>
      <w:r>
        <w:rPr>
          <w:rFonts w:eastAsia="Times New Roman"/>
          <w:color w:val="000000"/>
          <w:sz w:val="20"/>
          <w:szCs w:val="20"/>
        </w:rPr>
        <w:t>e a material adverse effect on our business, financial condition and results of operations.</w:t>
      </w:r>
    </w:p>
    <w:p w:rsidR="00000000" w:rsidRDefault="00905244">
      <w:pPr>
        <w:jc w:val="center"/>
        <w:divId w:val="1575160298"/>
        <w:rPr>
          <w:rFonts w:eastAsia="Times New Roman"/>
        </w:rPr>
      </w:pPr>
      <w:r>
        <w:rPr>
          <w:rFonts w:eastAsia="Times New Roman"/>
          <w:color w:val="000000"/>
          <w:sz w:val="20"/>
          <w:szCs w:val="20"/>
        </w:rPr>
        <w:t>18</w:t>
      </w:r>
    </w:p>
    <w:p w:rsidR="00000000" w:rsidRDefault="00905244">
      <w:pPr>
        <w:rPr>
          <w:rFonts w:eastAsia="Times New Roman"/>
        </w:rPr>
      </w:pPr>
      <w:r>
        <w:rPr>
          <w:rFonts w:eastAsia="Times New Roman"/>
        </w:rPr>
        <w:pict>
          <v:rect id="_x0000_i1046" style="width:0;height:1.5pt" o:hralign="center" o:hrstd="t" o:hr="t" fillcolor="#a0a0a0" stroked="f"/>
        </w:pict>
      </w:r>
    </w:p>
    <w:p w:rsidR="00000000" w:rsidRDefault="00905244">
      <w:pPr>
        <w:divId w:val="276720537"/>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In addition, so long as we comply with any existing limitations in our credit and debt agreements while they are in effect, we may issue an indeterminate amount of debt securities from time to time. If new debt is added to our and our subsidiaries' current</w:t>
      </w:r>
      <w:r>
        <w:rPr>
          <w:rFonts w:eastAsia="Times New Roman"/>
          <w:color w:val="000000"/>
          <w:sz w:val="20"/>
          <w:szCs w:val="20"/>
        </w:rPr>
        <w:t xml:space="preserve"> debt levels, the related risks that we and they now face could intensify.</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Our credit facilities, the indenture related to our 1.75% Senior Notes, and other debt instruments have restrictive covenants and change of control provisions that could limit our</w:t>
      </w:r>
      <w:r>
        <w:rPr>
          <w:rFonts w:eastAsia="Times New Roman"/>
          <w:i/>
          <w:iCs/>
          <w:color w:val="000000"/>
          <w:sz w:val="20"/>
          <w:szCs w:val="20"/>
        </w:rPr>
        <w:t xml:space="preserve"> financial and business flexibility.</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Our credit agreement governing our senior credit facilities and our note purchase and private shelf agreement governing our senior unsecured notes due August 14, 2029 (the “2029 notes”) each contain financial, operati</w:t>
      </w:r>
      <w:r>
        <w:rPr>
          <w:rFonts w:eastAsia="Times New Roman"/>
          <w:color w:val="000000"/>
          <w:sz w:val="20"/>
          <w:szCs w:val="20"/>
        </w:rPr>
        <w:t>ve and other restrictive covenants in addition to the restrictive covenants contained in the indenture governing our 1.75% Senior Notes (as defined in the Notes to the Consolidated Financial Statements). Our failure to comply with those covenants could res</w:t>
      </w:r>
      <w:r>
        <w:rPr>
          <w:rFonts w:eastAsia="Times New Roman"/>
          <w:color w:val="000000"/>
          <w:sz w:val="20"/>
          <w:szCs w:val="20"/>
        </w:rPr>
        <w:t>ult in an event of default which, if not cured or waived, could result in the acceleration of all of our debt, which would have a material adverse effect on our financial condition. In addition, upon certain events constituting a change of control, as that</w:t>
      </w:r>
      <w:r>
        <w:rPr>
          <w:rFonts w:eastAsia="Times New Roman"/>
          <w:color w:val="000000"/>
          <w:sz w:val="20"/>
          <w:szCs w:val="20"/>
        </w:rPr>
        <w:t xml:space="preserve"> term is defined in the indenture for our 1.75% Senior Notes and in our note purchase and private shelf agreement for our 2029 notes, we are required to make an offer in cash to repurchase all or any part of each holder's 1.75% Senior Notes at a repurchase</w:t>
      </w:r>
      <w:r>
        <w:rPr>
          <w:rFonts w:eastAsia="Times New Roman"/>
          <w:color w:val="000000"/>
          <w:sz w:val="20"/>
          <w:szCs w:val="20"/>
        </w:rPr>
        <w:t xml:space="preserve"> price equal to 101% of the principal thereof, plus accrued interest, and to prepay all of each holder’s 2029 notes at a prepayment price equal to 100% of the principal thereof, plus accrued interest.</w:t>
      </w:r>
      <w:r>
        <w:rPr>
          <w:rFonts w:eastAsia="Times New Roman"/>
          <w:color w:val="000000"/>
        </w:rPr>
        <w:t xml:space="preserve"> </w:t>
      </w:r>
      <w:r>
        <w:rPr>
          <w:rFonts w:eastAsia="Times New Roman"/>
          <w:color w:val="000000"/>
          <w:sz w:val="20"/>
          <w:szCs w:val="20"/>
        </w:rPr>
        <w:t>Sufficient funds may not be available to us, however, a</w:t>
      </w:r>
      <w:r>
        <w:rPr>
          <w:rFonts w:eastAsia="Times New Roman"/>
          <w:color w:val="000000"/>
          <w:sz w:val="20"/>
          <w:szCs w:val="20"/>
        </w:rPr>
        <w:t>t the time of any change of control event to repurchase and prepay, as applicable, all or a portion of the tendered notes pursuant to these requirements.</w:t>
      </w:r>
      <w:r>
        <w:rPr>
          <w:rFonts w:eastAsia="Times New Roman"/>
          <w:color w:val="000000"/>
        </w:rPr>
        <w:t xml:space="preserve"> </w:t>
      </w:r>
      <w:r>
        <w:rPr>
          <w:rFonts w:eastAsia="Times New Roman"/>
          <w:color w:val="000000"/>
          <w:sz w:val="20"/>
          <w:szCs w:val="20"/>
        </w:rPr>
        <w:t>Our failure to offer to repurchase 1.75% Senior Notes and prepay 2029 notes, or to repurchase and prep</w:t>
      </w:r>
      <w:r>
        <w:rPr>
          <w:rFonts w:eastAsia="Times New Roman"/>
          <w:color w:val="000000"/>
          <w:sz w:val="20"/>
          <w:szCs w:val="20"/>
        </w:rPr>
        <w:t>ay, as applicable, notes tendered, following a change of control will result in a default under the indentures for our 1.75% Senior Notes and the note purchase and private shelf agreement for our 2029 notes, which could lead to a cross-default under our cr</w:t>
      </w:r>
      <w:r>
        <w:rPr>
          <w:rFonts w:eastAsia="Times New Roman"/>
          <w:color w:val="000000"/>
          <w:sz w:val="20"/>
          <w:szCs w:val="20"/>
        </w:rPr>
        <w:t>edit agreement for our senior credit facilities.</w:t>
      </w:r>
      <w:r>
        <w:rPr>
          <w:rFonts w:eastAsia="Times New Roman"/>
          <w:color w:val="000000"/>
        </w:rPr>
        <w:t xml:space="preserve"> </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 xml:space="preserve">We cannot provide any guaranty of future dividend payments or that we will continue to repurchase our common stock pursuant to our stock repurchase program.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Although our Board of Directors has indicate</w:t>
      </w:r>
      <w:r>
        <w:rPr>
          <w:rFonts w:eastAsia="Times New Roman"/>
          <w:color w:val="000000"/>
          <w:sz w:val="20"/>
          <w:szCs w:val="20"/>
        </w:rPr>
        <w:t>d an intention to pay future quarterly cash dividends on our common stock, any determination to pay or increase cash dividends on our common stock in the future will be based primarily upon our financial condition, results of operations, business requireme</w:t>
      </w:r>
      <w:r>
        <w:rPr>
          <w:rFonts w:eastAsia="Times New Roman"/>
          <w:color w:val="000000"/>
          <w:sz w:val="20"/>
          <w:szCs w:val="20"/>
        </w:rPr>
        <w:t>nts, and our Board of Directors’ continuing determination that the declaration of dividends is in the best interests of our stockholders and is in compliance with all laws and agreements applicable to the dividend. Furthermore, although our Board of Direct</w:t>
      </w:r>
      <w:r>
        <w:rPr>
          <w:rFonts w:eastAsia="Times New Roman"/>
          <w:color w:val="000000"/>
          <w:sz w:val="20"/>
          <w:szCs w:val="20"/>
        </w:rPr>
        <w:t>ors has authorized a share repurchase program of up to $4.5 billion, which has remaining authorization as of December 26, 2020 of $1.14 billion, we may temporarily pause or permanently discontinue this program at any time or significantly reduce the amount</w:t>
      </w:r>
      <w:r>
        <w:rPr>
          <w:rFonts w:eastAsia="Times New Roman"/>
          <w:color w:val="000000"/>
          <w:sz w:val="20"/>
          <w:szCs w:val="20"/>
        </w:rPr>
        <w:t xml:space="preserve"> of repurchases under the program. </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 xml:space="preserve">The market price for our common stock might be volatile and could result in a decline in value.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price at which our common stock trades may be volatile and could be subject to significant fluctuations in response</w:t>
      </w:r>
      <w:r>
        <w:rPr>
          <w:rFonts w:eastAsia="Times New Roman"/>
          <w:color w:val="000000"/>
          <w:sz w:val="20"/>
          <w:szCs w:val="20"/>
        </w:rPr>
        <w:t xml:space="preserve"> to our operating results, general trends and prospects for the retail industry, announcements by our competitors, analyst recommendations, our ability to meet or exceed analysts’ or investors’ expectations, the condition of the financial markets, and othe</w:t>
      </w:r>
      <w:r>
        <w:rPr>
          <w:rFonts w:eastAsia="Times New Roman"/>
          <w:color w:val="000000"/>
          <w:sz w:val="20"/>
          <w:szCs w:val="20"/>
        </w:rPr>
        <w:t>r factors. The Company’s stock price is dependent in part on the multiple of earnings that investors are willing to pay. That multiple is in part dependent on investors’ perception of the Company’s future earnings growth prospects. If investors’ perception</w:t>
      </w:r>
      <w:r>
        <w:rPr>
          <w:rFonts w:eastAsia="Times New Roman"/>
          <w:color w:val="000000"/>
          <w:sz w:val="20"/>
          <w:szCs w:val="20"/>
        </w:rPr>
        <w:t xml:space="preserve"> of the Company’s earnings growth prospects change, the Company’s earnings multiple may decline and its stock price could be adversely affected.</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In addition, the stock market has at times experienced extreme price and volume fluctuations that often have </w:t>
      </w:r>
      <w:r>
        <w:rPr>
          <w:rFonts w:eastAsia="Times New Roman"/>
          <w:color w:val="000000"/>
          <w:sz w:val="20"/>
          <w:szCs w:val="20"/>
        </w:rPr>
        <w:t>been unrelated or disproportionate to the operating performance of companies. These fluctuations, as well as general economic and market conditions, may adversely affect the market price of our common stock notwithstanding our actual operating performance.</w:t>
      </w:r>
      <w:r>
        <w:rPr>
          <w:rFonts w:eastAsia="Times New Roman"/>
          <w:color w:val="000000"/>
          <w:sz w:val="20"/>
          <w:szCs w:val="20"/>
        </w:rPr>
        <w:t xml:space="preserve"> </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Impairment of the carrying value of our goodwill or other intangible assets could adversely affect our financial condition and results of operations.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Goodwill represents the difference between the purchase price of an acquired company and the related</w:t>
      </w:r>
      <w:r>
        <w:rPr>
          <w:rFonts w:eastAsia="Times New Roman"/>
          <w:color w:val="000000"/>
          <w:sz w:val="20"/>
          <w:szCs w:val="20"/>
        </w:rPr>
        <w:t xml:space="preserve"> fair value of net assets acquired. A significant amount of judgment is involved in determining if an indication of impairment of goodwill exists. As with goodwill, we also test our indefinite-lived intangible assets for impairment annually and whenever ev</w:t>
      </w:r>
      <w:r>
        <w:rPr>
          <w:rFonts w:eastAsia="Times New Roman"/>
          <w:color w:val="000000"/>
          <w:sz w:val="20"/>
          <w:szCs w:val="20"/>
        </w:rPr>
        <w:t>ents or changes in circumstances indicate that their carrying value may not be recoverable. Factors indicating impairment of goodwill or other intangible assets may include, among others: a significant decline in our expected future cash flows; a sustained</w:t>
      </w:r>
      <w:r>
        <w:rPr>
          <w:rFonts w:eastAsia="Times New Roman"/>
          <w:color w:val="000000"/>
          <w:sz w:val="20"/>
          <w:szCs w:val="20"/>
        </w:rPr>
        <w:t xml:space="preserve">, significant </w:t>
      </w:r>
    </w:p>
    <w:p w:rsidR="00000000" w:rsidRDefault="00905244">
      <w:pPr>
        <w:jc w:val="center"/>
        <w:divId w:val="1752314972"/>
        <w:rPr>
          <w:rFonts w:eastAsia="Times New Roman"/>
        </w:rPr>
      </w:pPr>
      <w:r>
        <w:rPr>
          <w:rFonts w:eastAsia="Times New Roman"/>
          <w:color w:val="000000"/>
          <w:sz w:val="20"/>
          <w:szCs w:val="20"/>
        </w:rPr>
        <w:t>19</w:t>
      </w:r>
    </w:p>
    <w:p w:rsidR="00000000" w:rsidRDefault="00905244">
      <w:pPr>
        <w:rPr>
          <w:rFonts w:eastAsia="Times New Roman"/>
        </w:rPr>
      </w:pPr>
      <w:r>
        <w:rPr>
          <w:rFonts w:eastAsia="Times New Roman"/>
        </w:rPr>
        <w:pict>
          <v:rect id="_x0000_i1047" style="width:0;height:1.5pt" o:hralign="center" o:hrstd="t" o:hr="t" fillcolor="#a0a0a0" stroked="f"/>
        </w:pict>
      </w:r>
    </w:p>
    <w:p w:rsidR="00000000" w:rsidRDefault="00905244">
      <w:pPr>
        <w:divId w:val="1073772941"/>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decline in our stock price and market capitalization; a significant adverse change in legal factors or in the business climate; unanticipated or changing co</w:t>
      </w:r>
      <w:r>
        <w:rPr>
          <w:rFonts w:eastAsia="Times New Roman"/>
          <w:color w:val="000000"/>
          <w:sz w:val="20"/>
          <w:szCs w:val="20"/>
        </w:rPr>
        <w:t>mpetition; the testing for recoverability of a significant asset group within a reporting unit; and reduced growth rates. Any adverse change in these factors could have a significant impact on the recoverability of these assets and negatively affect our fi</w:t>
      </w:r>
      <w:r>
        <w:rPr>
          <w:rFonts w:eastAsia="Times New Roman"/>
          <w:color w:val="000000"/>
          <w:sz w:val="20"/>
          <w:szCs w:val="20"/>
        </w:rPr>
        <w:t xml:space="preserve">nancial condition and results of operations. To the extent that business conditions deteriorate or if changes in key assumptions and estimates differ significantly from management's expectations, it may be necessary to record additional impairment charges </w:t>
      </w:r>
      <w:r>
        <w:rPr>
          <w:rFonts w:eastAsia="Times New Roman"/>
          <w:color w:val="000000"/>
          <w:sz w:val="20"/>
          <w:szCs w:val="20"/>
        </w:rPr>
        <w:t>in the future which could have an adverse effect on our financial condition and results of operations.</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Legal, Regulatory and Compliance Risks</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We are subject to personal injury, workers’ compensation, product liability, discrimination, harassment, wrong</w:t>
      </w:r>
      <w:r>
        <w:rPr>
          <w:rFonts w:eastAsia="Times New Roman"/>
          <w:i/>
          <w:iCs/>
          <w:color w:val="000000"/>
          <w:sz w:val="20"/>
          <w:szCs w:val="20"/>
        </w:rPr>
        <w:t>ful termination, wage and hour, and other claims in the ordinary course of business.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Our business involves a risk of personal injury, workers’ compensation, product liability, discrimination, harassment, wrongful termination, wage and hour, and other cla</w:t>
      </w:r>
      <w:r>
        <w:rPr>
          <w:rFonts w:eastAsia="Times New Roman"/>
          <w:color w:val="000000"/>
          <w:sz w:val="20"/>
          <w:szCs w:val="20"/>
        </w:rPr>
        <w:t>ims in the ordinary course of business.  Product liability claims from customers and product recalls for merchandise alleged to be defective or harmful could lead to the disposal or write-off of merchandise inventories, the incurrence of fines or penalties</w:t>
      </w:r>
      <w:r>
        <w:rPr>
          <w:rFonts w:eastAsia="Times New Roman"/>
          <w:color w:val="000000"/>
          <w:sz w:val="20"/>
          <w:szCs w:val="20"/>
        </w:rPr>
        <w:t>, and damage to our reputation. We maintain general liability with a self-insured retention and workers’ compensation insurance with a deductible for each occurrence.  We also maintain umbrella limits above the primary general liability and product liabili</w:t>
      </w:r>
      <w:r>
        <w:rPr>
          <w:rFonts w:eastAsia="Times New Roman"/>
          <w:color w:val="000000"/>
          <w:sz w:val="20"/>
          <w:szCs w:val="20"/>
        </w:rPr>
        <w:t>ty coverage.  In many cases, we have indemnification rights against the manufacturers of the products and their products liability insurance, as well as the property owners of our leased buildings.  Our ability to recover costs and damages under such insur</w:t>
      </w:r>
      <w:r>
        <w:rPr>
          <w:rFonts w:eastAsia="Times New Roman"/>
          <w:color w:val="000000"/>
          <w:sz w:val="20"/>
          <w:szCs w:val="20"/>
        </w:rPr>
        <w:t>ance or indemnification arrangements is subject to the financial viability of the insurers, manufacturers, and landlords and the specific allegations of a claim.  No assurance can be given that our insurance coverage or the manufacturers’ or landlords’ ind</w:t>
      </w:r>
      <w:r>
        <w:rPr>
          <w:rFonts w:eastAsia="Times New Roman"/>
          <w:color w:val="000000"/>
          <w:sz w:val="20"/>
          <w:szCs w:val="20"/>
        </w:rPr>
        <w:t>emnity will be available or sufficient in any claims brought against us.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Additionally, we are subject to U.S. federal, state, and local employment laws that expose us to potential liability if we are determined to have violated such employment laws, incl</w:t>
      </w:r>
      <w:r>
        <w:rPr>
          <w:rFonts w:eastAsia="Times New Roman"/>
          <w:color w:val="000000"/>
          <w:sz w:val="20"/>
          <w:szCs w:val="20"/>
        </w:rPr>
        <w:t>uding but not limited to, laws pertaining to minimum wage rates, overtime pay, discrimination, harassment, and wrongful termination. Compliance with these laws, including the remediation of any alleged violation, may have a material adverse effect on our b</w:t>
      </w:r>
      <w:r>
        <w:rPr>
          <w:rFonts w:eastAsia="Times New Roman"/>
          <w:color w:val="000000"/>
          <w:sz w:val="20"/>
          <w:szCs w:val="20"/>
        </w:rPr>
        <w:t>usiness or results of operations.</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Our business could be negatively impacted as a result of federal, state, local, or foreign laws and regulations.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are subject to numerous federal, state, local, and foreign laws and governmental regulations including</w:t>
      </w:r>
      <w:r>
        <w:rPr>
          <w:rFonts w:eastAsia="Times New Roman"/>
          <w:color w:val="000000"/>
          <w:sz w:val="20"/>
          <w:szCs w:val="20"/>
        </w:rPr>
        <w:t xml:space="preserve"> those relating to environmental protection, personal injury, intellectual property, consumer product safety, building, land use and zoning requirements, workplace regulations, wage and hour, privacy and information security, and employment law matters.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Our operations, including our outsourced exclusive brand manufacturing partners, are subject to regulation by the Occupational Safety and Health Administration (“OSHA”), the Food and Drug Administration (the “FDA”), the Department of Agriculture (the “USD</w:t>
      </w:r>
      <w:r>
        <w:rPr>
          <w:rFonts w:eastAsia="Times New Roman"/>
          <w:color w:val="000000"/>
          <w:sz w:val="20"/>
          <w:szCs w:val="20"/>
        </w:rPr>
        <w:t>A”), the Environmental Protection Agency (the "EPA") and by various other federal, state, local and foreign authorities regarding the processing, packaging, storage, distribution, advertising, labeling and export of our products, including food safety stan</w:t>
      </w:r>
      <w:r>
        <w:rPr>
          <w:rFonts w:eastAsia="Times New Roman"/>
          <w:color w:val="000000"/>
          <w:sz w:val="20"/>
          <w:szCs w:val="20"/>
        </w:rPr>
        <w:t>dards.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If we fail to comply with existing or future laws or regulations, or if these laws or regulations are violated by importers, manufacturers or distributors, we may be subject to governmental or judicial fines or sanctions, while incurring substanti</w:t>
      </w:r>
      <w:r>
        <w:rPr>
          <w:rFonts w:eastAsia="Times New Roman"/>
          <w:color w:val="000000"/>
          <w:sz w:val="20"/>
          <w:szCs w:val="20"/>
        </w:rPr>
        <w:t>al legal fees and costs. In addition, our capital expenditures could increase due to remediation measures that may be required if we are found to be noncompliant with any existing or future laws or regulations.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We are also subject to the Foreign Corrupt </w:t>
      </w:r>
      <w:r>
        <w:rPr>
          <w:rFonts w:eastAsia="Times New Roman"/>
          <w:color w:val="000000"/>
          <w:sz w:val="20"/>
          <w:szCs w:val="20"/>
        </w:rPr>
        <w:t xml:space="preserve">Practices Act (the “FCPA”), which prohibits U.S. companies and their intermediaries from making improper payments to foreign officials for the purposes of obtaining or retaining business, and the anti-bribery laws of other jurisdictions. Failure to comply </w:t>
      </w:r>
      <w:r>
        <w:rPr>
          <w:rFonts w:eastAsia="Times New Roman"/>
          <w:color w:val="000000"/>
          <w:sz w:val="20"/>
          <w:szCs w:val="20"/>
        </w:rPr>
        <w:t>with the FCPA and similar laws could subject us to, among other things, penalties and legal expenses that could harm our reputation and have a material adverse effect on our business, financial condition, and results of operations.</w:t>
      </w:r>
    </w:p>
    <w:p w:rsidR="00000000" w:rsidRDefault="00905244">
      <w:pPr>
        <w:jc w:val="both"/>
        <w:rPr>
          <w:rFonts w:eastAsia="Times New Roman"/>
        </w:rPr>
      </w:pPr>
    </w:p>
    <w:p w:rsidR="00000000" w:rsidRDefault="00905244">
      <w:pPr>
        <w:jc w:val="center"/>
        <w:divId w:val="401216959"/>
        <w:rPr>
          <w:rFonts w:eastAsia="Times New Roman"/>
        </w:rPr>
      </w:pPr>
      <w:r>
        <w:rPr>
          <w:rFonts w:eastAsia="Times New Roman"/>
          <w:color w:val="000000"/>
          <w:sz w:val="20"/>
          <w:szCs w:val="20"/>
        </w:rPr>
        <w:t>20</w:t>
      </w:r>
    </w:p>
    <w:p w:rsidR="00000000" w:rsidRDefault="00905244">
      <w:pPr>
        <w:rPr>
          <w:rFonts w:eastAsia="Times New Roman"/>
        </w:rPr>
      </w:pPr>
      <w:r>
        <w:rPr>
          <w:rFonts w:eastAsia="Times New Roman"/>
        </w:rPr>
        <w:pict>
          <v:rect id="_x0000_i1048" style="width:0;height:1.5pt" o:hralign="center" o:hrstd="t" o:hr="t" fillcolor="#a0a0a0" stroked="f"/>
        </w:pict>
      </w:r>
    </w:p>
    <w:p w:rsidR="00000000" w:rsidRDefault="00905244">
      <w:pPr>
        <w:divId w:val="1121413917"/>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i/>
          <w:iCs/>
          <w:color w:val="000000"/>
          <w:sz w:val="20"/>
          <w:szCs w:val="20"/>
        </w:rPr>
        <w:t>Potential noncompliance with environmental regulations could materially impact our results of operations or financial condition.</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Our business is subject to various federal, state, and local laws, regulations, and other requirements pertaining to protecti</w:t>
      </w:r>
      <w:r>
        <w:rPr>
          <w:rFonts w:eastAsia="Times New Roman"/>
          <w:color w:val="000000"/>
          <w:sz w:val="20"/>
          <w:szCs w:val="20"/>
        </w:rPr>
        <w:t>on of the environment and public health, including, for example, regulations governing the management of waste materials and waste waters.  Governmental agencies on the federal, state, and local levels have, in recent years, increasingly focused on the ret</w:t>
      </w:r>
      <w:r>
        <w:rPr>
          <w:rFonts w:eastAsia="Times New Roman"/>
          <w:color w:val="000000"/>
          <w:sz w:val="20"/>
          <w:szCs w:val="20"/>
        </w:rPr>
        <w:t>ail sector’s compliance with such laws and regulations, and have at times pursued enforcement activities.  We periodically receive information requests and notices of potential noncompliance with environmental laws and regulations from governmental agencie</w:t>
      </w:r>
      <w:r>
        <w:rPr>
          <w:rFonts w:eastAsia="Times New Roman"/>
          <w:color w:val="000000"/>
          <w:sz w:val="20"/>
          <w:szCs w:val="20"/>
        </w:rPr>
        <w:t>s, which are addressed on a case-by-case basis with the relevant agency. Any of these events could have a material adverse effect on our results of operations or financial condition.</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Failure to maintain an effective system of internal control over financial reporting could materially impact our business and results.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Company’s management is responsible for establishing and maintaining adequate internal control over financial repor</w:t>
      </w:r>
      <w:r>
        <w:rPr>
          <w:rFonts w:eastAsia="Times New Roman"/>
          <w:color w:val="000000"/>
          <w:sz w:val="20"/>
          <w:szCs w:val="20"/>
        </w:rPr>
        <w:t>ting. An internal control system, no matter how well designed and operated, can provide only reasonable, not absolute, assurance that the objectives of the control system are met. Further, the design of a control system must reflect the fact that there are</w:t>
      </w:r>
      <w:r>
        <w:rPr>
          <w:rFonts w:eastAsia="Times New Roman"/>
          <w:color w:val="000000"/>
          <w:sz w:val="20"/>
          <w:szCs w:val="20"/>
        </w:rPr>
        <w:t xml:space="preserve"> resource constraints, and the benefits of controls must be considered relative to their costs. Because of the inherent limitations in all internal control systems, internal control over financial reporting may not prevent or detect misstatements. Any fail</w:t>
      </w:r>
      <w:r>
        <w:rPr>
          <w:rFonts w:eastAsia="Times New Roman"/>
          <w:color w:val="000000"/>
          <w:sz w:val="20"/>
          <w:szCs w:val="20"/>
        </w:rPr>
        <w:t xml:space="preserve">ure to maintain an effective system of internal control over financial reporting could limit our ability to report our financial results accurately and timely or to detect and prevent fraud, and could expose us to litigation or adversely affect the market </w:t>
      </w:r>
      <w:r>
        <w:rPr>
          <w:rFonts w:eastAsia="Times New Roman"/>
          <w:color w:val="000000"/>
          <w:sz w:val="20"/>
          <w:szCs w:val="20"/>
        </w:rPr>
        <w:t>price of our common stock.</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Effective tax rate changes and results of examinations by taxing authorities could materially impact our results.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Our future effective tax rates could be adversely affected by legislative tax reform, changes in statutory rate</w:t>
      </w:r>
      <w:r>
        <w:rPr>
          <w:rFonts w:eastAsia="Times New Roman"/>
          <w:color w:val="000000"/>
          <w:sz w:val="20"/>
          <w:szCs w:val="20"/>
        </w:rPr>
        <w:t xml:space="preserve">s or changes in tax laws, or interpretations thereof. Additionally, our future effective tax rates could be adversely affected by the earnings mix being lower than historical results in states where we have lower statutory rates and higher than historical </w:t>
      </w:r>
      <w:r>
        <w:rPr>
          <w:rFonts w:eastAsia="Times New Roman"/>
          <w:color w:val="000000"/>
          <w:sz w:val="20"/>
          <w:szCs w:val="20"/>
        </w:rPr>
        <w:t xml:space="preserve">results in states where we have higher statutory rates or by changes in the measurement of our deferred tax assets and liabilities.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are subject to periodic audits and examinations by the Internal Revenue Service (“IRS”), as well as state and local ta</w:t>
      </w:r>
      <w:r>
        <w:rPr>
          <w:rFonts w:eastAsia="Times New Roman"/>
          <w:color w:val="000000"/>
          <w:sz w:val="20"/>
          <w:szCs w:val="20"/>
        </w:rPr>
        <w:t>xing authorities. Like many retailers, a portion of our sales are to tax-exempt customers. The business activities of our customers and the intended use of the unique products sold by us create a challenging and complex compliance environment.  These circu</w:t>
      </w:r>
      <w:r>
        <w:rPr>
          <w:rFonts w:eastAsia="Times New Roman"/>
          <w:color w:val="000000"/>
          <w:sz w:val="20"/>
          <w:szCs w:val="20"/>
        </w:rPr>
        <w:t>mstances create risk that we could be challenged as to the propriety of our sales tax compliance. Our results could be materially impacted by the determinations and expenses related to these and other proceedings by the IRS and other state and local taxing</w:t>
      </w:r>
      <w:r>
        <w:rPr>
          <w:rFonts w:eastAsia="Times New Roman"/>
          <w:color w:val="000000"/>
          <w:sz w:val="20"/>
          <w:szCs w:val="20"/>
        </w:rPr>
        <w:t xml:space="preserve"> authorities.</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COVID-19 Risks</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The COVID-19 coronavirus pandemic could have a material negative effect on our results of operations, cash flows, financial position, and business operations.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COVID-19 pandemic has created significant public health co</w:t>
      </w:r>
      <w:r>
        <w:rPr>
          <w:rFonts w:eastAsia="Times New Roman"/>
          <w:color w:val="000000"/>
          <w:sz w:val="20"/>
          <w:szCs w:val="20"/>
        </w:rPr>
        <w:t>ncerns as well as economic disruption, uncertainty, and volatility which may negatively affect our business operations.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are unable to predict the impact that COVID-19 will have on our results of operations, cash flows, financial position, and business</w:t>
      </w:r>
      <w:r>
        <w:rPr>
          <w:rFonts w:eastAsia="Times New Roman"/>
          <w:color w:val="000000"/>
          <w:sz w:val="20"/>
          <w:szCs w:val="20"/>
        </w:rPr>
        <w:t xml:space="preserve"> operations due to numerous uncertainties. These uncertainties include, but are not limited to: the severity of the virus; the duration of the pandemic; governmental actions which include restrictions on our operations up to and including potential closure</w:t>
      </w:r>
      <w:r>
        <w:rPr>
          <w:rFonts w:eastAsia="Times New Roman"/>
          <w:color w:val="000000"/>
          <w:sz w:val="20"/>
          <w:szCs w:val="20"/>
        </w:rPr>
        <w:t xml:space="preserve"> of our stores and distribution centers; the duration and degree of quarantine or shelter-in-place measures, including additional measures that may still occur; impacts on our supply chain which include suppliers of our products and our transportation vend</w:t>
      </w:r>
      <w:r>
        <w:rPr>
          <w:rFonts w:eastAsia="Times New Roman"/>
          <w:color w:val="000000"/>
          <w:sz w:val="20"/>
          <w:szCs w:val="20"/>
        </w:rPr>
        <w:t>ors; the health of our workforce and our ability to maintain staffing needs to operate our business; how macroeconomic factors evolve including unemployment rates and recessionary pressures; the impact of the pandemic on consumer shopping patterns, both du</w:t>
      </w:r>
      <w:r>
        <w:rPr>
          <w:rFonts w:eastAsia="Times New Roman"/>
          <w:color w:val="000000"/>
          <w:sz w:val="20"/>
          <w:szCs w:val="20"/>
        </w:rPr>
        <w:t xml:space="preserve">ring and after the pandemic; volatility in the economy as well as the credit and financial markets during and after the pandemic; the incremental costs of doing business during the pandemic as well as on a long-term basis; potential increases in insurance </w:t>
      </w:r>
      <w:r>
        <w:rPr>
          <w:rFonts w:eastAsia="Times New Roman"/>
          <w:color w:val="000000"/>
          <w:sz w:val="20"/>
          <w:szCs w:val="20"/>
        </w:rPr>
        <w:t>premiums, medical claims costs, and workers' compensation claim costs; unknown consequences on our business performance and initiatives stemming from the substantial investment of time and other resources to the pandemic response; potential delays in growt</w:t>
      </w:r>
      <w:r>
        <w:rPr>
          <w:rFonts w:eastAsia="Times New Roman"/>
          <w:color w:val="000000"/>
          <w:sz w:val="20"/>
          <w:szCs w:val="20"/>
        </w:rPr>
        <w:t xml:space="preserve">h initiatives including the timing of new store openings; potential adverse </w:t>
      </w:r>
    </w:p>
    <w:p w:rsidR="00000000" w:rsidRDefault="00905244">
      <w:pPr>
        <w:jc w:val="center"/>
        <w:divId w:val="189925634"/>
        <w:rPr>
          <w:rFonts w:eastAsia="Times New Roman"/>
        </w:rPr>
      </w:pPr>
      <w:r>
        <w:rPr>
          <w:rFonts w:eastAsia="Times New Roman"/>
          <w:color w:val="000000"/>
          <w:sz w:val="20"/>
          <w:szCs w:val="20"/>
        </w:rPr>
        <w:t>21</w:t>
      </w:r>
    </w:p>
    <w:p w:rsidR="00000000" w:rsidRDefault="00905244">
      <w:pPr>
        <w:rPr>
          <w:rFonts w:eastAsia="Times New Roman"/>
        </w:rPr>
      </w:pPr>
      <w:r>
        <w:rPr>
          <w:rFonts w:eastAsia="Times New Roman"/>
        </w:rPr>
        <w:pict>
          <v:rect id="_x0000_i1049" style="width:0;height:1.5pt" o:hralign="center" o:hrstd="t" o:hr="t" fillcolor="#a0a0a0" stroked="f"/>
        </w:pict>
      </w:r>
    </w:p>
    <w:p w:rsidR="00000000" w:rsidRDefault="00905244">
      <w:pPr>
        <w:divId w:val="1071268581"/>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effects on our internal control environment and information security as a re</w:t>
      </w:r>
      <w:r>
        <w:rPr>
          <w:rFonts w:eastAsia="Times New Roman"/>
          <w:color w:val="000000"/>
          <w:sz w:val="20"/>
          <w:szCs w:val="20"/>
        </w:rPr>
        <w:t>sult of changes to a remote work environment; and the long-term impact of the pandemic on our business.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In addition, we cannot predict the impact that the pandemic will have on our manufacturers and suppliers of our products and other business partners s</w:t>
      </w:r>
      <w:r>
        <w:rPr>
          <w:rFonts w:eastAsia="Times New Roman"/>
          <w:color w:val="000000"/>
          <w:sz w:val="20"/>
          <w:szCs w:val="20"/>
        </w:rPr>
        <w:t>uch as service vendors; however, any material effect on these parties could adversely impact our results of operations and our ability to operate our business effectively.</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The COVID-19 coronavirus pandemic could have a material negative effect on our sup</w:t>
      </w:r>
      <w:r>
        <w:rPr>
          <w:rFonts w:eastAsia="Times New Roman"/>
          <w:i/>
          <w:iCs/>
          <w:color w:val="000000"/>
          <w:sz w:val="20"/>
          <w:szCs w:val="20"/>
        </w:rPr>
        <w:t>ply chain.</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Circumstances surrounding and related to the COVID-19 pandemic have created unprecedented impacts on the global supply chain. Our business relies on an efficient and effective supply chain, including the manufacture and transportation of our p</w:t>
      </w:r>
      <w:r>
        <w:rPr>
          <w:rFonts w:eastAsia="Times New Roman"/>
          <w:color w:val="000000"/>
          <w:sz w:val="20"/>
          <w:szCs w:val="20"/>
        </w:rPr>
        <w:t>roducts as well as the effective functioning of our distribution centers. Impacts related to the COVID-19 pandemic are placing strains on the domestic and international supply chains that could negatively affect the flow or availability of our products and</w:t>
      </w:r>
      <w:r>
        <w:rPr>
          <w:rFonts w:eastAsia="Times New Roman"/>
          <w:color w:val="000000"/>
          <w:sz w:val="20"/>
          <w:szCs w:val="20"/>
        </w:rPr>
        <w:t xml:space="preserve"> result in higher out-of-stock inventory positions due to difficulties in timely obtaining product from the manufacturers and suppliers of our products as well as transportation of those products to our distribution centers and stores. Further, we may have</w:t>
      </w:r>
      <w:r>
        <w:rPr>
          <w:rFonts w:eastAsia="Times New Roman"/>
          <w:color w:val="000000"/>
          <w:sz w:val="20"/>
          <w:szCs w:val="20"/>
        </w:rPr>
        <w:t xml:space="preserve"> to source products from different manufacturers or geographic locations which could result in, among other things, higher product costs, increased transportation costs, delays in receiving products or lower quality of the products.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Additionally, the operation of our distribution centers is crucial to our business operations. If our distribution centers experience closures or worker shortages, whether temporary or sustained, we could sustain significant adverse impacts related to the </w:t>
      </w:r>
      <w:r>
        <w:rPr>
          <w:rFonts w:eastAsia="Times New Roman"/>
          <w:color w:val="000000"/>
          <w:sz w:val="20"/>
          <w:szCs w:val="20"/>
        </w:rPr>
        <w:t xml:space="preserve">flow or availability of products to our stores and customers.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Any of these circumstances could adversely affect our ability to deliver inventory in a timely manner, which could impair our ability to meet customer demand for products and result in lost s</w:t>
      </w:r>
      <w:r>
        <w:rPr>
          <w:rFonts w:eastAsia="Times New Roman"/>
          <w:color w:val="000000"/>
          <w:sz w:val="20"/>
          <w:szCs w:val="20"/>
        </w:rPr>
        <w:t>ales, increased supply chain costs, or damage to our reputation.</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Economic impacts stemming from the COVID-19 coronavirus pandemic could significantly impact our financial position, including liquidity, capital allocation, and access to capital markets fo</w:t>
      </w:r>
      <w:r>
        <w:rPr>
          <w:rFonts w:eastAsia="Times New Roman"/>
          <w:i/>
          <w:iCs/>
          <w:color w:val="000000"/>
          <w:sz w:val="20"/>
          <w:szCs w:val="20"/>
        </w:rPr>
        <w:t>r additional funds to operate our business.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In an effort to strengthen and preserve our liquidity while navigating the COVID-19 pandemic, we took preemptive actions, including incremental borrowings under our credit facilities, issuing $650.0 million of </w:t>
      </w:r>
      <w:r>
        <w:rPr>
          <w:rFonts w:eastAsia="Times New Roman"/>
          <w:color w:val="000000"/>
          <w:sz w:val="20"/>
          <w:szCs w:val="20"/>
        </w:rPr>
        <w:t xml:space="preserve">1.750% Senior Notes (as defined in Note 4 to the Consolidated Financial Statements), temporary suspension of our share repurchase program during a portion of fiscal 2020 and increased our balance of cash and cash equivalents.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increased debt levels h</w:t>
      </w:r>
      <w:r>
        <w:rPr>
          <w:rFonts w:eastAsia="Times New Roman"/>
          <w:color w:val="000000"/>
          <w:sz w:val="20"/>
          <w:szCs w:val="20"/>
        </w:rPr>
        <w:t>ave increased our interest expense costs and could place us at higher risk of default or limit our future financial flexibility. Further, the financial and credit markets have and may continue to experience significant volatility and turmoil. Whether due t</w:t>
      </w:r>
      <w:r>
        <w:rPr>
          <w:rFonts w:eastAsia="Times New Roman"/>
          <w:color w:val="000000"/>
          <w:sz w:val="20"/>
          <w:szCs w:val="20"/>
        </w:rPr>
        <w:t>o our increased debt levels or to ongoing changes in the financial and credit markets, our ability to access capital on favorable terms and continue to meet our liquidity needs could be adversely affected.</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Additionally, changes in our capital allocation </w:t>
      </w:r>
      <w:r>
        <w:rPr>
          <w:rFonts w:eastAsia="Times New Roman"/>
          <w:color w:val="000000"/>
          <w:sz w:val="20"/>
          <w:szCs w:val="20"/>
        </w:rPr>
        <w:t>strategy could have significant adverse impacts, both short- and long-term, on our business, results of operations, and financial position. Any future suspension of our share repurchase program, if necessary and depending on duration, will negatively impac</w:t>
      </w:r>
      <w:r>
        <w:rPr>
          <w:rFonts w:eastAsia="Times New Roman"/>
          <w:color w:val="000000"/>
          <w:sz w:val="20"/>
          <w:szCs w:val="20"/>
        </w:rPr>
        <w:t xml:space="preserve">t our earnings per share which in turn could adversely impact our common stock price. While not contemplated at this time, any potential suspension or reduction in our dividend declaration could have an adverse impact on investor perception and our common </w:t>
      </w:r>
      <w:r>
        <w:rPr>
          <w:rFonts w:eastAsia="Times New Roman"/>
          <w:color w:val="000000"/>
          <w:sz w:val="20"/>
          <w:szCs w:val="20"/>
        </w:rPr>
        <w:t xml:space="preserve">stock price. </w:t>
      </w:r>
    </w:p>
    <w:p w:rsidR="00000000" w:rsidRDefault="00905244">
      <w:pPr>
        <w:jc w:val="both"/>
        <w:rPr>
          <w:rFonts w:eastAsia="Times New Roman"/>
        </w:rPr>
      </w:pPr>
    </w:p>
    <w:p w:rsidR="00000000" w:rsidRDefault="00905244">
      <w:pPr>
        <w:divId w:val="345251871"/>
        <w:rPr>
          <w:rFonts w:eastAsia="Times New Roman"/>
        </w:rPr>
      </w:pPr>
      <w:r>
        <w:rPr>
          <w:rFonts w:eastAsia="Times New Roman"/>
          <w:i/>
          <w:iCs/>
          <w:color w:val="000000"/>
          <w:sz w:val="20"/>
          <w:szCs w:val="20"/>
        </w:rPr>
        <w:t>Actions taken to protect the health and safety of our team members and customers during the COVID-19 coronavirus pandemic have increased our operating costs and may not be sufficient to protect against operational or reputational harm to ou</w:t>
      </w:r>
      <w:r>
        <w:rPr>
          <w:rFonts w:eastAsia="Times New Roman"/>
          <w:i/>
          <w:iCs/>
          <w:color w:val="000000"/>
          <w:sz w:val="20"/>
          <w:szCs w:val="20"/>
        </w:rPr>
        <w:t>r business, regulatory actions or claims and litigation.</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In response to the COVID-19 pandemic, we have taken a number of actions across our business to help protect our team members, customers, and others in the communities we serve. These measures inclu</w:t>
      </w:r>
      <w:r>
        <w:rPr>
          <w:rFonts w:eastAsia="Times New Roman"/>
          <w:color w:val="000000"/>
          <w:sz w:val="20"/>
          <w:szCs w:val="20"/>
        </w:rPr>
        <w:t>de personal protective equipment for our team members, a requirement to wear masks in our facilities, increased staffing in order to provide contact-free curbside pickup from stores, expansion of our capabilities to support delivery to customer homes, incr</w:t>
      </w:r>
      <w:r>
        <w:rPr>
          <w:rFonts w:eastAsia="Times New Roman"/>
          <w:color w:val="000000"/>
          <w:sz w:val="20"/>
          <w:szCs w:val="20"/>
        </w:rPr>
        <w:t>eased cleaning and sanitizing measures, and monitoring for “social distancing” directives, as well as additional cleaning materials in our facilities. Additionally, we have provided appreciation bonuses as well as permanent increases in compensation and be</w:t>
      </w:r>
      <w:r>
        <w:rPr>
          <w:rFonts w:eastAsia="Times New Roman"/>
          <w:color w:val="000000"/>
          <w:sz w:val="20"/>
          <w:szCs w:val="20"/>
        </w:rPr>
        <w:t>nefits for our team members in our stores and distribution centers to further support them during and after the COVID-19 pandemic. Actions such as these have resulted in significant incremental costs and we expect that we will continue to incur these costs</w:t>
      </w:r>
      <w:r>
        <w:rPr>
          <w:rFonts w:eastAsia="Times New Roman"/>
          <w:color w:val="000000"/>
          <w:sz w:val="20"/>
          <w:szCs w:val="20"/>
        </w:rPr>
        <w:t xml:space="preserve"> for the foreseeable future, which in turn will have an adverse impact on our results of operations.</w:t>
      </w:r>
    </w:p>
    <w:p w:rsidR="00000000" w:rsidRDefault="00905244">
      <w:pPr>
        <w:jc w:val="both"/>
        <w:rPr>
          <w:rFonts w:eastAsia="Times New Roman"/>
        </w:rPr>
      </w:pPr>
    </w:p>
    <w:p w:rsidR="00000000" w:rsidRDefault="00905244">
      <w:pPr>
        <w:jc w:val="center"/>
        <w:divId w:val="1546025305"/>
        <w:rPr>
          <w:rFonts w:eastAsia="Times New Roman"/>
        </w:rPr>
      </w:pPr>
      <w:r>
        <w:rPr>
          <w:rFonts w:eastAsia="Times New Roman"/>
          <w:color w:val="000000"/>
          <w:sz w:val="20"/>
          <w:szCs w:val="20"/>
        </w:rPr>
        <w:t>22</w:t>
      </w:r>
    </w:p>
    <w:p w:rsidR="00000000" w:rsidRDefault="00905244">
      <w:pPr>
        <w:rPr>
          <w:rFonts w:eastAsia="Times New Roman"/>
        </w:rPr>
      </w:pPr>
      <w:r>
        <w:rPr>
          <w:rFonts w:eastAsia="Times New Roman"/>
        </w:rPr>
        <w:pict>
          <v:rect id="_x0000_i1050" style="width:0;height:1.5pt" o:hralign="center" o:hrstd="t" o:hr="t" fillcolor="#a0a0a0" stroked="f"/>
        </w:pict>
      </w:r>
    </w:p>
    <w:p w:rsidR="00000000" w:rsidRDefault="00905244">
      <w:pPr>
        <w:divId w:val="1615988448"/>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The health and safety of our team members and customers are of primary concern to our management team. However, due to the unpredictable nature of this viru</w:t>
      </w:r>
      <w:r>
        <w:rPr>
          <w:rFonts w:eastAsia="Times New Roman"/>
          <w:color w:val="000000"/>
          <w:sz w:val="20"/>
          <w:szCs w:val="20"/>
        </w:rPr>
        <w:t>s and the consequences of our actions, we may see unexpected outcomes notwithstanding our added safety measures. For instance, if we do not respond appropriately to the pandemic, or if our team members or customers do not participate in “social distancing”</w:t>
      </w:r>
      <w:r>
        <w:rPr>
          <w:rFonts w:eastAsia="Times New Roman"/>
          <w:color w:val="000000"/>
          <w:sz w:val="20"/>
          <w:szCs w:val="20"/>
        </w:rPr>
        <w:t>, vaccination efforts and other safety measures, the well-being of our team members and customers could be jeopardized. Furthermore, any failure to appropriately respond, or the perception of an inadequate response, could cause reputational harm to our bra</w:t>
      </w:r>
      <w:r>
        <w:rPr>
          <w:rFonts w:eastAsia="Times New Roman"/>
          <w:color w:val="000000"/>
          <w:sz w:val="20"/>
          <w:szCs w:val="20"/>
        </w:rPr>
        <w:t xml:space="preserve">nd and subject us to claims and litigation from team members, customers and service providers. Additionally, we may experience increased litigation expenses resulting from team member or customer lawsuits, including those related to the Company’s COVID-19 </w:t>
      </w:r>
      <w:r>
        <w:rPr>
          <w:rFonts w:eastAsia="Times New Roman"/>
          <w:color w:val="000000"/>
          <w:sz w:val="20"/>
          <w:szCs w:val="20"/>
        </w:rPr>
        <w:t>response and team member or customer contraction of COVID-19, increased insurance costs, medical claims costs and workers’ compensation claims costs and an adverse impact of regulatory and judicial changes in liability for workers’ compensation claims rela</w:t>
      </w:r>
      <w:r>
        <w:rPr>
          <w:rFonts w:eastAsia="Times New Roman"/>
          <w:color w:val="000000"/>
          <w:sz w:val="20"/>
          <w:szCs w:val="20"/>
        </w:rPr>
        <w:t>ted to the COVID-19 pandemic.</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Further, an outbreak of confirmed cases of COVID-19 in our stores or distribution centers could result in temporary or sustained workforce shortages or facility closures which would negatively impact our underlying business </w:t>
      </w:r>
      <w:r>
        <w:rPr>
          <w:rFonts w:eastAsia="Times New Roman"/>
          <w:color w:val="000000"/>
          <w:sz w:val="20"/>
          <w:szCs w:val="20"/>
        </w:rPr>
        <w:t>and results of operations.</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u w:val="single"/>
        </w:rPr>
        <w:t>Item 1B</w:t>
      </w:r>
      <w:r>
        <w:rPr>
          <w:rFonts w:eastAsia="Times New Roman"/>
          <w:b/>
          <w:bCs/>
          <w:color w:val="000000"/>
          <w:sz w:val="20"/>
          <w:szCs w:val="20"/>
        </w:rPr>
        <w:t>.    </w:t>
      </w:r>
      <w:r>
        <w:rPr>
          <w:rFonts w:eastAsia="Times New Roman"/>
          <w:b/>
          <w:bCs/>
          <w:color w:val="000000"/>
          <w:sz w:val="20"/>
          <w:szCs w:val="20"/>
          <w:u w:val="single"/>
        </w:rPr>
        <w:t>Unresolved Staff Comments</w:t>
      </w:r>
    </w:p>
    <w:p w:rsidR="00000000" w:rsidRDefault="00905244">
      <w:pPr>
        <w:divId w:val="541407050"/>
        <w:rPr>
          <w:rFonts w:eastAsia="Times New Roman"/>
        </w:rPr>
      </w:pPr>
    </w:p>
    <w:p w:rsidR="00000000" w:rsidRDefault="00905244">
      <w:pPr>
        <w:jc w:val="both"/>
        <w:rPr>
          <w:rFonts w:eastAsia="Times New Roman"/>
        </w:rPr>
      </w:pPr>
      <w:r>
        <w:rPr>
          <w:rFonts w:eastAsia="Times New Roman"/>
          <w:color w:val="000000"/>
          <w:sz w:val="20"/>
          <w:szCs w:val="20"/>
        </w:rPr>
        <w:t>None.</w:t>
      </w:r>
    </w:p>
    <w:p w:rsidR="00000000" w:rsidRDefault="00905244">
      <w:pPr>
        <w:jc w:val="both"/>
        <w:rPr>
          <w:rFonts w:eastAsia="Times New Roman"/>
        </w:rPr>
      </w:pPr>
    </w:p>
    <w:p w:rsidR="00000000" w:rsidRDefault="00905244">
      <w:pPr>
        <w:jc w:val="center"/>
        <w:divId w:val="834031071"/>
        <w:rPr>
          <w:rFonts w:eastAsia="Times New Roman"/>
        </w:rPr>
      </w:pPr>
      <w:r>
        <w:rPr>
          <w:rFonts w:eastAsia="Times New Roman"/>
          <w:color w:val="000000"/>
          <w:sz w:val="20"/>
          <w:szCs w:val="20"/>
        </w:rPr>
        <w:t>23</w:t>
      </w:r>
    </w:p>
    <w:p w:rsidR="00000000" w:rsidRDefault="00905244">
      <w:pPr>
        <w:rPr>
          <w:rFonts w:eastAsia="Times New Roman"/>
        </w:rPr>
      </w:pPr>
      <w:r>
        <w:rPr>
          <w:rFonts w:eastAsia="Times New Roman"/>
        </w:rPr>
        <w:pict>
          <v:rect id="_x0000_i1051" style="width:0;height:1.5pt" o:hralign="center" o:hrstd="t" o:hr="t" fillcolor="#a0a0a0" stroked="f"/>
        </w:pict>
      </w:r>
    </w:p>
    <w:p w:rsidR="00000000" w:rsidRDefault="00905244">
      <w:pPr>
        <w:divId w:val="920412868"/>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u w:val="single"/>
        </w:rPr>
        <w:t>Item 2</w:t>
      </w:r>
      <w:r>
        <w:rPr>
          <w:rFonts w:eastAsia="Times New Roman"/>
          <w:b/>
          <w:bCs/>
          <w:color w:val="000000"/>
          <w:sz w:val="20"/>
          <w:szCs w:val="20"/>
        </w:rPr>
        <w:t>.        </w:t>
      </w:r>
      <w:r>
        <w:rPr>
          <w:rFonts w:eastAsia="Times New Roman"/>
          <w:b/>
          <w:bCs/>
          <w:color w:val="000000"/>
          <w:sz w:val="20"/>
          <w:szCs w:val="20"/>
          <w:u w:val="single"/>
        </w:rPr>
        <w:t>Propertie</w:t>
      </w:r>
      <w:r>
        <w:rPr>
          <w:rFonts w:eastAsia="Times New Roman"/>
          <w:b/>
          <w:bCs/>
          <w:color w:val="000000"/>
          <w:sz w:val="20"/>
          <w:szCs w:val="20"/>
          <w:u w:val="single"/>
        </w:rPr>
        <w:t>s</w:t>
      </w:r>
      <w:r>
        <w:rPr>
          <w:rFonts w:eastAsia="Times New Roman"/>
          <w:b/>
          <w:bCs/>
          <w:color w:val="000000"/>
          <w:sz w:val="13"/>
          <w:szCs w:val="13"/>
        </w:rPr>
        <w:t xml:space="preserve"> </w:t>
      </w:r>
    </w:p>
    <w:p w:rsidR="00000000" w:rsidRDefault="00905244">
      <w:pPr>
        <w:divId w:val="1371103912"/>
        <w:rPr>
          <w:rFonts w:eastAsia="Times New Roman"/>
        </w:rPr>
      </w:pPr>
    </w:p>
    <w:p w:rsidR="00000000" w:rsidRDefault="00905244">
      <w:pPr>
        <w:jc w:val="both"/>
        <w:rPr>
          <w:rFonts w:eastAsia="Times New Roman"/>
        </w:rPr>
      </w:pPr>
      <w:r>
        <w:rPr>
          <w:rFonts w:eastAsia="Times New Roman"/>
          <w:color w:val="000000"/>
          <w:sz w:val="20"/>
          <w:szCs w:val="20"/>
        </w:rPr>
        <w:t>At December 26, 2020, the Company operated 2,105 stores in 49 states (1,923 Tractor Supply and Del’s retail stores and 182 Pe</w:t>
      </w:r>
      <w:r>
        <w:rPr>
          <w:rFonts w:eastAsia="Times New Roman"/>
          <w:color w:val="000000"/>
          <w:sz w:val="20"/>
          <w:szCs w:val="20"/>
        </w:rPr>
        <w:t>tsense retail stores).  The Company leases approximately 95% of its stores. Store leases typically have initial terms of between 10 and 15 years, with two to four optional renewal periods of five years each, exercisable at our option.  No single lease is m</w:t>
      </w:r>
      <w:r>
        <w:rPr>
          <w:rFonts w:eastAsia="Times New Roman"/>
          <w:color w:val="000000"/>
          <w:sz w:val="20"/>
          <w:szCs w:val="20"/>
        </w:rPr>
        <w:t>aterial to the Company’s operations. Approximately 56% of our stores are in freestanding buildings and 44% are located in shopping centers.  The following is a count of store locations by state:</w:t>
      </w:r>
    </w:p>
    <w:tbl>
      <w:tblPr>
        <w:tblW w:w="4992" w:type="pct"/>
        <w:tblCellMar>
          <w:top w:w="15" w:type="dxa"/>
          <w:left w:w="15" w:type="dxa"/>
          <w:bottom w:w="15" w:type="dxa"/>
          <w:right w:w="15" w:type="dxa"/>
        </w:tblCellMar>
        <w:tblLook w:val="04A0" w:firstRow="1" w:lastRow="0" w:firstColumn="1" w:lastColumn="0" w:noHBand="0" w:noVBand="1"/>
      </w:tblPr>
      <w:tblGrid>
        <w:gridCol w:w="57"/>
        <w:gridCol w:w="2884"/>
        <w:gridCol w:w="37"/>
        <w:gridCol w:w="36"/>
        <w:gridCol w:w="36"/>
        <w:gridCol w:w="36"/>
        <w:gridCol w:w="60"/>
        <w:gridCol w:w="919"/>
        <w:gridCol w:w="36"/>
        <w:gridCol w:w="36"/>
        <w:gridCol w:w="36"/>
        <w:gridCol w:w="36"/>
        <w:gridCol w:w="40"/>
        <w:gridCol w:w="2884"/>
        <w:gridCol w:w="36"/>
        <w:gridCol w:w="36"/>
        <w:gridCol w:w="36"/>
        <w:gridCol w:w="36"/>
        <w:gridCol w:w="60"/>
        <w:gridCol w:w="920"/>
        <w:gridCol w:w="36"/>
      </w:tblGrid>
      <w:tr w:rsidR="00000000">
        <w:trPr>
          <w:divId w:val="1061371981"/>
        </w:trPr>
        <w:tc>
          <w:tcPr>
            <w:tcW w:w="50" w:type="pct"/>
            <w:vAlign w:val="center"/>
            <w:hideMark/>
          </w:tcPr>
          <w:p w:rsidR="00000000" w:rsidRDefault="00905244">
            <w:pPr>
              <w:jc w:val="both"/>
              <w:rPr>
                <w:rFonts w:eastAsia="Times New Roman"/>
              </w:rPr>
            </w:pPr>
          </w:p>
        </w:tc>
        <w:tc>
          <w:tcPr>
            <w:tcW w:w="1753"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8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1753"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8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061371981"/>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State</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Number</w:t>
            </w:r>
            <w:r>
              <w:rPr>
                <w:rFonts w:eastAsia="Times New Roman"/>
                <w:b/>
                <w:bCs/>
                <w:color w:val="000000"/>
                <w:sz w:val="20"/>
                <w:szCs w:val="20"/>
              </w:rPr>
              <w:br/>
              <w:t>of Stores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State</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Number</w:t>
            </w:r>
            <w:r>
              <w:rPr>
                <w:rFonts w:eastAsia="Times New Roman"/>
                <w:b/>
                <w:bCs/>
                <w:color w:val="000000"/>
                <w:sz w:val="20"/>
                <w:szCs w:val="20"/>
              </w:rPr>
              <w:br/>
              <w:t>of Stores</w:t>
            </w:r>
          </w:p>
        </w:tc>
      </w:tr>
      <w:tr w:rsidR="00000000">
        <w:trPr>
          <w:divId w:val="106137198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Texas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227</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Wisconsin</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26</w:t>
            </w:r>
          </w:p>
        </w:tc>
      </w:tr>
      <w:tr w:rsidR="00000000">
        <w:trPr>
          <w:divId w:val="1061371981"/>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North Carolina</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103</w:t>
            </w:r>
          </w:p>
        </w:tc>
        <w:tc>
          <w:tcPr>
            <w:tcW w:w="0" w:type="auto"/>
            <w:gridSpan w:val="3"/>
            <w:shd w:val="clear" w:color="auto" w:fill="FFFF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Washington</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25</w:t>
            </w:r>
          </w:p>
        </w:tc>
      </w:tr>
      <w:tr w:rsidR="00000000">
        <w:trPr>
          <w:divId w:val="1061371981"/>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Pennsylvania</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98</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Illinois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24</w:t>
            </w:r>
          </w:p>
        </w:tc>
      </w:tr>
      <w:tr w:rsidR="00000000">
        <w:trPr>
          <w:divId w:val="1061371981"/>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Tennessee</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98</w:t>
            </w:r>
          </w:p>
        </w:tc>
        <w:tc>
          <w:tcPr>
            <w:tcW w:w="0" w:type="auto"/>
            <w:gridSpan w:val="3"/>
            <w:shd w:val="clear" w:color="auto" w:fill="FFFF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Maine</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23</w:t>
            </w:r>
          </w:p>
        </w:tc>
      </w:tr>
      <w:tr w:rsidR="00000000">
        <w:trPr>
          <w:divId w:val="1061371981"/>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Georgia</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96</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Maryland</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23</w:t>
            </w:r>
          </w:p>
        </w:tc>
      </w:tr>
      <w:tr w:rsidR="00000000">
        <w:trPr>
          <w:divId w:val="1061371981"/>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Ohio</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96</w:t>
            </w:r>
          </w:p>
        </w:tc>
        <w:tc>
          <w:tcPr>
            <w:tcW w:w="0" w:type="auto"/>
            <w:gridSpan w:val="3"/>
            <w:shd w:val="clear" w:color="auto" w:fill="FFFF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Massachusetts</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23</w:t>
            </w:r>
          </w:p>
        </w:tc>
      </w:tr>
      <w:tr w:rsidR="00000000">
        <w:trPr>
          <w:divId w:val="1061371981"/>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Michigan</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95</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Colorado</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22</w:t>
            </w:r>
          </w:p>
        </w:tc>
      </w:tr>
      <w:tr w:rsidR="00000000">
        <w:trPr>
          <w:divId w:val="1061371981"/>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New York</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92</w:t>
            </w:r>
          </w:p>
        </w:tc>
        <w:tc>
          <w:tcPr>
            <w:tcW w:w="0" w:type="auto"/>
            <w:gridSpan w:val="3"/>
            <w:shd w:val="clear" w:color="auto" w:fill="FFFF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New Hampshire</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22</w:t>
            </w:r>
          </w:p>
        </w:tc>
      </w:tr>
      <w:tr w:rsidR="00000000">
        <w:trPr>
          <w:divId w:val="1061371981"/>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Florida</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86</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Connecticut</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20</w:t>
            </w:r>
          </w:p>
        </w:tc>
      </w:tr>
      <w:tr w:rsidR="00000000">
        <w:trPr>
          <w:divId w:val="1061371981"/>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California</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74</w:t>
            </w:r>
          </w:p>
        </w:tc>
        <w:tc>
          <w:tcPr>
            <w:tcW w:w="0" w:type="auto"/>
            <w:gridSpan w:val="3"/>
            <w:shd w:val="clear" w:color="auto" w:fill="FFFF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Nebraska</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18</w:t>
            </w:r>
          </w:p>
        </w:tc>
      </w:tr>
      <w:tr w:rsidR="00000000">
        <w:trPr>
          <w:divId w:val="1061371981"/>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Kentucky</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71</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Utah</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15</w:t>
            </w:r>
          </w:p>
        </w:tc>
      </w:tr>
      <w:tr w:rsidR="00000000">
        <w:trPr>
          <w:divId w:val="1061371981"/>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Alabama</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67</w:t>
            </w:r>
          </w:p>
        </w:tc>
        <w:tc>
          <w:tcPr>
            <w:tcW w:w="0" w:type="auto"/>
            <w:gridSpan w:val="3"/>
            <w:shd w:val="clear" w:color="auto" w:fill="FFFF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Minnesota</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14</w:t>
            </w:r>
          </w:p>
        </w:tc>
      </w:tr>
      <w:tr w:rsidR="00000000">
        <w:trPr>
          <w:divId w:val="1061371981"/>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Virginia</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64</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North Dakota</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14</w:t>
            </w:r>
          </w:p>
        </w:tc>
      </w:tr>
      <w:tr w:rsidR="00000000">
        <w:trPr>
          <w:divId w:val="1061371981"/>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Indiana</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63</w:t>
            </w:r>
          </w:p>
        </w:tc>
        <w:tc>
          <w:tcPr>
            <w:tcW w:w="0" w:type="auto"/>
            <w:gridSpan w:val="3"/>
            <w:shd w:val="clear" w:color="auto" w:fill="FFFF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Oregon</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13</w:t>
            </w:r>
          </w:p>
        </w:tc>
      </w:tr>
      <w:tr w:rsidR="00000000">
        <w:trPr>
          <w:divId w:val="1061371981"/>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Louisiana</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60</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Iowa</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9</w:t>
            </w:r>
          </w:p>
        </w:tc>
      </w:tr>
      <w:tr w:rsidR="00000000">
        <w:trPr>
          <w:divId w:val="1061371981"/>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Oklahoma</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57</w:t>
            </w:r>
          </w:p>
        </w:tc>
        <w:tc>
          <w:tcPr>
            <w:tcW w:w="0" w:type="auto"/>
            <w:gridSpan w:val="3"/>
            <w:shd w:val="clear" w:color="auto" w:fill="FFFF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South Dakota</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9</w:t>
            </w:r>
          </w:p>
        </w:tc>
      </w:tr>
      <w:tr w:rsidR="00000000">
        <w:trPr>
          <w:divId w:val="1061371981"/>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South Carolina</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50</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Vermont</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8</w:t>
            </w:r>
          </w:p>
        </w:tc>
      </w:tr>
      <w:tr w:rsidR="00000000">
        <w:trPr>
          <w:divId w:val="1061371981"/>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Mississippi</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47</w:t>
            </w:r>
          </w:p>
        </w:tc>
        <w:tc>
          <w:tcPr>
            <w:tcW w:w="0" w:type="auto"/>
            <w:gridSpan w:val="3"/>
            <w:shd w:val="clear" w:color="auto" w:fill="FFFF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Wyoming</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8</w:t>
            </w:r>
          </w:p>
        </w:tc>
      </w:tr>
      <w:tr w:rsidR="00000000">
        <w:trPr>
          <w:divId w:val="1061371981"/>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Arkansas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38</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Delaware</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6</w:t>
            </w:r>
          </w:p>
        </w:tc>
      </w:tr>
      <w:tr w:rsidR="00000000">
        <w:trPr>
          <w:divId w:val="1061371981"/>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Arizona</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35</w:t>
            </w:r>
          </w:p>
        </w:tc>
        <w:tc>
          <w:tcPr>
            <w:tcW w:w="0" w:type="auto"/>
            <w:gridSpan w:val="3"/>
            <w:shd w:val="clear" w:color="auto" w:fill="FFFF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Montana</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6</w:t>
            </w:r>
          </w:p>
        </w:tc>
      </w:tr>
      <w:tr w:rsidR="00000000">
        <w:trPr>
          <w:divId w:val="1061371981"/>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Missouri</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31</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Idaho</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6</w:t>
            </w:r>
          </w:p>
        </w:tc>
      </w:tr>
      <w:tr w:rsidR="00000000">
        <w:trPr>
          <w:divId w:val="1061371981"/>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New Mexico</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29</w:t>
            </w:r>
          </w:p>
        </w:tc>
        <w:tc>
          <w:tcPr>
            <w:tcW w:w="0" w:type="auto"/>
            <w:gridSpan w:val="3"/>
            <w:shd w:val="clear" w:color="auto" w:fill="FFFF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Nevada</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6</w:t>
            </w:r>
          </w:p>
        </w:tc>
      </w:tr>
      <w:tr w:rsidR="00000000">
        <w:trPr>
          <w:divId w:val="1061371981"/>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West Virginia</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28</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Rhode Island</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5</w:t>
            </w:r>
          </w:p>
        </w:tc>
      </w:tr>
      <w:tr w:rsidR="00000000">
        <w:trPr>
          <w:divId w:val="1061371981"/>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Kansas</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27</w:t>
            </w:r>
          </w:p>
        </w:tc>
        <w:tc>
          <w:tcPr>
            <w:tcW w:w="0" w:type="auto"/>
            <w:gridSpan w:val="3"/>
            <w:shd w:val="clear" w:color="auto" w:fill="FFFF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Hawaii</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2</w:t>
            </w:r>
          </w:p>
        </w:tc>
      </w:tr>
      <w:tr w:rsidR="00000000">
        <w:trPr>
          <w:divId w:val="1061371981"/>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New Jersey</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26</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061371981"/>
        </w:trPr>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2,105</w:t>
            </w:r>
          </w:p>
        </w:tc>
      </w:tr>
    </w:tbl>
    <w:p w:rsidR="00000000" w:rsidRDefault="00905244">
      <w:pPr>
        <w:divId w:val="1669941787"/>
        <w:rPr>
          <w:rFonts w:eastAsia="Times New Roman"/>
        </w:rPr>
      </w:pPr>
    </w:p>
    <w:p w:rsidR="00000000" w:rsidRDefault="00905244">
      <w:pPr>
        <w:jc w:val="center"/>
        <w:divId w:val="418715619"/>
        <w:rPr>
          <w:rFonts w:eastAsia="Times New Roman"/>
        </w:rPr>
      </w:pPr>
      <w:r>
        <w:rPr>
          <w:rFonts w:eastAsia="Times New Roman"/>
          <w:color w:val="000000"/>
          <w:sz w:val="20"/>
          <w:szCs w:val="20"/>
        </w:rPr>
        <w:t>24</w:t>
      </w:r>
    </w:p>
    <w:p w:rsidR="00000000" w:rsidRDefault="00905244">
      <w:pPr>
        <w:rPr>
          <w:rFonts w:eastAsia="Times New Roman"/>
        </w:rPr>
      </w:pPr>
      <w:r>
        <w:rPr>
          <w:rFonts w:eastAsia="Times New Roman"/>
        </w:rPr>
        <w:pict>
          <v:rect id="_x0000_i1052" style="width:0;height:1.5pt" o:hralign="center" o:hrstd="t" o:hr="t" fillcolor="#a0a0a0" stroked="f"/>
        </w:pict>
      </w:r>
    </w:p>
    <w:p w:rsidR="00000000" w:rsidRDefault="00905244">
      <w:pPr>
        <w:divId w:val="100533759"/>
        <w:rPr>
          <w:rFonts w:eastAsia="Times New Roman"/>
        </w:rPr>
      </w:pPr>
      <w:hyperlink w:anchor="i137f04c25e1e4da3b6d1f469d06f3319_7" w:history="1">
        <w:r>
          <w:rPr>
            <w:rStyle w:val="a3"/>
            <w:rFonts w:eastAsia="Times New Roman"/>
            <w:sz w:val="18"/>
            <w:szCs w:val="18"/>
          </w:rPr>
          <w:t>Index</w:t>
        </w:r>
      </w:hyperlink>
    </w:p>
    <w:p w:rsidR="00000000" w:rsidRDefault="00905244">
      <w:pPr>
        <w:divId w:val="1515145788"/>
        <w:rPr>
          <w:rFonts w:eastAsia="Times New Roman"/>
        </w:rPr>
      </w:pPr>
    </w:p>
    <w:p w:rsidR="00000000" w:rsidRDefault="00905244">
      <w:pPr>
        <w:jc w:val="both"/>
        <w:rPr>
          <w:rFonts w:eastAsia="Times New Roman"/>
        </w:rPr>
      </w:pPr>
      <w:r>
        <w:rPr>
          <w:rFonts w:eastAsia="Times New Roman"/>
          <w:color w:val="000000"/>
          <w:sz w:val="20"/>
          <w:szCs w:val="20"/>
        </w:rPr>
        <w:t>The following is a list of distribution locations including the approximate square footage and if the location is leased or owned:</w:t>
      </w:r>
    </w:p>
    <w:tbl>
      <w:tblPr>
        <w:tblW w:w="4992" w:type="pct"/>
        <w:jc w:val="center"/>
        <w:tblCellMar>
          <w:top w:w="15" w:type="dxa"/>
          <w:left w:w="15" w:type="dxa"/>
          <w:bottom w:w="15" w:type="dxa"/>
          <w:right w:w="15" w:type="dxa"/>
        </w:tblCellMar>
        <w:tblLook w:val="04A0" w:firstRow="1" w:lastRow="0" w:firstColumn="1" w:lastColumn="0" w:noHBand="0" w:noVBand="1"/>
      </w:tblPr>
      <w:tblGrid>
        <w:gridCol w:w="58"/>
        <w:gridCol w:w="3284"/>
        <w:gridCol w:w="36"/>
        <w:gridCol w:w="36"/>
        <w:gridCol w:w="36"/>
        <w:gridCol w:w="36"/>
        <w:gridCol w:w="42"/>
        <w:gridCol w:w="2315"/>
        <w:gridCol w:w="36"/>
        <w:gridCol w:w="36"/>
        <w:gridCol w:w="36"/>
        <w:gridCol w:w="36"/>
        <w:gridCol w:w="47"/>
        <w:gridCol w:w="2223"/>
        <w:gridCol w:w="36"/>
      </w:tblGrid>
      <w:tr w:rsidR="00000000">
        <w:trPr>
          <w:divId w:val="821309695"/>
          <w:jc w:val="center"/>
        </w:trPr>
        <w:tc>
          <w:tcPr>
            <w:tcW w:w="50" w:type="pct"/>
            <w:vAlign w:val="center"/>
            <w:hideMark/>
          </w:tcPr>
          <w:p w:rsidR="00000000" w:rsidRDefault="00905244">
            <w:pPr>
              <w:jc w:val="both"/>
              <w:rPr>
                <w:rFonts w:eastAsia="Times New Roman"/>
              </w:rPr>
            </w:pPr>
          </w:p>
        </w:tc>
        <w:tc>
          <w:tcPr>
            <w:tcW w:w="1994"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140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135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821309695"/>
          <w:jc w:val="center"/>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Distribution Facility Location</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Approximate Square Footage</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Owned/Leased Facility</w:t>
            </w:r>
          </w:p>
        </w:tc>
      </w:tr>
      <w:tr w:rsidR="00000000">
        <w:trPr>
          <w:divId w:val="821309695"/>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Frankfort, New York</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924,000</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Owned</w:t>
            </w:r>
          </w:p>
        </w:tc>
      </w:tr>
      <w:tr w:rsidR="00000000">
        <w:trPr>
          <w:divId w:val="821309695"/>
          <w:jc w:val="center"/>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Franklin, Kentucky</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833,000</w:t>
            </w:r>
          </w:p>
        </w:tc>
        <w:tc>
          <w:tcPr>
            <w:tcW w:w="0" w:type="auto"/>
            <w:gridSpan w:val="3"/>
            <w:shd w:val="clear" w:color="auto" w:fill="FFFF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Owned</w:t>
            </w:r>
          </w:p>
        </w:tc>
      </w:tr>
      <w:tr w:rsidR="00000000">
        <w:trPr>
          <w:divId w:val="821309695"/>
          <w:jc w:val="center"/>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Pendleton, Indiana</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764,000</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Owned</w:t>
            </w:r>
          </w:p>
        </w:tc>
      </w:tr>
      <w:tr w:rsidR="00000000">
        <w:trPr>
          <w:divId w:val="821309695"/>
          <w:jc w:val="center"/>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Macon, Georgia</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684,000</w:t>
            </w:r>
          </w:p>
        </w:tc>
        <w:tc>
          <w:tcPr>
            <w:tcW w:w="0" w:type="auto"/>
            <w:gridSpan w:val="3"/>
            <w:shd w:val="clear" w:color="auto" w:fill="FFFF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Owned</w:t>
            </w:r>
          </w:p>
        </w:tc>
      </w:tr>
      <w:tr w:rsidR="00000000">
        <w:trPr>
          <w:divId w:val="821309695"/>
          <w:jc w:val="center"/>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Waco, Texas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666,000</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Owned</w:t>
            </w:r>
          </w:p>
        </w:tc>
      </w:tr>
      <w:tr w:rsidR="00000000">
        <w:trPr>
          <w:divId w:val="821309695"/>
          <w:jc w:val="center"/>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Casa Grande, Arizona</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650,000</w:t>
            </w:r>
          </w:p>
        </w:tc>
        <w:tc>
          <w:tcPr>
            <w:tcW w:w="0" w:type="auto"/>
            <w:gridSpan w:val="3"/>
            <w:shd w:val="clear" w:color="auto" w:fill="FFFF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Owned</w:t>
            </w:r>
          </w:p>
        </w:tc>
      </w:tr>
      <w:tr w:rsidR="00000000">
        <w:trPr>
          <w:divId w:val="821309695"/>
          <w:jc w:val="center"/>
        </w:trPr>
        <w:tc>
          <w:tcPr>
            <w:tcW w:w="0" w:type="auto"/>
            <w:gridSpan w:val="3"/>
            <w:shd w:val="clear" w:color="auto" w:fill="CCEEFF"/>
            <w:tcMar>
              <w:top w:w="30" w:type="dxa"/>
              <w:left w:w="20" w:type="dxa"/>
              <w:bottom w:w="30" w:type="dxa"/>
              <w:right w:w="20" w:type="dxa"/>
            </w:tcMar>
            <w:vAlign w:val="bottom"/>
            <w:hideMark/>
          </w:tcPr>
          <w:p w:rsidR="00000000" w:rsidRDefault="00905244">
            <w:pPr>
              <w:divId w:val="1937208135"/>
              <w:rPr>
                <w:rFonts w:eastAsia="Times New Roman"/>
              </w:rPr>
            </w:pPr>
            <w:r>
              <w:rPr>
                <w:rFonts w:eastAsia="Times New Roman"/>
                <w:color w:val="000000"/>
                <w:sz w:val="20"/>
                <w:szCs w:val="20"/>
              </w:rPr>
              <w:t>Hagerstown, Maryland</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482,000</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Owned</w:t>
            </w:r>
          </w:p>
        </w:tc>
      </w:tr>
      <w:tr w:rsidR="00000000">
        <w:trPr>
          <w:divId w:val="821309695"/>
          <w:jc w:val="center"/>
        </w:trPr>
        <w:tc>
          <w:tcPr>
            <w:tcW w:w="0" w:type="auto"/>
            <w:gridSpan w:val="3"/>
            <w:shd w:val="clear" w:color="auto" w:fill="FFFFFF"/>
            <w:tcMar>
              <w:top w:w="30" w:type="dxa"/>
              <w:left w:w="20" w:type="dxa"/>
              <w:bottom w:w="30" w:type="dxa"/>
              <w:right w:w="20" w:type="dxa"/>
            </w:tcMar>
            <w:vAlign w:val="bottom"/>
            <w:hideMark/>
          </w:tcPr>
          <w:p w:rsidR="00000000" w:rsidRDefault="00905244">
            <w:pPr>
              <w:divId w:val="287705564"/>
              <w:rPr>
                <w:rFonts w:eastAsia="Times New Roman"/>
              </w:rPr>
            </w:pPr>
            <w:r>
              <w:rPr>
                <w:rFonts w:eastAsia="Times New Roman"/>
                <w:color w:val="000000"/>
                <w:sz w:val="20"/>
                <w:szCs w:val="20"/>
              </w:rPr>
              <w:t>Hagerstown, Maryland</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309,000</w:t>
            </w:r>
          </w:p>
        </w:tc>
        <w:tc>
          <w:tcPr>
            <w:tcW w:w="0" w:type="auto"/>
            <w:gridSpan w:val="3"/>
            <w:shd w:val="clear" w:color="auto" w:fill="FFFF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Leased</w:t>
            </w:r>
          </w:p>
        </w:tc>
      </w:tr>
      <w:tr w:rsidR="00000000">
        <w:trPr>
          <w:divId w:val="821309695"/>
          <w:jc w:val="center"/>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Waverly, Nebraska</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592,000</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Owned</w:t>
            </w:r>
          </w:p>
        </w:tc>
      </w:tr>
      <w:tr w:rsidR="00000000">
        <w:trPr>
          <w:divId w:val="821309695"/>
          <w:jc w:val="center"/>
        </w:trPr>
        <w:tc>
          <w:tcPr>
            <w:tcW w:w="0" w:type="auto"/>
            <w:gridSpan w:val="3"/>
            <w:shd w:val="clear" w:color="auto" w:fill="FFFFFF"/>
            <w:tcMar>
              <w:top w:w="30" w:type="dxa"/>
              <w:left w:w="20" w:type="dxa"/>
              <w:bottom w:w="30" w:type="dxa"/>
              <w:right w:w="20" w:type="dxa"/>
            </w:tcMar>
            <w:vAlign w:val="bottom"/>
            <w:hideMark/>
          </w:tcPr>
          <w:p w:rsidR="00000000" w:rsidRDefault="00905244">
            <w:pPr>
              <w:divId w:val="1387528902"/>
              <w:rPr>
                <w:rFonts w:eastAsia="Times New Roman"/>
              </w:rPr>
            </w:pPr>
            <w:r>
              <w:rPr>
                <w:rFonts w:eastAsia="Times New Roman"/>
                <w:color w:val="000000"/>
                <w:sz w:val="20"/>
                <w:szCs w:val="20"/>
              </w:rPr>
              <w:t>Seguin, Texas</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71,000</w:t>
            </w:r>
          </w:p>
        </w:tc>
        <w:tc>
          <w:tcPr>
            <w:tcW w:w="0" w:type="auto"/>
            <w:gridSpan w:val="3"/>
            <w:shd w:val="clear" w:color="auto" w:fill="FFFF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Owned</w:t>
            </w:r>
          </w:p>
        </w:tc>
      </w:tr>
      <w:tr w:rsidR="00000000">
        <w:trPr>
          <w:divId w:val="821309695"/>
          <w:jc w:val="center"/>
        </w:trPr>
        <w:tc>
          <w:tcPr>
            <w:tcW w:w="0" w:type="auto"/>
            <w:gridSpan w:val="3"/>
            <w:shd w:val="clear" w:color="auto" w:fill="CCEEFF"/>
            <w:tcMar>
              <w:top w:w="30" w:type="dxa"/>
              <w:left w:w="20" w:type="dxa"/>
              <w:bottom w:w="30" w:type="dxa"/>
              <w:right w:w="20" w:type="dxa"/>
            </w:tcMar>
            <w:vAlign w:val="bottom"/>
            <w:hideMark/>
          </w:tcPr>
          <w:p w:rsidR="00000000" w:rsidRDefault="00905244">
            <w:pPr>
              <w:divId w:val="1823425087"/>
              <w:rPr>
                <w:rFonts w:eastAsia="Times New Roman"/>
              </w:rPr>
            </w:pPr>
            <w:r>
              <w:rPr>
                <w:rFonts w:eastAsia="Times New Roman"/>
                <w:color w:val="000000"/>
                <w:sz w:val="20"/>
                <w:szCs w:val="20"/>
              </w:rPr>
              <w:t>Lakewood, Washington</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64,000</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Leased</w:t>
            </w:r>
          </w:p>
        </w:tc>
      </w:tr>
      <w:tr w:rsidR="00000000">
        <w:trPr>
          <w:divId w:val="821309695"/>
          <w:jc w:val="center"/>
        </w:trPr>
        <w:tc>
          <w:tcPr>
            <w:tcW w:w="0" w:type="auto"/>
            <w:gridSpan w:val="3"/>
            <w:shd w:val="clear" w:color="auto" w:fill="FFFFFF"/>
            <w:tcMar>
              <w:top w:w="30" w:type="dxa"/>
              <w:left w:w="20" w:type="dxa"/>
              <w:bottom w:w="30" w:type="dxa"/>
              <w:right w:w="20" w:type="dxa"/>
            </w:tcMar>
            <w:vAlign w:val="bottom"/>
            <w:hideMark/>
          </w:tcPr>
          <w:p w:rsidR="00000000" w:rsidRDefault="00905244">
            <w:pPr>
              <w:divId w:val="1942715353"/>
              <w:rPr>
                <w:rFonts w:eastAsia="Times New Roman"/>
              </w:rPr>
            </w:pPr>
            <w:r>
              <w:rPr>
                <w:rFonts w:eastAsia="Times New Roman"/>
                <w:color w:val="000000"/>
                <w:sz w:val="20"/>
                <w:szCs w:val="20"/>
              </w:rPr>
              <w:t>Longview, Texas</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63,000</w:t>
            </w:r>
          </w:p>
        </w:tc>
        <w:tc>
          <w:tcPr>
            <w:tcW w:w="0" w:type="auto"/>
            <w:gridSpan w:val="3"/>
            <w:shd w:val="clear" w:color="auto" w:fill="FFFF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Owned</w:t>
            </w:r>
          </w:p>
        </w:tc>
      </w:tr>
    </w:tbl>
    <w:p w:rsidR="00000000" w:rsidRDefault="00905244">
      <w:pPr>
        <w:ind w:hanging="270"/>
        <w:jc w:val="both"/>
        <w:rPr>
          <w:rFonts w:eastAsia="Times New Roman"/>
        </w:rPr>
      </w:pPr>
      <w:r>
        <w:rPr>
          <w:rFonts w:eastAsia="Times New Roman"/>
          <w:color w:val="000000"/>
          <w:sz w:val="16"/>
          <w:szCs w:val="16"/>
        </w:rPr>
        <w:t>(a) The leased distribution center in Hagerstown is treated as an extension of the existing owned Hagerstown location and is not considered a separate distribution center.</w:t>
      </w:r>
    </w:p>
    <w:p w:rsidR="00000000" w:rsidRDefault="00905244">
      <w:pPr>
        <w:divId w:val="954210752"/>
        <w:rPr>
          <w:rFonts w:eastAsia="Times New Roman"/>
        </w:rPr>
      </w:pPr>
      <w:r>
        <w:rPr>
          <w:rFonts w:eastAsia="Times New Roman"/>
          <w:color w:val="000000"/>
          <w:sz w:val="16"/>
          <w:szCs w:val="16"/>
        </w:rPr>
        <w:t>(b) This is a mixing center designed to process certain high-volume bulk products.</w:t>
      </w:r>
    </w:p>
    <w:p w:rsidR="00000000" w:rsidRDefault="00905244">
      <w:pPr>
        <w:divId w:val="1814717443"/>
        <w:rPr>
          <w:rFonts w:eastAsia="Times New Roman"/>
        </w:rPr>
      </w:pPr>
    </w:p>
    <w:p w:rsidR="00000000" w:rsidRDefault="00905244">
      <w:pPr>
        <w:jc w:val="both"/>
        <w:rPr>
          <w:rFonts w:eastAsia="Times New Roman"/>
        </w:rPr>
      </w:pPr>
      <w:r>
        <w:rPr>
          <w:rFonts w:eastAsia="Times New Roman"/>
          <w:color w:val="000000"/>
          <w:sz w:val="20"/>
          <w:szCs w:val="20"/>
        </w:rPr>
        <w:t>The Company’s Store Support Center occupies approximately 260,000 square feet of owned building space in Brentwood, Tennessee, and the Company’s Merchandising Innovation C</w:t>
      </w:r>
      <w:r>
        <w:rPr>
          <w:rFonts w:eastAsia="Times New Roman"/>
          <w:color w:val="000000"/>
          <w:sz w:val="20"/>
          <w:szCs w:val="20"/>
        </w:rPr>
        <w:t>enter occupies approximately 32,000 square feet of leased building space in Nashville, Tennessee.</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On December 7, 2020, the Company announced plans to build a new distribution center in Navarre, Ohio. The new distribution center is expected to be approxim</w:t>
      </w:r>
      <w:r>
        <w:rPr>
          <w:rFonts w:eastAsia="Times New Roman"/>
          <w:color w:val="000000"/>
          <w:sz w:val="20"/>
          <w:szCs w:val="20"/>
        </w:rPr>
        <w:t>ately 895,000 square feet. Construction is planned to begin in fiscal 2021 and is currently anticipated to be complete by the end of fiscal 2022.</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u w:val="single"/>
        </w:rPr>
        <w:t>Item 3</w:t>
      </w:r>
      <w:r>
        <w:rPr>
          <w:rFonts w:eastAsia="Times New Roman"/>
          <w:b/>
          <w:bCs/>
          <w:color w:val="000000"/>
          <w:sz w:val="20"/>
          <w:szCs w:val="20"/>
        </w:rPr>
        <w:t>.        </w:t>
      </w:r>
      <w:r>
        <w:rPr>
          <w:rFonts w:eastAsia="Times New Roman"/>
          <w:b/>
          <w:bCs/>
          <w:color w:val="000000"/>
          <w:sz w:val="20"/>
          <w:szCs w:val="20"/>
          <w:u w:val="single"/>
        </w:rPr>
        <w:t>Legal Proceedings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On October 9, 2020, an alleged stockholder, the City of Pontiac Police an</w:t>
      </w:r>
      <w:r>
        <w:rPr>
          <w:rFonts w:eastAsia="Times New Roman"/>
          <w:color w:val="000000"/>
          <w:sz w:val="20"/>
          <w:szCs w:val="20"/>
        </w:rPr>
        <w:t>d Fire Retirement System, filed a derivative lawsuit in the U.S. District Court for the Middle District of Tennessee, purportedly on the Company's behalf, against certain current and former members of our Board of Directors, and the Company as a nominal de</w:t>
      </w:r>
      <w:r>
        <w:rPr>
          <w:rFonts w:eastAsia="Times New Roman"/>
          <w:color w:val="000000"/>
          <w:sz w:val="20"/>
          <w:szCs w:val="20"/>
        </w:rPr>
        <w:t>fendant, seeking unspecified compensatory and punitive damages payable to the Company, disgorgement, restitution, corporate governance and hiring changes, mandated community investment, and attorneys' fees and costs. Plaintiff alleges that defendants viola</w:t>
      </w:r>
      <w:r>
        <w:rPr>
          <w:rFonts w:eastAsia="Times New Roman"/>
          <w:color w:val="000000"/>
          <w:sz w:val="20"/>
          <w:szCs w:val="20"/>
        </w:rPr>
        <w:t>ted the federal securities laws governing proxy solicitations and breached their fiduciary duties by misrepresenting the Company’s commitment to and support for diversity and inclusion. The Company disputes the allegations of the complaint.</w:t>
      </w:r>
      <w:r>
        <w:rPr>
          <w:rFonts w:eastAsia="Times New Roman"/>
          <w:color w:val="000000"/>
        </w:rPr>
        <w:t xml:space="preserve"> </w:t>
      </w:r>
      <w:r>
        <w:rPr>
          <w:rFonts w:eastAsia="Times New Roman"/>
          <w:color w:val="000000"/>
          <w:sz w:val="20"/>
          <w:szCs w:val="20"/>
        </w:rPr>
        <w:t>The Company and</w:t>
      </w:r>
      <w:r>
        <w:rPr>
          <w:rFonts w:eastAsia="Times New Roman"/>
          <w:color w:val="000000"/>
          <w:sz w:val="20"/>
          <w:szCs w:val="20"/>
        </w:rPr>
        <w:t xml:space="preserve"> the individual defendants moved to dismiss the complaint based on plaintiff’s failure to make a demand on the board and to state a claim upon which relief may be granted.</w:t>
      </w:r>
      <w:r>
        <w:rPr>
          <w:rFonts w:eastAsia="Times New Roman"/>
          <w:color w:val="000000"/>
        </w:rPr>
        <w:t xml:space="preserve"> </w:t>
      </w:r>
      <w:r>
        <w:rPr>
          <w:rFonts w:eastAsia="Times New Roman"/>
          <w:color w:val="000000"/>
          <w:sz w:val="20"/>
          <w:szCs w:val="20"/>
        </w:rPr>
        <w:t>Given the indeterminate claims for monetary damages and the early stage of the proce</w:t>
      </w:r>
      <w:r>
        <w:rPr>
          <w:rFonts w:eastAsia="Times New Roman"/>
          <w:color w:val="000000"/>
          <w:sz w:val="20"/>
          <w:szCs w:val="20"/>
        </w:rPr>
        <w:t>edings where key factual and legal issues have not been resolved, the Company is unable to predict the ultimate timing or outcome of, or reasonably estimate the possible losses or a range of possible losses resulting from the matter described above.</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Company is also involved in various litigation matters arising in the ordinary course of business. The Company believes that, based upon information currently available, any estimated loss related to such matters has been adequately provided for in acc</w:t>
      </w:r>
      <w:r>
        <w:rPr>
          <w:rFonts w:eastAsia="Times New Roman"/>
          <w:color w:val="000000"/>
          <w:sz w:val="20"/>
          <w:szCs w:val="20"/>
        </w:rPr>
        <w:t>rued liabilities to the extent probable and reasonably estimable. Accordingly, the Company currently expects these matters will be resolved without material adverse effect on its consolidated financial position, results of operations or cash flows.  Howeve</w:t>
      </w:r>
      <w:r>
        <w:rPr>
          <w:rFonts w:eastAsia="Times New Roman"/>
          <w:color w:val="000000"/>
          <w:sz w:val="20"/>
          <w:szCs w:val="20"/>
        </w:rPr>
        <w:t>r, litigation and other legal matters involve an element of uncertainty. Future developments in such matters, including adverse decisions or settlements or resulting required changes to the Company’s business operations, could affect our consolidated opera</w:t>
      </w:r>
      <w:r>
        <w:rPr>
          <w:rFonts w:eastAsia="Times New Roman"/>
          <w:color w:val="000000"/>
          <w:sz w:val="20"/>
          <w:szCs w:val="20"/>
        </w:rPr>
        <w:t xml:space="preserve">ting results when resolved in future periods or could result in liability or other amounts material to the Company’s Consolidated Financial Statements. </w:t>
      </w:r>
    </w:p>
    <w:p w:rsidR="00000000" w:rsidRDefault="00905244">
      <w:pPr>
        <w:divId w:val="2088727723"/>
        <w:rPr>
          <w:rFonts w:eastAsia="Times New Roman"/>
        </w:rPr>
      </w:pPr>
    </w:p>
    <w:p w:rsidR="00000000" w:rsidRDefault="00905244">
      <w:pPr>
        <w:jc w:val="both"/>
        <w:rPr>
          <w:rFonts w:eastAsia="Times New Roman"/>
        </w:rPr>
      </w:pPr>
      <w:r>
        <w:rPr>
          <w:rFonts w:eastAsia="Times New Roman"/>
          <w:b/>
          <w:bCs/>
          <w:color w:val="000000"/>
          <w:sz w:val="20"/>
          <w:szCs w:val="20"/>
          <w:u w:val="single"/>
        </w:rPr>
        <w:t>Item 4</w:t>
      </w:r>
      <w:r>
        <w:rPr>
          <w:rFonts w:eastAsia="Times New Roman"/>
          <w:b/>
          <w:bCs/>
          <w:color w:val="000000"/>
          <w:sz w:val="20"/>
          <w:szCs w:val="20"/>
        </w:rPr>
        <w:t>.        </w:t>
      </w:r>
      <w:r>
        <w:rPr>
          <w:rFonts w:eastAsia="Times New Roman"/>
          <w:b/>
          <w:bCs/>
          <w:color w:val="000000"/>
          <w:sz w:val="20"/>
          <w:szCs w:val="20"/>
          <w:u w:val="single"/>
        </w:rPr>
        <w:t>Mine Safety Disclosures</w:t>
      </w:r>
    </w:p>
    <w:p w:rsidR="00000000" w:rsidRDefault="00905244">
      <w:pPr>
        <w:divId w:val="2044862056"/>
        <w:rPr>
          <w:rFonts w:eastAsia="Times New Roman"/>
        </w:rPr>
      </w:pPr>
    </w:p>
    <w:p w:rsidR="00000000" w:rsidRDefault="00905244">
      <w:pPr>
        <w:jc w:val="both"/>
        <w:rPr>
          <w:rFonts w:eastAsia="Times New Roman"/>
        </w:rPr>
      </w:pPr>
      <w:r>
        <w:rPr>
          <w:rFonts w:eastAsia="Times New Roman"/>
          <w:color w:val="000000"/>
          <w:sz w:val="20"/>
          <w:szCs w:val="20"/>
        </w:rPr>
        <w:t>Not applicable.</w:t>
      </w:r>
    </w:p>
    <w:p w:rsidR="00000000" w:rsidRDefault="00905244">
      <w:pPr>
        <w:jc w:val="both"/>
        <w:rPr>
          <w:rFonts w:eastAsia="Times New Roman"/>
        </w:rPr>
      </w:pPr>
    </w:p>
    <w:p w:rsidR="00000000" w:rsidRDefault="00905244">
      <w:pPr>
        <w:jc w:val="center"/>
        <w:divId w:val="438528081"/>
        <w:rPr>
          <w:rFonts w:eastAsia="Times New Roman"/>
        </w:rPr>
      </w:pPr>
      <w:r>
        <w:rPr>
          <w:rFonts w:eastAsia="Times New Roman"/>
          <w:color w:val="000000"/>
          <w:sz w:val="20"/>
          <w:szCs w:val="20"/>
        </w:rPr>
        <w:t>25</w:t>
      </w:r>
    </w:p>
    <w:p w:rsidR="00000000" w:rsidRDefault="00905244">
      <w:pPr>
        <w:rPr>
          <w:rFonts w:eastAsia="Times New Roman"/>
        </w:rPr>
      </w:pPr>
      <w:r>
        <w:rPr>
          <w:rFonts w:eastAsia="Times New Roman"/>
        </w:rPr>
        <w:pict>
          <v:rect id="_x0000_i1053" style="width:0;height:1.5pt" o:hralign="center" o:hrstd="t" o:hr="t" fillcolor="#a0a0a0" stroked="f"/>
        </w:pict>
      </w:r>
    </w:p>
    <w:p w:rsidR="00000000" w:rsidRDefault="00905244">
      <w:pPr>
        <w:divId w:val="1575890646"/>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p>
    <w:p w:rsidR="00000000" w:rsidRDefault="00905244">
      <w:pPr>
        <w:jc w:val="center"/>
        <w:rPr>
          <w:rFonts w:eastAsia="Times New Roman"/>
        </w:rPr>
      </w:pPr>
      <w:r>
        <w:rPr>
          <w:rFonts w:eastAsia="Times New Roman"/>
          <w:b/>
          <w:bCs/>
          <w:color w:val="000000"/>
          <w:sz w:val="20"/>
          <w:szCs w:val="20"/>
        </w:rPr>
        <w:t>PART II</w:t>
      </w:r>
    </w:p>
    <w:p w:rsidR="00000000" w:rsidRDefault="00905244">
      <w:pPr>
        <w:divId w:val="1919900961"/>
        <w:rPr>
          <w:rFonts w:eastAsia="Times New Roman"/>
        </w:rPr>
      </w:pPr>
    </w:p>
    <w:p w:rsidR="00000000" w:rsidRDefault="00905244">
      <w:pPr>
        <w:ind w:hanging="1440"/>
        <w:divId w:val="1707215128"/>
        <w:rPr>
          <w:rFonts w:eastAsia="Times New Roman"/>
        </w:rPr>
      </w:pPr>
      <w:r>
        <w:rPr>
          <w:rFonts w:eastAsia="Times New Roman"/>
          <w:b/>
          <w:bCs/>
          <w:color w:val="000000"/>
          <w:sz w:val="20"/>
          <w:szCs w:val="20"/>
          <w:u w:val="single"/>
        </w:rPr>
        <w:t>Item 5</w:t>
      </w:r>
      <w:r>
        <w:rPr>
          <w:rFonts w:eastAsia="Times New Roman"/>
          <w:b/>
          <w:bCs/>
          <w:color w:val="000000"/>
          <w:sz w:val="20"/>
          <w:szCs w:val="20"/>
        </w:rPr>
        <w:t>.        </w:t>
      </w:r>
      <w:r>
        <w:rPr>
          <w:rFonts w:eastAsia="Times New Roman"/>
          <w:b/>
          <w:bCs/>
          <w:color w:val="000000"/>
          <w:sz w:val="20"/>
          <w:szCs w:val="20"/>
          <w:u w:val="single"/>
        </w:rPr>
        <w:t>Market for Registrant’s Common Equity, Related Stockholder Matters and Issuer Purchases of Equity Securities</w:t>
      </w:r>
    </w:p>
    <w:p w:rsidR="00000000" w:rsidRDefault="00905244">
      <w:pPr>
        <w:divId w:val="1892686359"/>
        <w:rPr>
          <w:rFonts w:eastAsia="Times New Roman"/>
        </w:rPr>
      </w:pPr>
    </w:p>
    <w:p w:rsidR="00000000" w:rsidRDefault="00905244">
      <w:pPr>
        <w:jc w:val="both"/>
        <w:rPr>
          <w:rFonts w:eastAsia="Times New Roman"/>
        </w:rPr>
      </w:pPr>
      <w:r>
        <w:rPr>
          <w:rFonts w:eastAsia="Times New Roman"/>
          <w:b/>
          <w:bCs/>
          <w:color w:val="000000"/>
          <w:sz w:val="20"/>
          <w:szCs w:val="20"/>
        </w:rPr>
        <w:t>Common Stock</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The Company’s common stock trades on the </w:t>
      </w:r>
      <w:r>
        <w:rPr>
          <w:rFonts w:eastAsia="Times New Roman"/>
          <w:color w:val="000000"/>
          <w:sz w:val="20"/>
          <w:szCs w:val="20"/>
        </w:rPr>
        <w:t>Nasdaq Global Select Market under the symbol, “TSCO.”</w:t>
      </w:r>
    </w:p>
    <w:p w:rsidR="00000000" w:rsidRDefault="00905244">
      <w:pPr>
        <w:divId w:val="66733896"/>
        <w:rPr>
          <w:rFonts w:eastAsia="Times New Roman"/>
        </w:rPr>
      </w:pPr>
    </w:p>
    <w:p w:rsidR="00000000" w:rsidRDefault="00905244">
      <w:pPr>
        <w:jc w:val="both"/>
        <w:rPr>
          <w:rFonts w:eastAsia="Times New Roman"/>
        </w:rPr>
      </w:pPr>
      <w:r>
        <w:rPr>
          <w:rFonts w:eastAsia="Times New Roman"/>
          <w:color w:val="000000"/>
          <w:sz w:val="20"/>
          <w:szCs w:val="20"/>
        </w:rPr>
        <w:t>As of January 23, 2021, the number of record holders of our common stock was 665 (excluding individual participants in nominee security position listings), and the estimated number of beneficial holde</w:t>
      </w:r>
      <w:r>
        <w:rPr>
          <w:rFonts w:eastAsia="Times New Roman"/>
          <w:color w:val="000000"/>
          <w:sz w:val="20"/>
          <w:szCs w:val="20"/>
        </w:rPr>
        <w:t>rs of our common stock was approximately 300,000.</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Dividends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paid cash dividends totaling $174.7 million and $162.7 million in fiscal 2020 and 2019, respectively. In fiscal 2020, we declared and paid cash dividends to stockholders of $1.50 per common</w:t>
      </w:r>
      <w:r>
        <w:rPr>
          <w:rFonts w:eastAsia="Times New Roman"/>
          <w:color w:val="000000"/>
          <w:sz w:val="20"/>
          <w:szCs w:val="20"/>
        </w:rPr>
        <w:t xml:space="preserve"> share outstanding as compared to $1.36 per common share outstanding in fiscal 2019. These payments reflect an increase in the quarterly dividend in the third quarter of fiscal 2020 to $0.40 per share from $0.35 per share and an increase in the quarterly d</w:t>
      </w:r>
      <w:r>
        <w:rPr>
          <w:rFonts w:eastAsia="Times New Roman"/>
          <w:color w:val="000000"/>
          <w:sz w:val="20"/>
          <w:szCs w:val="20"/>
        </w:rPr>
        <w:t xml:space="preserve">ividend in the second quarter of fiscal 2019 from $0.31 per share.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On January 27, 2021, the Company’s Board of Directors declared a quarterly cash dividend of $0.52 per share of the Company’s outstanding common stock.  The dividend will be paid on March</w:t>
      </w:r>
      <w:r>
        <w:rPr>
          <w:rFonts w:eastAsia="Times New Roman"/>
          <w:color w:val="000000"/>
          <w:sz w:val="20"/>
          <w:szCs w:val="20"/>
        </w:rPr>
        <w:t> 9, 2021, to stockholders of record as of the close of business on February 22, 2021.</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It is the present intention of the Company’s Board of Directors to continue to pay a quarterly cash dividend; however, the declaration and payment of future dividends w</w:t>
      </w:r>
      <w:r>
        <w:rPr>
          <w:rFonts w:eastAsia="Times New Roman"/>
          <w:color w:val="000000"/>
          <w:sz w:val="20"/>
          <w:szCs w:val="20"/>
        </w:rPr>
        <w:t>ill be determined by the Company’s Board of Directors in its sole discretion and will depend upon the earnings, financial condition, and capital needs of the Company, along with any other factors which the Company’s Board of Directors deem relevant.</w:t>
      </w:r>
    </w:p>
    <w:p w:rsidR="00000000" w:rsidRDefault="00905244">
      <w:pPr>
        <w:divId w:val="699473810"/>
        <w:rPr>
          <w:rFonts w:eastAsia="Times New Roman"/>
        </w:rPr>
      </w:pPr>
    </w:p>
    <w:p w:rsidR="00000000" w:rsidRDefault="00905244">
      <w:pPr>
        <w:jc w:val="center"/>
        <w:divId w:val="1179731177"/>
        <w:rPr>
          <w:rFonts w:eastAsia="Times New Roman"/>
        </w:rPr>
      </w:pPr>
      <w:r>
        <w:rPr>
          <w:rFonts w:eastAsia="Times New Roman"/>
          <w:color w:val="000000"/>
          <w:sz w:val="20"/>
          <w:szCs w:val="20"/>
        </w:rPr>
        <w:t>26</w:t>
      </w:r>
    </w:p>
    <w:p w:rsidR="00000000" w:rsidRDefault="00905244">
      <w:pPr>
        <w:rPr>
          <w:rFonts w:eastAsia="Times New Roman"/>
        </w:rPr>
      </w:pPr>
      <w:r>
        <w:rPr>
          <w:rFonts w:eastAsia="Times New Roman"/>
        </w:rPr>
        <w:pict>
          <v:rect id="_x0000_i1054" style="width:0;height:1.5pt" o:hralign="center" o:hrstd="t" o:hr="t" fillcolor="#a0a0a0" stroked="f"/>
        </w:pict>
      </w:r>
    </w:p>
    <w:p w:rsidR="00000000" w:rsidRDefault="00905244">
      <w:pPr>
        <w:divId w:val="1625506392"/>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b/>
          <w:bCs/>
          <w:color w:val="000000"/>
          <w:sz w:val="20"/>
          <w:szCs w:val="20"/>
        </w:rPr>
        <w:t>Issuer Purchases of Equity Securities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Company’</w:t>
      </w:r>
      <w:r>
        <w:rPr>
          <w:rFonts w:eastAsia="Times New Roman"/>
          <w:color w:val="000000"/>
          <w:sz w:val="20"/>
          <w:szCs w:val="20"/>
        </w:rPr>
        <w:t xml:space="preserve">s Board of Directors has authorized common stock repurchases under a share repurchase program which was announced in February 2007. The authorization amount of the program, which has been increased from time to time, is currently authorized for up to $4.5 </w:t>
      </w:r>
      <w:r>
        <w:rPr>
          <w:rFonts w:eastAsia="Times New Roman"/>
          <w:color w:val="000000"/>
          <w:sz w:val="20"/>
          <w:szCs w:val="20"/>
        </w:rPr>
        <w:t>billion, exclusive of any fees, commissions or other expenses related to such repurchases. The share repurchase program does not have an expiration date. As of December 26, 2020, the Company had remaining authorization under the share repurchase program of</w:t>
      </w:r>
      <w:r>
        <w:rPr>
          <w:rFonts w:eastAsia="Times New Roman"/>
          <w:color w:val="000000"/>
          <w:sz w:val="20"/>
          <w:szCs w:val="20"/>
        </w:rPr>
        <w:t xml:space="preserve"> $1.14 billion, exclusive of any fees, commissions or other expenses. Additionally, the Company withholds shares from vested restricted stock units and performance-based restricted share units to satisfy employees’ minimum statutory tax withholding require</w:t>
      </w:r>
      <w:r>
        <w:rPr>
          <w:rFonts w:eastAsia="Times New Roman"/>
          <w:color w:val="000000"/>
          <w:sz w:val="20"/>
          <w:szCs w:val="20"/>
        </w:rPr>
        <w:t>ments. Stock purchase activity during fiscal 2020 is set forth in the table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2631"/>
        <w:gridCol w:w="38"/>
        <w:gridCol w:w="36"/>
        <w:gridCol w:w="36"/>
        <w:gridCol w:w="36"/>
        <w:gridCol w:w="84"/>
        <w:gridCol w:w="848"/>
        <w:gridCol w:w="36"/>
        <w:gridCol w:w="36"/>
        <w:gridCol w:w="36"/>
        <w:gridCol w:w="36"/>
        <w:gridCol w:w="121"/>
        <w:gridCol w:w="672"/>
        <w:gridCol w:w="36"/>
        <w:gridCol w:w="36"/>
        <w:gridCol w:w="36"/>
        <w:gridCol w:w="36"/>
        <w:gridCol w:w="94"/>
        <w:gridCol w:w="1537"/>
        <w:gridCol w:w="36"/>
        <w:gridCol w:w="36"/>
        <w:gridCol w:w="36"/>
        <w:gridCol w:w="36"/>
        <w:gridCol w:w="121"/>
        <w:gridCol w:w="1545"/>
        <w:gridCol w:w="36"/>
      </w:tblGrid>
      <w:tr w:rsidR="00000000">
        <w:trPr>
          <w:divId w:val="185405619"/>
        </w:trPr>
        <w:tc>
          <w:tcPr>
            <w:tcW w:w="50" w:type="pct"/>
            <w:vAlign w:val="center"/>
            <w:hideMark/>
          </w:tcPr>
          <w:p w:rsidR="00000000" w:rsidRDefault="00905244">
            <w:pPr>
              <w:jc w:val="both"/>
              <w:rPr>
                <w:rFonts w:eastAsia="Times New Roman"/>
              </w:rPr>
            </w:pPr>
          </w:p>
        </w:tc>
        <w:tc>
          <w:tcPr>
            <w:tcW w:w="189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0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1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7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82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88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85405619"/>
        </w:trPr>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Period</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Total Number</w:t>
            </w:r>
            <w:r>
              <w:rPr>
                <w:rFonts w:eastAsia="Times New Roman"/>
                <w:b/>
                <w:bCs/>
                <w:color w:val="000000"/>
                <w:sz w:val="20"/>
                <w:szCs w:val="20"/>
              </w:rPr>
              <w:br/>
              <w:t>of Shares</w:t>
            </w:r>
            <w:r>
              <w:rPr>
                <w:rFonts w:eastAsia="Times New Roman"/>
                <w:b/>
                <w:bCs/>
                <w:color w:val="000000"/>
                <w:sz w:val="20"/>
                <w:szCs w:val="20"/>
              </w:rPr>
              <w:br/>
              <w:t>Purchased</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Average</w:t>
            </w:r>
            <w:r>
              <w:rPr>
                <w:rFonts w:eastAsia="Times New Roman"/>
                <w:b/>
                <w:bCs/>
                <w:color w:val="000000"/>
                <w:sz w:val="20"/>
                <w:szCs w:val="20"/>
              </w:rPr>
              <w:br/>
              <w:t>Price Paid</w:t>
            </w:r>
            <w:r>
              <w:rPr>
                <w:rFonts w:eastAsia="Times New Roman"/>
                <w:b/>
                <w:bCs/>
                <w:color w:val="000000"/>
                <w:sz w:val="20"/>
                <w:szCs w:val="20"/>
              </w:rPr>
              <w:br/>
              <w:t>Per Share</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Total Number of Shares Purchased as Part of Publicly Announced Plans or Programs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Maximum Dollar Value of Shares That May Yet Be</w:t>
            </w:r>
            <w:r>
              <w:rPr>
                <w:rFonts w:eastAsia="Times New Roman"/>
                <w:b/>
                <w:bCs/>
                <w:color w:val="000000"/>
                <w:sz w:val="20"/>
                <w:szCs w:val="20"/>
              </w:rPr>
              <w:br/>
              <w:t>Purchased</w:t>
            </w:r>
            <w:r>
              <w:rPr>
                <w:rFonts w:eastAsia="Times New Roman"/>
                <w:b/>
                <w:bCs/>
                <w:color w:val="000000"/>
                <w:sz w:val="20"/>
                <w:szCs w:val="20"/>
              </w:rPr>
              <w:br/>
              <w:t>Under the Plans or Programs</w:t>
            </w:r>
          </w:p>
        </w:tc>
      </w:tr>
      <w:tr w:rsidR="00000000">
        <w:trPr>
          <w:divId w:val="18540561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divId w:val="2063287059"/>
              <w:rPr>
                <w:rFonts w:eastAsia="Times New Roman"/>
              </w:rPr>
            </w:pPr>
            <w:r>
              <w:rPr>
                <w:rFonts w:eastAsia="Times New Roman"/>
                <w:color w:val="000000"/>
                <w:sz w:val="20"/>
                <w:szCs w:val="20"/>
              </w:rPr>
              <w:t>First Quarter</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2,909,572 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92.33 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2,852,519 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1,223,586,890 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85405619"/>
        </w:trPr>
        <w:tc>
          <w:tcPr>
            <w:tcW w:w="0" w:type="auto"/>
            <w:gridSpan w:val="3"/>
            <w:tcMar>
              <w:top w:w="30" w:type="dxa"/>
              <w:left w:w="20" w:type="dxa"/>
              <w:bottom w:w="30" w:type="dxa"/>
              <w:right w:w="20" w:type="dxa"/>
            </w:tcMar>
            <w:vAlign w:val="bottom"/>
            <w:hideMark/>
          </w:tcPr>
          <w:p w:rsidR="00000000" w:rsidRDefault="00905244">
            <w:pPr>
              <w:divId w:val="963997269"/>
              <w:rPr>
                <w:rFonts w:eastAsia="Times New Roman"/>
              </w:rPr>
            </w:pPr>
            <w:r>
              <w:rPr>
                <w:rFonts w:eastAsia="Times New Roman"/>
                <w:color w:val="000000"/>
                <w:sz w:val="20"/>
                <w:szCs w:val="20"/>
              </w:rPr>
              <w:t>Second Quarter</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22,102 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89.74 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1,223,586,890 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85405619"/>
        </w:trPr>
        <w:tc>
          <w:tcPr>
            <w:tcW w:w="0" w:type="auto"/>
            <w:gridSpan w:val="3"/>
            <w:shd w:val="clear" w:color="auto" w:fill="CCEEFF"/>
            <w:tcMar>
              <w:top w:w="30" w:type="dxa"/>
              <w:left w:w="20" w:type="dxa"/>
              <w:bottom w:w="30" w:type="dxa"/>
              <w:right w:w="20" w:type="dxa"/>
            </w:tcMar>
            <w:vAlign w:val="bottom"/>
            <w:hideMark/>
          </w:tcPr>
          <w:p w:rsidR="00000000" w:rsidRDefault="00905244">
            <w:pPr>
              <w:divId w:val="1542979968"/>
              <w:rPr>
                <w:rFonts w:eastAsia="Times New Roman"/>
              </w:rPr>
            </w:pPr>
            <w:r>
              <w:rPr>
                <w:rFonts w:eastAsia="Times New Roman"/>
                <w:color w:val="000000"/>
                <w:sz w:val="20"/>
                <w:szCs w:val="20"/>
              </w:rPr>
              <w:t>Third Quarter</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2,305 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147.94 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1,223,586,890 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85405619"/>
          <w:trHeight w:val="180"/>
        </w:trPr>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85405619"/>
        </w:trPr>
        <w:tc>
          <w:tcPr>
            <w:tcW w:w="0" w:type="auto"/>
            <w:gridSpan w:val="3"/>
            <w:shd w:val="clear" w:color="auto" w:fill="CCEEFF"/>
            <w:tcMar>
              <w:top w:w="30" w:type="dxa"/>
              <w:left w:w="20" w:type="dxa"/>
              <w:bottom w:w="30" w:type="dxa"/>
              <w:right w:w="20" w:type="dxa"/>
            </w:tcMar>
            <w:vAlign w:val="bottom"/>
            <w:hideMark/>
          </w:tcPr>
          <w:p w:rsidR="00000000" w:rsidRDefault="00905244">
            <w:pPr>
              <w:divId w:val="64651129"/>
              <w:rPr>
                <w:rFonts w:eastAsia="Times New Roman"/>
              </w:rPr>
            </w:pPr>
            <w:r>
              <w:rPr>
                <w:rFonts w:eastAsia="Times New Roman"/>
                <w:color w:val="000000"/>
                <w:sz w:val="20"/>
                <w:szCs w:val="20"/>
              </w:rPr>
              <w:t>Fourth Quarter:</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r>
      <w:tr w:rsidR="00000000">
        <w:trPr>
          <w:divId w:val="185405619"/>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9/27/20 - 10/24/20</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1,223,586,890 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85405619"/>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10/25/20 - 11/21/20</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205,486 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131.21 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205,000 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1,196,695,377 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85405619"/>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11/22/20 - 12/26/20</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381,683 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138.45 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381,683 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1,143,856,948 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85405619"/>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587,169 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135.91 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586,683 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1,143,856,948 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85405619"/>
          <w:trHeight w:val="180"/>
        </w:trPr>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85405619"/>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As of and for the year ended December 26, 2020</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tcBorders>
              <w:bottom w:val="double" w:sz="6"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3,521,148 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99.61 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bottom w:val="double" w:sz="6"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3,439,202 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1,143,856,948 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ind w:hanging="180"/>
        <w:jc w:val="both"/>
        <w:rPr>
          <w:rFonts w:eastAsia="Times New Roman"/>
        </w:rPr>
      </w:pPr>
      <w:r>
        <w:rPr>
          <w:rFonts w:eastAsia="Times New Roman"/>
          <w:color w:val="000000"/>
          <w:sz w:val="16"/>
          <w:szCs w:val="16"/>
        </w:rPr>
        <w:t xml:space="preserve">(a) The total number of shares purchased and </w:t>
      </w:r>
      <w:r>
        <w:rPr>
          <w:rFonts w:eastAsia="Times New Roman"/>
          <w:color w:val="000000"/>
          <w:sz w:val="16"/>
          <w:szCs w:val="16"/>
        </w:rPr>
        <w:t>average price paid per share include shares withheld from vested stock awards to satisfy employees’ minimum statutory tax withholding requirements of 57,053 during the first quarter, 22,102 during the second quarter, 2,305 during the third quarter, and 486</w:t>
      </w:r>
      <w:r>
        <w:rPr>
          <w:rFonts w:eastAsia="Times New Roman"/>
          <w:color w:val="000000"/>
          <w:sz w:val="16"/>
          <w:szCs w:val="16"/>
        </w:rPr>
        <w:t xml:space="preserve"> during the fourth quarter.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expect to implement the balance of the repurchase program through purchases made from time to time either in the open market or through private transactions, in accordance with regulations of the SEC and other applicable l</w:t>
      </w:r>
      <w:r>
        <w:rPr>
          <w:rFonts w:eastAsia="Times New Roman"/>
          <w:color w:val="000000"/>
          <w:sz w:val="20"/>
          <w:szCs w:val="20"/>
        </w:rPr>
        <w:t>egal requirements.  The timing and amount of any common stock repurchased under the program will depend on a variety of factors including price, corporate and regulatory requirements, capital availability, and other market conditions.</w:t>
      </w:r>
    </w:p>
    <w:p w:rsidR="00000000" w:rsidRDefault="00905244">
      <w:pPr>
        <w:jc w:val="both"/>
        <w:rPr>
          <w:rFonts w:eastAsia="Times New Roman"/>
        </w:rPr>
      </w:pPr>
      <w:r>
        <w:rPr>
          <w:rFonts w:eastAsia="Times New Roman"/>
          <w:color w:val="000000"/>
          <w:sz w:val="20"/>
          <w:szCs w:val="20"/>
        </w:rPr>
        <w:t> </w:t>
      </w:r>
    </w:p>
    <w:p w:rsidR="00000000" w:rsidRDefault="00905244">
      <w:pPr>
        <w:jc w:val="both"/>
        <w:rPr>
          <w:rFonts w:eastAsia="Times New Roman"/>
        </w:rPr>
      </w:pPr>
      <w:r>
        <w:rPr>
          <w:rFonts w:eastAsia="Times New Roman"/>
          <w:color w:val="000000"/>
          <w:sz w:val="20"/>
          <w:szCs w:val="20"/>
        </w:rPr>
        <w:t>Any additional stoc</w:t>
      </w:r>
      <w:r>
        <w:rPr>
          <w:rFonts w:eastAsia="Times New Roman"/>
          <w:color w:val="000000"/>
          <w:sz w:val="20"/>
          <w:szCs w:val="20"/>
        </w:rPr>
        <w:t>k repurchase programs will be subject to the discretion of our Board of Directors and will depend upon earnings, financial condition, and capital needs of the Company, along with any other factors which the Board of Directors deem relevant.  The program ma</w:t>
      </w:r>
      <w:r>
        <w:rPr>
          <w:rFonts w:eastAsia="Times New Roman"/>
          <w:color w:val="000000"/>
          <w:sz w:val="20"/>
          <w:szCs w:val="20"/>
        </w:rPr>
        <w:t>y be limited, temporarily paused, or terminated at any time, without prior notice.</w:t>
      </w:r>
    </w:p>
    <w:p w:rsidR="00000000" w:rsidRDefault="00905244">
      <w:pPr>
        <w:jc w:val="both"/>
        <w:rPr>
          <w:rFonts w:eastAsia="Times New Roman"/>
        </w:rPr>
      </w:pPr>
    </w:p>
    <w:p w:rsidR="00000000" w:rsidRDefault="00905244">
      <w:pPr>
        <w:jc w:val="both"/>
        <w:rPr>
          <w:rFonts w:eastAsia="Times New Roman"/>
        </w:rPr>
      </w:pPr>
    </w:p>
    <w:p w:rsidR="00000000" w:rsidRDefault="00905244">
      <w:pPr>
        <w:jc w:val="center"/>
        <w:divId w:val="839613067"/>
        <w:rPr>
          <w:rFonts w:eastAsia="Times New Roman"/>
        </w:rPr>
      </w:pPr>
      <w:r>
        <w:rPr>
          <w:rFonts w:eastAsia="Times New Roman"/>
          <w:color w:val="000000"/>
          <w:sz w:val="20"/>
          <w:szCs w:val="20"/>
        </w:rPr>
        <w:t>27</w:t>
      </w:r>
    </w:p>
    <w:p w:rsidR="00000000" w:rsidRDefault="00905244">
      <w:pPr>
        <w:rPr>
          <w:rFonts w:eastAsia="Times New Roman"/>
        </w:rPr>
      </w:pPr>
      <w:r>
        <w:rPr>
          <w:rFonts w:eastAsia="Times New Roman"/>
        </w:rPr>
        <w:pict>
          <v:rect id="_x0000_i1055" style="width:0;height:1.5pt" o:hralign="center" o:hrstd="t" o:hr="t" fillcolor="#a0a0a0" stroked="f"/>
        </w:pict>
      </w:r>
    </w:p>
    <w:p w:rsidR="00000000" w:rsidRDefault="00905244">
      <w:pPr>
        <w:divId w:val="1756658881"/>
        <w:rPr>
          <w:rFonts w:eastAsia="Times New Roman"/>
        </w:rPr>
      </w:pPr>
      <w:hyperlink w:anchor="i137f04c25e1e4da3b6d1f469d06f3319_7" w:history="1">
        <w:r>
          <w:rPr>
            <w:rStyle w:val="a3"/>
            <w:rFonts w:eastAsia="Times New Roman"/>
            <w:sz w:val="18"/>
            <w:szCs w:val="18"/>
          </w:rPr>
          <w:t>Index</w:t>
        </w:r>
      </w:hyperlink>
    </w:p>
    <w:p w:rsidR="00000000" w:rsidRDefault="00905244">
      <w:pPr>
        <w:jc w:val="center"/>
        <w:rPr>
          <w:rFonts w:eastAsia="Times New Roman"/>
        </w:rPr>
      </w:pPr>
      <w:r>
        <w:rPr>
          <w:rFonts w:eastAsia="Times New Roman"/>
          <w:b/>
          <w:bCs/>
          <w:color w:val="000000"/>
          <w:sz w:val="20"/>
          <w:szCs w:val="20"/>
        </w:rPr>
        <w:t>STOCK PERFORMANCE GRAPH</w:t>
      </w:r>
    </w:p>
    <w:p w:rsidR="00000000" w:rsidRDefault="00905244">
      <w:pPr>
        <w:divId w:val="53816202"/>
        <w:rPr>
          <w:rFonts w:eastAsia="Times New Roman"/>
        </w:rPr>
      </w:pPr>
    </w:p>
    <w:p w:rsidR="00000000" w:rsidRDefault="00905244">
      <w:pPr>
        <w:jc w:val="both"/>
        <w:rPr>
          <w:rFonts w:eastAsia="Times New Roman"/>
        </w:rPr>
      </w:pPr>
      <w:r>
        <w:rPr>
          <w:rFonts w:eastAsia="Times New Roman"/>
          <w:color w:val="000000"/>
          <w:sz w:val="20"/>
          <w:szCs w:val="20"/>
        </w:rPr>
        <w:t>This performance graph shall not be deemed “filed” for purposes of Section 18 of the Securities Exchange Act of 1934, as amended (</w:t>
      </w:r>
      <w:r>
        <w:rPr>
          <w:rFonts w:eastAsia="Times New Roman"/>
          <w:color w:val="000000"/>
          <w:sz w:val="20"/>
          <w:szCs w:val="20"/>
        </w:rPr>
        <w:t>the “Exchange Act”) or otherwise subject to the liabilities under that Section and shall not be deemed to be incorporated by reference into any filing of Tractor Supply Company under the Securities Act of 1933, as amended, or the Exchange Act.</w:t>
      </w:r>
    </w:p>
    <w:p w:rsidR="00000000" w:rsidRDefault="00905244">
      <w:pPr>
        <w:divId w:val="1514104785"/>
        <w:rPr>
          <w:rFonts w:eastAsia="Times New Roman"/>
        </w:rPr>
      </w:pPr>
    </w:p>
    <w:p w:rsidR="00000000" w:rsidRDefault="00905244">
      <w:pPr>
        <w:divId w:val="1504852493"/>
        <w:rPr>
          <w:rFonts w:eastAsia="Times New Roman"/>
        </w:rPr>
      </w:pPr>
      <w:r>
        <w:rPr>
          <w:rFonts w:eastAsia="Times New Roman"/>
          <w:color w:val="000000"/>
          <w:sz w:val="2"/>
          <w:szCs w:val="2"/>
        </w:rPr>
        <w:t> </w:t>
      </w:r>
    </w:p>
    <w:p w:rsidR="00000000" w:rsidRDefault="00905244">
      <w:pPr>
        <w:jc w:val="both"/>
        <w:rPr>
          <w:rFonts w:eastAsia="Times New Roman"/>
        </w:rPr>
      </w:pPr>
      <w:r>
        <w:rPr>
          <w:rFonts w:eastAsia="Times New Roman"/>
          <w:color w:val="000000"/>
          <w:sz w:val="20"/>
          <w:szCs w:val="20"/>
        </w:rPr>
        <w:t>The foll</w:t>
      </w:r>
      <w:r>
        <w:rPr>
          <w:rFonts w:eastAsia="Times New Roman"/>
          <w:color w:val="000000"/>
          <w:sz w:val="20"/>
          <w:szCs w:val="20"/>
        </w:rPr>
        <w:t>owing graph compares the cumulative total stockholder return on our common stock from December 26, 2015 to December 26, 2020 (the Company’s fiscal year-end), with the cumulative total returns of the S&amp;P 500 Index and the S&amp;P Retail Index over the same peri</w:t>
      </w:r>
      <w:r>
        <w:rPr>
          <w:rFonts w:eastAsia="Times New Roman"/>
          <w:color w:val="000000"/>
          <w:sz w:val="20"/>
          <w:szCs w:val="20"/>
        </w:rPr>
        <w:t>od.  The comparison assumes that $100 was invested on December 26, 2015, in our common stock and in each of the foregoing indices and in each case assumes reinvestment of dividends.  The historical stock price performance shown on this graph is not indicat</w:t>
      </w:r>
      <w:r>
        <w:rPr>
          <w:rFonts w:eastAsia="Times New Roman"/>
          <w:color w:val="000000"/>
          <w:sz w:val="20"/>
          <w:szCs w:val="20"/>
        </w:rPr>
        <w:t>ive of future performance.</w:t>
      </w:r>
    </w:p>
    <w:p w:rsidR="00000000" w:rsidRDefault="00905244">
      <w:pPr>
        <w:jc w:val="both"/>
        <w:rPr>
          <w:rFonts w:eastAsia="Times New Roman"/>
        </w:rPr>
      </w:pPr>
    </w:p>
    <w:p w:rsidR="00000000" w:rsidRDefault="00905244">
      <w:pPr>
        <w:jc w:val="center"/>
        <w:rPr>
          <w:rFonts w:eastAsia="Times New Roman"/>
        </w:rPr>
      </w:pPr>
      <w:r>
        <w:rPr>
          <w:rFonts w:eastAsia="Times New Roman"/>
          <w:noProof/>
        </w:rPr>
        <w:drawing>
          <wp:inline distT="0" distB="0" distL="0" distR="0">
            <wp:extent cx="304800" cy="304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4978" w:type="pct"/>
        <w:tblCellMar>
          <w:top w:w="15" w:type="dxa"/>
          <w:left w:w="15" w:type="dxa"/>
          <w:bottom w:w="15" w:type="dxa"/>
          <w:right w:w="15" w:type="dxa"/>
        </w:tblCellMar>
        <w:tblLook w:val="04A0" w:firstRow="1" w:lastRow="0" w:firstColumn="1" w:lastColumn="0" w:noHBand="0" w:noVBand="1"/>
      </w:tblPr>
      <w:tblGrid>
        <w:gridCol w:w="37"/>
        <w:gridCol w:w="1434"/>
        <w:gridCol w:w="36"/>
        <w:gridCol w:w="36"/>
        <w:gridCol w:w="36"/>
        <w:gridCol w:w="36"/>
        <w:gridCol w:w="121"/>
        <w:gridCol w:w="862"/>
        <w:gridCol w:w="36"/>
        <w:gridCol w:w="36"/>
        <w:gridCol w:w="36"/>
        <w:gridCol w:w="36"/>
        <w:gridCol w:w="121"/>
        <w:gridCol w:w="862"/>
        <w:gridCol w:w="36"/>
        <w:gridCol w:w="36"/>
        <w:gridCol w:w="36"/>
        <w:gridCol w:w="36"/>
        <w:gridCol w:w="121"/>
        <w:gridCol w:w="862"/>
        <w:gridCol w:w="36"/>
        <w:gridCol w:w="36"/>
        <w:gridCol w:w="36"/>
        <w:gridCol w:w="36"/>
        <w:gridCol w:w="121"/>
        <w:gridCol w:w="862"/>
        <w:gridCol w:w="36"/>
        <w:gridCol w:w="36"/>
        <w:gridCol w:w="36"/>
        <w:gridCol w:w="36"/>
        <w:gridCol w:w="121"/>
        <w:gridCol w:w="862"/>
        <w:gridCol w:w="36"/>
        <w:gridCol w:w="36"/>
        <w:gridCol w:w="36"/>
        <w:gridCol w:w="36"/>
        <w:gridCol w:w="121"/>
        <w:gridCol w:w="862"/>
        <w:gridCol w:w="36"/>
      </w:tblGrid>
      <w:tr w:rsidR="00000000">
        <w:trPr>
          <w:divId w:val="441803389"/>
        </w:trPr>
        <w:tc>
          <w:tcPr>
            <w:tcW w:w="50" w:type="pct"/>
            <w:vAlign w:val="center"/>
            <w:hideMark/>
          </w:tcPr>
          <w:p w:rsidR="00000000" w:rsidRDefault="00905244">
            <w:pPr>
              <w:jc w:val="center"/>
              <w:rPr>
                <w:rFonts w:eastAsia="Times New Roman"/>
              </w:rPr>
            </w:pPr>
          </w:p>
        </w:tc>
        <w:tc>
          <w:tcPr>
            <w:tcW w:w="120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3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3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3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3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3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3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441803389"/>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12/26/2015</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12/31/2016</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12/30/2017</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12/29/2018</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12/28/2019</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12/26/2020</w:t>
            </w:r>
          </w:p>
        </w:tc>
      </w:tr>
      <w:tr w:rsidR="00000000">
        <w:trPr>
          <w:divId w:val="441803389"/>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Tractor Supply Company</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89.51 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89.80 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101.50 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114.14 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183.91 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41803389"/>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S&amp;P 500</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100.00 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111.07 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135.32 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128.28 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170.57 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198.54 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41803389"/>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S&amp;P Retail Index</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100.00 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105.93 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138.13 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154.77 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199.89 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286.46 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divId w:val="201792795"/>
        <w:rPr>
          <w:rFonts w:eastAsia="Times New Roman"/>
        </w:rPr>
      </w:pPr>
    </w:p>
    <w:p w:rsidR="00000000" w:rsidRDefault="00905244">
      <w:pPr>
        <w:jc w:val="center"/>
        <w:divId w:val="716780232"/>
        <w:rPr>
          <w:rFonts w:eastAsia="Times New Roman"/>
        </w:rPr>
      </w:pPr>
      <w:r>
        <w:rPr>
          <w:rFonts w:eastAsia="Times New Roman"/>
          <w:color w:val="000000"/>
          <w:sz w:val="20"/>
          <w:szCs w:val="20"/>
        </w:rPr>
        <w:t>28</w:t>
      </w:r>
    </w:p>
    <w:p w:rsidR="00000000" w:rsidRDefault="00905244">
      <w:pPr>
        <w:rPr>
          <w:rFonts w:eastAsia="Times New Roman"/>
        </w:rPr>
      </w:pPr>
      <w:r>
        <w:rPr>
          <w:rFonts w:eastAsia="Times New Roman"/>
        </w:rPr>
        <w:pict>
          <v:rect id="_x0000_i1057" style="width:0;height:1.5pt" o:hralign="center" o:hrstd="t" o:hr="t" fillcolor="#a0a0a0" stroked="f"/>
        </w:pict>
      </w:r>
    </w:p>
    <w:p w:rsidR="00000000" w:rsidRDefault="00905244">
      <w:pPr>
        <w:divId w:val="984964766"/>
        <w:rPr>
          <w:rFonts w:eastAsia="Times New Roman"/>
        </w:rPr>
      </w:pPr>
      <w:hyperlink w:anchor="i137f04c25e1e4da3b6d1f469d06f3319_7" w:history="1">
        <w:r>
          <w:rPr>
            <w:rStyle w:val="a3"/>
            <w:rFonts w:eastAsia="Times New Roman"/>
            <w:sz w:val="18"/>
            <w:szCs w:val="18"/>
          </w:rPr>
          <w:t>Index</w:t>
        </w:r>
      </w:hyperlink>
    </w:p>
    <w:p w:rsidR="00000000" w:rsidRDefault="00905244">
      <w:pPr>
        <w:ind w:hanging="1440"/>
        <w:jc w:val="both"/>
        <w:rPr>
          <w:rFonts w:eastAsia="Times New Roman"/>
        </w:rPr>
      </w:pPr>
      <w:r>
        <w:rPr>
          <w:rFonts w:eastAsia="Times New Roman"/>
          <w:b/>
          <w:bCs/>
          <w:color w:val="000000"/>
          <w:sz w:val="20"/>
          <w:szCs w:val="20"/>
          <w:u w:val="single"/>
        </w:rPr>
        <w:t>Item 6</w:t>
      </w:r>
      <w:r>
        <w:rPr>
          <w:rFonts w:eastAsia="Times New Roman"/>
          <w:b/>
          <w:bCs/>
          <w:color w:val="000000"/>
          <w:sz w:val="20"/>
          <w:szCs w:val="20"/>
        </w:rPr>
        <w:t>.        </w:t>
      </w:r>
      <w:r>
        <w:rPr>
          <w:rFonts w:eastAsia="Times New Roman"/>
          <w:b/>
          <w:bCs/>
          <w:color w:val="000000"/>
          <w:sz w:val="20"/>
          <w:szCs w:val="20"/>
          <w:u w:val="single"/>
        </w:rPr>
        <w:t>Selected Financial Data</w:t>
      </w:r>
    </w:p>
    <w:p w:rsidR="00000000" w:rsidRDefault="00905244">
      <w:pPr>
        <w:jc w:val="center"/>
        <w:rPr>
          <w:rFonts w:eastAsia="Times New Roman"/>
        </w:rPr>
      </w:pPr>
      <w:r>
        <w:rPr>
          <w:rFonts w:eastAsia="Times New Roman"/>
          <w:b/>
          <w:bCs/>
          <w:color w:val="000000"/>
          <w:sz w:val="20"/>
          <w:szCs w:val="20"/>
        </w:rPr>
        <w:t> </w:t>
      </w:r>
    </w:p>
    <w:p w:rsidR="00000000" w:rsidRDefault="00905244">
      <w:pPr>
        <w:jc w:val="center"/>
        <w:rPr>
          <w:rFonts w:eastAsia="Times New Roman"/>
        </w:rPr>
      </w:pPr>
      <w:r>
        <w:rPr>
          <w:rFonts w:eastAsia="Times New Roman"/>
          <w:b/>
          <w:bCs/>
          <w:color w:val="000000"/>
          <w:sz w:val="20"/>
          <w:szCs w:val="20"/>
        </w:rPr>
        <w:t>FIVE YEAR SELECTED FINANCIAL AND OPERATING HIGHLIGHTS</w:t>
      </w:r>
      <w:r>
        <w:rPr>
          <w:rFonts w:eastAsia="Times New Roman"/>
          <w:b/>
          <w:bCs/>
          <w:color w:val="000000"/>
          <w:sz w:val="20"/>
          <w:szCs w:val="20"/>
        </w:rPr>
        <w:t xml:space="preserve"> </w:t>
      </w:r>
      <w:r>
        <w:rPr>
          <w:rFonts w:eastAsia="Times New Roman"/>
          <w:b/>
          <w:bCs/>
          <w:color w:val="000000"/>
          <w:sz w:val="13"/>
          <w:szCs w:val="13"/>
        </w:rPr>
        <w:t>(a)(b</w:t>
      </w:r>
      <w:r>
        <w:rPr>
          <w:rFonts w:eastAsia="Times New Roman"/>
          <w:b/>
          <w:bCs/>
          <w:color w:val="000000"/>
          <w:sz w:val="13"/>
          <w:szCs w:val="13"/>
        </w:rPr>
        <w:t>)</w:t>
      </w:r>
    </w:p>
    <w:p w:rsidR="00000000" w:rsidRDefault="00905244">
      <w:pPr>
        <w:jc w:val="center"/>
        <w:rPr>
          <w:rFonts w:eastAsia="Times New Roman"/>
        </w:rPr>
      </w:pPr>
    </w:p>
    <w:p w:rsidR="00000000" w:rsidRDefault="00905244">
      <w:pPr>
        <w:jc w:val="both"/>
        <w:rPr>
          <w:rFonts w:eastAsia="Times New Roman"/>
        </w:rPr>
      </w:pPr>
      <w:r>
        <w:rPr>
          <w:rFonts w:eastAsia="Times New Roman"/>
          <w:color w:val="000000"/>
          <w:sz w:val="20"/>
          <w:szCs w:val="20"/>
        </w:rPr>
        <w:t>The following selected financial data is derived from the Consolidated Financial Statements of Tractor Supply Company and provides summary historical financial information for the fiscal period</w:t>
      </w:r>
      <w:r>
        <w:rPr>
          <w:rFonts w:eastAsia="Times New Roman"/>
          <w:color w:val="000000"/>
          <w:sz w:val="20"/>
          <w:szCs w:val="20"/>
        </w:rPr>
        <w:t>s</w:t>
      </w:r>
      <w:r>
        <w:rPr>
          <w:rFonts w:eastAsia="Times New Roman"/>
          <w:color w:val="000000"/>
          <w:sz w:val="13"/>
          <w:szCs w:val="13"/>
        </w:rPr>
        <w:t xml:space="preserve"> </w:t>
      </w:r>
      <w:r>
        <w:rPr>
          <w:rFonts w:eastAsia="Times New Roman"/>
          <w:color w:val="000000"/>
          <w:sz w:val="20"/>
          <w:szCs w:val="20"/>
        </w:rPr>
        <w:t>ended and as of the dates indicate</w:t>
      </w:r>
      <w:r>
        <w:rPr>
          <w:rFonts w:eastAsia="Times New Roman"/>
          <w:color w:val="000000"/>
          <w:sz w:val="20"/>
          <w:szCs w:val="20"/>
        </w:rPr>
        <w:t>d</w:t>
      </w:r>
      <w:r>
        <w:rPr>
          <w:rFonts w:eastAsia="Times New Roman"/>
          <w:color w:val="000000"/>
          <w:sz w:val="13"/>
          <w:szCs w:val="13"/>
        </w:rPr>
        <w:t xml:space="preserve"> </w:t>
      </w:r>
      <w:r>
        <w:rPr>
          <w:rFonts w:eastAsia="Times New Roman"/>
          <w:color w:val="000000"/>
          <w:sz w:val="20"/>
          <w:szCs w:val="20"/>
        </w:rPr>
        <w:t>(in thousands, except per</w:t>
      </w:r>
      <w:r>
        <w:rPr>
          <w:rFonts w:eastAsia="Times New Roman"/>
          <w:color w:val="000000"/>
          <w:sz w:val="20"/>
          <w:szCs w:val="20"/>
        </w:rPr>
        <w:t xml:space="preserve"> share amounts and selected operating and other data):  </w:t>
      </w:r>
    </w:p>
    <w:tbl>
      <w:tblPr>
        <w:tblW w:w="4978" w:type="pct"/>
        <w:tblCellMar>
          <w:top w:w="15" w:type="dxa"/>
          <w:left w:w="15" w:type="dxa"/>
          <w:bottom w:w="15" w:type="dxa"/>
          <w:right w:w="15" w:type="dxa"/>
        </w:tblCellMar>
        <w:tblLook w:val="04A0" w:firstRow="1" w:lastRow="0" w:firstColumn="1" w:lastColumn="0" w:noHBand="0" w:noVBand="1"/>
      </w:tblPr>
      <w:tblGrid>
        <w:gridCol w:w="38"/>
        <w:gridCol w:w="2375"/>
        <w:gridCol w:w="37"/>
        <w:gridCol w:w="110"/>
        <w:gridCol w:w="855"/>
        <w:gridCol w:w="170"/>
        <w:gridCol w:w="36"/>
        <w:gridCol w:w="36"/>
        <w:gridCol w:w="36"/>
        <w:gridCol w:w="110"/>
        <w:gridCol w:w="765"/>
        <w:gridCol w:w="170"/>
        <w:gridCol w:w="36"/>
        <w:gridCol w:w="36"/>
        <w:gridCol w:w="36"/>
        <w:gridCol w:w="110"/>
        <w:gridCol w:w="765"/>
        <w:gridCol w:w="170"/>
        <w:gridCol w:w="36"/>
        <w:gridCol w:w="36"/>
        <w:gridCol w:w="36"/>
        <w:gridCol w:w="110"/>
        <w:gridCol w:w="765"/>
        <w:gridCol w:w="170"/>
        <w:gridCol w:w="36"/>
        <w:gridCol w:w="36"/>
        <w:gridCol w:w="36"/>
        <w:gridCol w:w="110"/>
        <w:gridCol w:w="765"/>
        <w:gridCol w:w="170"/>
        <w:gridCol w:w="36"/>
        <w:gridCol w:w="36"/>
      </w:tblGrid>
      <w:tr w:rsidR="00000000">
        <w:trPr>
          <w:divId w:val="287585154"/>
        </w:trPr>
        <w:tc>
          <w:tcPr>
            <w:tcW w:w="50" w:type="pct"/>
            <w:vAlign w:val="center"/>
            <w:hideMark/>
          </w:tcPr>
          <w:p w:rsidR="00000000" w:rsidRDefault="00905244">
            <w:pPr>
              <w:jc w:val="both"/>
              <w:rPr>
                <w:rFonts w:eastAsia="Times New Roman"/>
              </w:rPr>
            </w:pPr>
          </w:p>
        </w:tc>
        <w:tc>
          <w:tcPr>
            <w:tcW w:w="211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8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8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8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8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8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2019</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2018</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2017</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2016</w:t>
            </w:r>
          </w:p>
        </w:tc>
        <w:tc>
          <w:tcPr>
            <w:tcW w:w="0" w:type="auto"/>
            <w:vAlign w:val="center"/>
            <w:hideMark/>
          </w:tcPr>
          <w:p w:rsidR="00000000" w:rsidRDefault="00905244">
            <w:pPr>
              <w:jc w:val="center"/>
              <w:rPr>
                <w:rFonts w:eastAsia="Times New Roman"/>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(53 weeks)</w:t>
            </w:r>
          </w:p>
        </w:tc>
        <w:tc>
          <w:tcPr>
            <w:tcW w:w="0" w:type="auto"/>
            <w:vAlign w:val="center"/>
            <w:hideMark/>
          </w:tcPr>
          <w:p w:rsidR="00000000" w:rsidRDefault="00905244">
            <w:pPr>
              <w:jc w:val="center"/>
              <w:rPr>
                <w:rFonts w:eastAsia="Times New Roman"/>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18"/>
                <w:szCs w:val="18"/>
              </w:rPr>
              <w:t>Operating Results: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 </w:t>
            </w:r>
          </w:p>
        </w:tc>
        <w:tc>
          <w:tcPr>
            <w:tcW w:w="0" w:type="auto"/>
            <w:vAlign w:val="center"/>
            <w:hideMark/>
          </w:tcPr>
          <w:p w:rsidR="00000000" w:rsidRDefault="00905244">
            <w:pPr>
              <w:rPr>
                <w:rFonts w:eastAsia="Times New Roman"/>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Net sales</w:t>
            </w: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10,620,352 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8,351,931 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7,911,046 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7,256,382 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6,779,579 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Gross profit</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3,761,549 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2,871,770 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2,702,528 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2,491,965 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2,325,202 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Selling, general and administrative expenses</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2,478,524 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1,932,572 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1,823,440 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1,639,749 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1,488,164 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217,124 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195,978 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177,351 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165,834 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142,958 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Impairment of goodwill and other intangible assets</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68,973 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Operating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996,928 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743,220 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701,737 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686,382 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694,080 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Interest expense, net</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28,781 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19,843 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18,352 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13,859 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5,810 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Income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968,147 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723,377 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683,385 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672,523 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688,270 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Income tax expense</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219,189 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161,023 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151,028 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249,924 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251,150 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748,958 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562,354 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532,357 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422,599 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437,120 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tcMar>
              <w:top w:w="30" w:type="dxa"/>
              <w:left w:w="20" w:type="dxa"/>
              <w:bottom w:w="30" w:type="dxa"/>
              <w:right w:w="20" w:type="dxa"/>
            </w:tcMar>
            <w:vAlign w:val="bottom"/>
            <w:hideMark/>
          </w:tcPr>
          <w:p w:rsidR="00000000" w:rsidRDefault="00905244">
            <w:pPr>
              <w:divId w:val="626393630"/>
              <w:rPr>
                <w:rFonts w:eastAsia="Times New Roman"/>
              </w:rPr>
            </w:pPr>
            <w:r>
              <w:rPr>
                <w:rFonts w:eastAsia="Times New Roman"/>
                <w:color w:val="000000"/>
                <w:sz w:val="18"/>
                <w:szCs w:val="18"/>
              </w:rPr>
              <w:t>Net income per share – basic</w:t>
            </w:r>
            <w:r>
              <w:rPr>
                <w:rFonts w:eastAsia="Times New Roman"/>
                <w:color w:val="000000"/>
                <w:sz w:val="18"/>
                <w:szCs w:val="18"/>
              </w:rPr>
              <w:t xml:space="preserve"> </w:t>
            </w:r>
            <w:r>
              <w:rPr>
                <w:rFonts w:eastAsia="Times New Roman"/>
                <w:color w:val="000000"/>
                <w:sz w:val="12"/>
                <w:szCs w:val="12"/>
              </w:rPr>
              <w:t>(c</w:t>
            </w:r>
            <w:r>
              <w:rPr>
                <w:rFonts w:eastAsia="Times New Roman"/>
                <w:color w:val="000000"/>
                <w:sz w:val="12"/>
                <w:szCs w:val="12"/>
              </w:rPr>
              <w:t>)</w:t>
            </w:r>
          </w:p>
        </w:tc>
        <w:tc>
          <w:tcPr>
            <w:tcW w:w="0" w:type="auto"/>
            <w:tcBorders>
              <w:top w:val="double" w:sz="6" w:space="0" w:color="000000"/>
            </w:tcBorders>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6.44 </w:t>
            </w:r>
          </w:p>
        </w:tc>
        <w:tc>
          <w:tcPr>
            <w:tcW w:w="0" w:type="auto"/>
            <w:tcBorders>
              <w:top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4.70 </w:t>
            </w:r>
          </w:p>
        </w:tc>
        <w:tc>
          <w:tcPr>
            <w:tcW w:w="0" w:type="auto"/>
            <w:tcBorders>
              <w:top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4.34 </w:t>
            </w:r>
          </w:p>
        </w:tc>
        <w:tc>
          <w:tcPr>
            <w:tcW w:w="0" w:type="auto"/>
            <w:tcBorders>
              <w:top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3.31 </w:t>
            </w:r>
          </w:p>
        </w:tc>
        <w:tc>
          <w:tcPr>
            <w:tcW w:w="0" w:type="auto"/>
            <w:tcBorders>
              <w:top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3.29 </w:t>
            </w:r>
          </w:p>
        </w:tc>
        <w:tc>
          <w:tcPr>
            <w:tcW w:w="0" w:type="auto"/>
            <w:tcBorders>
              <w:top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shd w:val="clear" w:color="auto" w:fill="CCEEFF"/>
            <w:tcMar>
              <w:top w:w="30" w:type="dxa"/>
              <w:left w:w="20" w:type="dxa"/>
              <w:bottom w:w="30" w:type="dxa"/>
              <w:right w:w="20" w:type="dxa"/>
            </w:tcMar>
            <w:vAlign w:val="bottom"/>
            <w:hideMark/>
          </w:tcPr>
          <w:p w:rsidR="00000000" w:rsidRDefault="00905244">
            <w:pPr>
              <w:divId w:val="1352146946"/>
              <w:rPr>
                <w:rFonts w:eastAsia="Times New Roman"/>
              </w:rPr>
            </w:pPr>
            <w:r>
              <w:rPr>
                <w:rFonts w:eastAsia="Times New Roman"/>
                <w:color w:val="000000"/>
                <w:sz w:val="18"/>
                <w:szCs w:val="18"/>
              </w:rPr>
              <w:t>Net income per share – diluted</w:t>
            </w:r>
            <w:r>
              <w:rPr>
                <w:rFonts w:eastAsia="Times New Roman"/>
                <w:color w:val="000000"/>
                <w:sz w:val="18"/>
                <w:szCs w:val="18"/>
              </w:rPr>
              <w:t xml:space="preserve"> </w:t>
            </w:r>
            <w:r>
              <w:rPr>
                <w:rFonts w:eastAsia="Times New Roman"/>
                <w:color w:val="000000"/>
                <w:sz w:val="12"/>
                <w:szCs w:val="12"/>
              </w:rPr>
              <w:t>(c</w:t>
            </w:r>
            <w:r>
              <w:rPr>
                <w:rFonts w:eastAsia="Times New Roman"/>
                <w:color w:val="000000"/>
                <w:sz w:val="12"/>
                <w:szCs w:val="12"/>
              </w:rPr>
              <w:t>)</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6.38 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4.66 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4.31 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3.30 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3.27 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tcMar>
              <w:top w:w="30" w:type="dxa"/>
              <w:left w:w="20" w:type="dxa"/>
              <w:bottom w:w="30" w:type="dxa"/>
              <w:right w:w="20" w:type="dxa"/>
            </w:tcMar>
            <w:vAlign w:val="bottom"/>
            <w:hideMark/>
          </w:tcPr>
          <w:p w:rsidR="00000000" w:rsidRDefault="00905244">
            <w:pPr>
              <w:divId w:val="8257719"/>
              <w:rPr>
                <w:rFonts w:eastAsia="Times New Roman"/>
              </w:rPr>
            </w:pPr>
            <w:r>
              <w:rPr>
                <w:rFonts w:eastAsia="Times New Roman"/>
                <w:color w:val="000000"/>
                <w:sz w:val="18"/>
                <w:szCs w:val="18"/>
              </w:rPr>
              <w:t>Weighted average shares – diluted</w:t>
            </w:r>
            <w:r>
              <w:rPr>
                <w:rFonts w:eastAsia="Times New Roman"/>
                <w:color w:val="000000"/>
                <w:sz w:val="18"/>
                <w:szCs w:val="18"/>
              </w:rPr>
              <w:t xml:space="preserve"> </w:t>
            </w:r>
            <w:r>
              <w:rPr>
                <w:rFonts w:eastAsia="Times New Roman"/>
                <w:color w:val="000000"/>
                <w:sz w:val="12"/>
                <w:szCs w:val="12"/>
              </w:rPr>
              <w:t>(c</w:t>
            </w:r>
            <w:r>
              <w:rPr>
                <w:rFonts w:eastAsia="Times New Roman"/>
                <w:color w:val="000000"/>
                <w:sz w:val="12"/>
                <w:szCs w:val="12"/>
              </w:rPr>
              <w:t>)</w:t>
            </w: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117,436 </w:t>
            </w:r>
          </w:p>
        </w:tc>
        <w:tc>
          <w:tcPr>
            <w:tcW w:w="0" w:type="auto"/>
            <w:tcBorders>
              <w:top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120,743 </w:t>
            </w:r>
          </w:p>
        </w:tc>
        <w:tc>
          <w:tcPr>
            <w:tcW w:w="0" w:type="auto"/>
            <w:tcBorders>
              <w:top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123,471 </w:t>
            </w:r>
          </w:p>
        </w:tc>
        <w:tc>
          <w:tcPr>
            <w:tcW w:w="0" w:type="auto"/>
            <w:tcBorders>
              <w:top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128,204 </w:t>
            </w:r>
          </w:p>
        </w:tc>
        <w:tc>
          <w:tcPr>
            <w:tcW w:w="0" w:type="auto"/>
            <w:tcBorders>
              <w:top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133,813 </w:t>
            </w:r>
          </w:p>
        </w:tc>
        <w:tc>
          <w:tcPr>
            <w:tcW w:w="0" w:type="auto"/>
            <w:tcBorders>
              <w:top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Dividends declared per common share outstanding</w:t>
            </w: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1.50 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1.36 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1.20 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1.05 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0.92 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18"/>
                <w:szCs w:val="18"/>
              </w:rPr>
              <w:t>Operating Data (percent of net sales):</w:t>
            </w: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vAlign w:val="center"/>
            <w:hideMark/>
          </w:tcPr>
          <w:p w:rsidR="00000000" w:rsidRDefault="00905244">
            <w:pPr>
              <w:jc w:val="right"/>
              <w:rPr>
                <w:rFonts w:eastAsia="Times New Roman"/>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Gross margin</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35.4 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34.4 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34.2 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34.3 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34.3 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vAlign w:val="center"/>
            <w:hideMark/>
          </w:tcPr>
          <w:p w:rsidR="00000000" w:rsidRDefault="00905244">
            <w:pPr>
              <w:jc w:val="right"/>
              <w:rPr>
                <w:rFonts w:eastAsia="Times New Roman"/>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Selling, general and administrative expenses</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23.3 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23.1 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23.0 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22.6 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22.0 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vAlign w:val="center"/>
            <w:hideMark/>
          </w:tcPr>
          <w:p w:rsidR="00000000" w:rsidRDefault="00905244">
            <w:pPr>
              <w:jc w:val="right"/>
              <w:rPr>
                <w:rFonts w:eastAsia="Times New Roman"/>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Operating income</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9.4 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8.9 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8.9 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9.4 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10.2 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vAlign w:val="center"/>
            <w:hideMark/>
          </w:tcPr>
          <w:p w:rsidR="00000000" w:rsidRDefault="00905244">
            <w:pPr>
              <w:jc w:val="right"/>
              <w:rPr>
                <w:rFonts w:eastAsia="Times New Roman"/>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Net income</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7.1 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6.7 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6.7 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5.8 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6.4 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vAlign w:val="center"/>
            <w:hideMark/>
          </w:tcPr>
          <w:p w:rsidR="00000000" w:rsidRDefault="00905244">
            <w:pPr>
              <w:jc w:val="right"/>
              <w:rPr>
                <w:rFonts w:eastAsia="Times New Roman"/>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18"/>
                <w:szCs w:val="18"/>
              </w:rPr>
              <w:t>Store, Sales, and Other Data:</w:t>
            </w: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vAlign w:val="center"/>
            <w:hideMark/>
          </w:tcPr>
          <w:p w:rsidR="00000000" w:rsidRDefault="00905244">
            <w:pPr>
              <w:jc w:val="right"/>
              <w:rPr>
                <w:rFonts w:eastAsia="Times New Roman"/>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Stores open at end of year</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2,105 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2,024 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1,940 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1,853 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1,738 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shd w:val="clear" w:color="auto" w:fill="CCEEFF"/>
            <w:tcMar>
              <w:top w:w="30" w:type="dxa"/>
              <w:left w:w="20" w:type="dxa"/>
              <w:bottom w:w="30" w:type="dxa"/>
              <w:right w:w="20" w:type="dxa"/>
            </w:tcMar>
            <w:vAlign w:val="bottom"/>
            <w:hideMark/>
          </w:tcPr>
          <w:p w:rsidR="00000000" w:rsidRDefault="00905244">
            <w:pPr>
              <w:divId w:val="1899971844"/>
              <w:rPr>
                <w:rFonts w:eastAsia="Times New Roman"/>
              </w:rPr>
            </w:pPr>
            <w:r>
              <w:rPr>
                <w:rFonts w:eastAsia="Times New Roman"/>
                <w:color w:val="000000"/>
                <w:sz w:val="18"/>
                <w:szCs w:val="18"/>
              </w:rPr>
              <w:t>Comparable store sales increase</w:t>
            </w:r>
            <w:r>
              <w:rPr>
                <w:rFonts w:eastAsia="Times New Roman"/>
                <w:color w:val="000000"/>
                <w:sz w:val="18"/>
                <w:szCs w:val="18"/>
              </w:rPr>
              <w:t xml:space="preserve"> </w:t>
            </w:r>
            <w:r>
              <w:rPr>
                <w:rFonts w:eastAsia="Times New Roman"/>
                <w:color w:val="000000"/>
                <w:sz w:val="12"/>
                <w:szCs w:val="12"/>
              </w:rPr>
              <w:t>(d</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23.1 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5.1 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vAlign w:val="center"/>
            <w:hideMark/>
          </w:tcPr>
          <w:p w:rsidR="00000000" w:rsidRDefault="00905244">
            <w:pPr>
              <w:jc w:val="right"/>
              <w:rPr>
                <w:rFonts w:eastAsia="Times New Roman"/>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tcMar>
              <w:top w:w="30" w:type="dxa"/>
              <w:left w:w="20" w:type="dxa"/>
              <w:bottom w:w="30" w:type="dxa"/>
              <w:right w:w="20" w:type="dxa"/>
            </w:tcMar>
            <w:vAlign w:val="bottom"/>
            <w:hideMark/>
          </w:tcPr>
          <w:p w:rsidR="00000000" w:rsidRDefault="00905244">
            <w:pPr>
              <w:divId w:val="1312783428"/>
              <w:rPr>
                <w:rFonts w:eastAsia="Times New Roman"/>
              </w:rPr>
            </w:pPr>
            <w:r>
              <w:rPr>
                <w:rFonts w:eastAsia="Times New Roman"/>
                <w:color w:val="000000"/>
                <w:sz w:val="18"/>
                <w:szCs w:val="18"/>
              </w:rPr>
              <w:t>New store sales (as a % of net sales)</w:t>
            </w:r>
            <w:r>
              <w:rPr>
                <w:rFonts w:eastAsia="Times New Roman"/>
                <w:color w:val="000000"/>
                <w:sz w:val="18"/>
                <w:szCs w:val="18"/>
              </w:rPr>
              <w:t xml:space="preserve"> </w:t>
            </w:r>
            <w:r>
              <w:rPr>
                <w:rFonts w:eastAsia="Times New Roman"/>
                <w:color w:val="000000"/>
                <w:sz w:val="12"/>
                <w:szCs w:val="12"/>
              </w:rPr>
              <w:t>(e</w:t>
            </w:r>
            <w:r>
              <w:rPr>
                <w:rFonts w:eastAsia="Times New Roman"/>
                <w:color w:val="000000"/>
                <w:sz w:val="12"/>
                <w:szCs w:val="12"/>
              </w:rPr>
              <w:t>)</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3.3 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2.8 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3.8 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5.6 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5.6 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vAlign w:val="center"/>
            <w:hideMark/>
          </w:tcPr>
          <w:p w:rsidR="00000000" w:rsidRDefault="00905244">
            <w:pPr>
              <w:jc w:val="right"/>
              <w:rPr>
                <w:rFonts w:eastAsia="Times New Roman"/>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Average transaction value</w:t>
            </w: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51.90 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46.89 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45.85 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44.61 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44.42 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tcMar>
              <w:top w:w="30" w:type="dxa"/>
              <w:left w:w="20" w:type="dxa"/>
              <w:bottom w:w="30" w:type="dxa"/>
              <w:right w:w="20" w:type="dxa"/>
            </w:tcMar>
            <w:vAlign w:val="bottom"/>
            <w:hideMark/>
          </w:tcPr>
          <w:p w:rsidR="00000000" w:rsidRDefault="00905244">
            <w:pPr>
              <w:divId w:val="2051881266"/>
              <w:rPr>
                <w:rFonts w:eastAsia="Times New Roman"/>
              </w:rPr>
            </w:pPr>
            <w:r>
              <w:rPr>
                <w:rFonts w:eastAsia="Times New Roman"/>
                <w:color w:val="000000"/>
                <w:sz w:val="18"/>
                <w:szCs w:val="18"/>
              </w:rPr>
              <w:t>Comparable store average transaction value increase (decrease)</w:t>
            </w:r>
            <w:r>
              <w:rPr>
                <w:rFonts w:eastAsia="Times New Roman"/>
                <w:color w:val="000000"/>
                <w:sz w:val="18"/>
                <w:szCs w:val="18"/>
              </w:rPr>
              <w:t xml:space="preserve"> </w:t>
            </w:r>
            <w:r>
              <w:rPr>
                <w:rFonts w:eastAsia="Times New Roman"/>
                <w:color w:val="000000"/>
                <w:sz w:val="12"/>
                <w:szCs w:val="12"/>
              </w:rPr>
              <w:t>(c</w:t>
            </w:r>
            <w:r>
              <w:rPr>
                <w:rFonts w:eastAsia="Times New Roman"/>
                <w:color w:val="000000"/>
                <w:sz w:val="12"/>
                <w:szCs w:val="12"/>
              </w:rPr>
              <w:t>)</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12.2 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2.4 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2.8 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0.5 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(0.9)</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vAlign w:val="center"/>
            <w:hideMark/>
          </w:tcPr>
          <w:p w:rsidR="00000000" w:rsidRDefault="00905244">
            <w:pPr>
              <w:jc w:val="right"/>
              <w:rPr>
                <w:rFonts w:eastAsia="Times New Roman"/>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shd w:val="clear" w:color="auto" w:fill="CCEEFF"/>
            <w:tcMar>
              <w:top w:w="30" w:type="dxa"/>
              <w:left w:w="20" w:type="dxa"/>
              <w:bottom w:w="30" w:type="dxa"/>
              <w:right w:w="20" w:type="dxa"/>
            </w:tcMar>
            <w:vAlign w:val="bottom"/>
            <w:hideMark/>
          </w:tcPr>
          <w:p w:rsidR="00000000" w:rsidRDefault="00905244">
            <w:pPr>
              <w:divId w:val="1269386936"/>
              <w:rPr>
                <w:rFonts w:eastAsia="Times New Roman"/>
              </w:rPr>
            </w:pPr>
            <w:r>
              <w:rPr>
                <w:rFonts w:eastAsia="Times New Roman"/>
                <w:color w:val="000000"/>
                <w:sz w:val="18"/>
                <w:szCs w:val="18"/>
              </w:rPr>
              <w:t>Comparable store average transaction count increase</w:t>
            </w:r>
            <w:r>
              <w:rPr>
                <w:rFonts w:eastAsia="Times New Roman"/>
                <w:color w:val="000000"/>
                <w:sz w:val="18"/>
                <w:szCs w:val="18"/>
              </w:rPr>
              <w:t xml:space="preserve"> </w:t>
            </w:r>
            <w:r>
              <w:rPr>
                <w:rFonts w:eastAsia="Times New Roman"/>
                <w:color w:val="000000"/>
                <w:sz w:val="12"/>
                <w:szCs w:val="12"/>
              </w:rPr>
              <w:t>(d</w:t>
            </w:r>
            <w:r>
              <w:rPr>
                <w:rFonts w:eastAsia="Times New Roman"/>
                <w:color w:val="000000"/>
                <w:sz w:val="12"/>
                <w:szCs w:val="12"/>
              </w:rPr>
              <w:t>)</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10.9 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0.3 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2.2 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2.2 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w:t>
            </w:r>
          </w:p>
        </w:tc>
        <w:tc>
          <w:tcPr>
            <w:tcW w:w="0" w:type="auto"/>
            <w:vAlign w:val="center"/>
            <w:hideMark/>
          </w:tcPr>
          <w:p w:rsidR="00000000" w:rsidRDefault="00905244">
            <w:pPr>
              <w:jc w:val="right"/>
              <w:rPr>
                <w:rFonts w:eastAsia="Times New Roman"/>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Total selling square footage (000’s)</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32,139 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30,854 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29,571 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28,180 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26,511 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Total team members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42,500 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33,500 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30,500 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29,300 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26,000 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18"/>
                <w:szCs w:val="18"/>
              </w:rPr>
              <w:t>Capital expenditures (000’s)</w:t>
            </w:r>
          </w:p>
        </w:tc>
        <w:tc>
          <w:tcPr>
            <w:tcW w:w="0" w:type="auto"/>
            <w:tcMar>
              <w:top w:w="30" w:type="dxa"/>
              <w:left w:w="20" w:type="dxa"/>
              <w:bottom w:w="30" w:type="dxa"/>
              <w:right w:w="0" w:type="dxa"/>
            </w:tcMar>
            <w:hideMark/>
          </w:tcPr>
          <w:p w:rsidR="00000000" w:rsidRDefault="0090524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hideMark/>
          </w:tcPr>
          <w:p w:rsidR="00000000" w:rsidRDefault="00905244">
            <w:pPr>
              <w:jc w:val="right"/>
              <w:rPr>
                <w:rFonts w:eastAsia="Times New Roman"/>
              </w:rPr>
            </w:pPr>
            <w:r>
              <w:rPr>
                <w:rFonts w:eastAsia="Times New Roman"/>
                <w:color w:val="000000"/>
                <w:sz w:val="18"/>
                <w:szCs w:val="18"/>
              </w:rPr>
              <w:t>294,002 </w:t>
            </w:r>
          </w:p>
        </w:tc>
        <w:tc>
          <w:tcPr>
            <w:tcW w:w="0" w:type="auto"/>
            <w:tcMar>
              <w:top w:w="30" w:type="dxa"/>
              <w:left w:w="0" w:type="dxa"/>
              <w:bottom w:w="30" w:type="dxa"/>
              <w:right w:w="20" w:type="dxa"/>
            </w:tcMar>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hideMark/>
          </w:tcPr>
          <w:p w:rsidR="00000000" w:rsidRDefault="0090524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hideMark/>
          </w:tcPr>
          <w:p w:rsidR="00000000" w:rsidRDefault="00905244">
            <w:pPr>
              <w:jc w:val="right"/>
              <w:rPr>
                <w:rFonts w:eastAsia="Times New Roman"/>
              </w:rPr>
            </w:pPr>
            <w:r>
              <w:rPr>
                <w:rFonts w:eastAsia="Times New Roman"/>
                <w:color w:val="000000"/>
                <w:sz w:val="18"/>
                <w:szCs w:val="18"/>
              </w:rPr>
              <w:t>217,450 </w:t>
            </w:r>
          </w:p>
        </w:tc>
        <w:tc>
          <w:tcPr>
            <w:tcW w:w="0" w:type="auto"/>
            <w:tcMar>
              <w:top w:w="30" w:type="dxa"/>
              <w:left w:w="0" w:type="dxa"/>
              <w:bottom w:w="30" w:type="dxa"/>
              <w:right w:w="20" w:type="dxa"/>
            </w:tcMar>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hideMark/>
          </w:tcPr>
          <w:p w:rsidR="00000000" w:rsidRDefault="0090524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hideMark/>
          </w:tcPr>
          <w:p w:rsidR="00000000" w:rsidRDefault="00905244">
            <w:pPr>
              <w:jc w:val="right"/>
              <w:rPr>
                <w:rFonts w:eastAsia="Times New Roman"/>
              </w:rPr>
            </w:pPr>
            <w:r>
              <w:rPr>
                <w:rFonts w:eastAsia="Times New Roman"/>
                <w:color w:val="000000"/>
                <w:sz w:val="18"/>
                <w:szCs w:val="18"/>
              </w:rPr>
              <w:t>278,530 </w:t>
            </w:r>
          </w:p>
        </w:tc>
        <w:tc>
          <w:tcPr>
            <w:tcW w:w="0" w:type="auto"/>
            <w:tcMar>
              <w:top w:w="30" w:type="dxa"/>
              <w:left w:w="0" w:type="dxa"/>
              <w:bottom w:w="30" w:type="dxa"/>
              <w:right w:w="20" w:type="dxa"/>
            </w:tcMar>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hideMark/>
          </w:tcPr>
          <w:p w:rsidR="00000000" w:rsidRDefault="0090524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hideMark/>
          </w:tcPr>
          <w:p w:rsidR="00000000" w:rsidRDefault="00905244">
            <w:pPr>
              <w:jc w:val="right"/>
              <w:rPr>
                <w:rFonts w:eastAsia="Times New Roman"/>
              </w:rPr>
            </w:pPr>
            <w:r>
              <w:rPr>
                <w:rFonts w:eastAsia="Times New Roman"/>
                <w:color w:val="000000"/>
                <w:sz w:val="18"/>
                <w:szCs w:val="18"/>
              </w:rPr>
              <w:t>250,401 </w:t>
            </w:r>
          </w:p>
        </w:tc>
        <w:tc>
          <w:tcPr>
            <w:tcW w:w="0" w:type="auto"/>
            <w:tcMar>
              <w:top w:w="30" w:type="dxa"/>
              <w:left w:w="0" w:type="dxa"/>
              <w:bottom w:w="30" w:type="dxa"/>
              <w:right w:w="20" w:type="dxa"/>
            </w:tcMar>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hideMark/>
          </w:tcPr>
          <w:p w:rsidR="00000000" w:rsidRDefault="0090524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hideMark/>
          </w:tcPr>
          <w:p w:rsidR="00000000" w:rsidRDefault="00905244">
            <w:pPr>
              <w:jc w:val="right"/>
              <w:rPr>
                <w:rFonts w:eastAsia="Times New Roman"/>
              </w:rPr>
            </w:pPr>
            <w:r>
              <w:rPr>
                <w:rFonts w:eastAsia="Times New Roman"/>
                <w:color w:val="000000"/>
                <w:sz w:val="18"/>
                <w:szCs w:val="18"/>
              </w:rPr>
              <w:t>226,017 </w:t>
            </w:r>
          </w:p>
        </w:tc>
        <w:tc>
          <w:tcPr>
            <w:tcW w:w="0" w:type="auto"/>
            <w:tcMar>
              <w:top w:w="30" w:type="dxa"/>
              <w:left w:w="0" w:type="dxa"/>
              <w:bottom w:w="30" w:type="dxa"/>
              <w:right w:w="20" w:type="dxa"/>
            </w:tcMar>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18"/>
                <w:szCs w:val="18"/>
              </w:rPr>
              <w:t>Balance Sheet Data (at end of period):</w:t>
            </w: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vAlign w:val="center"/>
            <w:hideMark/>
          </w:tcPr>
          <w:p w:rsidR="00000000" w:rsidRDefault="00905244">
            <w:pPr>
              <w:jc w:val="right"/>
              <w:rPr>
                <w:rFonts w:eastAsia="Times New Roman"/>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tcMar>
              <w:top w:w="30" w:type="dxa"/>
              <w:left w:w="20" w:type="dxa"/>
              <w:bottom w:w="30" w:type="dxa"/>
              <w:right w:w="20" w:type="dxa"/>
            </w:tcMar>
            <w:vAlign w:val="bottom"/>
            <w:hideMark/>
          </w:tcPr>
          <w:p w:rsidR="00000000" w:rsidRDefault="00905244">
            <w:pPr>
              <w:divId w:val="11805183"/>
              <w:rPr>
                <w:rFonts w:eastAsia="Times New Roman"/>
              </w:rPr>
            </w:pPr>
            <w:r>
              <w:rPr>
                <w:rFonts w:eastAsia="Times New Roman"/>
                <w:color w:val="000000"/>
                <w:sz w:val="18"/>
                <w:szCs w:val="18"/>
              </w:rPr>
              <w:t>Average inventory per store</w:t>
            </w:r>
            <w:r>
              <w:rPr>
                <w:rFonts w:eastAsia="Times New Roman"/>
                <w:color w:val="000000"/>
                <w:sz w:val="18"/>
                <w:szCs w:val="18"/>
              </w:rPr>
              <w:t xml:space="preserve"> </w:t>
            </w:r>
            <w:r>
              <w:rPr>
                <w:rFonts w:eastAsia="Times New Roman"/>
                <w:color w:val="000000"/>
                <w:sz w:val="12"/>
                <w:szCs w:val="12"/>
              </w:rPr>
              <w:t>(f</w:t>
            </w:r>
            <w:r>
              <w:rPr>
                <w:rFonts w:eastAsia="Times New Roman"/>
                <w:color w:val="000000"/>
                <w:sz w:val="12"/>
                <w:szCs w:val="12"/>
              </w:rPr>
              <w:t>)</w:t>
            </w: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793.7 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751.3 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766.8 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735.4 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741.7 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Inventory turns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3.92 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3.23 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3.27 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3.24 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3.19 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Working capital</w:t>
            </w: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1,514,887 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540,287 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856,292 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806,154 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740,615 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shd w:val="clear" w:color="auto" w:fill="CCEEFF"/>
            <w:tcMar>
              <w:top w:w="30" w:type="dxa"/>
              <w:left w:w="20" w:type="dxa"/>
              <w:bottom w:w="30" w:type="dxa"/>
              <w:right w:w="20" w:type="dxa"/>
            </w:tcMar>
            <w:vAlign w:val="bottom"/>
            <w:hideMark/>
          </w:tcPr>
          <w:p w:rsidR="00000000" w:rsidRDefault="00905244">
            <w:pPr>
              <w:divId w:val="1250116589"/>
              <w:rPr>
                <w:rFonts w:eastAsia="Times New Roman"/>
              </w:rPr>
            </w:pPr>
            <w:r>
              <w:rPr>
                <w:rFonts w:eastAsia="Times New Roman"/>
                <w:color w:val="000000"/>
                <w:sz w:val="18"/>
                <w:szCs w:val="18"/>
              </w:rPr>
              <w:t>Total assets</w:t>
            </w:r>
            <w:r>
              <w:rPr>
                <w:rFonts w:eastAsia="Times New Roman"/>
                <w:color w:val="000000"/>
                <w:sz w:val="18"/>
                <w:szCs w:val="18"/>
              </w:rPr>
              <w:t xml:space="preserve"> </w:t>
            </w:r>
            <w:r>
              <w:rPr>
                <w:rFonts w:eastAsia="Times New Roman"/>
                <w:color w:val="000000"/>
                <w:sz w:val="12"/>
                <w:szCs w:val="12"/>
              </w:rPr>
              <w:t>(g</w:t>
            </w:r>
            <w:r>
              <w:rPr>
                <w:rFonts w:eastAsia="Times New Roman"/>
                <w:color w:val="000000"/>
                <w:sz w:val="12"/>
                <w:szCs w:val="12"/>
              </w:rPr>
              <w:t>)</w:t>
            </w: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7,049,116 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5,289,268 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3,085,262 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2,868,769 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2,674,942 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tcMar>
              <w:top w:w="30" w:type="dxa"/>
              <w:left w:w="20" w:type="dxa"/>
              <w:bottom w:w="30" w:type="dxa"/>
              <w:right w:w="20" w:type="dxa"/>
            </w:tcMar>
            <w:vAlign w:val="bottom"/>
            <w:hideMark/>
          </w:tcPr>
          <w:p w:rsidR="00000000" w:rsidRDefault="00905244">
            <w:pPr>
              <w:divId w:val="1705014013"/>
              <w:rPr>
                <w:rFonts w:eastAsia="Times New Roman"/>
              </w:rPr>
            </w:pPr>
            <w:r>
              <w:rPr>
                <w:rFonts w:eastAsia="Times New Roman"/>
                <w:color w:val="000000"/>
                <w:sz w:val="18"/>
                <w:szCs w:val="18"/>
              </w:rPr>
              <w:t>Long-term debt, less current portion</w:t>
            </w:r>
            <w:r>
              <w:rPr>
                <w:rFonts w:eastAsia="Times New Roman"/>
                <w:color w:val="000000"/>
                <w:sz w:val="18"/>
                <w:szCs w:val="18"/>
              </w:rPr>
              <w:t xml:space="preserve"> </w:t>
            </w:r>
            <w:r>
              <w:rPr>
                <w:rFonts w:eastAsia="Times New Roman"/>
                <w:color w:val="000000"/>
                <w:sz w:val="12"/>
                <w:szCs w:val="12"/>
              </w:rPr>
              <w:t>(h</w:t>
            </w:r>
            <w:r>
              <w:rPr>
                <w:rFonts w:eastAsia="Times New Roman"/>
                <w:color w:val="000000"/>
                <w:sz w:val="12"/>
                <w:szCs w:val="12"/>
              </w:rPr>
              <w:t>)</w:t>
            </w: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1,017,420 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396,869 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410,370 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433,686 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289,769 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shd w:val="clear" w:color="auto" w:fill="CCEEFF"/>
            <w:tcMar>
              <w:top w:w="30" w:type="dxa"/>
              <w:left w:w="20" w:type="dxa"/>
              <w:bottom w:w="30" w:type="dxa"/>
              <w:right w:w="20" w:type="dxa"/>
            </w:tcMar>
            <w:vAlign w:val="bottom"/>
            <w:hideMark/>
          </w:tcPr>
          <w:p w:rsidR="00000000" w:rsidRDefault="00905244">
            <w:pPr>
              <w:divId w:val="2139488936"/>
              <w:rPr>
                <w:rFonts w:eastAsia="Times New Roman"/>
              </w:rPr>
            </w:pPr>
            <w:r>
              <w:rPr>
                <w:rFonts w:eastAsia="Times New Roman"/>
                <w:color w:val="000000"/>
                <w:sz w:val="18"/>
                <w:szCs w:val="18"/>
              </w:rPr>
              <w:t>Operating lease liabilities, less current portion</w:t>
            </w:r>
            <w:r>
              <w:rPr>
                <w:rFonts w:eastAsia="Times New Roman"/>
                <w:color w:val="000000"/>
                <w:sz w:val="18"/>
                <w:szCs w:val="18"/>
              </w:rPr>
              <w:t xml:space="preserve"> </w:t>
            </w:r>
            <w:r>
              <w:rPr>
                <w:rFonts w:eastAsia="Times New Roman"/>
                <w:color w:val="000000"/>
                <w:sz w:val="12"/>
                <w:szCs w:val="12"/>
              </w:rPr>
              <w:t>(g</w:t>
            </w:r>
            <w:r>
              <w:rPr>
                <w:rFonts w:eastAsia="Times New Roman"/>
                <w:color w:val="000000"/>
                <w:sz w:val="12"/>
                <w:szCs w:val="12"/>
              </w:rPr>
              <w:t>)</w:t>
            </w: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2,220,904 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2,001,162 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287585154"/>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Stockholders’ equity</w:t>
            </w: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1,923,840 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1,567,123 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1,561,820 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1,418,673 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1,453,218 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bl>
    <w:p w:rsidR="00000000" w:rsidRDefault="00905244">
      <w:pPr>
        <w:ind w:hanging="180"/>
        <w:jc w:val="both"/>
        <w:rPr>
          <w:rFonts w:eastAsia="Times New Roman"/>
        </w:rPr>
      </w:pPr>
      <w:r>
        <w:rPr>
          <w:rFonts w:eastAsia="Times New Roman"/>
          <w:color w:val="000000"/>
          <w:sz w:val="9"/>
          <w:szCs w:val="9"/>
        </w:rPr>
        <w:t>(a</w:t>
      </w:r>
      <w:r>
        <w:rPr>
          <w:rFonts w:eastAsia="Times New Roman"/>
          <w:color w:val="000000"/>
          <w:sz w:val="9"/>
          <w:szCs w:val="9"/>
        </w:rPr>
        <w:t>)</w:t>
      </w:r>
      <w:r>
        <w:rPr>
          <w:rFonts w:eastAsia="Times New Roman"/>
          <w:color w:val="000000"/>
          <w:sz w:val="14"/>
          <w:szCs w:val="14"/>
        </w:rPr>
        <w:t xml:space="preserve"> Our fiscal year includes 52 or 53 weeks and ends on the last Saturday of the calendar year.  References to fiscal year mean the year in which that fi</w:t>
      </w:r>
      <w:r>
        <w:rPr>
          <w:rFonts w:eastAsia="Times New Roman"/>
          <w:color w:val="000000"/>
          <w:sz w:val="14"/>
          <w:szCs w:val="14"/>
        </w:rPr>
        <w:t>scal year ended.  Fiscal year 2016 consisted of 53 weeks while all other fiscal years presented consisted of 52 weeks.</w:t>
      </w:r>
    </w:p>
    <w:p w:rsidR="00000000" w:rsidRDefault="00905244">
      <w:pPr>
        <w:ind w:hanging="180"/>
        <w:jc w:val="both"/>
        <w:rPr>
          <w:rFonts w:eastAsia="Times New Roman"/>
        </w:rPr>
      </w:pPr>
      <w:r>
        <w:rPr>
          <w:rFonts w:eastAsia="Times New Roman"/>
          <w:color w:val="000000"/>
          <w:sz w:val="9"/>
          <w:szCs w:val="9"/>
        </w:rPr>
        <w:t>(b</w:t>
      </w:r>
      <w:r>
        <w:rPr>
          <w:rFonts w:eastAsia="Times New Roman"/>
          <w:color w:val="000000"/>
          <w:sz w:val="9"/>
          <w:szCs w:val="9"/>
        </w:rPr>
        <w:t>)</w:t>
      </w:r>
      <w:r>
        <w:rPr>
          <w:rFonts w:eastAsia="Times New Roman"/>
          <w:color w:val="000000"/>
          <w:sz w:val="14"/>
          <w:szCs w:val="14"/>
        </w:rPr>
        <w:t xml:space="preserve"> Beginning in the fourth quarter ended December 31, 2016, selected financial and operating information includes the consolidation of P</w:t>
      </w:r>
      <w:r>
        <w:rPr>
          <w:rFonts w:eastAsia="Times New Roman"/>
          <w:color w:val="000000"/>
          <w:sz w:val="14"/>
          <w:szCs w:val="14"/>
        </w:rPr>
        <w:t xml:space="preserve">etsense, unless otherwise noted. </w:t>
      </w:r>
    </w:p>
    <w:p w:rsidR="00000000" w:rsidRDefault="00905244">
      <w:pPr>
        <w:ind w:hanging="180"/>
        <w:jc w:val="both"/>
        <w:rPr>
          <w:rFonts w:eastAsia="Times New Roman"/>
        </w:rPr>
      </w:pPr>
      <w:r>
        <w:rPr>
          <w:rFonts w:eastAsia="Times New Roman"/>
          <w:color w:val="000000"/>
          <w:sz w:val="9"/>
          <w:szCs w:val="9"/>
        </w:rPr>
        <w:t>(c</w:t>
      </w:r>
      <w:r>
        <w:rPr>
          <w:rFonts w:eastAsia="Times New Roman"/>
          <w:color w:val="000000"/>
          <w:sz w:val="9"/>
          <w:szCs w:val="9"/>
        </w:rPr>
        <w:t>)</w:t>
      </w:r>
      <w:r>
        <w:rPr>
          <w:rFonts w:eastAsia="Times New Roman"/>
          <w:color w:val="000000"/>
          <w:sz w:val="14"/>
          <w:szCs w:val="14"/>
        </w:rPr>
        <w:t xml:space="preserve"> Basic net income per share is calculated based on the weighted average number of common shares outstanding applied to net income.  Diluted net income per share is calculated using the treasury stock method for stock op</w:t>
      </w:r>
      <w:r>
        <w:rPr>
          <w:rFonts w:eastAsia="Times New Roman"/>
          <w:color w:val="000000"/>
          <w:sz w:val="14"/>
          <w:szCs w:val="14"/>
        </w:rPr>
        <w:t>tions, restricted stock units, and performance-based restricted share units.</w:t>
      </w:r>
    </w:p>
    <w:p w:rsidR="00000000" w:rsidRDefault="00905244">
      <w:pPr>
        <w:ind w:hanging="180"/>
        <w:jc w:val="both"/>
        <w:rPr>
          <w:rFonts w:eastAsia="Times New Roman"/>
        </w:rPr>
      </w:pPr>
      <w:r>
        <w:rPr>
          <w:rFonts w:eastAsia="Times New Roman"/>
          <w:color w:val="000000"/>
          <w:sz w:val="9"/>
          <w:szCs w:val="9"/>
        </w:rPr>
        <w:t>(d</w:t>
      </w:r>
      <w:r>
        <w:rPr>
          <w:rFonts w:eastAsia="Times New Roman"/>
          <w:color w:val="000000"/>
          <w:sz w:val="9"/>
          <w:szCs w:val="9"/>
        </w:rPr>
        <w:t>)</w:t>
      </w:r>
      <w:r>
        <w:rPr>
          <w:rFonts w:eastAsia="Times New Roman"/>
          <w:color w:val="000000"/>
          <w:sz w:val="14"/>
          <w:szCs w:val="14"/>
        </w:rPr>
        <w:t xml:space="preserve"> Comparable store metrics are calculated on an annual basis using sales generated from all stores open at least one year and all online sales, excluding certain adjustments to </w:t>
      </w:r>
      <w:r>
        <w:rPr>
          <w:rFonts w:eastAsia="Times New Roman"/>
          <w:color w:val="000000"/>
          <w:sz w:val="14"/>
          <w:szCs w:val="14"/>
        </w:rPr>
        <w:t>net sales. Stores closed during the year are removed from our comparable store metrics calculations. Stores relocated during the years being compared are not removed from our comparable store metrics as they are immaterial. If the effect of relocated store</w:t>
      </w:r>
      <w:r>
        <w:rPr>
          <w:rFonts w:eastAsia="Times New Roman"/>
          <w:color w:val="000000"/>
          <w:sz w:val="14"/>
          <w:szCs w:val="14"/>
        </w:rPr>
        <w:t>s on our comparable store metrics becomes material, we would remove relocated stores from the calculations. Acquired Petsense stores are considered comparable stores beginning in the fourth quarter of fiscal 2017.</w:t>
      </w:r>
    </w:p>
    <w:p w:rsidR="00000000" w:rsidRDefault="00905244">
      <w:pPr>
        <w:ind w:hanging="180"/>
        <w:jc w:val="both"/>
        <w:rPr>
          <w:rFonts w:eastAsia="Times New Roman"/>
        </w:rPr>
      </w:pPr>
      <w:r>
        <w:rPr>
          <w:rFonts w:eastAsia="Times New Roman"/>
          <w:color w:val="000000"/>
          <w:sz w:val="9"/>
          <w:szCs w:val="9"/>
        </w:rPr>
        <w:t>(e</w:t>
      </w:r>
      <w:r>
        <w:rPr>
          <w:rFonts w:eastAsia="Times New Roman"/>
          <w:color w:val="000000"/>
          <w:sz w:val="9"/>
          <w:szCs w:val="9"/>
        </w:rPr>
        <w:t>)</w:t>
      </w:r>
      <w:r>
        <w:rPr>
          <w:rFonts w:eastAsia="Times New Roman"/>
          <w:color w:val="000000"/>
          <w:sz w:val="14"/>
          <w:szCs w:val="14"/>
        </w:rPr>
        <w:t xml:space="preserve"> New stores sales metrics are based on </w:t>
      </w:r>
      <w:r>
        <w:rPr>
          <w:rFonts w:eastAsia="Times New Roman"/>
          <w:color w:val="000000"/>
          <w:sz w:val="14"/>
          <w:szCs w:val="14"/>
        </w:rPr>
        <w:t xml:space="preserve">stores open for less than one year. </w:t>
      </w:r>
    </w:p>
    <w:p w:rsidR="00000000" w:rsidRDefault="00905244">
      <w:pPr>
        <w:ind w:hanging="180"/>
        <w:jc w:val="both"/>
        <w:rPr>
          <w:rFonts w:eastAsia="Times New Roman"/>
        </w:rPr>
      </w:pPr>
      <w:r>
        <w:rPr>
          <w:rFonts w:eastAsia="Times New Roman"/>
          <w:color w:val="000000"/>
          <w:sz w:val="9"/>
          <w:szCs w:val="9"/>
        </w:rPr>
        <w:t>(f</w:t>
      </w:r>
      <w:r>
        <w:rPr>
          <w:rFonts w:eastAsia="Times New Roman"/>
          <w:color w:val="000000"/>
          <w:sz w:val="9"/>
          <w:szCs w:val="9"/>
        </w:rPr>
        <w:t>)</w:t>
      </w:r>
      <w:r>
        <w:rPr>
          <w:rFonts w:eastAsia="Times New Roman"/>
          <w:color w:val="000000"/>
          <w:sz w:val="14"/>
          <w:szCs w:val="14"/>
        </w:rPr>
        <w:t xml:space="preserve"> Assumes average inventory cost, excluding inventory in-transit.</w:t>
      </w:r>
    </w:p>
    <w:p w:rsidR="00000000" w:rsidRDefault="00905244">
      <w:pPr>
        <w:ind w:hanging="180"/>
        <w:jc w:val="both"/>
        <w:rPr>
          <w:rFonts w:eastAsia="Times New Roman"/>
        </w:rPr>
      </w:pPr>
      <w:r>
        <w:rPr>
          <w:rFonts w:eastAsia="Times New Roman"/>
          <w:color w:val="000000"/>
          <w:sz w:val="9"/>
          <w:szCs w:val="9"/>
        </w:rPr>
        <w:t>(g</w:t>
      </w:r>
      <w:r>
        <w:rPr>
          <w:rFonts w:eastAsia="Times New Roman"/>
          <w:color w:val="000000"/>
          <w:sz w:val="9"/>
          <w:szCs w:val="9"/>
        </w:rPr>
        <w:t>)</w:t>
      </w:r>
      <w:r>
        <w:rPr>
          <w:rFonts w:eastAsia="Times New Roman"/>
          <w:color w:val="000000"/>
          <w:sz w:val="14"/>
          <w:szCs w:val="14"/>
        </w:rPr>
        <w:t xml:space="preserve"> As a result of the adoption of new lease accounting guidance in the first quarter of fiscal 2019, we recognized lease assets and liabilities for op</w:t>
      </w:r>
      <w:r>
        <w:rPr>
          <w:rFonts w:eastAsia="Times New Roman"/>
          <w:color w:val="000000"/>
          <w:sz w:val="14"/>
          <w:szCs w:val="14"/>
        </w:rPr>
        <w:t xml:space="preserve">erating leases. Prior period amounts were not adjusted and continue to be reported in accordance with our historic accounting policies. For additional information related to the impact of adopting this new accounting guidance, see Note 1 and Note 6 to the </w:t>
      </w:r>
      <w:r>
        <w:rPr>
          <w:rFonts w:eastAsia="Times New Roman"/>
          <w:color w:val="000000"/>
          <w:sz w:val="14"/>
          <w:szCs w:val="14"/>
        </w:rPr>
        <w:t>Consolidated Financial Statements.</w:t>
      </w:r>
    </w:p>
    <w:p w:rsidR="00000000" w:rsidRDefault="00905244">
      <w:pPr>
        <w:ind w:hanging="180"/>
        <w:jc w:val="both"/>
        <w:rPr>
          <w:rFonts w:eastAsia="Times New Roman"/>
        </w:rPr>
      </w:pPr>
      <w:r>
        <w:rPr>
          <w:rFonts w:eastAsia="Times New Roman"/>
          <w:color w:val="000000"/>
          <w:sz w:val="9"/>
          <w:szCs w:val="9"/>
        </w:rPr>
        <w:t>(h</w:t>
      </w:r>
      <w:r>
        <w:rPr>
          <w:rFonts w:eastAsia="Times New Roman"/>
          <w:color w:val="000000"/>
          <w:sz w:val="9"/>
          <w:szCs w:val="9"/>
        </w:rPr>
        <w:t>)</w:t>
      </w:r>
      <w:r>
        <w:rPr>
          <w:rFonts w:eastAsia="Times New Roman"/>
          <w:color w:val="000000"/>
          <w:sz w:val="14"/>
          <w:szCs w:val="14"/>
        </w:rPr>
        <w:t xml:space="preserve"> Long-term debt includes amounts outstanding under the Company’s debt facilities and finance lease obligations, excluding the current portions.</w:t>
      </w:r>
    </w:p>
    <w:p w:rsidR="00000000" w:rsidRDefault="00905244">
      <w:pPr>
        <w:jc w:val="center"/>
        <w:divId w:val="724765716"/>
        <w:rPr>
          <w:rFonts w:eastAsia="Times New Roman"/>
        </w:rPr>
      </w:pPr>
      <w:r>
        <w:rPr>
          <w:rFonts w:eastAsia="Times New Roman"/>
          <w:color w:val="000000"/>
          <w:sz w:val="20"/>
          <w:szCs w:val="20"/>
        </w:rPr>
        <w:t>29</w:t>
      </w:r>
    </w:p>
    <w:p w:rsidR="00000000" w:rsidRDefault="00905244">
      <w:pPr>
        <w:rPr>
          <w:rFonts w:eastAsia="Times New Roman"/>
        </w:rPr>
      </w:pPr>
      <w:r>
        <w:rPr>
          <w:rFonts w:eastAsia="Times New Roman"/>
        </w:rPr>
        <w:pict>
          <v:rect id="_x0000_i1058" style="width:0;height:1.5pt" o:hralign="center" o:hrstd="t" o:hr="t" fillcolor="#a0a0a0" stroked="f"/>
        </w:pict>
      </w:r>
    </w:p>
    <w:p w:rsidR="00000000" w:rsidRDefault="00905244">
      <w:pPr>
        <w:divId w:val="342973387"/>
        <w:rPr>
          <w:rFonts w:eastAsia="Times New Roman"/>
        </w:rPr>
      </w:pPr>
      <w:hyperlink w:anchor="i137f04c25e1e4da3b6d1f469d06f3319_7" w:history="1">
        <w:r>
          <w:rPr>
            <w:rStyle w:val="a3"/>
            <w:rFonts w:eastAsia="Times New Roman"/>
            <w:sz w:val="18"/>
            <w:szCs w:val="18"/>
          </w:rPr>
          <w:t>Index</w:t>
        </w:r>
      </w:hyperlink>
    </w:p>
    <w:p w:rsidR="00000000" w:rsidRDefault="00905244">
      <w:pPr>
        <w:ind w:hanging="1440"/>
        <w:divId w:val="886844345"/>
        <w:rPr>
          <w:rFonts w:eastAsia="Times New Roman"/>
        </w:rPr>
      </w:pPr>
      <w:r>
        <w:rPr>
          <w:rFonts w:eastAsia="Times New Roman"/>
          <w:b/>
          <w:bCs/>
          <w:color w:val="000000"/>
          <w:sz w:val="20"/>
          <w:szCs w:val="20"/>
          <w:u w:val="single"/>
        </w:rPr>
        <w:t>Item 7</w:t>
      </w:r>
      <w:r>
        <w:rPr>
          <w:rFonts w:eastAsia="Times New Roman"/>
          <w:b/>
          <w:bCs/>
          <w:color w:val="000000"/>
          <w:sz w:val="20"/>
          <w:szCs w:val="20"/>
        </w:rPr>
        <w:t>.        </w:t>
      </w:r>
      <w:r>
        <w:rPr>
          <w:rFonts w:eastAsia="Times New Roman"/>
          <w:b/>
          <w:bCs/>
          <w:color w:val="000000"/>
          <w:sz w:val="20"/>
          <w:szCs w:val="20"/>
          <w:u w:val="single"/>
        </w:rPr>
        <w:t>Management’s Discussion and Analysis of Financial Condition and Results of Operations</w:t>
      </w:r>
    </w:p>
    <w:p w:rsidR="00000000" w:rsidRDefault="00905244">
      <w:pPr>
        <w:divId w:val="2134713520"/>
        <w:rPr>
          <w:rFonts w:eastAsia="Times New Roman"/>
        </w:rPr>
      </w:pPr>
    </w:p>
    <w:p w:rsidR="00000000" w:rsidRDefault="00905244">
      <w:pPr>
        <w:jc w:val="both"/>
        <w:rPr>
          <w:rFonts w:eastAsia="Times New Roman"/>
        </w:rPr>
      </w:pPr>
      <w:r>
        <w:rPr>
          <w:rFonts w:eastAsia="Times New Roman"/>
          <w:i/>
          <w:iCs/>
          <w:color w:val="000000"/>
          <w:sz w:val="18"/>
          <w:szCs w:val="18"/>
        </w:rPr>
        <w:t>The following discussion and analysis is intended to provide the reader with information that will assist in understanding the significant factors affecting our consolidated operating results, financial condition, liquidity, and capital resources during th</w:t>
      </w:r>
      <w:r>
        <w:rPr>
          <w:rFonts w:eastAsia="Times New Roman"/>
          <w:i/>
          <w:iCs/>
          <w:color w:val="000000"/>
          <w:sz w:val="18"/>
          <w:szCs w:val="18"/>
        </w:rPr>
        <w:t xml:space="preserve">e two-year period ended December 26, 2020 (our fiscal years 2020 and 2019). This discussion should be read in conjunction with our Consolidated Financial Statements and Notes to the Consolidated Financial Statements included elsewhere in this report. This </w:t>
      </w:r>
      <w:r>
        <w:rPr>
          <w:rFonts w:eastAsia="Times New Roman"/>
          <w:i/>
          <w:iCs/>
          <w:color w:val="000000"/>
          <w:sz w:val="18"/>
          <w:szCs w:val="18"/>
        </w:rPr>
        <w:t>discussion contains forward-looking statements and information. See “Forward-Looking Statements and Information” and “Risk Factors” included elsewhere in this report.</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18"/>
          <w:szCs w:val="18"/>
        </w:rPr>
        <w:t>Tractor Supply reports its financial results in accordance with accounting principles g</w:t>
      </w:r>
      <w:r>
        <w:rPr>
          <w:rFonts w:eastAsia="Times New Roman"/>
          <w:i/>
          <w:iCs/>
          <w:color w:val="000000"/>
          <w:sz w:val="18"/>
          <w:szCs w:val="18"/>
        </w:rPr>
        <w:t>enerally accepted in the United States of America (“U.S. GAAP”). Tractor Supply also uses certain non-GAAP measures that fall within the meaning of Securities and Exchange Commission Regulation G and Regulation S-K Item 10(e), which may provide users of th</w:t>
      </w:r>
      <w:r>
        <w:rPr>
          <w:rFonts w:eastAsia="Times New Roman"/>
          <w:i/>
          <w:iCs/>
          <w:color w:val="000000"/>
          <w:sz w:val="18"/>
          <w:szCs w:val="18"/>
        </w:rPr>
        <w:t>e financial information with additional meaningful comparison to prior reported results. Non-GAAP measures do not have standardized definitions and are not defined by U.S. GAAP. Therefore, Tractor Supply’s non-GAAP measures are unlikely to be comparable to</w:t>
      </w:r>
      <w:r>
        <w:rPr>
          <w:rFonts w:eastAsia="Times New Roman"/>
          <w:i/>
          <w:iCs/>
          <w:color w:val="000000"/>
          <w:sz w:val="18"/>
          <w:szCs w:val="18"/>
        </w:rPr>
        <w:t xml:space="preserve"> similar measures presented by other companies. The presentation of these non-GAAP measures should not be considered in isolation from, as a substitute for, or as superior to the financial information presented in accordance with U.S. GAAP. We believe this</w:t>
      </w:r>
      <w:r>
        <w:rPr>
          <w:rFonts w:eastAsia="Times New Roman"/>
          <w:i/>
          <w:iCs/>
          <w:color w:val="000000"/>
          <w:sz w:val="18"/>
          <w:szCs w:val="18"/>
        </w:rPr>
        <w:t xml:space="preserve"> information is useful in providing period-to-period comparisons of the results of our continuing operations. </w:t>
      </w:r>
    </w:p>
    <w:p w:rsidR="00000000" w:rsidRDefault="00905244">
      <w:pPr>
        <w:divId w:val="328291938"/>
        <w:rPr>
          <w:rFonts w:eastAsia="Times New Roman"/>
        </w:rPr>
      </w:pPr>
    </w:p>
    <w:p w:rsidR="00000000" w:rsidRDefault="00905244">
      <w:pPr>
        <w:jc w:val="both"/>
        <w:rPr>
          <w:rFonts w:eastAsia="Times New Roman"/>
        </w:rPr>
      </w:pPr>
      <w:r>
        <w:rPr>
          <w:rFonts w:eastAsia="Times New Roman"/>
          <w:b/>
          <w:bCs/>
          <w:color w:val="000000"/>
          <w:sz w:val="22"/>
          <w:szCs w:val="22"/>
        </w:rPr>
        <w:t>Overview</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Founded in 1938, Tractor Supply Company (the “Company” or “we” or “our” or “us”</w:t>
      </w:r>
      <w:r>
        <w:rPr>
          <w:rFonts w:eastAsia="Times New Roman"/>
          <w:color w:val="000000"/>
          <w:sz w:val="20"/>
          <w:szCs w:val="20"/>
        </w:rPr>
        <w:t>) is the largest rural lifestyle retailer in the United States (“U.S.”). The Company is focused on supplying the needs of recreational farmers, ranchers, and all those who enjoy living the rural lifestyle (which we refer to as the “</w:t>
      </w:r>
      <w:r>
        <w:rPr>
          <w:rFonts w:eastAsia="Times New Roman"/>
          <w:i/>
          <w:iCs/>
          <w:color w:val="000000"/>
          <w:sz w:val="20"/>
          <w:szCs w:val="20"/>
        </w:rPr>
        <w:t>Out Here</w:t>
      </w:r>
      <w:r>
        <w:rPr>
          <w:rFonts w:eastAsia="Times New Roman"/>
          <w:color w:val="000000"/>
          <w:sz w:val="20"/>
          <w:szCs w:val="20"/>
        </w:rPr>
        <w:t>” lifestyle), as</w:t>
      </w:r>
      <w:r>
        <w:rPr>
          <w:rFonts w:eastAsia="Times New Roman"/>
          <w:color w:val="000000"/>
          <w:sz w:val="20"/>
          <w:szCs w:val="20"/>
        </w:rPr>
        <w:t xml:space="preserve"> well as tradesmen and small businesses. As of December 26, 2020, we operated 2,105 retail stores in 49 states under the names </w:t>
      </w:r>
      <w:r>
        <w:rPr>
          <w:rFonts w:eastAsia="Times New Roman"/>
          <w:i/>
          <w:iCs/>
          <w:color w:val="000000"/>
          <w:sz w:val="20"/>
          <w:szCs w:val="20"/>
        </w:rPr>
        <w:t>Tractor Supply Company,</w:t>
      </w:r>
      <w:r>
        <w:rPr>
          <w:rFonts w:eastAsia="Times New Roman"/>
          <w:color w:val="000000"/>
          <w:sz w:val="20"/>
          <w:szCs w:val="20"/>
        </w:rPr>
        <w:t xml:space="preserve"> </w:t>
      </w:r>
      <w:r>
        <w:rPr>
          <w:rFonts w:eastAsia="Times New Roman"/>
          <w:i/>
          <w:iCs/>
          <w:color w:val="000000"/>
          <w:sz w:val="20"/>
          <w:szCs w:val="20"/>
        </w:rPr>
        <w:t xml:space="preserve">Del’s Feed &amp; Farm Supply, </w:t>
      </w:r>
      <w:r>
        <w:rPr>
          <w:rFonts w:eastAsia="Times New Roman"/>
          <w:color w:val="000000"/>
          <w:sz w:val="20"/>
          <w:szCs w:val="20"/>
        </w:rPr>
        <w:t xml:space="preserve">and </w:t>
      </w:r>
      <w:r>
        <w:rPr>
          <w:rFonts w:eastAsia="Times New Roman"/>
          <w:i/>
          <w:iCs/>
          <w:color w:val="000000"/>
          <w:sz w:val="20"/>
          <w:szCs w:val="20"/>
        </w:rPr>
        <w:t>Petsense.</w:t>
      </w:r>
      <w:r>
        <w:rPr>
          <w:rFonts w:eastAsia="Times New Roman"/>
          <w:color w:val="000000"/>
          <w:sz w:val="20"/>
          <w:szCs w:val="20"/>
        </w:rPr>
        <w:t xml:space="preserve"> Our stores are located primarily in towns outlying major metropol</w:t>
      </w:r>
      <w:r>
        <w:rPr>
          <w:rFonts w:eastAsia="Times New Roman"/>
          <w:color w:val="000000"/>
          <w:sz w:val="20"/>
          <w:szCs w:val="20"/>
        </w:rPr>
        <w:t xml:space="preserve">itan markets and in rural communities. We also operate websites under the names </w:t>
      </w:r>
      <w:r>
        <w:rPr>
          <w:rFonts w:eastAsia="Times New Roman"/>
          <w:i/>
          <w:iCs/>
          <w:color w:val="000000"/>
          <w:sz w:val="20"/>
          <w:szCs w:val="20"/>
          <w:u w:val="single"/>
        </w:rPr>
        <w:t>TractorSupply.com</w:t>
      </w:r>
      <w:r>
        <w:rPr>
          <w:rFonts w:eastAsia="Times New Roman"/>
          <w:color w:val="000000"/>
          <w:sz w:val="20"/>
          <w:szCs w:val="20"/>
        </w:rPr>
        <w:t xml:space="preserve"> and </w:t>
      </w:r>
      <w:r>
        <w:rPr>
          <w:rFonts w:eastAsia="Times New Roman"/>
          <w:i/>
          <w:iCs/>
          <w:color w:val="000000"/>
          <w:sz w:val="20"/>
          <w:szCs w:val="20"/>
          <w:u w:val="single"/>
        </w:rPr>
        <w:t>Petsense.com</w:t>
      </w:r>
      <w:r>
        <w:rPr>
          <w:rFonts w:eastAsia="Times New Roman"/>
          <w:color w:val="000000"/>
          <w:sz w:val="20"/>
          <w:szCs w:val="20"/>
        </w:rPr>
        <w:t xml:space="preserve"> as well as a Tractor Supply Company mobile application. Through our stores and e-commerce channels, we offer the following comprehensive sele</w:t>
      </w:r>
      <w:r>
        <w:rPr>
          <w:rFonts w:eastAsia="Times New Roman"/>
          <w:color w:val="000000"/>
          <w:sz w:val="20"/>
          <w:szCs w:val="20"/>
        </w:rPr>
        <w:t>ction of merchandise:</w:t>
      </w:r>
    </w:p>
    <w:p w:rsidR="00000000" w:rsidRDefault="00905244">
      <w:pPr>
        <w:divId w:val="365259339"/>
        <w:rPr>
          <w:rFonts w:eastAsia="Times New Roman"/>
        </w:rPr>
      </w:pPr>
    </w:p>
    <w:p w:rsidR="00000000" w:rsidRDefault="00905244">
      <w:pPr>
        <w:ind w:hanging="360"/>
        <w:divId w:val="1766223457"/>
        <w:rPr>
          <w:rFonts w:eastAsia="Times New Roman"/>
        </w:rPr>
      </w:pPr>
      <w:r>
        <w:rPr>
          <w:rFonts w:eastAsia="Times New Roman"/>
          <w:color w:val="000000"/>
          <w:sz w:val="20"/>
          <w:szCs w:val="20"/>
        </w:rPr>
        <w:t>•Equine, livestock, pet, and small animal products, including items necessary for their health, care, growth, and containment;</w:t>
      </w:r>
    </w:p>
    <w:p w:rsidR="00000000" w:rsidRDefault="00905244">
      <w:pPr>
        <w:ind w:hanging="360"/>
        <w:divId w:val="567694715"/>
        <w:rPr>
          <w:rFonts w:eastAsia="Times New Roman"/>
        </w:rPr>
      </w:pPr>
      <w:r>
        <w:rPr>
          <w:rFonts w:eastAsia="Times New Roman"/>
          <w:color w:val="000000"/>
          <w:sz w:val="20"/>
          <w:szCs w:val="20"/>
        </w:rPr>
        <w:t>•Hardware, truck, towing, and tool products;</w:t>
      </w:r>
    </w:p>
    <w:p w:rsidR="00000000" w:rsidRDefault="00905244">
      <w:pPr>
        <w:ind w:hanging="360"/>
        <w:divId w:val="1806508525"/>
        <w:rPr>
          <w:rFonts w:eastAsia="Times New Roman"/>
        </w:rPr>
      </w:pPr>
      <w:r>
        <w:rPr>
          <w:rFonts w:eastAsia="Times New Roman"/>
          <w:color w:val="000000"/>
          <w:sz w:val="20"/>
          <w:szCs w:val="20"/>
        </w:rPr>
        <w:t>•Seasonal products, including heating, lawn and garden items</w:t>
      </w:r>
      <w:r>
        <w:rPr>
          <w:rFonts w:eastAsia="Times New Roman"/>
          <w:color w:val="000000"/>
          <w:sz w:val="20"/>
          <w:szCs w:val="20"/>
        </w:rPr>
        <w:t>, power equipment, gifts, and toys;</w:t>
      </w:r>
    </w:p>
    <w:p w:rsidR="00000000" w:rsidRDefault="00905244">
      <w:pPr>
        <w:ind w:hanging="360"/>
        <w:divId w:val="547692784"/>
        <w:rPr>
          <w:rFonts w:eastAsia="Times New Roman"/>
        </w:rPr>
      </w:pPr>
      <w:r>
        <w:rPr>
          <w:rFonts w:eastAsia="Times New Roman"/>
          <w:color w:val="000000"/>
          <w:sz w:val="20"/>
          <w:szCs w:val="20"/>
        </w:rPr>
        <w:t>•Work/recreational clothing and footwear; and</w:t>
      </w:r>
    </w:p>
    <w:p w:rsidR="00000000" w:rsidRDefault="00905244">
      <w:pPr>
        <w:ind w:hanging="360"/>
        <w:divId w:val="691688808"/>
        <w:rPr>
          <w:rFonts w:eastAsia="Times New Roman"/>
        </w:rPr>
      </w:pPr>
      <w:r>
        <w:rPr>
          <w:rFonts w:eastAsia="Times New Roman"/>
          <w:color w:val="000000"/>
          <w:sz w:val="20"/>
          <w:szCs w:val="20"/>
        </w:rPr>
        <w:t>•Maintenance products for agricultural and rural use.</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Tractor Supply Company believes we can grow our business by being an integral part of our customers’ lives as the depe</w:t>
      </w:r>
      <w:r>
        <w:rPr>
          <w:rFonts w:eastAsia="Times New Roman"/>
          <w:color w:val="000000"/>
          <w:sz w:val="20"/>
          <w:szCs w:val="20"/>
        </w:rPr>
        <w:t xml:space="preserve">ndable supplier of </w:t>
      </w:r>
      <w:r>
        <w:rPr>
          <w:rFonts w:eastAsia="Times New Roman"/>
          <w:i/>
          <w:iCs/>
          <w:color w:val="000000"/>
          <w:sz w:val="20"/>
          <w:szCs w:val="20"/>
        </w:rPr>
        <w:t>"Out Here"</w:t>
      </w:r>
      <w:r>
        <w:rPr>
          <w:rFonts w:eastAsia="Times New Roman"/>
          <w:color w:val="000000"/>
          <w:sz w:val="20"/>
          <w:szCs w:val="20"/>
        </w:rPr>
        <w:t xml:space="preserve"> lifestyle solutions, creating customer loyalty through personalized experiences, and providing convenience that our customers expect at anytime, anywhere, and in any way they choose. Our long-term growth strategy is to: (1) ex</w:t>
      </w:r>
      <w:r>
        <w:rPr>
          <w:rFonts w:eastAsia="Times New Roman"/>
          <w:color w:val="000000"/>
          <w:sz w:val="20"/>
          <w:szCs w:val="20"/>
        </w:rPr>
        <w:t>pand and deepen our customer base by providing personal, localized, and memorable customer engagements by leveraging content, social media, and digital shopping experiences, attracting new customers and driving loyalty, (2) evolve customer experiences by d</w:t>
      </w:r>
      <w:r>
        <w:rPr>
          <w:rFonts w:eastAsia="Times New Roman"/>
          <w:color w:val="000000"/>
          <w:sz w:val="20"/>
          <w:szCs w:val="20"/>
        </w:rPr>
        <w:t>igitizing our business processes and furthering our omni-channel capabilities, (3) offer relevant assortments and services across all channels through exclusive and national brands and continue to introduce new products and services through our test and le</w:t>
      </w:r>
      <w:r>
        <w:rPr>
          <w:rFonts w:eastAsia="Times New Roman"/>
          <w:color w:val="000000"/>
          <w:sz w:val="20"/>
          <w:szCs w:val="20"/>
        </w:rPr>
        <w:t>arn strategy, (4) drive operational excellence and productivity through continuous improvement, increasing space utilization, and implementing advanced supply chain capabilities to support growth, scale and agility, and (5) expand through selective acquisi</w:t>
      </w:r>
      <w:r>
        <w:rPr>
          <w:rFonts w:eastAsia="Times New Roman"/>
          <w:color w:val="000000"/>
          <w:sz w:val="20"/>
          <w:szCs w:val="20"/>
        </w:rPr>
        <w:t>tions, as such opportunities arise, to add complementary businesses and to enhance penetration into new and existing markets to supplement organic growth.</w:t>
      </w:r>
    </w:p>
    <w:p w:rsidR="00000000" w:rsidRDefault="00905244">
      <w:pPr>
        <w:divId w:val="525406032"/>
        <w:rPr>
          <w:rFonts w:eastAsia="Times New Roman"/>
        </w:rPr>
      </w:pPr>
    </w:p>
    <w:p w:rsidR="00000000" w:rsidRDefault="00905244">
      <w:pPr>
        <w:jc w:val="both"/>
        <w:rPr>
          <w:rFonts w:eastAsia="Times New Roman"/>
        </w:rPr>
      </w:pPr>
      <w:r>
        <w:rPr>
          <w:rFonts w:eastAsia="Times New Roman"/>
          <w:color w:val="000000"/>
          <w:sz w:val="20"/>
          <w:szCs w:val="20"/>
        </w:rPr>
        <w:t>Achieving this strategy will require a foundational focus on: (1) connecting, empowering and growin</w:t>
      </w:r>
      <w:r>
        <w:rPr>
          <w:rFonts w:eastAsia="Times New Roman"/>
          <w:color w:val="000000"/>
          <w:sz w:val="20"/>
          <w:szCs w:val="20"/>
        </w:rPr>
        <w:t>g our team to enhance their lives and the communities they live in, enabling them to provide legendary service to our customers, and (2) allocating resources in a disciplined and efficient manner to drive profitable growth and build shareholder value, incl</w:t>
      </w:r>
      <w:r>
        <w:rPr>
          <w:rFonts w:eastAsia="Times New Roman"/>
          <w:color w:val="000000"/>
          <w:sz w:val="20"/>
          <w:szCs w:val="20"/>
        </w:rPr>
        <w:t>uding leveraging technology and automation, to align our cost structure to support new business capabilities for margin improvement and cost reductions.</w:t>
      </w:r>
    </w:p>
    <w:p w:rsidR="00000000" w:rsidRDefault="00905244">
      <w:pPr>
        <w:divId w:val="253711163"/>
        <w:rPr>
          <w:rFonts w:eastAsia="Times New Roman"/>
        </w:rPr>
      </w:pPr>
    </w:p>
    <w:p w:rsidR="00000000" w:rsidRDefault="00905244">
      <w:pPr>
        <w:jc w:val="both"/>
        <w:rPr>
          <w:rFonts w:eastAsia="Times New Roman"/>
        </w:rPr>
      </w:pPr>
      <w:r>
        <w:rPr>
          <w:rFonts w:eastAsia="Times New Roman"/>
          <w:color w:val="000000"/>
          <w:sz w:val="20"/>
          <w:szCs w:val="20"/>
        </w:rPr>
        <w:t>Over the past five years, we have experienced considerable growth in stores, growing from 1,488 store</w:t>
      </w:r>
      <w:r>
        <w:rPr>
          <w:rFonts w:eastAsia="Times New Roman"/>
          <w:color w:val="000000"/>
          <w:sz w:val="20"/>
          <w:szCs w:val="20"/>
        </w:rPr>
        <w:t>s at the end of fiscal 2015 to 2,105 stores (1,923 Tractor Supply and Del’s retail stores and 182 Petsense retail stores) at the end of fiscal 2020, and in net sales, with a compounded annual growth rate of approximately 11.3%. Given the size of the commun</w:t>
      </w:r>
      <w:r>
        <w:rPr>
          <w:rFonts w:eastAsia="Times New Roman"/>
          <w:color w:val="000000"/>
          <w:sz w:val="20"/>
          <w:szCs w:val="20"/>
        </w:rPr>
        <w:t xml:space="preserve">ities that we target, we believe that there is ample opportunity for new store growth in many existing and new markets. We have developed a proven method for selecting store sites and we believe we have significant additional opportunities for new Tractor </w:t>
      </w:r>
      <w:r>
        <w:rPr>
          <w:rFonts w:eastAsia="Times New Roman"/>
          <w:color w:val="000000"/>
          <w:sz w:val="20"/>
          <w:szCs w:val="20"/>
        </w:rPr>
        <w:t>Supply stores. We also believe that there is opportunity for continued growth for Petsense stores.</w:t>
      </w:r>
    </w:p>
    <w:p w:rsidR="00000000" w:rsidRDefault="00905244">
      <w:pPr>
        <w:jc w:val="both"/>
        <w:rPr>
          <w:rFonts w:eastAsia="Times New Roman"/>
        </w:rPr>
      </w:pPr>
    </w:p>
    <w:p w:rsidR="00000000" w:rsidRDefault="00905244">
      <w:pPr>
        <w:jc w:val="center"/>
        <w:divId w:val="624235629"/>
        <w:rPr>
          <w:rFonts w:eastAsia="Times New Roman"/>
        </w:rPr>
      </w:pPr>
      <w:r>
        <w:rPr>
          <w:rFonts w:eastAsia="Times New Roman"/>
          <w:color w:val="000000"/>
          <w:sz w:val="20"/>
          <w:szCs w:val="20"/>
        </w:rPr>
        <w:t>30</w:t>
      </w:r>
    </w:p>
    <w:p w:rsidR="00000000" w:rsidRDefault="00905244">
      <w:pPr>
        <w:rPr>
          <w:rFonts w:eastAsia="Times New Roman"/>
        </w:rPr>
      </w:pPr>
      <w:r>
        <w:rPr>
          <w:rFonts w:eastAsia="Times New Roman"/>
        </w:rPr>
        <w:pict>
          <v:rect id="_x0000_i1059" style="width:0;height:1.5pt" o:hralign="center" o:hrstd="t" o:hr="t" fillcolor="#a0a0a0" stroked="f"/>
        </w:pict>
      </w:r>
    </w:p>
    <w:p w:rsidR="00000000" w:rsidRDefault="00905244">
      <w:pPr>
        <w:divId w:val="1056856092"/>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b/>
          <w:bCs/>
          <w:color w:val="000000"/>
          <w:sz w:val="20"/>
          <w:szCs w:val="20"/>
        </w:rPr>
        <w:t>Executive Summary</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In fiscal 2020, we opened 80 new Tractor Supply stores in 31 states and nine new Petsense stores in three states. In fiscal 2019, we ope</w:t>
      </w:r>
      <w:r>
        <w:rPr>
          <w:rFonts w:eastAsia="Times New Roman"/>
          <w:color w:val="000000"/>
          <w:sz w:val="20"/>
          <w:szCs w:val="20"/>
        </w:rPr>
        <w:t>ned 80 new Tractor Supply stores in 29 states and eight new Petsense stores in four states. This resulted in a selling square footage increase of approximately 4% in each of fiscal 2020 and fiscal 2019.</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Net sales increased 27.2% to $10.62 billion in fisc</w:t>
      </w:r>
      <w:r>
        <w:rPr>
          <w:rFonts w:eastAsia="Times New Roman"/>
          <w:color w:val="000000"/>
          <w:sz w:val="20"/>
          <w:szCs w:val="20"/>
        </w:rPr>
        <w:t>al 2020 from $8.35 billion in fiscal 2019 as we experienced significant demand for our products across all product categories, geographies and channels in fiscal 2020 as our customers focused on the care of their homes, land and animals while navigating th</w:t>
      </w:r>
      <w:r>
        <w:rPr>
          <w:rFonts w:eastAsia="Times New Roman"/>
          <w:color w:val="000000"/>
          <w:sz w:val="20"/>
          <w:szCs w:val="20"/>
        </w:rPr>
        <w:t>e COVID-19 pandemic. Comparable store sales increased 23.1% in fiscal 2020 versus a 2.7% increase in fiscal 2019. Gross profit increased 31.0% to $3.76 billion in fiscal 2020 from $2.87 billion in fiscal 2019, and gross margin increased 104 basis points to</w:t>
      </w:r>
      <w:r>
        <w:rPr>
          <w:rFonts w:eastAsia="Times New Roman"/>
          <w:color w:val="000000"/>
          <w:sz w:val="20"/>
          <w:szCs w:val="20"/>
        </w:rPr>
        <w:t xml:space="preserve"> 35.42% of net sales in fiscal 2020 from 34.38% of net sales in fiscal 2019. Operating income increased 49 basis points to 9.39% of net sales in fiscal 2020 from 8.90% of net sales in fiscal 2019. For fiscal 2020, net income was $749.0 million, or $6.38 pe</w:t>
      </w:r>
      <w:r>
        <w:rPr>
          <w:rFonts w:eastAsia="Times New Roman"/>
          <w:color w:val="000000"/>
          <w:sz w:val="20"/>
          <w:szCs w:val="20"/>
        </w:rPr>
        <w:t xml:space="preserve">r diluted share, compared to $562.4 million, or $4.66 per diluted share, in fiscal 2019.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ended fiscal 2020 with $1.34 billion in cash and cash equivalents and outstanding debt of $984.3 million, after returning $517.6 million to our stockholders thro</w:t>
      </w:r>
      <w:r>
        <w:rPr>
          <w:rFonts w:eastAsia="Times New Roman"/>
          <w:color w:val="000000"/>
          <w:sz w:val="20"/>
          <w:szCs w:val="20"/>
        </w:rPr>
        <w:t>ugh stock repurchases and quarterly cash dividends.</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Information Regarding COVID-19 Coronavirus Pandemic</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Company has been and continues to closely monitor the impact of the COVID-19 pandemic on all facets of our business. This includes the impact on our team members, customers, suppliers, vendors, business partners, and supply chain networks.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health</w:t>
      </w:r>
      <w:r>
        <w:rPr>
          <w:rFonts w:eastAsia="Times New Roman"/>
          <w:color w:val="000000"/>
          <w:sz w:val="20"/>
          <w:szCs w:val="20"/>
        </w:rPr>
        <w:t xml:space="preserve"> and safety of our team members and customers are the primary concerns of our management team. We have taken and continue to take numerous actions to promote health and safety, including, providing personal protective equipment to our team members, establi</w:t>
      </w:r>
      <w:r>
        <w:rPr>
          <w:rFonts w:eastAsia="Times New Roman"/>
          <w:color w:val="000000"/>
          <w:sz w:val="20"/>
          <w:szCs w:val="20"/>
        </w:rPr>
        <w:t>shing mask protocols in our facilities, rolling out additional functionality to support contactless shopping experiences, adding services for cleaning and sanitation in our stores and distribution centers, hiring additional team members to assist in promot</w:t>
      </w:r>
      <w:r>
        <w:rPr>
          <w:rFonts w:eastAsia="Times New Roman"/>
          <w:color w:val="000000"/>
          <w:sz w:val="20"/>
          <w:szCs w:val="20"/>
        </w:rPr>
        <w:t>ing social distancing and cleaning actions in our stores, and implementing remote work plans at our store support center.</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Additionally, we have taken significant actions to support our team members during this pandemic including COVID-19 paid medical lea</w:t>
      </w:r>
      <w:r>
        <w:rPr>
          <w:rFonts w:eastAsia="Times New Roman"/>
          <w:color w:val="000000"/>
          <w:sz w:val="20"/>
          <w:szCs w:val="20"/>
        </w:rPr>
        <w:t>ve, 100% coverage of COVID-19 testing and treatment under our medical plan, and the payment of incremental appreciation bonuses for frontline team members of approximately $44 million during fiscal 2020. Effective June 28, 2020, we implemented permanent wa</w:t>
      </w:r>
      <w:r>
        <w:rPr>
          <w:rFonts w:eastAsia="Times New Roman"/>
          <w:color w:val="000000"/>
          <w:sz w:val="20"/>
          <w:szCs w:val="20"/>
        </w:rPr>
        <w:t>ge increases for all of our hourly team members in our stores and distribution centers of a minimum of $1 per hour and are now providing a new benefit package for part-time team members, including medical, vision and dental coverage, behavioral health serv</w:t>
      </w:r>
      <w:r>
        <w:rPr>
          <w:rFonts w:eastAsia="Times New Roman"/>
          <w:color w:val="000000"/>
          <w:sz w:val="20"/>
          <w:szCs w:val="20"/>
        </w:rPr>
        <w:t xml:space="preserve">ices, paid sick time and life insurance. We have also implemented annual restricted stock unit grants to more than 2,000 frontline salaried managers in our stores and distribution centers.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As further described in the results of operations, our net sales</w:t>
      </w:r>
      <w:r>
        <w:rPr>
          <w:rFonts w:eastAsia="Times New Roman"/>
          <w:color w:val="000000"/>
          <w:sz w:val="20"/>
          <w:szCs w:val="20"/>
        </w:rPr>
        <w:t xml:space="preserve"> have significantly increased due to unprecedented customer demand across all major product categories, channels, and geographic regions. However, the net incremental costs of doing business during this crisis have increased as a result of the aforemention</w:t>
      </w:r>
      <w:r>
        <w:rPr>
          <w:rFonts w:eastAsia="Times New Roman"/>
          <w:color w:val="000000"/>
          <w:sz w:val="20"/>
          <w:szCs w:val="20"/>
        </w:rPr>
        <w:t>ed actions we have taken to support and promote the safety and well-being of our team members and customers, and we believe many of these incremental costs will continue after the pandemic is over.</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There are numerous uncertainties surrounding the pandemi</w:t>
      </w:r>
      <w:r>
        <w:rPr>
          <w:rFonts w:eastAsia="Times New Roman"/>
          <w:color w:val="000000"/>
          <w:sz w:val="20"/>
          <w:szCs w:val="20"/>
        </w:rPr>
        <w:t>c and its impact on the economy and our business, as further described in the Risk Factors section under Part I Item 1A. of this Form 10-K, which make it difficult to predict the impact on our business, financial position, or results of operations in fisca</w:t>
      </w:r>
      <w:r>
        <w:rPr>
          <w:rFonts w:eastAsia="Times New Roman"/>
          <w:color w:val="000000"/>
          <w:sz w:val="20"/>
          <w:szCs w:val="20"/>
        </w:rPr>
        <w:t>l 2021 and beyond. While our stores, distribution centers, and e-commerce operations are open and plan to remain open, we cannot predict the uncertainties, or the corresponding impacts on our business, at this time.</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Comparable Store Metrics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Comparable </w:t>
      </w:r>
      <w:r>
        <w:rPr>
          <w:rFonts w:eastAsia="Times New Roman"/>
          <w:color w:val="000000"/>
          <w:sz w:val="20"/>
          <w:szCs w:val="20"/>
        </w:rPr>
        <w:t>store metrics are a key performance indicator used in the retail industry and by the Company to measure the performance of the underlying business. Comparable store metrics are calculated on an annual basis using sales generated from all stores open at lea</w:t>
      </w:r>
      <w:r>
        <w:rPr>
          <w:rFonts w:eastAsia="Times New Roman"/>
          <w:color w:val="000000"/>
          <w:sz w:val="20"/>
          <w:szCs w:val="20"/>
        </w:rPr>
        <w:t>st one year and all online sales, excluding certain adjustments to net sales. Stores closed during the year are removed from our comparable store metrics calculations. Stores relocated during the years being compared are not removed from our comparable sto</w:t>
      </w:r>
      <w:r>
        <w:rPr>
          <w:rFonts w:eastAsia="Times New Roman"/>
          <w:color w:val="000000"/>
          <w:sz w:val="20"/>
          <w:szCs w:val="20"/>
        </w:rPr>
        <w:t>re metrics. If the effect of relocated stores on our comparable store metrics becomes material, we would remove relocated stores from the calculations.</w:t>
      </w:r>
    </w:p>
    <w:p w:rsidR="00000000" w:rsidRDefault="00905244">
      <w:pPr>
        <w:jc w:val="center"/>
        <w:divId w:val="1272250980"/>
        <w:rPr>
          <w:rFonts w:eastAsia="Times New Roman"/>
        </w:rPr>
      </w:pPr>
      <w:r>
        <w:rPr>
          <w:rFonts w:eastAsia="Times New Roman"/>
          <w:color w:val="000000"/>
          <w:sz w:val="20"/>
          <w:szCs w:val="20"/>
        </w:rPr>
        <w:t>31</w:t>
      </w:r>
    </w:p>
    <w:p w:rsidR="00000000" w:rsidRDefault="00905244">
      <w:pPr>
        <w:rPr>
          <w:rFonts w:eastAsia="Times New Roman"/>
        </w:rPr>
      </w:pPr>
      <w:r>
        <w:rPr>
          <w:rFonts w:eastAsia="Times New Roman"/>
        </w:rPr>
        <w:pict>
          <v:rect id="_x0000_i1060" style="width:0;height:1.5pt" o:hralign="center" o:hrstd="t" o:hr="t" fillcolor="#a0a0a0" stroked="f"/>
        </w:pict>
      </w:r>
    </w:p>
    <w:p w:rsidR="00000000" w:rsidRDefault="00905244">
      <w:pPr>
        <w:divId w:val="1942764152"/>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2"/>
          <w:szCs w:val="22"/>
        </w:rPr>
        <w:t>Significant Accounting Policies and Estimates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Management’s discussion and analysis of our financial position and results of operations are based upon our Consolidated Financial Statements, which have been prepared in accordance with U.S. GAAP.  The pre</w:t>
      </w:r>
      <w:r>
        <w:rPr>
          <w:rFonts w:eastAsia="Times New Roman"/>
          <w:color w:val="000000"/>
          <w:sz w:val="20"/>
          <w:szCs w:val="20"/>
        </w:rPr>
        <w:t xml:space="preserve">paration of these financial statements requires management to make informed estimates and judgments that affect the reported amounts of assets, liabilities, revenues and expenses, and related disclosure of contingent assets and liabilities.  Our financial </w:t>
      </w:r>
      <w:r>
        <w:rPr>
          <w:rFonts w:eastAsia="Times New Roman"/>
          <w:color w:val="000000"/>
          <w:sz w:val="20"/>
          <w:szCs w:val="20"/>
        </w:rPr>
        <w:t>position and/or results of operations may be materially different when reported under different conditions or when using different assumptions in the application of such policies.  In the event estimates or assumptions prove to be different from actual amo</w:t>
      </w:r>
      <w:r>
        <w:rPr>
          <w:rFonts w:eastAsia="Times New Roman"/>
          <w:color w:val="000000"/>
          <w:sz w:val="20"/>
          <w:szCs w:val="20"/>
        </w:rPr>
        <w:t>unts, adjustments are made in subsequent periods to reflect more current information.  Our significant accounting policies are disclosed in Note 1 to the Consolidated Financial Statements.  The following discussion addresses our most critical accounting po</w:t>
      </w:r>
      <w:r>
        <w:rPr>
          <w:rFonts w:eastAsia="Times New Roman"/>
          <w:color w:val="000000"/>
          <w:sz w:val="20"/>
          <w:szCs w:val="20"/>
        </w:rPr>
        <w:t>licies, which are those that are both important to the portrayal of our financial condition and results of operations and that require significant judgment or use of complex estimates.</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Inventory Valuation:</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u w:val="single"/>
        </w:rPr>
        <w:t>Inventory Impairment</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identify potentially</w:t>
      </w:r>
      <w:r>
        <w:rPr>
          <w:rFonts w:eastAsia="Times New Roman"/>
          <w:color w:val="000000"/>
          <w:sz w:val="20"/>
          <w:szCs w:val="20"/>
        </w:rPr>
        <w:t xml:space="preserve"> excess and slow-moving inventory by evaluating turn rates, historical and expected future sales trends, age of merchandise, overall inventory levels, current cost of inventory, and other benchmarks. We have established an inventory valuation reserve to re</w:t>
      </w:r>
      <w:r>
        <w:rPr>
          <w:rFonts w:eastAsia="Times New Roman"/>
          <w:color w:val="000000"/>
          <w:sz w:val="20"/>
          <w:szCs w:val="20"/>
        </w:rPr>
        <w:t>cognize the estimated impairment in value (i.e., an inability to realize the full carrying value) based on our aggregate assessment of these valuation indicators under prevailing market conditions and current merchandising strategies.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do not believe o</w:t>
      </w:r>
      <w:r>
        <w:rPr>
          <w:rFonts w:eastAsia="Times New Roman"/>
          <w:color w:val="000000"/>
          <w:sz w:val="20"/>
          <w:szCs w:val="20"/>
        </w:rPr>
        <w:t>ur merchandise inventories are subject to significant risk of obsolescence in the near term. However, changes in market conditions or consumer purchasing patterns could result in the need for additional reserves. Our impairment reserve contains uncertainti</w:t>
      </w:r>
      <w:r>
        <w:rPr>
          <w:rFonts w:eastAsia="Times New Roman"/>
          <w:color w:val="000000"/>
          <w:sz w:val="20"/>
          <w:szCs w:val="20"/>
        </w:rPr>
        <w:t>es because the calculation requires management to make assumptions and to apply judgment regarding forecasted customer demand and the promotional environment.</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have not made any material changes in the accounting methodology used to recognize inventory impairment reserves in the financial periods presented. We do not believe there is a reasonable likelihood that there will be a material change in the future es</w:t>
      </w:r>
      <w:r>
        <w:rPr>
          <w:rFonts w:eastAsia="Times New Roman"/>
          <w:color w:val="000000"/>
          <w:sz w:val="20"/>
          <w:szCs w:val="20"/>
        </w:rPr>
        <w:t xml:space="preserve">timates or assumptions we use to calculate impairment. However, if assumptions regarding consumer demand or clearance potential for certain products are inaccurate, we may be exposed to losses or gains that could be material. A 10% change in our inventory </w:t>
      </w:r>
      <w:r>
        <w:rPr>
          <w:rFonts w:eastAsia="Times New Roman"/>
          <w:color w:val="000000"/>
          <w:sz w:val="20"/>
          <w:szCs w:val="20"/>
        </w:rPr>
        <w:t>impairment reserve as of December 26, 2020, would have affected net income by approximately $1.1 million in fiscal 2020.</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u w:val="single"/>
        </w:rPr>
        <w:t>Shrinkage</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Our general policy is to perform physical inventories at least once a year for each store that has been open more than 12 months, and we have established a reserve for estimating inventory shrinkage between physical inventory counts. The reserve is establi</w:t>
      </w:r>
      <w:r>
        <w:rPr>
          <w:rFonts w:eastAsia="Times New Roman"/>
          <w:color w:val="000000"/>
          <w:sz w:val="20"/>
          <w:szCs w:val="20"/>
        </w:rPr>
        <w:t>shed by assessing the chain-wide average shrinkage experience rate, applied to the related periods’ sales volumes. Such assessments are updated on a regular basis for the most recent individual store experiences.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While the Company continued to operate as</w:t>
      </w:r>
      <w:r>
        <w:rPr>
          <w:rFonts w:eastAsia="Times New Roman"/>
          <w:color w:val="000000"/>
          <w:sz w:val="20"/>
          <w:szCs w:val="20"/>
        </w:rPr>
        <w:t xml:space="preserve"> an essential retailer during the year, the COVID-19 pandemic had a direct impact on our ability to complete all originally planned store physical inventories in fiscal 2020. Our plan was complicated by state and local mandates such as shelter at home rest</w:t>
      </w:r>
      <w:r>
        <w:rPr>
          <w:rFonts w:eastAsia="Times New Roman"/>
          <w:color w:val="000000"/>
          <w:sz w:val="20"/>
          <w:szCs w:val="20"/>
        </w:rPr>
        <w:t>rictions and social distancing requirements. Our decision to revise our inventory schedule was based on these mandates as well as consideration of the health and safety of our team members, customers and vendor partners which are crucial to our business op</w:t>
      </w:r>
      <w:r>
        <w:rPr>
          <w:rFonts w:eastAsia="Times New Roman"/>
          <w:color w:val="000000"/>
          <w:sz w:val="20"/>
          <w:szCs w:val="20"/>
        </w:rPr>
        <w:t>erations.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assessed the risks associated with the stores not inventoried and concluded there is no material risk of misstatement to the financial statements for the stores not inventoried and further concluded that effective compensating controls are i</w:t>
      </w:r>
      <w:r>
        <w:rPr>
          <w:rFonts w:eastAsia="Times New Roman"/>
          <w:color w:val="000000"/>
          <w:sz w:val="20"/>
          <w:szCs w:val="20"/>
        </w:rPr>
        <w:t>n place to ensure completeness and accuracy of reported inventory balances and estimated shrink losses.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estimated store inventory shrink rate is based on historical experience. We believe historical rates are a reasonably accurate reflection of futur</w:t>
      </w:r>
      <w:r>
        <w:rPr>
          <w:rFonts w:eastAsia="Times New Roman"/>
          <w:color w:val="000000"/>
          <w:sz w:val="20"/>
          <w:szCs w:val="20"/>
        </w:rPr>
        <w:t>e trends. Our shrinkage reserve contains uncertainties because the calculation requires management to make assumptions and to apply judgment regarding future shrinkage trends, the effect of loss prevention measures and merchandising strategies.</w:t>
      </w:r>
    </w:p>
    <w:p w:rsidR="00000000" w:rsidRDefault="00905244">
      <w:pPr>
        <w:jc w:val="both"/>
        <w:rPr>
          <w:rFonts w:eastAsia="Times New Roman"/>
        </w:rPr>
      </w:pPr>
    </w:p>
    <w:p w:rsidR="00000000" w:rsidRDefault="00905244">
      <w:pPr>
        <w:jc w:val="center"/>
        <w:divId w:val="995643989"/>
        <w:rPr>
          <w:rFonts w:eastAsia="Times New Roman"/>
        </w:rPr>
      </w:pPr>
      <w:r>
        <w:rPr>
          <w:rFonts w:eastAsia="Times New Roman"/>
          <w:color w:val="000000"/>
          <w:sz w:val="20"/>
          <w:szCs w:val="20"/>
        </w:rPr>
        <w:t>32</w:t>
      </w:r>
    </w:p>
    <w:p w:rsidR="00000000" w:rsidRDefault="00905244">
      <w:pPr>
        <w:rPr>
          <w:rFonts w:eastAsia="Times New Roman"/>
        </w:rPr>
      </w:pPr>
      <w:r>
        <w:rPr>
          <w:rFonts w:eastAsia="Times New Roman"/>
        </w:rPr>
        <w:pict>
          <v:rect id="_x0000_i1061" style="width:0;height:1.5pt" o:hralign="center" o:hrstd="t" o:hr="t" fillcolor="#a0a0a0" stroked="f"/>
        </w:pict>
      </w:r>
    </w:p>
    <w:p w:rsidR="00000000" w:rsidRDefault="00905244">
      <w:pPr>
        <w:divId w:val="1057191"/>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We have not made any material changes in the accounting methodology used to recognize shrinkage in the financial periods presented. We do not believe there is a r</w:t>
      </w:r>
      <w:r>
        <w:rPr>
          <w:rFonts w:eastAsia="Times New Roman"/>
          <w:color w:val="000000"/>
          <w:sz w:val="20"/>
          <w:szCs w:val="20"/>
        </w:rPr>
        <w:t>easonable likelihood that there will be a material change in the future estimates or assumptions we use to calculate our shrinkage reserve. However, if our estimates regarding inventory losses are inaccurate, we may be exposed to losses or gains that could</w:t>
      </w:r>
      <w:r>
        <w:rPr>
          <w:rFonts w:eastAsia="Times New Roman"/>
          <w:color w:val="000000"/>
          <w:sz w:val="20"/>
          <w:szCs w:val="20"/>
        </w:rPr>
        <w:t xml:space="preserve"> be material. A 10% change in our shrinkage reserve as of December 26, 2020, would have affected net income by approximately $2.9 million in fiscal 2020.</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u w:val="single"/>
        </w:rPr>
        <w:t>Vendor Funding</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receive funding from substantially all of our significant merchandise vendors, i</w:t>
      </w:r>
      <w:r>
        <w:rPr>
          <w:rFonts w:eastAsia="Times New Roman"/>
          <w:color w:val="000000"/>
          <w:sz w:val="20"/>
          <w:szCs w:val="20"/>
        </w:rPr>
        <w:t>n support of our business initiatives, through a variety of programs and arrangements, including guaranteed vendor support funds (“vendor support”) and volume-based rebate funds (“volume rebates”). The amounts received are subject to terms of vendor agreem</w:t>
      </w:r>
      <w:r>
        <w:rPr>
          <w:rFonts w:eastAsia="Times New Roman"/>
          <w:color w:val="000000"/>
          <w:sz w:val="20"/>
          <w:szCs w:val="20"/>
        </w:rPr>
        <w:t xml:space="preserve">ents, most of which are “evergreen”, reflecting the on-going relationship with our significant merchandise vendors. Certain of our agreements, primarily volume rebates, are renegotiated annually, based on expected annual purchases of the vendor’s product. </w:t>
      </w:r>
      <w:r>
        <w:rPr>
          <w:rFonts w:eastAsia="Times New Roman"/>
          <w:color w:val="000000"/>
          <w:sz w:val="20"/>
          <w:szCs w:val="20"/>
        </w:rPr>
        <w:t xml:space="preserve">Vendor funding is initially deferred as a reduction of the purchase price of inventory, and then recognized as a reduction of cost of merchandise as the related inventory is sold. During interim periods, the amount of vendor support and volume rebates are </w:t>
      </w:r>
      <w:r>
        <w:rPr>
          <w:rFonts w:eastAsia="Times New Roman"/>
          <w:color w:val="000000"/>
          <w:sz w:val="20"/>
          <w:szCs w:val="20"/>
        </w:rPr>
        <w:t>estimated based upon initial commitments and anticipated purchase levels with applicable vendors.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estimated purchase volume (and related vendor funding) is based on our current knowledge of inventory levels, sales trends and expected customer demand,</w:t>
      </w:r>
      <w:r>
        <w:rPr>
          <w:rFonts w:eastAsia="Times New Roman"/>
          <w:color w:val="000000"/>
          <w:sz w:val="20"/>
          <w:szCs w:val="20"/>
        </w:rPr>
        <w:t xml:space="preserve"> as well as planned new store openings and relocations. Although we believe we can reasonably estimate purchase volume and related volume rebates at interim periods, it is possible that actual year-end results could be different from previously estimated a</w:t>
      </w:r>
      <w:r>
        <w:rPr>
          <w:rFonts w:eastAsia="Times New Roman"/>
          <w:color w:val="000000"/>
          <w:sz w:val="20"/>
          <w:szCs w:val="20"/>
        </w:rPr>
        <w:t>mounts. Our allocation methodology contains uncertainties because the calculation requires management to make assumptions and to apply judgment regarding customer demand, purchasing activity, target thresholds, vendor attrition and collectability.</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hav</w:t>
      </w:r>
      <w:r>
        <w:rPr>
          <w:rFonts w:eastAsia="Times New Roman"/>
          <w:color w:val="000000"/>
          <w:sz w:val="20"/>
          <w:szCs w:val="20"/>
        </w:rPr>
        <w:t xml:space="preserve">e not made any material changes in the accounting methodology used to establish our vendor funding reserves in the financial periods presented. At the end of each fiscal year, a significant portion of the actual purchase activity is known. Thus, we do not </w:t>
      </w:r>
      <w:r>
        <w:rPr>
          <w:rFonts w:eastAsia="Times New Roman"/>
          <w:color w:val="000000"/>
          <w:sz w:val="20"/>
          <w:szCs w:val="20"/>
        </w:rPr>
        <w:t xml:space="preserve">believe there is a reasonable likelihood that there will be a material change in the amounts recorded as vendor funding. We do not believe there is a significant collectability risk related to vendor funding amounts due to us at the end of fiscal 2020. If </w:t>
      </w:r>
      <w:r>
        <w:rPr>
          <w:rFonts w:eastAsia="Times New Roman"/>
          <w:color w:val="000000"/>
          <w:sz w:val="20"/>
          <w:szCs w:val="20"/>
        </w:rPr>
        <w:t>a 10% reserve had been applied against our outstanding vendor funding due as of December 26, 2020, net income would have been affected by approximately $1.6 million in fiscal 2020. Although it is unlikely that there will be any significant reduction in his</w:t>
      </w:r>
      <w:r>
        <w:rPr>
          <w:rFonts w:eastAsia="Times New Roman"/>
          <w:color w:val="000000"/>
          <w:sz w:val="20"/>
          <w:szCs w:val="20"/>
        </w:rPr>
        <w:t>torical levels of vendor funding, if such a reduction were to occur in future periods, the Company could experience a higher inventory balance and higher cost of sales.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u w:val="single"/>
        </w:rPr>
        <w:t>Freight</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We incur various types of transportation and delivery costs in connection with inventory purchases and distribution. Such costs are included as a component of the overall cost of inventories (on an aggregate basis) and recognized as a component of cost of </w:t>
      </w:r>
      <w:r>
        <w:rPr>
          <w:rFonts w:eastAsia="Times New Roman"/>
          <w:color w:val="000000"/>
          <w:sz w:val="20"/>
          <w:szCs w:val="20"/>
        </w:rPr>
        <w:t>merchandise sold as the related inventory is sold.</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allocate freight as a component of total cost of sales without regard to inventory mix or unique freight burden of certain categories. This assumption has been consistently applied for all years prese</w:t>
      </w:r>
      <w:r>
        <w:rPr>
          <w:rFonts w:eastAsia="Times New Roman"/>
          <w:color w:val="000000"/>
          <w:sz w:val="20"/>
          <w:szCs w:val="20"/>
        </w:rPr>
        <w:t xml:space="preserve">nted.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have not made any material changes in the accounting methodology used to establish our capitalized freight balance or freight allocation in the financial periods presented. If a 10% increase or decrease had been applied against our current inve</w:t>
      </w:r>
      <w:r>
        <w:rPr>
          <w:rFonts w:eastAsia="Times New Roman"/>
          <w:color w:val="000000"/>
          <w:sz w:val="20"/>
          <w:szCs w:val="20"/>
        </w:rPr>
        <w:t>ntory capitalized freight balance as of December 26, 2020, net income would have been affected by approximately $11.7 million in fiscal 2020.</w:t>
      </w:r>
    </w:p>
    <w:p w:rsidR="00000000" w:rsidRDefault="00905244">
      <w:pPr>
        <w:jc w:val="both"/>
        <w:rPr>
          <w:rFonts w:eastAsia="Times New Roman"/>
        </w:rPr>
      </w:pPr>
    </w:p>
    <w:p w:rsidR="00000000" w:rsidRDefault="00905244">
      <w:pPr>
        <w:jc w:val="center"/>
        <w:divId w:val="238443527"/>
        <w:rPr>
          <w:rFonts w:eastAsia="Times New Roman"/>
        </w:rPr>
      </w:pPr>
      <w:r>
        <w:rPr>
          <w:rFonts w:eastAsia="Times New Roman"/>
          <w:color w:val="000000"/>
          <w:sz w:val="20"/>
          <w:szCs w:val="20"/>
        </w:rPr>
        <w:t>33</w:t>
      </w:r>
    </w:p>
    <w:p w:rsidR="00000000" w:rsidRDefault="00905244">
      <w:pPr>
        <w:rPr>
          <w:rFonts w:eastAsia="Times New Roman"/>
        </w:rPr>
      </w:pPr>
      <w:r>
        <w:rPr>
          <w:rFonts w:eastAsia="Times New Roman"/>
        </w:rPr>
        <w:pict>
          <v:rect id="_x0000_i1062" style="width:0;height:1.5pt" o:hralign="center" o:hrstd="t" o:hr="t" fillcolor="#a0a0a0" stroked="f"/>
        </w:pict>
      </w:r>
    </w:p>
    <w:p w:rsidR="00000000" w:rsidRDefault="00905244">
      <w:pPr>
        <w:divId w:val="1540582537"/>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b/>
          <w:bCs/>
          <w:color w:val="000000"/>
          <w:sz w:val="20"/>
          <w:szCs w:val="20"/>
        </w:rPr>
        <w:t>Self-Ins</w:t>
      </w:r>
      <w:r>
        <w:rPr>
          <w:rFonts w:eastAsia="Times New Roman"/>
          <w:b/>
          <w:bCs/>
          <w:color w:val="000000"/>
          <w:sz w:val="20"/>
          <w:szCs w:val="20"/>
        </w:rPr>
        <w:t>urance Reserves: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self-insure a significant portion of our workers’ compensation insurance and general liability (including product liability) insurance plans. We have stop-loss insurance policies to protect from individual losses over specified dollar</w:t>
      </w:r>
      <w:r>
        <w:rPr>
          <w:rFonts w:eastAsia="Times New Roman"/>
          <w:color w:val="000000"/>
          <w:sz w:val="20"/>
          <w:szCs w:val="20"/>
        </w:rPr>
        <w:t xml:space="preserve"> values. Provisions for losses related to our self-insured liabilities are based upon periodic independent actuarially determined estimates that consider a number of factors including historical claims experience, loss development factors, and severity fac</w:t>
      </w:r>
      <w:r>
        <w:rPr>
          <w:rFonts w:eastAsia="Times New Roman"/>
          <w:color w:val="000000"/>
          <w:sz w:val="20"/>
          <w:szCs w:val="20"/>
        </w:rPr>
        <w:t>tors.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full extent of certain workers’ compensation and general liability claims may not become fully determined for several years. Our self-insured liabilities contain uncertainties because management is required to make assumptions and to apply judg</w:t>
      </w:r>
      <w:r>
        <w:rPr>
          <w:rFonts w:eastAsia="Times New Roman"/>
          <w:color w:val="000000"/>
          <w:sz w:val="20"/>
          <w:szCs w:val="20"/>
        </w:rPr>
        <w:t>ment to estimate the ultimate cost to settle reported claims and claims incurred but not reported as of the balance sheet date based upon historical data and experience, including actuarial calculations.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have not made any material changes in the accou</w:t>
      </w:r>
      <w:r>
        <w:rPr>
          <w:rFonts w:eastAsia="Times New Roman"/>
          <w:color w:val="000000"/>
          <w:sz w:val="20"/>
          <w:szCs w:val="20"/>
        </w:rPr>
        <w:t xml:space="preserve">nting methodology used to establish our self-insurance reserves in the financial periods presented. We do not believe there is a reasonable likelihood that there will be a material change in the assumptions we use to calculate insurance reserves. However, </w:t>
      </w:r>
      <w:r>
        <w:rPr>
          <w:rFonts w:eastAsia="Times New Roman"/>
          <w:color w:val="000000"/>
          <w:sz w:val="20"/>
          <w:szCs w:val="20"/>
        </w:rPr>
        <w:t>if we experience a significant increase in the number of claims or the cost associated with these claims, we may be exposed to losses that could be material. A 10% change in our self-insurance reserves as of December 26, 2020, would have affected net incom</w:t>
      </w:r>
      <w:r>
        <w:rPr>
          <w:rFonts w:eastAsia="Times New Roman"/>
          <w:color w:val="000000"/>
          <w:sz w:val="20"/>
          <w:szCs w:val="20"/>
        </w:rPr>
        <w:t>e by approximately $5.9 million in fiscal 2020.</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Impairment of Long-Lived Assets: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Long-lived assets, including lease assets, are evaluated for impairment whenever events or changes in circumstances indicate that the carrying value may not be recoverable</w:t>
      </w:r>
      <w:r>
        <w:rPr>
          <w:rFonts w:eastAsia="Times New Roman"/>
          <w:color w:val="000000"/>
          <w:sz w:val="20"/>
          <w:szCs w:val="20"/>
        </w:rPr>
        <w:t>. When evaluating long-lived assets for potential impairment, we first compare the carrying value of the asset or asset group to its estimated undiscounted future cash flows. The evaluation for long-lived assets is performed at the lowest level of identifi</w:t>
      </w:r>
      <w:r>
        <w:rPr>
          <w:rFonts w:eastAsia="Times New Roman"/>
          <w:color w:val="000000"/>
          <w:sz w:val="20"/>
          <w:szCs w:val="20"/>
        </w:rPr>
        <w:t>able cash flows, which is generally the individual store level. The significant assumptions used to determine estimated undiscounted cash flows include cash inflows and outflows directly resulting from the use of those assets in operations, including margi</w:t>
      </w:r>
      <w:r>
        <w:rPr>
          <w:rFonts w:eastAsia="Times New Roman"/>
          <w:color w:val="000000"/>
          <w:sz w:val="20"/>
          <w:szCs w:val="20"/>
        </w:rPr>
        <w:t>n on net sales, payroll and related items, occupancy costs, insurance allocations, and other costs to operate a store. If the estimated future cash flows are less than the carrying value of the related asset, we calculate an impairment loss. The impairment</w:t>
      </w:r>
      <w:r>
        <w:rPr>
          <w:rFonts w:eastAsia="Times New Roman"/>
          <w:color w:val="000000"/>
          <w:sz w:val="20"/>
          <w:szCs w:val="20"/>
        </w:rPr>
        <w:t xml:space="preserve"> loss calculation compares the carrying value of the related asset or asset group to its estimated fair value, which may be based on an estimated future cash flow model, market valuation, or other valuation technique, as appropriate. We recognize an impair</w:t>
      </w:r>
      <w:r>
        <w:rPr>
          <w:rFonts w:eastAsia="Times New Roman"/>
          <w:color w:val="000000"/>
          <w:sz w:val="20"/>
          <w:szCs w:val="20"/>
        </w:rPr>
        <w:t>ment loss if the amount of the asset’s carrying value exceeds the asset’s estimated fair value. If we recognize an impairment loss, the adjusted carrying amount of the asset becomes its new cost basis. For a depreciable long-lived asset, the new cost basis</w:t>
      </w:r>
      <w:r>
        <w:rPr>
          <w:rFonts w:eastAsia="Times New Roman"/>
          <w:color w:val="000000"/>
          <w:sz w:val="20"/>
          <w:szCs w:val="20"/>
        </w:rPr>
        <w:t xml:space="preserve"> will be depreciated (amortized) over the remaining estimated useful life of that asset.</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Our impairment loss calculations contain uncertainties because they require management to make assumptions and to apply judgment to estimate future cash flows and as</w:t>
      </w:r>
      <w:r>
        <w:rPr>
          <w:rFonts w:eastAsia="Times New Roman"/>
          <w:color w:val="000000"/>
          <w:sz w:val="20"/>
          <w:szCs w:val="20"/>
        </w:rPr>
        <w:t>set fair values.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have not made any material changes in our impairment loss assessment methodology in the financial periods presented, other than to include operating lease right-of-use assets in our ongoing impairment assessment upon adoption of the n</w:t>
      </w:r>
      <w:r>
        <w:rPr>
          <w:rFonts w:eastAsia="Times New Roman"/>
          <w:color w:val="000000"/>
          <w:sz w:val="20"/>
          <w:szCs w:val="20"/>
        </w:rPr>
        <w:t>ew lease accounting standard in fiscal 2019.</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do not believe there is a reasonable likelihood that there will be a material change in the estimates or assumptions we use to calculate long-lived asset impairment losses. None of these estimates and assumptions are significantly sensitive, and a 10% c</w:t>
      </w:r>
      <w:r>
        <w:rPr>
          <w:rFonts w:eastAsia="Times New Roman"/>
          <w:color w:val="000000"/>
          <w:sz w:val="20"/>
          <w:szCs w:val="20"/>
        </w:rPr>
        <w:t xml:space="preserve">hange in any of these estimates would not have a material impact on our analysis. However, if actual results are not consistent with our estimates and assumptions used in estimating future cash flows and asset fair values, we may be exposed to losses that </w:t>
      </w:r>
      <w:r>
        <w:rPr>
          <w:rFonts w:eastAsia="Times New Roman"/>
          <w:color w:val="000000"/>
          <w:sz w:val="20"/>
          <w:szCs w:val="20"/>
        </w:rPr>
        <w:t>could be material. We have not made any material changes in our impairment loss assessment methodology in the financial periods presented in fiscal 2020. We do not believe there is a reasonable likelihood that there will be a material change in the estimat</w:t>
      </w:r>
      <w:r>
        <w:rPr>
          <w:rFonts w:eastAsia="Times New Roman"/>
          <w:color w:val="000000"/>
          <w:sz w:val="20"/>
          <w:szCs w:val="20"/>
        </w:rPr>
        <w:t xml:space="preserve">es or assumptions we use to calculate long-lived asset impairment losses.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In fiscal 2020 we recognized approximately $5.1 million of impairment expense related to long-lived assets for certain underperforming Petsense stores.</w:t>
      </w:r>
    </w:p>
    <w:p w:rsidR="00000000" w:rsidRDefault="00905244">
      <w:pPr>
        <w:jc w:val="both"/>
        <w:rPr>
          <w:rFonts w:eastAsia="Times New Roman"/>
        </w:rPr>
      </w:pPr>
    </w:p>
    <w:p w:rsidR="00000000" w:rsidRDefault="00905244">
      <w:pPr>
        <w:jc w:val="center"/>
        <w:divId w:val="1932545349"/>
        <w:rPr>
          <w:rFonts w:eastAsia="Times New Roman"/>
        </w:rPr>
      </w:pPr>
      <w:r>
        <w:rPr>
          <w:rFonts w:eastAsia="Times New Roman"/>
          <w:color w:val="000000"/>
          <w:sz w:val="20"/>
          <w:szCs w:val="20"/>
        </w:rPr>
        <w:t>34</w:t>
      </w:r>
    </w:p>
    <w:p w:rsidR="00000000" w:rsidRDefault="00905244">
      <w:pPr>
        <w:rPr>
          <w:rFonts w:eastAsia="Times New Roman"/>
        </w:rPr>
      </w:pPr>
      <w:r>
        <w:rPr>
          <w:rFonts w:eastAsia="Times New Roman"/>
        </w:rPr>
        <w:pict>
          <v:rect id="_x0000_i1063" style="width:0;height:1.5pt" o:hralign="center" o:hrstd="t" o:hr="t" fillcolor="#a0a0a0" stroked="f"/>
        </w:pict>
      </w:r>
    </w:p>
    <w:p w:rsidR="00000000" w:rsidRDefault="00905244">
      <w:pPr>
        <w:divId w:val="1412433894"/>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b/>
          <w:bCs/>
          <w:color w:val="000000"/>
          <w:sz w:val="20"/>
          <w:szCs w:val="20"/>
        </w:rPr>
        <w:t>Impairment of Goodwill and Other Indefinite-Lived Intangible Assets: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Goodwill and other indefinite-lived intangible assets are evaluated for impairment an</w:t>
      </w:r>
      <w:r>
        <w:rPr>
          <w:rFonts w:eastAsia="Times New Roman"/>
          <w:color w:val="000000"/>
          <w:sz w:val="20"/>
          <w:szCs w:val="20"/>
        </w:rPr>
        <w:t>nually, or whenever events or changes in circumstances indicate that the carrying value may not be recoverable. In accordance with the accounting standards, an entity has the option first to assess qualitative factors to determine whether events and circum</w:t>
      </w:r>
      <w:r>
        <w:rPr>
          <w:rFonts w:eastAsia="Times New Roman"/>
          <w:color w:val="000000"/>
          <w:sz w:val="20"/>
          <w:szCs w:val="20"/>
        </w:rPr>
        <w:t>stances indicate that it is more likely than not that goodwill or an indefinite-lived intangible asset is impaired. If after such assessment an entity concludes that the asset is not impaired, then the entity is not required to take further action. However</w:t>
      </w:r>
      <w:r>
        <w:rPr>
          <w:rFonts w:eastAsia="Times New Roman"/>
          <w:color w:val="000000"/>
          <w:sz w:val="20"/>
          <w:szCs w:val="20"/>
        </w:rPr>
        <w:t xml:space="preserve">, if an entity concludes otherwise, then it is required to determine the fair value of the asset using a quantitative impairment test, and if impaired, the associated assets must be written down to fair value.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quantitative impairment test for goodwi</w:t>
      </w:r>
      <w:r>
        <w:rPr>
          <w:rFonts w:eastAsia="Times New Roman"/>
          <w:color w:val="000000"/>
          <w:sz w:val="20"/>
          <w:szCs w:val="20"/>
        </w:rPr>
        <w:t>ll compares the fair value of a reporting unit with the carrying value of its net assets, including goodwill. If the fair value of the reporting unit is less than the carrying value of the reporting unit, an impairment charge would be recorded to the Compa</w:t>
      </w:r>
      <w:r>
        <w:rPr>
          <w:rFonts w:eastAsia="Times New Roman"/>
          <w:color w:val="000000"/>
          <w:sz w:val="20"/>
          <w:szCs w:val="20"/>
        </w:rPr>
        <w:t>ny’s operations, for the amount in which the carrying amount exceeds the reporting unit’s fair value. We determine fair values for each reporting unit using the market approach, when available and appropriate, the income approach, or a combination of both.</w:t>
      </w:r>
      <w:r>
        <w:rPr>
          <w:rFonts w:eastAsia="Times New Roman"/>
          <w:color w:val="000000"/>
          <w:sz w:val="20"/>
          <w:szCs w:val="20"/>
        </w:rPr>
        <w:t xml:space="preserve"> The income approach involves forecasting projected financial information (such as revenue growth rates, profit margins, tax rates, and capital expenditures) and selecting a discount rate that reflects the risk inherent in estimated future cash flows. Unde</w:t>
      </w:r>
      <w:r>
        <w:rPr>
          <w:rFonts w:eastAsia="Times New Roman"/>
          <w:color w:val="000000"/>
          <w:sz w:val="20"/>
          <w:szCs w:val="20"/>
        </w:rPr>
        <w:t xml:space="preserve">r the market approach, the fair value is based on observed market data. If multiple valuation methodologies are used, the results are weighted appropriately.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quantitative impairment test for other indefinite-lived intangible assets involves comparin</w:t>
      </w:r>
      <w:r>
        <w:rPr>
          <w:rFonts w:eastAsia="Times New Roman"/>
          <w:color w:val="000000"/>
          <w:sz w:val="20"/>
          <w:szCs w:val="20"/>
        </w:rPr>
        <w:t xml:space="preserve">g the carrying amount of the asset to the sum of the discounted cash flows expected to be generated by the asset. If the implied fair value of the indefinite-lived intangible asset is less than the carrying value, an impairment charge would be recorded to </w:t>
      </w:r>
      <w:r>
        <w:rPr>
          <w:rFonts w:eastAsia="Times New Roman"/>
          <w:color w:val="000000"/>
          <w:sz w:val="20"/>
          <w:szCs w:val="20"/>
        </w:rPr>
        <w:t xml:space="preserve">the Company’s operations.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Our impairment loss calculation contains uncertainties because they require management to make assumptions and to apply judgment to qualitative factors as well as estimate future cash flows and asset fair values, including fore</w:t>
      </w:r>
      <w:r>
        <w:rPr>
          <w:rFonts w:eastAsia="Times New Roman"/>
          <w:color w:val="000000"/>
          <w:sz w:val="20"/>
          <w:szCs w:val="20"/>
        </w:rPr>
        <w:t>casting projected financial information and selecting the discount rate that reflects the risk inherent in future cash flows.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valuation approaches utilized to estimate fair value for the purposes of the impairment tests of goodwill and other indefini</w:t>
      </w:r>
      <w:r>
        <w:rPr>
          <w:rFonts w:eastAsia="Times New Roman"/>
          <w:color w:val="000000"/>
          <w:sz w:val="20"/>
          <w:szCs w:val="20"/>
        </w:rPr>
        <w:t>te-lived intangible assets require the use of assumptions and estimates, which involve a degree of uncertainty. If actual results are not consistent with our estimates and assumptions used in estimating future cash flows and asset fair values, we may be ex</w:t>
      </w:r>
      <w:r>
        <w:rPr>
          <w:rFonts w:eastAsia="Times New Roman"/>
          <w:color w:val="000000"/>
          <w:sz w:val="20"/>
          <w:szCs w:val="20"/>
        </w:rPr>
        <w:t>posed to non-cash impairment losses that could be material.</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As described in further detail in Note 3 to the Consolidated Financial Statements, in fiscal 2020 we recognized goodwill impairment expense of approximately $60.8 million and tradename asset imp</w:t>
      </w:r>
      <w:r>
        <w:rPr>
          <w:rFonts w:eastAsia="Times New Roman"/>
          <w:color w:val="000000"/>
          <w:sz w:val="20"/>
          <w:szCs w:val="20"/>
        </w:rPr>
        <w:t>airment expense of approximately $8.2 million related to Petsense.</w:t>
      </w:r>
    </w:p>
    <w:p w:rsidR="00000000" w:rsidRDefault="00905244">
      <w:pPr>
        <w:jc w:val="center"/>
        <w:divId w:val="181436013"/>
        <w:rPr>
          <w:rFonts w:eastAsia="Times New Roman"/>
        </w:rPr>
      </w:pPr>
      <w:r>
        <w:rPr>
          <w:rFonts w:eastAsia="Times New Roman"/>
          <w:color w:val="000000"/>
          <w:sz w:val="20"/>
          <w:szCs w:val="20"/>
        </w:rPr>
        <w:t>35</w:t>
      </w:r>
    </w:p>
    <w:p w:rsidR="00000000" w:rsidRDefault="00905244">
      <w:pPr>
        <w:rPr>
          <w:rFonts w:eastAsia="Times New Roman"/>
        </w:rPr>
      </w:pPr>
      <w:r>
        <w:rPr>
          <w:rFonts w:eastAsia="Times New Roman"/>
        </w:rPr>
        <w:pict>
          <v:rect id="_x0000_i1064" style="width:0;height:1.5pt" o:hralign="center" o:hrstd="t" o:hr="t" fillcolor="#a0a0a0" stroked="f"/>
        </w:pict>
      </w:r>
    </w:p>
    <w:p w:rsidR="00000000" w:rsidRDefault="00905244">
      <w:pPr>
        <w:divId w:val="902060907"/>
        <w:rPr>
          <w:rFonts w:eastAsia="Times New Roman"/>
        </w:rPr>
      </w:pPr>
      <w:hyperlink w:anchor="i137f04c25e1e4da3b6d1f469d06f3319_7" w:history="1">
        <w:r>
          <w:rPr>
            <w:rStyle w:val="a3"/>
            <w:rFonts w:eastAsia="Times New Roman"/>
            <w:sz w:val="18"/>
            <w:szCs w:val="18"/>
          </w:rPr>
          <w:t>Index</w:t>
        </w:r>
      </w:hyperlink>
    </w:p>
    <w:p w:rsidR="00000000" w:rsidRDefault="00905244">
      <w:pPr>
        <w:divId w:val="1765876100"/>
        <w:rPr>
          <w:rFonts w:eastAsia="Times New Roman"/>
        </w:rPr>
      </w:pPr>
      <w:r>
        <w:rPr>
          <w:rFonts w:eastAsia="Times New Roman"/>
          <w:b/>
          <w:bCs/>
          <w:color w:val="000000"/>
          <w:sz w:val="22"/>
          <w:szCs w:val="22"/>
        </w:rPr>
        <w:t>Quarterly Financial Data</w:t>
      </w:r>
    </w:p>
    <w:p w:rsidR="00000000" w:rsidRDefault="00905244">
      <w:pPr>
        <w:divId w:val="1397893261"/>
        <w:rPr>
          <w:rFonts w:eastAsia="Times New Roman"/>
        </w:rPr>
      </w:pPr>
    </w:p>
    <w:p w:rsidR="00000000" w:rsidRDefault="00905244">
      <w:pPr>
        <w:jc w:val="both"/>
        <w:rPr>
          <w:rFonts w:eastAsia="Times New Roman"/>
        </w:rPr>
      </w:pPr>
      <w:r>
        <w:rPr>
          <w:rFonts w:eastAsia="Times New Roman"/>
          <w:color w:val="000000"/>
          <w:sz w:val="20"/>
          <w:szCs w:val="20"/>
        </w:rPr>
        <w:t>Our unaudited quarterly operating results for each fiscal q</w:t>
      </w:r>
      <w:r>
        <w:rPr>
          <w:rFonts w:eastAsia="Times New Roman"/>
          <w:color w:val="000000"/>
          <w:sz w:val="20"/>
          <w:szCs w:val="20"/>
        </w:rPr>
        <w:t>uarter of 2020 and 2019 are shown below (in thousands, except per share amounts):</w:t>
      </w:r>
    </w:p>
    <w:tbl>
      <w:tblPr>
        <w:tblW w:w="4978" w:type="pct"/>
        <w:tblCellMar>
          <w:top w:w="15" w:type="dxa"/>
          <w:left w:w="15" w:type="dxa"/>
          <w:bottom w:w="15" w:type="dxa"/>
          <w:right w:w="15" w:type="dxa"/>
        </w:tblCellMar>
        <w:tblLook w:val="04A0" w:firstRow="1" w:lastRow="0" w:firstColumn="1" w:lastColumn="0" w:noHBand="0" w:noVBand="1"/>
      </w:tblPr>
      <w:tblGrid>
        <w:gridCol w:w="40"/>
        <w:gridCol w:w="1765"/>
        <w:gridCol w:w="39"/>
        <w:gridCol w:w="36"/>
        <w:gridCol w:w="36"/>
        <w:gridCol w:w="36"/>
        <w:gridCol w:w="120"/>
        <w:gridCol w:w="850"/>
        <w:gridCol w:w="187"/>
        <w:gridCol w:w="36"/>
        <w:gridCol w:w="36"/>
        <w:gridCol w:w="36"/>
        <w:gridCol w:w="120"/>
        <w:gridCol w:w="850"/>
        <w:gridCol w:w="187"/>
        <w:gridCol w:w="36"/>
        <w:gridCol w:w="36"/>
        <w:gridCol w:w="36"/>
        <w:gridCol w:w="120"/>
        <w:gridCol w:w="850"/>
        <w:gridCol w:w="187"/>
        <w:gridCol w:w="36"/>
        <w:gridCol w:w="36"/>
        <w:gridCol w:w="36"/>
        <w:gridCol w:w="120"/>
        <w:gridCol w:w="850"/>
        <w:gridCol w:w="187"/>
        <w:gridCol w:w="36"/>
        <w:gridCol w:w="36"/>
        <w:gridCol w:w="36"/>
        <w:gridCol w:w="120"/>
        <w:gridCol w:w="950"/>
        <w:gridCol w:w="187"/>
      </w:tblGrid>
      <w:tr w:rsidR="00000000">
        <w:trPr>
          <w:divId w:val="51850886"/>
        </w:trPr>
        <w:tc>
          <w:tcPr>
            <w:tcW w:w="50" w:type="pct"/>
            <w:vAlign w:val="center"/>
            <w:hideMark/>
          </w:tcPr>
          <w:p w:rsidR="00000000" w:rsidRDefault="00905244">
            <w:pPr>
              <w:jc w:val="both"/>
              <w:rPr>
                <w:rFonts w:eastAsia="Times New Roman"/>
              </w:rPr>
            </w:pPr>
          </w:p>
        </w:tc>
        <w:tc>
          <w:tcPr>
            <w:tcW w:w="180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6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3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2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3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2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51850886"/>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First</w:t>
            </w:r>
            <w:r>
              <w:rPr>
                <w:rFonts w:eastAsia="Times New Roman"/>
                <w:b/>
                <w:bCs/>
                <w:color w:val="000000"/>
                <w:sz w:val="20"/>
                <w:szCs w:val="20"/>
              </w:rPr>
              <w:br/>
              <w:t>Quarter</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Second Quarter</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Third Quarter</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Fourth</w:t>
            </w:r>
            <w:r>
              <w:rPr>
                <w:rFonts w:eastAsia="Times New Roman"/>
                <w:b/>
                <w:bCs/>
                <w:color w:val="000000"/>
                <w:sz w:val="20"/>
                <w:szCs w:val="20"/>
              </w:rPr>
              <w:br/>
              <w:t>Quarter</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Total</w:t>
            </w:r>
          </w:p>
        </w:tc>
      </w:tr>
      <w:tr w:rsidR="00000000">
        <w:trPr>
          <w:divId w:val="51850886"/>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(13 weeks)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(13 weeks)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(13 weeks)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(13 weeks)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(52 weeks)</w:t>
            </w:r>
          </w:p>
        </w:tc>
      </w:tr>
      <w:tr w:rsidR="00000000">
        <w:trPr>
          <w:divId w:val="5185088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Net sales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1,959,188 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3,176,327 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2,606,572 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2,878,265 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10,620,352 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51850886"/>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Gross profit</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661,249 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1,156,813 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947,957 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995,530 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3,761,549 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51850886"/>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Operating income</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112,538 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447,746 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252,177 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184,467 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996,928 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51850886"/>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Net income</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83,777 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338,678 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190,610 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135,893 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748,958 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51850886"/>
          <w:trHeight w:val="60"/>
        </w:trPr>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51850886"/>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Net income per share:</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r>
      <w:tr w:rsidR="00000000">
        <w:trPr>
          <w:divId w:val="51850886"/>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Basic</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0.72 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2.92 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1.64 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6.44 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51850886"/>
        </w:trPr>
        <w:tc>
          <w:tcPr>
            <w:tcW w:w="0" w:type="auto"/>
            <w:gridSpan w:val="3"/>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Diluted</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0.71 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2.90 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1.62 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1.15 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6.38 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51850886"/>
          <w:trHeight w:val="60"/>
        </w:trPr>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51850886"/>
        </w:trPr>
        <w:tc>
          <w:tcPr>
            <w:tcW w:w="0" w:type="auto"/>
            <w:gridSpan w:val="3"/>
            <w:tcMar>
              <w:top w:w="30" w:type="dxa"/>
              <w:left w:w="20" w:type="dxa"/>
              <w:bottom w:w="30" w:type="dxa"/>
              <w:right w:w="20" w:type="dxa"/>
            </w:tcMar>
            <w:vAlign w:val="bottom"/>
            <w:hideMark/>
          </w:tcPr>
          <w:p w:rsidR="00000000" w:rsidRDefault="00905244">
            <w:pPr>
              <w:divId w:val="1147283107"/>
              <w:rPr>
                <w:rFonts w:eastAsia="Times New Roman"/>
              </w:rPr>
            </w:pPr>
            <w:r>
              <w:rPr>
                <w:rFonts w:eastAsia="Times New Roman"/>
                <w:color w:val="000000"/>
                <w:sz w:val="20"/>
                <w:szCs w:val="20"/>
              </w:rPr>
              <w:t>Comparable store sales increase</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4.3 </w:t>
            </w:r>
          </w:p>
        </w:tc>
        <w:tc>
          <w:tcPr>
            <w:tcW w:w="0" w:type="auto"/>
            <w:tcMar>
              <w:top w:w="30" w:type="dxa"/>
              <w:left w:w="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30.5 </w:t>
            </w:r>
          </w:p>
        </w:tc>
        <w:tc>
          <w:tcPr>
            <w:tcW w:w="0" w:type="auto"/>
            <w:tcMar>
              <w:top w:w="30" w:type="dxa"/>
              <w:left w:w="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26.8 </w:t>
            </w:r>
          </w:p>
        </w:tc>
        <w:tc>
          <w:tcPr>
            <w:tcW w:w="0" w:type="auto"/>
            <w:tcMar>
              <w:top w:w="30" w:type="dxa"/>
              <w:left w:w="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27.3 </w:t>
            </w:r>
          </w:p>
        </w:tc>
        <w:tc>
          <w:tcPr>
            <w:tcW w:w="0" w:type="auto"/>
            <w:tcMar>
              <w:top w:w="30" w:type="dxa"/>
              <w:left w:w="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23.1 </w:t>
            </w:r>
          </w:p>
        </w:tc>
        <w:tc>
          <w:tcPr>
            <w:tcW w:w="0" w:type="auto"/>
            <w:tcMar>
              <w:top w:w="30" w:type="dxa"/>
              <w:left w:w="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t>
            </w:r>
          </w:p>
        </w:tc>
      </w:tr>
    </w:tbl>
    <w:p w:rsidR="00000000" w:rsidRDefault="00905244">
      <w:pPr>
        <w:divId w:val="1528828649"/>
        <w:rPr>
          <w:rFonts w:eastAsia="Times New Roman"/>
        </w:rPr>
      </w:pPr>
    </w:p>
    <w:p w:rsidR="00000000" w:rsidRDefault="00905244">
      <w:pPr>
        <w:divId w:val="321082198"/>
        <w:rPr>
          <w:rFonts w:eastAsia="Times New Roman"/>
        </w:rPr>
      </w:pPr>
    </w:p>
    <w:p w:rsidR="00000000" w:rsidRDefault="00905244">
      <w:pPr>
        <w:divId w:val="416830634"/>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40"/>
        <w:gridCol w:w="1865"/>
        <w:gridCol w:w="39"/>
        <w:gridCol w:w="36"/>
        <w:gridCol w:w="36"/>
        <w:gridCol w:w="36"/>
        <w:gridCol w:w="120"/>
        <w:gridCol w:w="850"/>
        <w:gridCol w:w="187"/>
        <w:gridCol w:w="36"/>
        <w:gridCol w:w="36"/>
        <w:gridCol w:w="36"/>
        <w:gridCol w:w="120"/>
        <w:gridCol w:w="850"/>
        <w:gridCol w:w="187"/>
        <w:gridCol w:w="36"/>
        <w:gridCol w:w="36"/>
        <w:gridCol w:w="36"/>
        <w:gridCol w:w="120"/>
        <w:gridCol w:w="850"/>
        <w:gridCol w:w="187"/>
        <w:gridCol w:w="36"/>
        <w:gridCol w:w="36"/>
        <w:gridCol w:w="36"/>
        <w:gridCol w:w="120"/>
        <w:gridCol w:w="850"/>
        <w:gridCol w:w="187"/>
        <w:gridCol w:w="36"/>
        <w:gridCol w:w="36"/>
        <w:gridCol w:w="36"/>
        <w:gridCol w:w="120"/>
        <w:gridCol w:w="850"/>
        <w:gridCol w:w="187"/>
      </w:tblGrid>
      <w:tr w:rsidR="00000000">
        <w:trPr>
          <w:divId w:val="2046053619"/>
        </w:trPr>
        <w:tc>
          <w:tcPr>
            <w:tcW w:w="50" w:type="pct"/>
            <w:vAlign w:val="center"/>
            <w:hideMark/>
          </w:tcPr>
          <w:p w:rsidR="00000000" w:rsidRDefault="00905244">
            <w:pPr>
              <w:rPr>
                <w:rFonts w:eastAsia="Times New Roman"/>
              </w:rPr>
            </w:pPr>
          </w:p>
        </w:tc>
        <w:tc>
          <w:tcPr>
            <w:tcW w:w="180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6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3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2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3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2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2046053619"/>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First</w:t>
            </w:r>
            <w:r>
              <w:rPr>
                <w:rFonts w:eastAsia="Times New Roman"/>
                <w:b/>
                <w:bCs/>
                <w:color w:val="000000"/>
                <w:sz w:val="20"/>
                <w:szCs w:val="20"/>
              </w:rPr>
              <w:br/>
              <w:t>Quarter</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Second</w:t>
            </w:r>
            <w:r>
              <w:rPr>
                <w:rFonts w:eastAsia="Times New Roman"/>
                <w:b/>
                <w:bCs/>
                <w:color w:val="000000"/>
                <w:sz w:val="20"/>
                <w:szCs w:val="20"/>
              </w:rPr>
              <w:br/>
              <w:t>Quarter</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Third</w:t>
            </w:r>
            <w:r>
              <w:rPr>
                <w:rFonts w:eastAsia="Times New Roman"/>
                <w:b/>
                <w:bCs/>
                <w:color w:val="000000"/>
                <w:sz w:val="20"/>
                <w:szCs w:val="20"/>
              </w:rPr>
              <w:br/>
              <w:t>Quarter</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Fourth</w:t>
            </w:r>
            <w:r>
              <w:rPr>
                <w:rFonts w:eastAsia="Times New Roman"/>
                <w:b/>
                <w:bCs/>
                <w:color w:val="000000"/>
                <w:sz w:val="20"/>
                <w:szCs w:val="20"/>
              </w:rPr>
              <w:br/>
              <w:t>Quarter</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Total</w:t>
            </w:r>
          </w:p>
        </w:tc>
      </w:tr>
      <w:tr w:rsidR="00000000">
        <w:trPr>
          <w:divId w:val="2046053619"/>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2019</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(13 weeks)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(13 weeks)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(13 weeks)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(13 weeks)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(52 weeks)</w:t>
            </w:r>
          </w:p>
        </w:tc>
      </w:tr>
      <w:tr w:rsidR="00000000">
        <w:trPr>
          <w:divId w:val="204605361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Net sales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1,822,220 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2,353,782 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1,984,144 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2,191,785 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8,351,931 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046053619"/>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Gross profit</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614,984 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820,745 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694,240 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741,801 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2,871,770 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046053619"/>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Operating income</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103,408 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287,557 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161,817 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190,438 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743,220 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046053619"/>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Net income</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76,832 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219,210 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122,133 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144,179 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562,354 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046053619"/>
          <w:trHeight w:val="60"/>
        </w:trPr>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2046053619"/>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Net income per share:</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r>
      <w:tr w:rsidR="00000000">
        <w:trPr>
          <w:divId w:val="2046053619"/>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Basic</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0.63 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1.82 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1.03 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1.22 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4.70 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046053619"/>
        </w:trPr>
        <w:tc>
          <w:tcPr>
            <w:tcW w:w="0" w:type="auto"/>
            <w:gridSpan w:val="3"/>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Diluted</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0.63 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1.80 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1.02 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1.21 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4.66 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046053619"/>
          <w:trHeight w:val="60"/>
        </w:trPr>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2046053619"/>
        </w:trPr>
        <w:tc>
          <w:tcPr>
            <w:tcW w:w="0" w:type="auto"/>
            <w:gridSpan w:val="3"/>
            <w:tcMar>
              <w:top w:w="30" w:type="dxa"/>
              <w:left w:w="20" w:type="dxa"/>
              <w:bottom w:w="30" w:type="dxa"/>
              <w:right w:w="20" w:type="dxa"/>
            </w:tcMar>
            <w:vAlign w:val="bottom"/>
            <w:hideMark/>
          </w:tcPr>
          <w:p w:rsidR="00000000" w:rsidRDefault="00905244">
            <w:pPr>
              <w:divId w:val="434713588"/>
              <w:rPr>
                <w:rFonts w:eastAsia="Times New Roman"/>
              </w:rPr>
            </w:pPr>
            <w:r>
              <w:rPr>
                <w:rFonts w:eastAsia="Times New Roman"/>
                <w:color w:val="000000"/>
                <w:sz w:val="20"/>
                <w:szCs w:val="20"/>
              </w:rPr>
              <w:t>Comparable store sales increase</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5.0 </w:t>
            </w:r>
          </w:p>
        </w:tc>
        <w:tc>
          <w:tcPr>
            <w:tcW w:w="0" w:type="auto"/>
            <w:tcMar>
              <w:top w:w="30" w:type="dxa"/>
              <w:left w:w="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3.2 </w:t>
            </w:r>
          </w:p>
        </w:tc>
        <w:tc>
          <w:tcPr>
            <w:tcW w:w="0" w:type="auto"/>
            <w:tcMar>
              <w:top w:w="30" w:type="dxa"/>
              <w:left w:w="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2.9 </w:t>
            </w:r>
          </w:p>
        </w:tc>
        <w:tc>
          <w:tcPr>
            <w:tcW w:w="0" w:type="auto"/>
            <w:tcMar>
              <w:top w:w="30" w:type="dxa"/>
              <w:left w:w="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0.1 </w:t>
            </w:r>
          </w:p>
        </w:tc>
        <w:tc>
          <w:tcPr>
            <w:tcW w:w="0" w:type="auto"/>
            <w:tcMar>
              <w:top w:w="30" w:type="dxa"/>
              <w:left w:w="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2.7 </w:t>
            </w:r>
          </w:p>
        </w:tc>
        <w:tc>
          <w:tcPr>
            <w:tcW w:w="0" w:type="auto"/>
            <w:tcMar>
              <w:top w:w="30" w:type="dxa"/>
              <w:left w:w="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t>
            </w:r>
          </w:p>
        </w:tc>
      </w:tr>
    </w:tbl>
    <w:p w:rsidR="00000000" w:rsidRDefault="00905244">
      <w:pPr>
        <w:ind w:hanging="180"/>
        <w:jc w:val="both"/>
        <w:rPr>
          <w:rFonts w:eastAsia="Times New Roman"/>
        </w:rPr>
      </w:pPr>
      <w:r>
        <w:rPr>
          <w:rFonts w:eastAsia="Times New Roman"/>
          <w:color w:val="000000"/>
          <w:sz w:val="10"/>
          <w:szCs w:val="10"/>
        </w:rPr>
        <w:t>(a)</w:t>
      </w:r>
      <w:r>
        <w:rPr>
          <w:rFonts w:eastAsia="Times New Roman"/>
          <w:color w:val="000000"/>
          <w:sz w:val="10"/>
          <w:szCs w:val="10"/>
        </w:rPr>
        <w:t xml:space="preserve"> </w:t>
      </w:r>
      <w:r>
        <w:rPr>
          <w:rFonts w:eastAsia="Times New Roman"/>
          <w:color w:val="000000"/>
          <w:sz w:val="16"/>
          <w:szCs w:val="16"/>
        </w:rPr>
        <w:t>Comparable store metrics are calculated using sales generated from all stores open at least one year and all online sales, excluding certain adjustments to net sales. Closed stores are removed from our</w:t>
      </w:r>
      <w:r>
        <w:rPr>
          <w:rFonts w:eastAsia="Times New Roman"/>
          <w:color w:val="000000"/>
          <w:sz w:val="16"/>
          <w:szCs w:val="16"/>
        </w:rPr>
        <w:t xml:space="preserve"> comparable store metrics calculations. Stores relocated during the periods being compared are not removed from our comparable store metrics. If the effect of relocated stores on our comparable store metrics becomes material, we would remove relocated stor</w:t>
      </w:r>
      <w:r>
        <w:rPr>
          <w:rFonts w:eastAsia="Times New Roman"/>
          <w:color w:val="000000"/>
          <w:sz w:val="16"/>
          <w:szCs w:val="16"/>
        </w:rPr>
        <w:t>es from the calculations.</w:t>
      </w:r>
    </w:p>
    <w:p w:rsidR="00000000" w:rsidRDefault="00905244">
      <w:pPr>
        <w:divId w:val="807934377"/>
        <w:rPr>
          <w:rFonts w:eastAsia="Times New Roman"/>
        </w:rPr>
      </w:pPr>
    </w:p>
    <w:p w:rsidR="00000000" w:rsidRDefault="00905244">
      <w:pPr>
        <w:jc w:val="center"/>
        <w:divId w:val="1890725076"/>
        <w:rPr>
          <w:rFonts w:eastAsia="Times New Roman"/>
        </w:rPr>
      </w:pPr>
      <w:r>
        <w:rPr>
          <w:rFonts w:eastAsia="Times New Roman"/>
          <w:color w:val="000000"/>
          <w:sz w:val="20"/>
          <w:szCs w:val="20"/>
        </w:rPr>
        <w:t>36</w:t>
      </w:r>
    </w:p>
    <w:p w:rsidR="00000000" w:rsidRDefault="00905244">
      <w:pPr>
        <w:rPr>
          <w:rFonts w:eastAsia="Times New Roman"/>
        </w:rPr>
      </w:pPr>
      <w:r>
        <w:rPr>
          <w:rFonts w:eastAsia="Times New Roman"/>
        </w:rPr>
        <w:pict>
          <v:rect id="_x0000_i1065" style="width:0;height:1.5pt" o:hralign="center" o:hrstd="t" o:hr="t" fillcolor="#a0a0a0" stroked="f"/>
        </w:pict>
      </w:r>
    </w:p>
    <w:p w:rsidR="00000000" w:rsidRDefault="00905244">
      <w:pPr>
        <w:divId w:val="1585143581"/>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b/>
          <w:bCs/>
          <w:color w:val="000000"/>
          <w:sz w:val="22"/>
          <w:szCs w:val="22"/>
        </w:rPr>
        <w:t>Results of Operations</w:t>
      </w:r>
    </w:p>
    <w:p w:rsidR="00000000" w:rsidRDefault="00905244">
      <w:pPr>
        <w:divId w:val="1183203406"/>
        <w:rPr>
          <w:rFonts w:eastAsia="Times New Roman"/>
        </w:rPr>
      </w:pPr>
    </w:p>
    <w:p w:rsidR="00000000" w:rsidRDefault="00905244">
      <w:pPr>
        <w:jc w:val="both"/>
        <w:rPr>
          <w:rFonts w:eastAsia="Times New Roman"/>
        </w:rPr>
      </w:pPr>
      <w:r>
        <w:rPr>
          <w:rFonts w:eastAsia="Times New Roman"/>
          <w:color w:val="000000"/>
          <w:sz w:val="20"/>
          <w:szCs w:val="20"/>
        </w:rPr>
        <w:t>The following table sets forth, for the periods indicated, certain items in the Consolidated Statements of Income expressed as a percentage of net sales.</w:t>
      </w:r>
    </w:p>
    <w:tbl>
      <w:tblPr>
        <w:tblW w:w="4963" w:type="pct"/>
        <w:tblCellMar>
          <w:top w:w="15" w:type="dxa"/>
          <w:left w:w="15" w:type="dxa"/>
          <w:bottom w:w="15" w:type="dxa"/>
          <w:right w:w="15" w:type="dxa"/>
        </w:tblCellMar>
        <w:tblLook w:val="04A0" w:firstRow="1" w:lastRow="0" w:firstColumn="1" w:lastColumn="0" w:noHBand="0" w:noVBand="1"/>
      </w:tblPr>
      <w:tblGrid>
        <w:gridCol w:w="39"/>
        <w:gridCol w:w="5740"/>
        <w:gridCol w:w="37"/>
        <w:gridCol w:w="49"/>
        <w:gridCol w:w="845"/>
        <w:gridCol w:w="187"/>
        <w:gridCol w:w="36"/>
        <w:gridCol w:w="36"/>
        <w:gridCol w:w="36"/>
        <w:gridCol w:w="49"/>
        <w:gridCol w:w="788"/>
        <w:gridCol w:w="187"/>
        <w:gridCol w:w="36"/>
        <w:gridCol w:w="36"/>
        <w:gridCol w:w="36"/>
        <w:gridCol w:w="36"/>
        <w:gridCol w:w="36"/>
        <w:gridCol w:w="36"/>
      </w:tblGrid>
      <w:tr w:rsidR="00000000">
        <w:trPr>
          <w:divId w:val="1647970169"/>
        </w:trPr>
        <w:tc>
          <w:tcPr>
            <w:tcW w:w="50" w:type="pct"/>
            <w:vAlign w:val="center"/>
            <w:hideMark/>
          </w:tcPr>
          <w:p w:rsidR="00000000" w:rsidRDefault="00905244">
            <w:pPr>
              <w:jc w:val="both"/>
              <w:rPr>
                <w:rFonts w:eastAsia="Times New Roman"/>
              </w:rPr>
            </w:pPr>
          </w:p>
        </w:tc>
        <w:tc>
          <w:tcPr>
            <w:tcW w:w="36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8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8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647970169"/>
          <w:trHeight w:val="12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9"/>
            <w:vMerge w:val="restart"/>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w:t>
            </w: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1647970169"/>
          <w:trHeight w:val="160"/>
        </w:trPr>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9"/>
            <w:vMerge/>
            <w:vAlign w:val="center"/>
            <w:hideMark/>
          </w:tcPr>
          <w:p w:rsidR="00000000" w:rsidRDefault="00905244">
            <w:pPr>
              <w:rPr>
                <w:rFonts w:eastAsia="Times New Roman"/>
              </w:rPr>
            </w:pP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1647970169"/>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2019</w:t>
            </w:r>
          </w:p>
        </w:tc>
        <w:tc>
          <w:tcPr>
            <w:tcW w:w="0" w:type="auto"/>
            <w:gridSpan w:val="3"/>
            <w:vAlign w:val="center"/>
            <w:hideMark/>
          </w:tcPr>
          <w:p w:rsidR="00000000" w:rsidRDefault="00905244">
            <w:pPr>
              <w:jc w:val="center"/>
              <w:rPr>
                <w:rFonts w:eastAsia="Times New Roman"/>
              </w:rPr>
            </w:pPr>
          </w:p>
        </w:tc>
        <w:tc>
          <w:tcPr>
            <w:tcW w:w="0" w:type="auto"/>
            <w:gridSpan w:val="3"/>
            <w:vAlign w:val="center"/>
            <w:hideMark/>
          </w:tcPr>
          <w:p w:rsidR="00000000" w:rsidRDefault="00905244">
            <w:pPr>
              <w:rPr>
                <w:rFonts w:eastAsia="Times New Roman"/>
                <w:sz w:val="20"/>
                <w:szCs w:val="20"/>
              </w:rPr>
            </w:pPr>
          </w:p>
        </w:tc>
      </w:tr>
      <w:tr w:rsidR="00000000">
        <w:trPr>
          <w:divId w:val="1647970169"/>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Net sales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905244">
            <w:pPr>
              <w:jc w:val="right"/>
              <w:rPr>
                <w:rFonts w:eastAsia="Times New Roman"/>
              </w:rPr>
            </w:pPr>
          </w:p>
        </w:tc>
        <w:tc>
          <w:tcPr>
            <w:tcW w:w="0" w:type="auto"/>
            <w:gridSpan w:val="3"/>
            <w:vAlign w:val="center"/>
            <w:hideMark/>
          </w:tcPr>
          <w:p w:rsidR="00000000" w:rsidRDefault="00905244">
            <w:pPr>
              <w:rPr>
                <w:rFonts w:eastAsia="Times New Roman"/>
                <w:sz w:val="20"/>
                <w:szCs w:val="20"/>
              </w:rPr>
            </w:pPr>
          </w:p>
        </w:tc>
      </w:tr>
      <w:tr w:rsidR="00000000">
        <w:trPr>
          <w:divId w:val="1647970169"/>
        </w:trPr>
        <w:tc>
          <w:tcPr>
            <w:tcW w:w="0" w:type="auto"/>
            <w:gridSpan w:val="3"/>
            <w:shd w:val="clear" w:color="auto" w:fill="FFFFFF"/>
            <w:tcMar>
              <w:top w:w="30" w:type="dxa"/>
              <w:left w:w="20" w:type="dxa"/>
              <w:bottom w:w="30" w:type="dxa"/>
              <w:right w:w="20" w:type="dxa"/>
            </w:tcMar>
            <w:vAlign w:val="bottom"/>
            <w:hideMark/>
          </w:tcPr>
          <w:p w:rsidR="00000000" w:rsidRDefault="00905244">
            <w:pPr>
              <w:divId w:val="42485335"/>
              <w:rPr>
                <w:rFonts w:eastAsia="Times New Roman"/>
              </w:rPr>
            </w:pPr>
            <w:r>
              <w:rPr>
                <w:rFonts w:eastAsia="Times New Roman"/>
                <w:color w:val="000000"/>
                <w:sz w:val="20"/>
                <w:szCs w:val="20"/>
              </w:rPr>
              <w:t>Cost of merchandise sold</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64.58 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65.62 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vAlign w:val="center"/>
            <w:hideMark/>
          </w:tcPr>
          <w:p w:rsidR="00000000" w:rsidRDefault="00905244">
            <w:pPr>
              <w:jc w:val="right"/>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647970169"/>
        </w:trPr>
        <w:tc>
          <w:tcPr>
            <w:tcW w:w="0" w:type="auto"/>
            <w:gridSpan w:val="3"/>
            <w:shd w:val="clear" w:color="auto" w:fill="CCEEFF"/>
            <w:tcMar>
              <w:top w:w="30" w:type="dxa"/>
              <w:left w:w="20" w:type="dxa"/>
              <w:bottom w:w="30" w:type="dxa"/>
              <w:right w:w="20" w:type="dxa"/>
            </w:tcMar>
            <w:vAlign w:val="bottom"/>
            <w:hideMark/>
          </w:tcPr>
          <w:p w:rsidR="00000000" w:rsidRDefault="00905244">
            <w:pPr>
              <w:divId w:val="541212617"/>
              <w:rPr>
                <w:rFonts w:eastAsia="Times New Roman"/>
              </w:rPr>
            </w:pPr>
            <w:r>
              <w:rPr>
                <w:rFonts w:eastAsia="Times New Roman"/>
                <w:color w:val="000000"/>
                <w:sz w:val="20"/>
                <w:szCs w:val="20"/>
              </w:rPr>
              <w:t>Gross margin</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35.42 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34.38 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vAlign w:val="center"/>
            <w:hideMark/>
          </w:tcPr>
          <w:p w:rsidR="00000000" w:rsidRDefault="00905244">
            <w:pPr>
              <w:jc w:val="right"/>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647970169"/>
        </w:trPr>
        <w:tc>
          <w:tcPr>
            <w:tcW w:w="0" w:type="auto"/>
            <w:gridSpan w:val="3"/>
            <w:shd w:val="clear" w:color="auto" w:fill="FFFFFF"/>
            <w:tcMar>
              <w:top w:w="30" w:type="dxa"/>
              <w:left w:w="20" w:type="dxa"/>
              <w:bottom w:w="30" w:type="dxa"/>
              <w:right w:w="20" w:type="dxa"/>
            </w:tcMar>
            <w:vAlign w:val="bottom"/>
            <w:hideMark/>
          </w:tcPr>
          <w:p w:rsidR="00000000" w:rsidRDefault="00905244">
            <w:pPr>
              <w:divId w:val="287056799"/>
              <w:rPr>
                <w:rFonts w:eastAsia="Times New Roman"/>
              </w:rPr>
            </w:pPr>
            <w:r>
              <w:rPr>
                <w:rFonts w:eastAsia="Times New Roman"/>
                <w:color w:val="000000"/>
                <w:sz w:val="20"/>
                <w:szCs w:val="20"/>
              </w:rPr>
              <w:t>Selling, general and administrative expenses</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23.34 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23.14 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vAlign w:val="center"/>
            <w:hideMark/>
          </w:tcPr>
          <w:p w:rsidR="00000000" w:rsidRDefault="00905244">
            <w:pPr>
              <w:jc w:val="right"/>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647970169"/>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2.04 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2.34 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vAlign w:val="center"/>
            <w:hideMark/>
          </w:tcPr>
          <w:p w:rsidR="00000000" w:rsidRDefault="00905244">
            <w:pPr>
              <w:jc w:val="right"/>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647970169"/>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Impairment of goodwill and other intangible assets</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0.65 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vAlign w:val="center"/>
            <w:hideMark/>
          </w:tcPr>
          <w:p w:rsidR="00000000" w:rsidRDefault="00905244">
            <w:pPr>
              <w:jc w:val="right"/>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647970169"/>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Operating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vAlign w:val="center"/>
            <w:hideMark/>
          </w:tcPr>
          <w:p w:rsidR="00000000" w:rsidRDefault="00905244">
            <w:pPr>
              <w:jc w:val="right"/>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647970169"/>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Interest expense, net</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0.27 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0.24 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vAlign w:val="center"/>
            <w:hideMark/>
          </w:tcPr>
          <w:p w:rsidR="00000000" w:rsidRDefault="00905244">
            <w:pPr>
              <w:jc w:val="right"/>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647970169"/>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Income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vAlign w:val="center"/>
            <w:hideMark/>
          </w:tcPr>
          <w:p w:rsidR="00000000" w:rsidRDefault="00905244">
            <w:pPr>
              <w:jc w:val="right"/>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647970169"/>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Income tax expense</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2.07 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1.93 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vAlign w:val="center"/>
            <w:hideMark/>
          </w:tcPr>
          <w:p w:rsidR="00000000" w:rsidRDefault="00905244">
            <w:pPr>
              <w:jc w:val="right"/>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647970169"/>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Net income</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w:t>
            </w:r>
          </w:p>
        </w:tc>
        <w:tc>
          <w:tcPr>
            <w:tcW w:w="0" w:type="auto"/>
            <w:gridSpan w:val="3"/>
            <w:vAlign w:val="center"/>
            <w:hideMark/>
          </w:tcPr>
          <w:p w:rsidR="00000000" w:rsidRDefault="00905244">
            <w:pPr>
              <w:jc w:val="right"/>
              <w:rPr>
                <w:rFonts w:eastAsia="Times New Roman"/>
              </w:rPr>
            </w:pPr>
          </w:p>
        </w:tc>
        <w:tc>
          <w:tcPr>
            <w:tcW w:w="0" w:type="auto"/>
            <w:gridSpan w:val="3"/>
            <w:vAlign w:val="center"/>
            <w:hideMark/>
          </w:tcPr>
          <w:p w:rsidR="00000000" w:rsidRDefault="00905244">
            <w:pPr>
              <w:rPr>
                <w:rFonts w:eastAsia="Times New Roman"/>
                <w:sz w:val="20"/>
                <w:szCs w:val="20"/>
              </w:rPr>
            </w:pPr>
          </w:p>
        </w:tc>
      </w:tr>
    </w:tbl>
    <w:p w:rsidR="00000000" w:rsidRDefault="00905244">
      <w:pPr>
        <w:ind w:hanging="180"/>
        <w:jc w:val="both"/>
        <w:rPr>
          <w:rFonts w:eastAsia="Times New Roman"/>
        </w:rPr>
      </w:pPr>
      <w:r>
        <w:rPr>
          <w:rFonts w:eastAsia="Times New Roman"/>
          <w:color w:val="000000"/>
          <w:sz w:val="10"/>
          <w:szCs w:val="10"/>
        </w:rPr>
        <w:t>(a</w:t>
      </w:r>
      <w:r>
        <w:rPr>
          <w:rFonts w:eastAsia="Times New Roman"/>
          <w:color w:val="000000"/>
          <w:sz w:val="10"/>
          <w:szCs w:val="10"/>
        </w:rPr>
        <w:t>)</w:t>
      </w:r>
      <w:r>
        <w:rPr>
          <w:rFonts w:eastAsia="Times New Roman"/>
          <w:color w:val="000000"/>
          <w:sz w:val="16"/>
          <w:szCs w:val="16"/>
        </w:rPr>
        <w:t xml:space="preserve"> </w:t>
      </w:r>
      <w:r>
        <w:rPr>
          <w:rFonts w:eastAsia="Times New Roman"/>
          <w:color w:val="000000"/>
          <w:sz w:val="16"/>
          <w:szCs w:val="16"/>
        </w:rPr>
        <w:t>Our gross margin amounts may not be comparable to those of other retailers since some retailers include all of the costs related to their distribution facility network in cost of merchandise sold and others (like our Company) exclude a portion of these dis</w:t>
      </w:r>
      <w:r>
        <w:rPr>
          <w:rFonts w:eastAsia="Times New Roman"/>
          <w:color w:val="000000"/>
          <w:sz w:val="16"/>
          <w:szCs w:val="16"/>
        </w:rPr>
        <w:t>tribution facility network costs from gross margin and instead include them in selling, general, and administrative expenses; refer to Note 1 – Significant Accounting Policies of the Notes to the Consolidated Financial Statements, included in Item 8 Financ</w:t>
      </w:r>
      <w:r>
        <w:rPr>
          <w:rFonts w:eastAsia="Times New Roman"/>
          <w:color w:val="000000"/>
          <w:sz w:val="16"/>
          <w:szCs w:val="16"/>
        </w:rPr>
        <w:t>ial Statements and Supplementary Data, of this Annual Report on Form 10-K.</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 xml:space="preserve">Fiscal 2020 Compared to Fiscal 2019 </w:t>
      </w:r>
    </w:p>
    <w:p w:rsidR="00000000" w:rsidRDefault="00905244">
      <w:pPr>
        <w:divId w:val="797340740"/>
        <w:rPr>
          <w:rFonts w:eastAsia="Times New Roman"/>
        </w:rPr>
      </w:pPr>
    </w:p>
    <w:p w:rsidR="00000000" w:rsidRDefault="00905244">
      <w:pPr>
        <w:jc w:val="both"/>
        <w:rPr>
          <w:rFonts w:eastAsia="Times New Roman"/>
        </w:rPr>
      </w:pPr>
      <w:r>
        <w:rPr>
          <w:rFonts w:eastAsia="Times New Roman"/>
          <w:color w:val="000000"/>
          <w:sz w:val="20"/>
          <w:szCs w:val="20"/>
        </w:rPr>
        <w:t>Net sales increased 27.2% to $10.62 billion in fiscal 2020 from $8.35 billion in fiscal 2019. Comparable store sales increased 23.1% to $10.29 billion versus a 2.7% increase in fiscal 2019. The comparable store average transaction value increased 12.2% and</w:t>
      </w:r>
      <w:r>
        <w:rPr>
          <w:rFonts w:eastAsia="Times New Roman"/>
          <w:color w:val="000000"/>
          <w:sz w:val="20"/>
          <w:szCs w:val="20"/>
        </w:rPr>
        <w:t xml:space="preserve"> comparable store average transaction count increased 10.9% for fiscal 2020, as compared to an increase of 2.4% and 0.3% in fiscal 2019, respectively.</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COVID-19 pandemic had a significant, positive impact on consumer demand in fiscal 2020 as customers</w:t>
      </w:r>
      <w:r>
        <w:rPr>
          <w:rFonts w:eastAsia="Times New Roman"/>
          <w:color w:val="000000"/>
          <w:sz w:val="20"/>
          <w:szCs w:val="20"/>
        </w:rPr>
        <w:t xml:space="preserve"> focused on the care of their homes, land and animals. All major product categories and geographic regions of the Company had robust comparable store sales growth. The increase in comparable store sales was driven by unprecedented demand beginning late in </w:t>
      </w:r>
      <w:r>
        <w:rPr>
          <w:rFonts w:eastAsia="Times New Roman"/>
          <w:color w:val="000000"/>
          <w:sz w:val="20"/>
          <w:szCs w:val="20"/>
        </w:rPr>
        <w:t>the first quarter and extending throughout the year for seasonal categories along with exceptional growth in everyday merchandise, including consumable, usable and edible ("C.U.E.") products. In addition, the Company’s e-commerce sales experienced triple-d</w:t>
      </w:r>
      <w:r>
        <w:rPr>
          <w:rFonts w:eastAsia="Times New Roman"/>
          <w:color w:val="000000"/>
          <w:sz w:val="20"/>
          <w:szCs w:val="20"/>
        </w:rPr>
        <w:t>igit percentage growth in fiscal 2020 as compared to fiscal 2019.</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In addition to comparable store sales growth in fiscal 2020, sales from stores opened less than one year were $355.3 million in fiscal 2020, which represented 4.3 percentage points of the </w:t>
      </w:r>
      <w:r>
        <w:rPr>
          <w:rFonts w:eastAsia="Times New Roman"/>
          <w:color w:val="000000"/>
          <w:sz w:val="20"/>
          <w:szCs w:val="20"/>
        </w:rPr>
        <w:t>27.2% increase over fiscal 2019 net sales. Sales from stores opened less than one year were $237.6 million in fiscal 2019, which represented 3.0 percentage points of the 5.6% increase over fiscal 2018 net sales.</w:t>
      </w:r>
    </w:p>
    <w:p w:rsidR="00000000" w:rsidRDefault="00905244">
      <w:pPr>
        <w:jc w:val="both"/>
        <w:rPr>
          <w:rFonts w:eastAsia="Times New Roman"/>
        </w:rPr>
      </w:pPr>
    </w:p>
    <w:p w:rsidR="00000000" w:rsidRDefault="00905244">
      <w:pPr>
        <w:jc w:val="center"/>
        <w:divId w:val="1986087165"/>
        <w:rPr>
          <w:rFonts w:eastAsia="Times New Roman"/>
        </w:rPr>
      </w:pPr>
      <w:r>
        <w:rPr>
          <w:rFonts w:eastAsia="Times New Roman"/>
          <w:color w:val="000000"/>
          <w:sz w:val="20"/>
          <w:szCs w:val="20"/>
        </w:rPr>
        <w:t>37</w:t>
      </w:r>
    </w:p>
    <w:p w:rsidR="00000000" w:rsidRDefault="00905244">
      <w:pPr>
        <w:rPr>
          <w:rFonts w:eastAsia="Times New Roman"/>
        </w:rPr>
      </w:pPr>
      <w:r>
        <w:rPr>
          <w:rFonts w:eastAsia="Times New Roman"/>
        </w:rPr>
        <w:pict>
          <v:rect id="_x0000_i1066" style="width:0;height:1.5pt" o:hralign="center" o:hrstd="t" o:hr="t" fillcolor="#a0a0a0" stroked="f"/>
        </w:pict>
      </w:r>
    </w:p>
    <w:p w:rsidR="00000000" w:rsidRDefault="00905244">
      <w:pPr>
        <w:divId w:val="120880635"/>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The following table summarizes our store growth during fiscal 2020 and 2019:</w:t>
      </w:r>
    </w:p>
    <w:tbl>
      <w:tblPr>
        <w:tblW w:w="5000" w:type="pct"/>
        <w:tblCellMar>
          <w:top w:w="15" w:type="dxa"/>
          <w:left w:w="15" w:type="dxa"/>
          <w:bottom w:w="15" w:type="dxa"/>
          <w:right w:w="15" w:type="dxa"/>
        </w:tblCellMar>
        <w:tblLook w:val="04A0" w:firstRow="1" w:lastRow="0" w:firstColumn="1" w:lastColumn="0" w:noHBand="0" w:noVBand="1"/>
      </w:tblPr>
      <w:tblGrid>
        <w:gridCol w:w="58"/>
        <w:gridCol w:w="5568"/>
        <w:gridCol w:w="36"/>
        <w:gridCol w:w="36"/>
        <w:gridCol w:w="36"/>
        <w:gridCol w:w="36"/>
        <w:gridCol w:w="42"/>
        <w:gridCol w:w="1134"/>
        <w:gridCol w:w="37"/>
        <w:gridCol w:w="37"/>
        <w:gridCol w:w="37"/>
        <w:gridCol w:w="36"/>
        <w:gridCol w:w="41"/>
        <w:gridCol w:w="1136"/>
        <w:gridCol w:w="36"/>
      </w:tblGrid>
      <w:tr w:rsidR="00000000">
        <w:trPr>
          <w:divId w:val="1564951506"/>
        </w:trPr>
        <w:tc>
          <w:tcPr>
            <w:tcW w:w="50" w:type="pct"/>
            <w:vAlign w:val="center"/>
            <w:hideMark/>
          </w:tcPr>
          <w:p w:rsidR="00000000" w:rsidRDefault="00905244">
            <w:pPr>
              <w:jc w:val="both"/>
              <w:rPr>
                <w:rFonts w:eastAsia="Times New Roman"/>
              </w:rPr>
            </w:pPr>
          </w:p>
        </w:tc>
        <w:tc>
          <w:tcPr>
            <w:tcW w:w="336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69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69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564951506"/>
          <w:trHeight w:val="12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9"/>
            <w:vMerge w:val="restart"/>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w:t>
            </w:r>
          </w:p>
        </w:tc>
      </w:tr>
      <w:tr w:rsidR="00000000">
        <w:trPr>
          <w:divId w:val="1564951506"/>
          <w:trHeight w:val="120"/>
        </w:trPr>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9"/>
            <w:vMerge/>
            <w:vAlign w:val="center"/>
            <w:hideMark/>
          </w:tcPr>
          <w:p w:rsidR="00000000" w:rsidRDefault="00905244">
            <w:pPr>
              <w:rPr>
                <w:rFonts w:eastAsia="Times New Roman"/>
              </w:rPr>
            </w:pPr>
          </w:p>
        </w:tc>
      </w:tr>
      <w:tr w:rsidR="00000000">
        <w:trPr>
          <w:divId w:val="1564951506"/>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Store Count Information:</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2019</w:t>
            </w:r>
          </w:p>
        </w:tc>
      </w:tr>
      <w:tr w:rsidR="00000000">
        <w:trPr>
          <w:divId w:val="1564951506"/>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i/>
                <w:iCs/>
                <w:color w:val="000000"/>
                <w:sz w:val="20"/>
                <w:szCs w:val="20"/>
                <w:u w:val="single"/>
              </w:rPr>
              <w:t>Tractor Supply</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564951506"/>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Beginning of period</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1,844 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1,765 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564951506"/>
        </w:trPr>
        <w:tc>
          <w:tcPr>
            <w:tcW w:w="0" w:type="auto"/>
            <w:gridSpan w:val="3"/>
            <w:shd w:val="clear" w:color="auto" w:fill="CCEEFF"/>
            <w:tcMar>
              <w:top w:w="30" w:type="dxa"/>
              <w:left w:w="515"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New stores opened</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564951506"/>
        </w:trPr>
        <w:tc>
          <w:tcPr>
            <w:tcW w:w="0" w:type="auto"/>
            <w:gridSpan w:val="3"/>
            <w:shd w:val="clear" w:color="auto" w:fill="FFFFFF"/>
            <w:tcMar>
              <w:top w:w="30" w:type="dxa"/>
              <w:left w:w="515" w:type="dxa"/>
              <w:bottom w:w="30" w:type="dxa"/>
              <w:right w:w="20" w:type="dxa"/>
            </w:tcMar>
            <w:vAlign w:val="bottom"/>
            <w:hideMark/>
          </w:tcPr>
          <w:p w:rsidR="00000000" w:rsidRDefault="00905244">
            <w:pPr>
              <w:rPr>
                <w:rFonts w:eastAsia="Times New Roman"/>
              </w:rPr>
            </w:pPr>
            <w:r>
              <w:rPr>
                <w:rFonts w:eastAsia="Times New Roman"/>
                <w:color w:val="000000"/>
                <w:sz w:val="20"/>
                <w:szCs w:val="20"/>
              </w:rPr>
              <w:t>Stores closed</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564951506"/>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End of period</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1,923 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1,844 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564951506"/>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i/>
                <w:iCs/>
                <w:color w:val="000000"/>
                <w:sz w:val="20"/>
                <w:szCs w:val="20"/>
                <w:u w:val="single"/>
              </w:rPr>
              <w:t>Petsense</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564951506"/>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 xml:space="preserve">Beginning of period </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180 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175 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564951506"/>
        </w:trPr>
        <w:tc>
          <w:tcPr>
            <w:tcW w:w="0" w:type="auto"/>
            <w:gridSpan w:val="3"/>
            <w:shd w:val="clear" w:color="auto" w:fill="FFFFFF"/>
            <w:tcMar>
              <w:top w:w="30" w:type="dxa"/>
              <w:left w:w="515"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New stores opened</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564951506"/>
        </w:trPr>
        <w:tc>
          <w:tcPr>
            <w:tcW w:w="0" w:type="auto"/>
            <w:gridSpan w:val="3"/>
            <w:shd w:val="clear" w:color="auto" w:fill="CCEEFF"/>
            <w:tcMar>
              <w:top w:w="30" w:type="dxa"/>
              <w:left w:w="515" w:type="dxa"/>
              <w:bottom w:w="30" w:type="dxa"/>
              <w:right w:w="20" w:type="dxa"/>
            </w:tcMar>
            <w:vAlign w:val="bottom"/>
            <w:hideMark/>
          </w:tcPr>
          <w:p w:rsidR="00000000" w:rsidRDefault="00905244">
            <w:pPr>
              <w:rPr>
                <w:rFonts w:eastAsia="Times New Roman"/>
              </w:rPr>
            </w:pPr>
            <w:r>
              <w:rPr>
                <w:rFonts w:eastAsia="Times New Roman"/>
                <w:color w:val="000000"/>
                <w:sz w:val="20"/>
                <w:szCs w:val="20"/>
              </w:rPr>
              <w:t>Stores closed</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564951506"/>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End of period</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564951506"/>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Consolidated end of period</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2,024 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564951506"/>
          <w:trHeight w:val="120"/>
        </w:trPr>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564951506"/>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xml:space="preserve">Stores relocated </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divId w:val="1807162122"/>
        <w:rPr>
          <w:rFonts w:eastAsia="Times New Roman"/>
        </w:rPr>
      </w:pPr>
    </w:p>
    <w:p w:rsidR="00000000" w:rsidRDefault="00905244">
      <w:pPr>
        <w:jc w:val="both"/>
        <w:rPr>
          <w:rFonts w:eastAsia="Times New Roman"/>
        </w:rPr>
      </w:pPr>
      <w:r>
        <w:rPr>
          <w:rFonts w:eastAsia="Times New Roman"/>
          <w:color w:val="000000"/>
          <w:sz w:val="20"/>
          <w:szCs w:val="20"/>
        </w:rPr>
        <w:t>The following table indicates the percentage of net sales represented by each of our major product categories during fiscal 2020 and 2019:</w:t>
      </w:r>
    </w:p>
    <w:tbl>
      <w:tblPr>
        <w:tblW w:w="5000" w:type="pct"/>
        <w:tblCellMar>
          <w:top w:w="15" w:type="dxa"/>
          <w:left w:w="15" w:type="dxa"/>
          <w:bottom w:w="15" w:type="dxa"/>
          <w:right w:w="15" w:type="dxa"/>
        </w:tblCellMar>
        <w:tblLook w:val="04A0" w:firstRow="1" w:lastRow="0" w:firstColumn="1" w:lastColumn="0" w:noHBand="0" w:noVBand="1"/>
      </w:tblPr>
      <w:tblGrid>
        <w:gridCol w:w="39"/>
        <w:gridCol w:w="5511"/>
        <w:gridCol w:w="38"/>
        <w:gridCol w:w="36"/>
        <w:gridCol w:w="36"/>
        <w:gridCol w:w="36"/>
        <w:gridCol w:w="38"/>
        <w:gridCol w:w="1024"/>
        <w:gridCol w:w="188"/>
        <w:gridCol w:w="37"/>
        <w:gridCol w:w="36"/>
        <w:gridCol w:w="36"/>
        <w:gridCol w:w="37"/>
        <w:gridCol w:w="1027"/>
        <w:gridCol w:w="187"/>
      </w:tblGrid>
      <w:tr w:rsidR="00000000">
        <w:trPr>
          <w:divId w:val="476149276"/>
        </w:trPr>
        <w:tc>
          <w:tcPr>
            <w:tcW w:w="50" w:type="pct"/>
            <w:vAlign w:val="center"/>
            <w:hideMark/>
          </w:tcPr>
          <w:p w:rsidR="00000000" w:rsidRDefault="00905244">
            <w:pPr>
              <w:jc w:val="both"/>
              <w:rPr>
                <w:rFonts w:eastAsia="Times New Roman"/>
              </w:rPr>
            </w:pPr>
          </w:p>
        </w:tc>
        <w:tc>
          <w:tcPr>
            <w:tcW w:w="336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69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69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476149276"/>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9"/>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Percent of Net Sales</w:t>
            </w:r>
          </w:p>
        </w:tc>
      </w:tr>
      <w:tr w:rsidR="00000000">
        <w:trPr>
          <w:divId w:val="476149276"/>
        </w:trPr>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w:t>
            </w:r>
          </w:p>
        </w:tc>
      </w:tr>
      <w:tr w:rsidR="00000000">
        <w:trPr>
          <w:divId w:val="476149276"/>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Product Category:</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2019</w:t>
            </w:r>
          </w:p>
        </w:tc>
      </w:tr>
      <w:tr w:rsidR="00000000">
        <w:trPr>
          <w:divId w:val="476149276"/>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Livestock and Pet</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w:t>
            </w:r>
          </w:p>
        </w:tc>
      </w:tr>
      <w:tr w:rsidR="00000000">
        <w:trPr>
          <w:divId w:val="476149276"/>
        </w:trPr>
        <w:tc>
          <w:tcPr>
            <w:tcW w:w="0" w:type="auto"/>
            <w:gridSpan w:val="3"/>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Hardware, Tools and Truck</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76149276"/>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Seasonal, Gift and Toy Products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76149276"/>
        </w:trPr>
        <w:tc>
          <w:tcPr>
            <w:tcW w:w="0" w:type="auto"/>
            <w:gridSpan w:val="3"/>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Clothing and Footwear</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76149276"/>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Agriculture</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76149276"/>
        </w:trPr>
        <w:tc>
          <w:tcPr>
            <w:tcW w:w="0" w:type="auto"/>
            <w:gridSpan w:val="3"/>
            <w:tcMar>
              <w:top w:w="30" w:type="dxa"/>
              <w:left w:w="245"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w:t>
            </w:r>
          </w:p>
        </w:tc>
      </w:tr>
    </w:tbl>
    <w:p w:rsidR="00000000" w:rsidRDefault="00905244">
      <w:pPr>
        <w:divId w:val="746997570"/>
        <w:rPr>
          <w:rFonts w:eastAsia="Times New Roman"/>
        </w:rPr>
      </w:pPr>
    </w:p>
    <w:p w:rsidR="00000000" w:rsidRDefault="00905244">
      <w:pPr>
        <w:jc w:val="both"/>
        <w:rPr>
          <w:rFonts w:eastAsia="Times New Roman"/>
        </w:rPr>
      </w:pPr>
      <w:r>
        <w:rPr>
          <w:rFonts w:eastAsia="Times New Roman"/>
          <w:color w:val="000000"/>
          <w:sz w:val="20"/>
          <w:szCs w:val="20"/>
        </w:rPr>
        <w:t>Gross profit increased 31.0% to $3.76 billion in fiscal 2020 compared to $2.87 billion in fiscal 2019.  </w:t>
      </w:r>
      <w:r>
        <w:rPr>
          <w:rFonts w:eastAsia="Times New Roman"/>
          <w:color w:val="000000"/>
          <w:sz w:val="20"/>
          <w:szCs w:val="20"/>
        </w:rPr>
        <w:t>As a percent of net sales, gross margin increased 104 basis points to 35.42% for fiscal 2020 compared to 34.38% for fiscal 2019. The increase in gross margin was primarily attributable to the strong demand for our products resulting in a lower depth and fr</w:t>
      </w:r>
      <w:r>
        <w:rPr>
          <w:rFonts w:eastAsia="Times New Roman"/>
          <w:color w:val="000000"/>
          <w:sz w:val="20"/>
          <w:szCs w:val="20"/>
        </w:rPr>
        <w:t xml:space="preserve">equency of sales promotions and less clearance activity. </w:t>
      </w:r>
    </w:p>
    <w:p w:rsidR="00000000" w:rsidRDefault="00905244">
      <w:pPr>
        <w:divId w:val="1559130547"/>
        <w:rPr>
          <w:rFonts w:eastAsia="Times New Roman"/>
        </w:rPr>
      </w:pPr>
    </w:p>
    <w:p w:rsidR="00000000" w:rsidRDefault="00905244">
      <w:pPr>
        <w:jc w:val="both"/>
        <w:rPr>
          <w:rFonts w:eastAsia="Times New Roman"/>
        </w:rPr>
      </w:pPr>
      <w:r>
        <w:rPr>
          <w:rFonts w:eastAsia="Times New Roman"/>
          <w:color w:val="000000"/>
          <w:sz w:val="20"/>
          <w:szCs w:val="20"/>
        </w:rPr>
        <w:t>Total selling, general and administrative (“SG&amp;A”) expenses, including depreciation and amortization and asset impairment, increased 29.9% to $2.76 billion in fiscal 2020 from $2.13 billion in fis</w:t>
      </w:r>
      <w:r>
        <w:rPr>
          <w:rFonts w:eastAsia="Times New Roman"/>
          <w:color w:val="000000"/>
          <w:sz w:val="20"/>
          <w:szCs w:val="20"/>
        </w:rPr>
        <w:t>cal 2019.  SG&amp;A expenses, as a percent of net sales, increased 55 basis points to 26.03% in fiscal 2020 from 25.48% in fiscal 2019.  The SG&amp;A expenses in fiscal 2020 were impacted by discrete non-cash impairment charges for the Petsense business of $74.1 m</w:t>
      </w:r>
      <w:r>
        <w:rPr>
          <w:rFonts w:eastAsia="Times New Roman"/>
          <w:color w:val="000000"/>
          <w:sz w:val="20"/>
          <w:szCs w:val="20"/>
        </w:rPr>
        <w:t xml:space="preserve">illion due primarily to a strategic reassessment of the business and a decision to reduce the number of new store openings planned over the long term and, to a lesser extent, the impairment of long-lived assets at underperforming locations. In fiscal 2020 </w:t>
      </w:r>
      <w:r>
        <w:rPr>
          <w:rFonts w:eastAsia="Times New Roman"/>
          <w:color w:val="000000"/>
          <w:sz w:val="20"/>
          <w:szCs w:val="20"/>
        </w:rPr>
        <w:t>we also experienced incremental costs related to the COVID-19 pandemic, increased incentive compensation given the Company’s strong financial performance, investments in our team members through permanent wage and benefit increases for our store and distri</w:t>
      </w:r>
      <w:r>
        <w:rPr>
          <w:rFonts w:eastAsia="Times New Roman"/>
          <w:color w:val="000000"/>
          <w:sz w:val="20"/>
          <w:szCs w:val="20"/>
        </w:rPr>
        <w:t>bution center team members that went into effect in the third quarter of fiscal 2020, and costs associated with investments in strategic initiatives. The costs related to the COVID-19 pandemic were approximately $117 million during fiscal 2020 which includ</w:t>
      </w:r>
      <w:r>
        <w:rPr>
          <w:rFonts w:eastAsia="Times New Roman"/>
          <w:color w:val="000000"/>
          <w:sz w:val="20"/>
          <w:szCs w:val="20"/>
        </w:rPr>
        <w:t>es appreciation wages for frontline team members as well as additional labor hours and supply costs dedicated to cleaning and sanitation to promote the health and safety of team members and customers. These increased costs, including the impairment expense</w:t>
      </w:r>
      <w:r>
        <w:rPr>
          <w:rFonts w:eastAsia="Times New Roman"/>
          <w:color w:val="000000"/>
          <w:sz w:val="20"/>
          <w:szCs w:val="20"/>
        </w:rPr>
        <w:t>, drove an increase in our SG&amp;A expenses as a percent of net sales in fiscal 2020 as compared to fiscal 2019. These increases as a percent of net sales were partially offset by leverage in occupancy, personnel, and other operating costs from the significan</w:t>
      </w:r>
      <w:r>
        <w:rPr>
          <w:rFonts w:eastAsia="Times New Roman"/>
          <w:color w:val="000000"/>
          <w:sz w:val="20"/>
          <w:szCs w:val="20"/>
        </w:rPr>
        <w:t>t increase in comparable store sales.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Our effective income tax rate increased to 22.6% for fiscal 2020 compared to 22.3% in fiscal 2019. The primary driver for the increase in the Company’s effective income tax rate was attributable to a reduction in the</w:t>
      </w:r>
      <w:r>
        <w:rPr>
          <w:rFonts w:eastAsia="Times New Roman"/>
          <w:color w:val="000000"/>
          <w:sz w:val="20"/>
          <w:szCs w:val="20"/>
        </w:rPr>
        <w:t xml:space="preserve"> benefit from investment credits as well as section 162(m) limitations, partially offset by an improvement in the benefit from share-based compensation.</w:t>
      </w:r>
    </w:p>
    <w:p w:rsidR="00000000" w:rsidRDefault="00905244">
      <w:pPr>
        <w:jc w:val="center"/>
        <w:divId w:val="83917290"/>
        <w:rPr>
          <w:rFonts w:eastAsia="Times New Roman"/>
        </w:rPr>
      </w:pPr>
      <w:r>
        <w:rPr>
          <w:rFonts w:eastAsia="Times New Roman"/>
          <w:color w:val="000000"/>
          <w:sz w:val="20"/>
          <w:szCs w:val="20"/>
        </w:rPr>
        <w:t>38</w:t>
      </w:r>
    </w:p>
    <w:p w:rsidR="00000000" w:rsidRDefault="00905244">
      <w:pPr>
        <w:rPr>
          <w:rFonts w:eastAsia="Times New Roman"/>
        </w:rPr>
      </w:pPr>
      <w:r>
        <w:rPr>
          <w:rFonts w:eastAsia="Times New Roman"/>
        </w:rPr>
        <w:pict>
          <v:rect id="_x0000_i1067" style="width:0;height:1.5pt" o:hralign="center" o:hrstd="t" o:hr="t" fillcolor="#a0a0a0" stroked="f"/>
        </w:pict>
      </w:r>
    </w:p>
    <w:p w:rsidR="00000000" w:rsidRDefault="00905244">
      <w:pPr>
        <w:divId w:val="1614433550"/>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Net income in fiscal 2020 was $748.96 million, or $6.38 per diluted share, compared to $562.35 million, or $4.66 per diluted share, in fiscal 2019. The aforementioned non-cash impairment expense related to the Petsense business had an after-tax impact on f</w:t>
      </w:r>
      <w:r>
        <w:rPr>
          <w:rFonts w:eastAsia="Times New Roman"/>
          <w:color w:val="000000"/>
          <w:sz w:val="20"/>
          <w:szCs w:val="20"/>
        </w:rPr>
        <w:t>iscal 2020 net income of approximately $57.29 million or $0.49 per diluted share. On an adjusted basis, considering the after-tax impact of the non-cash impairment charges related to the Petsense business, net income was $806.24 million, or $6.87 per dilut</w:t>
      </w:r>
      <w:r>
        <w:rPr>
          <w:rFonts w:eastAsia="Times New Roman"/>
          <w:color w:val="000000"/>
          <w:sz w:val="20"/>
          <w:szCs w:val="20"/>
        </w:rPr>
        <w:t>ed share, for fiscal 2020. Adjusted net income and adjusted net income per diluted share are non-GAAP measures which have been provided in order to enhance comparability for the periods presented given that the impairment charges related to the Petsense bu</w:t>
      </w:r>
      <w:r>
        <w:rPr>
          <w:rFonts w:eastAsia="Times New Roman"/>
          <w:color w:val="000000"/>
          <w:sz w:val="20"/>
          <w:szCs w:val="20"/>
        </w:rPr>
        <w:t>siness are non-recurring in nature. A reconciliation of these non-GAAP financial measures is included in the following table.</w:t>
      </w:r>
    </w:p>
    <w:p w:rsidR="00000000" w:rsidRDefault="00905244">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2895"/>
        <w:gridCol w:w="36"/>
        <w:gridCol w:w="120"/>
        <w:gridCol w:w="1512"/>
        <w:gridCol w:w="36"/>
        <w:gridCol w:w="36"/>
        <w:gridCol w:w="117"/>
        <w:gridCol w:w="36"/>
        <w:gridCol w:w="121"/>
        <w:gridCol w:w="1513"/>
        <w:gridCol w:w="37"/>
        <w:gridCol w:w="36"/>
        <w:gridCol w:w="69"/>
        <w:gridCol w:w="36"/>
        <w:gridCol w:w="120"/>
        <w:gridCol w:w="1513"/>
        <w:gridCol w:w="36"/>
      </w:tblGrid>
      <w:tr w:rsidR="00000000">
        <w:trPr>
          <w:divId w:val="376396633"/>
        </w:trPr>
        <w:tc>
          <w:tcPr>
            <w:tcW w:w="50" w:type="pct"/>
            <w:vAlign w:val="center"/>
            <w:hideMark/>
          </w:tcPr>
          <w:p w:rsidR="00000000" w:rsidRDefault="00905244">
            <w:pPr>
              <w:jc w:val="both"/>
              <w:rPr>
                <w:rFonts w:eastAsia="Times New Roman"/>
              </w:rPr>
            </w:pPr>
          </w:p>
        </w:tc>
        <w:tc>
          <w:tcPr>
            <w:tcW w:w="177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93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9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93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7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93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376396633"/>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u w:val="single"/>
              </w:rPr>
              <w:t>Reconciliation of Non-GAAP Financial Measures</w:t>
            </w:r>
          </w:p>
          <w:p w:rsidR="00000000" w:rsidRDefault="00905244">
            <w:pPr>
              <w:jc w:val="center"/>
              <w:rPr>
                <w:rFonts w:eastAsia="Times New Roman"/>
              </w:rPr>
            </w:pPr>
            <w:r>
              <w:rPr>
                <w:rFonts w:eastAsia="Times New Roman"/>
                <w:b/>
                <w:bCs/>
                <w:color w:val="000000"/>
                <w:sz w:val="18"/>
                <w:szCs w:val="18"/>
              </w:rPr>
              <w:t>(in thousands, except per share amounts)</w:t>
            </w:r>
          </w:p>
        </w:tc>
      </w:tr>
      <w:tr w:rsidR="00000000">
        <w:trPr>
          <w:divId w:val="376396633"/>
        </w:trPr>
        <w:tc>
          <w:tcPr>
            <w:tcW w:w="0" w:type="auto"/>
            <w:gridSpan w:val="3"/>
            <w:vAlign w:val="center"/>
            <w:hideMark/>
          </w:tcPr>
          <w:p w:rsidR="00000000" w:rsidRDefault="00905244">
            <w:pPr>
              <w:jc w:val="center"/>
              <w:rPr>
                <w:rFonts w:eastAsia="Times New Roman"/>
              </w:rPr>
            </w:pPr>
          </w:p>
        </w:tc>
        <w:tc>
          <w:tcPr>
            <w:tcW w:w="0" w:type="auto"/>
            <w:gridSpan w:val="3"/>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376396633"/>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2020</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Impairment</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2020</w:t>
            </w:r>
          </w:p>
        </w:tc>
      </w:tr>
      <w:tr w:rsidR="00000000">
        <w:trPr>
          <w:divId w:val="376396633"/>
        </w:trPr>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i/>
                <w:iCs/>
                <w:color w:val="000000"/>
                <w:sz w:val="20"/>
                <w:szCs w:val="20"/>
              </w:rPr>
              <w:t>(As Reported)</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i/>
                <w:iCs/>
                <w:color w:val="000000"/>
                <w:sz w:val="20"/>
                <w:szCs w:val="20"/>
              </w:rPr>
              <w:t>(Adjustment)</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i/>
                <w:iCs/>
                <w:color w:val="000000"/>
                <w:sz w:val="20"/>
                <w:szCs w:val="20"/>
              </w:rPr>
              <w:t>(As Adjusted)</w:t>
            </w:r>
          </w:p>
        </w:tc>
      </w:tr>
      <w:tr w:rsidR="00000000">
        <w:trPr>
          <w:divId w:val="376396633"/>
          <w:trHeight w:val="120"/>
        </w:trPr>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376396633"/>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Net income</w:t>
            </w: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748,958 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57,286 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806,244 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376396633"/>
          <w:trHeight w:val="120"/>
        </w:trPr>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376396633"/>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Diluted net income per share</w:t>
            </w: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6.38 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0.49 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6.87 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During fiscal 2020, we repurchased approximately 3.4 million shares of the Company’s common stock at a total cost of $343.0 million as part of our share repurchase program.  In fiscal 2019, we r</w:t>
      </w:r>
      <w:r>
        <w:rPr>
          <w:rFonts w:eastAsia="Times New Roman"/>
          <w:color w:val="000000"/>
          <w:sz w:val="20"/>
          <w:szCs w:val="20"/>
        </w:rPr>
        <w:t>epurchased approximately 5.4 million shares at a total cost of $533.3 million. Shares repurchased in fiscal 2020 were impacted by the temporary suspension of our share repurchase program from March 12, 2020 until November 5, 2020, in order to strengthen ou</w:t>
      </w:r>
      <w:r>
        <w:rPr>
          <w:rFonts w:eastAsia="Times New Roman"/>
          <w:color w:val="000000"/>
          <w:sz w:val="20"/>
          <w:szCs w:val="20"/>
        </w:rPr>
        <w:t>r liquidity and preserve cash while navigating the COVID-19 pandemic.</w:t>
      </w:r>
    </w:p>
    <w:p w:rsidR="00000000" w:rsidRDefault="00905244">
      <w:pPr>
        <w:divId w:val="2068995687"/>
        <w:rPr>
          <w:rFonts w:eastAsia="Times New Roman"/>
        </w:rPr>
      </w:pPr>
    </w:p>
    <w:p w:rsidR="00000000" w:rsidRDefault="00905244">
      <w:pPr>
        <w:jc w:val="both"/>
        <w:rPr>
          <w:rFonts w:eastAsia="Times New Roman"/>
        </w:rPr>
      </w:pPr>
      <w:r>
        <w:rPr>
          <w:rFonts w:eastAsia="Times New Roman"/>
          <w:b/>
          <w:bCs/>
          <w:color w:val="000000"/>
          <w:sz w:val="20"/>
          <w:szCs w:val="20"/>
        </w:rPr>
        <w:t xml:space="preserve">Fiscal 2019 Compared to Fiscal 2018 </w:t>
      </w:r>
    </w:p>
    <w:p w:rsidR="00000000" w:rsidRDefault="00905244">
      <w:pPr>
        <w:divId w:val="1230263827"/>
        <w:rPr>
          <w:rFonts w:eastAsia="Times New Roman"/>
        </w:rPr>
      </w:pPr>
    </w:p>
    <w:p w:rsidR="00000000" w:rsidRDefault="00905244">
      <w:pPr>
        <w:jc w:val="both"/>
        <w:rPr>
          <w:rFonts w:eastAsia="Times New Roman"/>
        </w:rPr>
      </w:pPr>
      <w:r>
        <w:rPr>
          <w:rFonts w:eastAsia="Times New Roman"/>
          <w:color w:val="000000"/>
          <w:sz w:val="20"/>
          <w:szCs w:val="20"/>
        </w:rPr>
        <w:t xml:space="preserve">For a comparison of our performance and financial metrics for the fiscal years ended December 28, 2019 and December 29, 2018, see “Part II, Item 7. Management’s Discussion and Analysis of Financial Condition and Results of Operations” of our Annual Report </w:t>
      </w:r>
      <w:r>
        <w:rPr>
          <w:rFonts w:eastAsia="Times New Roman"/>
          <w:color w:val="000000"/>
          <w:sz w:val="20"/>
          <w:szCs w:val="20"/>
        </w:rPr>
        <w:t>on Form 10-K for the fiscal year ended December 28, 2019, filed with the SEC on February 20, 2020.</w:t>
      </w:r>
    </w:p>
    <w:p w:rsidR="00000000" w:rsidRDefault="00905244">
      <w:pPr>
        <w:divId w:val="813058634"/>
        <w:rPr>
          <w:rFonts w:eastAsia="Times New Roman"/>
        </w:rPr>
      </w:pPr>
    </w:p>
    <w:p w:rsidR="00000000" w:rsidRDefault="00905244">
      <w:pPr>
        <w:jc w:val="both"/>
        <w:rPr>
          <w:rFonts w:eastAsia="Times New Roman"/>
        </w:rPr>
      </w:pPr>
      <w:r>
        <w:rPr>
          <w:rFonts w:eastAsia="Times New Roman"/>
          <w:b/>
          <w:bCs/>
          <w:color w:val="000000"/>
          <w:sz w:val="22"/>
          <w:szCs w:val="22"/>
        </w:rPr>
        <w:t>Liquidity and Capital Resources</w:t>
      </w:r>
    </w:p>
    <w:p w:rsidR="00000000" w:rsidRDefault="00905244">
      <w:pPr>
        <w:jc w:val="both"/>
        <w:rPr>
          <w:rFonts w:eastAsia="Times New Roman"/>
        </w:rPr>
      </w:pPr>
      <w:r>
        <w:rPr>
          <w:rFonts w:eastAsia="Times New Roman"/>
          <w:color w:val="000000"/>
          <w:sz w:val="20"/>
          <w:szCs w:val="20"/>
        </w:rPr>
        <w:t> </w:t>
      </w:r>
    </w:p>
    <w:p w:rsidR="00000000" w:rsidRDefault="00905244">
      <w:pPr>
        <w:jc w:val="both"/>
        <w:rPr>
          <w:rFonts w:eastAsia="Times New Roman"/>
        </w:rPr>
      </w:pPr>
      <w:r>
        <w:rPr>
          <w:rFonts w:eastAsia="Times New Roman"/>
          <w:color w:val="000000"/>
          <w:sz w:val="20"/>
          <w:szCs w:val="20"/>
        </w:rPr>
        <w:t>In addition to normal operating expenses, our primary ongoing cash requirements are for new store expansion, remodeling a</w:t>
      </w:r>
      <w:r>
        <w:rPr>
          <w:rFonts w:eastAsia="Times New Roman"/>
          <w:color w:val="000000"/>
          <w:sz w:val="20"/>
          <w:szCs w:val="20"/>
        </w:rPr>
        <w:t>nd relocation programs, distribution facility capacity and improvements, information technology, inventory purchases, repayment of existing borrowings under our debt facilities, share repurchases, cash dividends, and selective acquisitions as opportunities</w:t>
      </w:r>
      <w:r>
        <w:rPr>
          <w:rFonts w:eastAsia="Times New Roman"/>
          <w:color w:val="000000"/>
          <w:sz w:val="20"/>
          <w:szCs w:val="20"/>
        </w:rPr>
        <w:t xml:space="preserve"> arise.  </w:t>
      </w:r>
    </w:p>
    <w:p w:rsidR="00000000" w:rsidRDefault="00905244">
      <w:pPr>
        <w:divId w:val="306472379"/>
        <w:rPr>
          <w:rFonts w:eastAsia="Times New Roman"/>
        </w:rPr>
      </w:pPr>
    </w:p>
    <w:p w:rsidR="00000000" w:rsidRDefault="00905244">
      <w:pPr>
        <w:jc w:val="both"/>
        <w:rPr>
          <w:rFonts w:eastAsia="Times New Roman"/>
        </w:rPr>
      </w:pPr>
      <w:r>
        <w:rPr>
          <w:rFonts w:eastAsia="Times New Roman"/>
          <w:color w:val="000000"/>
          <w:sz w:val="20"/>
          <w:szCs w:val="20"/>
        </w:rPr>
        <w:t xml:space="preserve">Our primary ongoing sources of liquidity are existing cash balances, cash provided from operations, remaining funds available under our debt facilities, operating and finance leases, and normal trade credit.  Our inventory and accounts payable </w:t>
      </w:r>
      <w:r>
        <w:rPr>
          <w:rFonts w:eastAsia="Times New Roman"/>
          <w:color w:val="000000"/>
          <w:sz w:val="20"/>
          <w:szCs w:val="20"/>
        </w:rPr>
        <w:t>levels typically build in the first and third fiscal quarters to support the higher sales volume of the spring and cold-weather selling seasons, respectively.</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believe that our existing cash balances, expected cash flow from future operations, funds av</w:t>
      </w:r>
      <w:r>
        <w:rPr>
          <w:rFonts w:eastAsia="Times New Roman"/>
          <w:color w:val="000000"/>
          <w:sz w:val="20"/>
          <w:szCs w:val="20"/>
        </w:rPr>
        <w:t>ailable under our debt facilities, operating and finance leases, and normal trade credit will be sufficient to fund our operations, including increased expenses associated with COVID-19, and our capital expenditure needs, including new store openings, stor</w:t>
      </w:r>
      <w:r>
        <w:rPr>
          <w:rFonts w:eastAsia="Times New Roman"/>
          <w:color w:val="000000"/>
          <w:sz w:val="20"/>
          <w:szCs w:val="20"/>
        </w:rPr>
        <w:t>e acquisitions, relocations and renovations, distribution facility capacity, and information technology improvements through the end of fiscal 2021.</w:t>
      </w:r>
    </w:p>
    <w:p w:rsidR="00000000" w:rsidRDefault="00905244">
      <w:pPr>
        <w:jc w:val="both"/>
        <w:rPr>
          <w:rFonts w:eastAsia="Times New Roman"/>
        </w:rPr>
      </w:pPr>
    </w:p>
    <w:p w:rsidR="00000000" w:rsidRDefault="00905244">
      <w:pPr>
        <w:jc w:val="center"/>
        <w:divId w:val="1628975976"/>
        <w:rPr>
          <w:rFonts w:eastAsia="Times New Roman"/>
        </w:rPr>
      </w:pPr>
      <w:r>
        <w:rPr>
          <w:rFonts w:eastAsia="Times New Roman"/>
          <w:color w:val="000000"/>
          <w:sz w:val="20"/>
          <w:szCs w:val="20"/>
        </w:rPr>
        <w:t>39</w:t>
      </w:r>
    </w:p>
    <w:p w:rsidR="00000000" w:rsidRDefault="00905244">
      <w:pPr>
        <w:rPr>
          <w:rFonts w:eastAsia="Times New Roman"/>
        </w:rPr>
      </w:pPr>
      <w:r>
        <w:rPr>
          <w:rFonts w:eastAsia="Times New Roman"/>
        </w:rPr>
        <w:pict>
          <v:rect id="_x0000_i1068" style="width:0;height:1.5pt" o:hralign="center" o:hrstd="t" o:hr="t" fillcolor="#a0a0a0" stroked="f"/>
        </w:pict>
      </w:r>
    </w:p>
    <w:p w:rsidR="00000000" w:rsidRDefault="00905244">
      <w:pPr>
        <w:divId w:val="189496171"/>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b/>
          <w:bCs/>
          <w:color w:val="000000"/>
          <w:sz w:val="20"/>
          <w:szCs w:val="20"/>
        </w:rPr>
        <w:t>Wo</w:t>
      </w:r>
      <w:r>
        <w:rPr>
          <w:rFonts w:eastAsia="Times New Roman"/>
          <w:b/>
          <w:bCs/>
          <w:color w:val="000000"/>
          <w:sz w:val="20"/>
          <w:szCs w:val="20"/>
        </w:rPr>
        <w:t>rking Capital</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At December 26, 2020, the Company had working capital of $1.51 billion, which increased $974.6 million from 2019.  The shifts in working capital were attributable to changes in the following components of current assets and current liabilit</w:t>
      </w:r>
      <w:r>
        <w:rPr>
          <w:rFonts w:eastAsia="Times New Roman"/>
          <w:color w:val="000000"/>
          <w:sz w:val="20"/>
          <w:szCs w:val="20"/>
        </w:rPr>
        <w:t>ies (in millions):</w:t>
      </w:r>
    </w:p>
    <w:tbl>
      <w:tblPr>
        <w:tblW w:w="4912" w:type="pct"/>
        <w:tblCellMar>
          <w:top w:w="15" w:type="dxa"/>
          <w:left w:w="15" w:type="dxa"/>
          <w:bottom w:w="15" w:type="dxa"/>
          <w:right w:w="15" w:type="dxa"/>
        </w:tblCellMar>
        <w:tblLook w:val="04A0" w:firstRow="1" w:lastRow="0" w:firstColumn="1" w:lastColumn="0" w:noHBand="0" w:noVBand="1"/>
      </w:tblPr>
      <w:tblGrid>
        <w:gridCol w:w="39"/>
        <w:gridCol w:w="4508"/>
        <w:gridCol w:w="38"/>
        <w:gridCol w:w="121"/>
        <w:gridCol w:w="989"/>
        <w:gridCol w:w="36"/>
        <w:gridCol w:w="36"/>
        <w:gridCol w:w="36"/>
        <w:gridCol w:w="36"/>
        <w:gridCol w:w="121"/>
        <w:gridCol w:w="948"/>
        <w:gridCol w:w="36"/>
        <w:gridCol w:w="36"/>
        <w:gridCol w:w="36"/>
        <w:gridCol w:w="36"/>
        <w:gridCol w:w="121"/>
        <w:gridCol w:w="951"/>
        <w:gridCol w:w="36"/>
      </w:tblGrid>
      <w:tr w:rsidR="00000000">
        <w:trPr>
          <w:divId w:val="43455726"/>
        </w:trPr>
        <w:tc>
          <w:tcPr>
            <w:tcW w:w="50" w:type="pct"/>
            <w:vAlign w:val="center"/>
            <w:hideMark/>
          </w:tcPr>
          <w:p w:rsidR="00000000" w:rsidRDefault="00905244">
            <w:pPr>
              <w:jc w:val="both"/>
              <w:rPr>
                <w:rFonts w:eastAsia="Times New Roman"/>
              </w:rPr>
            </w:pPr>
          </w:p>
        </w:tc>
        <w:tc>
          <w:tcPr>
            <w:tcW w:w="2794"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63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63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63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43455726"/>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December 26, 2020</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December 28, 2019</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Variance</w:t>
            </w:r>
          </w:p>
        </w:tc>
      </w:tr>
      <w:tr w:rsidR="00000000">
        <w:trPr>
          <w:divId w:val="43455726"/>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Current 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r>
      <w:tr w:rsidR="00000000">
        <w:trPr>
          <w:divId w:val="43455726"/>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1,341.8 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84.2 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1,257.6 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3455726"/>
        </w:trPr>
        <w:tc>
          <w:tcPr>
            <w:tcW w:w="0" w:type="auto"/>
            <w:gridSpan w:val="3"/>
            <w:vAlign w:val="center"/>
            <w:hideMark/>
          </w:tcPr>
          <w:p w:rsidR="00000000" w:rsidRDefault="00905244">
            <w:pPr>
              <w:jc w:val="right"/>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43455726"/>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1,783.3 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1,602.8 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180.5 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3455726"/>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133.6 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100.9 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32.7 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3455726"/>
        </w:trPr>
        <w:tc>
          <w:tcPr>
            <w:tcW w:w="0" w:type="auto"/>
            <w:gridSpan w:val="3"/>
            <w:vAlign w:val="center"/>
            <w:hideMark/>
          </w:tcPr>
          <w:p w:rsidR="00000000" w:rsidRDefault="00905244">
            <w:pPr>
              <w:jc w:val="right"/>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43455726"/>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43455726"/>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3,258.7 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1,787.9 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1,470.8 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3455726"/>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Current liabilities: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r>
      <w:tr w:rsidR="00000000">
        <w:trPr>
          <w:divId w:val="43455726"/>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976.1 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643.0 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333.1 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3455726"/>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Accrued employee compensation</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119.7 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39.8 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79.9 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3455726"/>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Other accrued expenses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324.8 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247.7 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77.1 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3455726"/>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Current portion of long-term debt</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(30.0)</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3455726"/>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Current portion of finance lease obligations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3455726"/>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Current portion of operating lease obligations</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298.7 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277.1 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21.6 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3455726"/>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Income taxes payable</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19.9 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13.9 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3455726"/>
        </w:trPr>
        <w:tc>
          <w:tcPr>
            <w:tcW w:w="0" w:type="auto"/>
            <w:gridSpan w:val="3"/>
            <w:vAlign w:val="center"/>
            <w:hideMark/>
          </w:tcPr>
          <w:p w:rsidR="00000000" w:rsidRDefault="00905244">
            <w:pPr>
              <w:jc w:val="right"/>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43455726"/>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1,743.8 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1,247.6 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496.2 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3455726"/>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Working capital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1,514.9 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540.3 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974.6 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In comparison to December 28, 2019, working capital as of December 26, 2020 was impacted most significantly by changes in cash and cash equivalents, inventories, accounts payable and </w:t>
      </w:r>
      <w:r>
        <w:rPr>
          <w:rFonts w:eastAsia="Times New Roman"/>
          <w:color w:val="000000"/>
          <w:sz w:val="20"/>
          <w:szCs w:val="20"/>
        </w:rPr>
        <w:t>accrued expenses.</w:t>
      </w:r>
    </w:p>
    <w:p w:rsidR="00000000" w:rsidRDefault="00905244">
      <w:pPr>
        <w:jc w:val="both"/>
        <w:rPr>
          <w:rFonts w:eastAsia="Times New Roman"/>
        </w:rPr>
      </w:pPr>
    </w:p>
    <w:p w:rsidR="00000000" w:rsidRDefault="00905244">
      <w:pPr>
        <w:ind w:hanging="360"/>
        <w:jc w:val="both"/>
        <w:rPr>
          <w:rFonts w:eastAsia="Times New Roman"/>
        </w:rPr>
      </w:pPr>
      <w:r>
        <w:rPr>
          <w:rFonts w:eastAsia="Times New Roman"/>
          <w:color w:val="000000"/>
          <w:sz w:val="20"/>
          <w:szCs w:val="20"/>
        </w:rPr>
        <w:t>•The increase in cash and cash equivalents was driven by significant net cash provided by operating activities in fiscal 2020 and an increase in borrowings, net of repayments, under our debt facilities as we sought to strengthen liquidi</w:t>
      </w:r>
      <w:r>
        <w:rPr>
          <w:rFonts w:eastAsia="Times New Roman"/>
          <w:color w:val="000000"/>
          <w:sz w:val="20"/>
          <w:szCs w:val="20"/>
        </w:rPr>
        <w:t>ty and preserve cash while navigating the COVID-19 pandemic. These increases in cash and cash equivalents were partially offset by share repurchases, capital expenditures to support our strategic growth, and cash dividends paid to stockholders.</w:t>
      </w:r>
    </w:p>
    <w:p w:rsidR="00000000" w:rsidRDefault="00905244">
      <w:pPr>
        <w:ind w:hanging="360"/>
        <w:jc w:val="both"/>
        <w:rPr>
          <w:rFonts w:eastAsia="Times New Roman"/>
        </w:rPr>
      </w:pPr>
      <w:r>
        <w:rPr>
          <w:rFonts w:eastAsia="Times New Roman"/>
          <w:color w:val="000000"/>
          <w:sz w:val="20"/>
          <w:szCs w:val="20"/>
        </w:rPr>
        <w:t>•The increa</w:t>
      </w:r>
      <w:r>
        <w:rPr>
          <w:rFonts w:eastAsia="Times New Roman"/>
          <w:color w:val="000000"/>
          <w:sz w:val="20"/>
          <w:szCs w:val="20"/>
        </w:rPr>
        <w:t>se in inventories resulted from both a modest increase in average inventory per store to support the strong sales performance in the business as well as the purchase of additional inventory to support new store growth.</w:t>
      </w:r>
    </w:p>
    <w:p w:rsidR="00000000" w:rsidRDefault="00905244">
      <w:pPr>
        <w:ind w:hanging="360"/>
        <w:jc w:val="both"/>
        <w:rPr>
          <w:rFonts w:eastAsia="Times New Roman"/>
        </w:rPr>
      </w:pPr>
      <w:r>
        <w:rPr>
          <w:rFonts w:eastAsia="Times New Roman"/>
          <w:color w:val="000000"/>
          <w:sz w:val="20"/>
          <w:szCs w:val="20"/>
        </w:rPr>
        <w:t>•The increase in accounts payable was</w:t>
      </w:r>
      <w:r>
        <w:rPr>
          <w:rFonts w:eastAsia="Times New Roman"/>
          <w:color w:val="000000"/>
          <w:sz w:val="20"/>
          <w:szCs w:val="20"/>
        </w:rPr>
        <w:t xml:space="preserve"> driven by Company growth, including the significant increase in overall inventory as well as strong comparable store sales during fiscal 2020. The Company growth and sales performance drove an increase in inventory purchases and produced high inventory tu</w:t>
      </w:r>
      <w:r>
        <w:rPr>
          <w:rFonts w:eastAsia="Times New Roman"/>
          <w:color w:val="000000"/>
          <w:sz w:val="20"/>
          <w:szCs w:val="20"/>
        </w:rPr>
        <w:t>rns, resulting in an increase in the amount of inventory purchases that remain in accounts payable at year end as compared to last year.</w:t>
      </w:r>
    </w:p>
    <w:p w:rsidR="00000000" w:rsidRDefault="00905244">
      <w:pPr>
        <w:ind w:hanging="360"/>
        <w:jc w:val="both"/>
        <w:rPr>
          <w:rFonts w:eastAsia="Times New Roman"/>
        </w:rPr>
      </w:pPr>
      <w:r>
        <w:rPr>
          <w:rFonts w:eastAsia="Times New Roman"/>
          <w:color w:val="000000"/>
          <w:sz w:val="20"/>
          <w:szCs w:val="20"/>
        </w:rPr>
        <w:t>•Other accrued expenses increased as a result of Company growth and the timing of payments. The increase in accrued emp</w:t>
      </w:r>
      <w:r>
        <w:rPr>
          <w:rFonts w:eastAsia="Times New Roman"/>
          <w:color w:val="000000"/>
          <w:sz w:val="20"/>
          <w:szCs w:val="20"/>
        </w:rPr>
        <w:t>loyee compensation was primarily due to incentive accruals given the strong financial performance in fiscal 2020.</w:t>
      </w:r>
    </w:p>
    <w:p w:rsidR="00000000" w:rsidRDefault="00905244">
      <w:pPr>
        <w:jc w:val="both"/>
        <w:rPr>
          <w:rFonts w:eastAsia="Times New Roman"/>
        </w:rPr>
      </w:pPr>
    </w:p>
    <w:p w:rsidR="00000000" w:rsidRDefault="00905244">
      <w:pPr>
        <w:jc w:val="center"/>
        <w:divId w:val="1949387351"/>
        <w:rPr>
          <w:rFonts w:eastAsia="Times New Roman"/>
        </w:rPr>
      </w:pPr>
      <w:r>
        <w:rPr>
          <w:rFonts w:eastAsia="Times New Roman"/>
          <w:color w:val="000000"/>
          <w:sz w:val="20"/>
          <w:szCs w:val="20"/>
        </w:rPr>
        <w:t>40</w:t>
      </w:r>
    </w:p>
    <w:p w:rsidR="00000000" w:rsidRDefault="00905244">
      <w:pPr>
        <w:rPr>
          <w:rFonts w:eastAsia="Times New Roman"/>
        </w:rPr>
      </w:pPr>
      <w:r>
        <w:rPr>
          <w:rFonts w:eastAsia="Times New Roman"/>
        </w:rPr>
        <w:pict>
          <v:rect id="_x0000_i1069" style="width:0;height:1.5pt" o:hralign="center" o:hrstd="t" o:hr="t" fillcolor="#a0a0a0" stroked="f"/>
        </w:pict>
      </w:r>
    </w:p>
    <w:p w:rsidR="00000000" w:rsidRDefault="00905244">
      <w:pPr>
        <w:divId w:val="2017224062"/>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b/>
          <w:bCs/>
          <w:color w:val="000000"/>
          <w:sz w:val="20"/>
          <w:szCs w:val="20"/>
        </w:rPr>
        <w:t>Debt</w:t>
      </w:r>
    </w:p>
    <w:p w:rsidR="00000000" w:rsidRDefault="00905244">
      <w:pPr>
        <w:divId w:val="1227760320"/>
        <w:rPr>
          <w:rFonts w:eastAsia="Times New Roman"/>
        </w:rPr>
      </w:pPr>
    </w:p>
    <w:p w:rsidR="00000000" w:rsidRDefault="00905244">
      <w:pPr>
        <w:jc w:val="both"/>
        <w:rPr>
          <w:rFonts w:eastAsia="Times New Roman"/>
        </w:rPr>
      </w:pPr>
      <w:r>
        <w:rPr>
          <w:rFonts w:eastAsia="Times New Roman"/>
          <w:color w:val="000000"/>
          <w:sz w:val="20"/>
          <w:szCs w:val="20"/>
        </w:rPr>
        <w:t>The following table summarize</w:t>
      </w:r>
      <w:r>
        <w:rPr>
          <w:rFonts w:eastAsia="Times New Roman"/>
          <w:color w:val="000000"/>
          <w:sz w:val="20"/>
          <w:szCs w:val="20"/>
        </w:rPr>
        <w:t>s the Company’s outstanding debt as of the dates indicated (in millions):</w:t>
      </w:r>
    </w:p>
    <w:p w:rsidR="00000000" w:rsidRDefault="00905244">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0"/>
        <w:gridCol w:w="5555"/>
        <w:gridCol w:w="39"/>
        <w:gridCol w:w="36"/>
        <w:gridCol w:w="36"/>
        <w:gridCol w:w="36"/>
        <w:gridCol w:w="121"/>
        <w:gridCol w:w="1028"/>
        <w:gridCol w:w="36"/>
        <w:gridCol w:w="36"/>
        <w:gridCol w:w="36"/>
        <w:gridCol w:w="36"/>
        <w:gridCol w:w="121"/>
        <w:gridCol w:w="1029"/>
        <w:gridCol w:w="36"/>
        <w:gridCol w:w="36"/>
        <w:gridCol w:w="36"/>
      </w:tblGrid>
      <w:tr w:rsidR="00000000">
        <w:trPr>
          <w:divId w:val="1018508585"/>
        </w:trPr>
        <w:tc>
          <w:tcPr>
            <w:tcW w:w="50" w:type="pct"/>
            <w:vAlign w:val="center"/>
            <w:hideMark/>
          </w:tcPr>
          <w:p w:rsidR="00000000" w:rsidRDefault="00905244">
            <w:pPr>
              <w:jc w:val="both"/>
              <w:rPr>
                <w:rFonts w:eastAsia="Times New Roman"/>
              </w:rPr>
            </w:pPr>
          </w:p>
        </w:tc>
        <w:tc>
          <w:tcPr>
            <w:tcW w:w="340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67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67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1018508585"/>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December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December 28,</w:t>
            </w:r>
            <w:r>
              <w:rPr>
                <w:rFonts w:eastAsia="Times New Roman"/>
                <w:b/>
                <w:bCs/>
                <w:color w:val="000000"/>
                <w:sz w:val="20"/>
                <w:szCs w:val="20"/>
              </w:rPr>
              <w:br/>
              <w:t>2019</w:t>
            </w:r>
          </w:p>
        </w:tc>
        <w:tc>
          <w:tcPr>
            <w:tcW w:w="0" w:type="auto"/>
            <w:vAlign w:val="center"/>
            <w:hideMark/>
          </w:tcPr>
          <w:p w:rsidR="00000000" w:rsidRDefault="00905244">
            <w:pPr>
              <w:jc w:val="center"/>
              <w:rPr>
                <w:rFonts w:eastAsia="Times New Roman"/>
              </w:rPr>
            </w:pPr>
          </w:p>
        </w:tc>
        <w:tc>
          <w:tcPr>
            <w:tcW w:w="0" w:type="auto"/>
            <w:vAlign w:val="center"/>
            <w:hideMark/>
          </w:tcPr>
          <w:p w:rsidR="00000000" w:rsidRDefault="00905244">
            <w:pPr>
              <w:rPr>
                <w:rFonts w:eastAsia="Times New Roman"/>
                <w:sz w:val="20"/>
                <w:szCs w:val="20"/>
              </w:rPr>
            </w:pPr>
          </w:p>
        </w:tc>
      </w:tr>
      <w:tr w:rsidR="00000000">
        <w:trPr>
          <w:divId w:val="1018508585"/>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1.75% Senior Notes due 2030</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1018508585"/>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3.70% Senior Notes due 2029</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1018508585"/>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Senior Credit Facility:</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1018508585"/>
        </w:trPr>
        <w:tc>
          <w:tcPr>
            <w:tcW w:w="0" w:type="auto"/>
            <w:gridSpan w:val="3"/>
            <w:tcMar>
              <w:top w:w="30" w:type="dxa"/>
              <w:left w:w="245" w:type="dxa"/>
              <w:bottom w:w="30" w:type="dxa"/>
              <w:right w:w="20" w:type="dxa"/>
            </w:tcMar>
            <w:vAlign w:val="bottom"/>
            <w:hideMark/>
          </w:tcPr>
          <w:p w:rsidR="00000000" w:rsidRDefault="00905244">
            <w:pPr>
              <w:rPr>
                <w:rFonts w:eastAsia="Times New Roman"/>
              </w:rPr>
            </w:pPr>
            <w:r>
              <w:rPr>
                <w:rFonts w:eastAsia="Times New Roman"/>
                <w:color w:val="000000"/>
                <w:sz w:val="20"/>
                <w:szCs w:val="20"/>
              </w:rPr>
              <w:t>February 2016 Term Loan</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145.0 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1018508585"/>
        </w:trPr>
        <w:tc>
          <w:tcPr>
            <w:tcW w:w="0" w:type="auto"/>
            <w:gridSpan w:val="3"/>
            <w:shd w:val="clear" w:color="auto" w:fill="CCEEFF"/>
            <w:tcMar>
              <w:top w:w="30" w:type="dxa"/>
              <w:left w:w="245" w:type="dxa"/>
              <w:bottom w:w="30" w:type="dxa"/>
              <w:right w:w="20" w:type="dxa"/>
            </w:tcMar>
            <w:vAlign w:val="bottom"/>
            <w:hideMark/>
          </w:tcPr>
          <w:p w:rsidR="00000000" w:rsidRDefault="00905244">
            <w:pPr>
              <w:rPr>
                <w:rFonts w:eastAsia="Times New Roman"/>
              </w:rPr>
            </w:pPr>
            <w:r>
              <w:rPr>
                <w:rFonts w:eastAsia="Times New Roman"/>
                <w:color w:val="000000"/>
                <w:sz w:val="20"/>
                <w:szCs w:val="20"/>
              </w:rPr>
              <w:t>June 2017 Term Loan</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87.5 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1018508585"/>
        </w:trPr>
        <w:tc>
          <w:tcPr>
            <w:tcW w:w="0" w:type="auto"/>
            <w:gridSpan w:val="3"/>
            <w:shd w:val="clear" w:color="auto" w:fill="FFFFFF"/>
            <w:tcMar>
              <w:top w:w="30" w:type="dxa"/>
              <w:left w:w="245" w:type="dxa"/>
              <w:bottom w:w="30" w:type="dxa"/>
              <w:right w:w="20" w:type="dxa"/>
            </w:tcMar>
            <w:vAlign w:val="bottom"/>
            <w:hideMark/>
          </w:tcPr>
          <w:p w:rsidR="00000000" w:rsidRDefault="00905244">
            <w:pPr>
              <w:rPr>
                <w:rFonts w:eastAsia="Times New Roman"/>
              </w:rPr>
            </w:pPr>
            <w:r>
              <w:rPr>
                <w:rFonts w:eastAsia="Times New Roman"/>
                <w:color w:val="000000"/>
                <w:sz w:val="20"/>
                <w:szCs w:val="20"/>
              </w:rPr>
              <w:t>November 2020 Term Loan</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200.0 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1018508585"/>
        </w:trPr>
        <w:tc>
          <w:tcPr>
            <w:tcW w:w="0" w:type="auto"/>
            <w:gridSpan w:val="3"/>
            <w:shd w:val="clear" w:color="auto" w:fill="CCEEFF"/>
            <w:tcMar>
              <w:top w:w="30" w:type="dxa"/>
              <w:left w:w="245" w:type="dxa"/>
              <w:bottom w:w="30" w:type="dxa"/>
              <w:right w:w="20" w:type="dxa"/>
            </w:tcMar>
            <w:vAlign w:val="bottom"/>
            <w:hideMark/>
          </w:tcPr>
          <w:p w:rsidR="00000000" w:rsidRDefault="00905244">
            <w:pPr>
              <w:rPr>
                <w:rFonts w:eastAsia="Times New Roman"/>
              </w:rPr>
            </w:pPr>
            <w:r>
              <w:rPr>
                <w:rFonts w:eastAsia="Times New Roman"/>
                <w:color w:val="000000"/>
                <w:sz w:val="20"/>
                <w:szCs w:val="20"/>
              </w:rPr>
              <w:t>Revolving credit loans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15.0 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1018508585"/>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 outstanding borrowings</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397.5 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1018508585"/>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Less: unamortized debt discounts and issuance costs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(15.7)</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1018508585"/>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Total debt</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984.3 </w:t>
            </w:r>
          </w:p>
        </w:tc>
        <w:tc>
          <w:tcPr>
            <w:tcW w:w="0" w:type="auto"/>
            <w:tcBorders>
              <w:top w:val="single" w:sz="8" w:space="0" w:color="000000"/>
            </w:tcBorders>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396.5 </w:t>
            </w:r>
          </w:p>
        </w:tc>
        <w:tc>
          <w:tcPr>
            <w:tcW w:w="0" w:type="auto"/>
            <w:tcBorders>
              <w:top w:val="single" w:sz="8" w:space="0" w:color="000000"/>
            </w:tcBorders>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1018508585"/>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Less: current portion of long-term debt</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(30.0)</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1018508585"/>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984.3 </w:t>
            </w:r>
          </w:p>
        </w:tc>
        <w:tc>
          <w:tcPr>
            <w:tcW w:w="0" w:type="auto"/>
            <w:tcBorders>
              <w:top w:val="single" w:sz="8" w:space="0" w:color="000000"/>
            </w:tcBorders>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366.5 </w:t>
            </w:r>
          </w:p>
        </w:tc>
        <w:tc>
          <w:tcPr>
            <w:tcW w:w="0" w:type="auto"/>
            <w:tcBorders>
              <w:top w:val="single" w:sz="8" w:space="0" w:color="000000"/>
            </w:tcBorders>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1018508585"/>
          <w:trHeight w:val="160"/>
        </w:trPr>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1018508585"/>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Outstanding letters of credit</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48.7 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32.0 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bl>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On October 30, 2020, the Company issued and sold, in a public offering, $650 million in aggregate principal amount of senior unsecured notes due November 1, 2030 bearing interest at 1.75% per annum (the “1.75% Senior Notes”). In support of the issuance of </w:t>
      </w:r>
      <w:r>
        <w:rPr>
          <w:rFonts w:eastAsia="Times New Roman"/>
          <w:color w:val="000000"/>
          <w:sz w:val="20"/>
          <w:szCs w:val="20"/>
        </w:rPr>
        <w:t>the 1.75% Senior Notes, we obtained credit ratings from Moody's Investor Services and Standard &amp; Poor's.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manage our business and financial ratios to target an investment-grade bond rating, which has historically allowed flexible access to financing at</w:t>
      </w:r>
      <w:r>
        <w:rPr>
          <w:rFonts w:eastAsia="Times New Roman"/>
          <w:color w:val="000000"/>
          <w:sz w:val="20"/>
          <w:szCs w:val="20"/>
        </w:rPr>
        <w:t xml:space="preserve"> reasonable market costs. As of December 26, 2020 and the date of this filing, February 18, 2021, the Company's senior unsecured debt is rated “Baa1,” by Moody’s Investor Services with a stable outlook and “BBB” by Standard &amp; Poor’s with a stable outlook. </w:t>
      </w:r>
      <w:r>
        <w:rPr>
          <w:rFonts w:eastAsia="Times New Roman"/>
          <w:color w:val="000000"/>
          <w:sz w:val="20"/>
          <w:szCs w:val="20"/>
        </w:rPr>
        <w:t xml:space="preserve">These ratings have been obtained with the understanding that Moody’s Investors Services and Standard &amp; Poor’s will continue to monitor our credit and make future adjustments to these ratings to the extent warranted. The ratings are not a recommendation to </w:t>
      </w:r>
      <w:r>
        <w:rPr>
          <w:rFonts w:eastAsia="Times New Roman"/>
          <w:color w:val="000000"/>
          <w:sz w:val="20"/>
          <w:szCs w:val="20"/>
        </w:rPr>
        <w:t>buy, sell or hold our securities, may be changed, superseded or withdrawn at any time and should be evaluated independently of any other rating.</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Our current ratings, as well as future rating agency actions, could impact our ability to finance our operations on satisfactory terms and affect our financing costs. There can be no assurance that we will maintain or improve our current credit ratings.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For additional information about the Company’s debt and credit facilities, refer to Note 4 to the Consolidated Financial Statements. As further described in Note 5 to the Consolidated Financial Statements, the Company has entered into interest rate swap a</w:t>
      </w:r>
      <w:r>
        <w:rPr>
          <w:rFonts w:eastAsia="Times New Roman"/>
          <w:color w:val="000000"/>
          <w:sz w:val="20"/>
          <w:szCs w:val="20"/>
        </w:rPr>
        <w:t xml:space="preserve">greements in order to hedge our exposure to variable rate interest payments associated term loans under the Senior Credit Facility. </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Sources and Uses of Cash</w:t>
      </w:r>
    </w:p>
    <w:p w:rsidR="00000000" w:rsidRDefault="00905244">
      <w:pPr>
        <w:divId w:val="84304451"/>
        <w:rPr>
          <w:rFonts w:eastAsia="Times New Roman"/>
        </w:rPr>
      </w:pPr>
    </w:p>
    <w:p w:rsidR="00000000" w:rsidRDefault="00905244">
      <w:pPr>
        <w:jc w:val="both"/>
        <w:rPr>
          <w:rFonts w:eastAsia="Times New Roman"/>
        </w:rPr>
      </w:pPr>
      <w:r>
        <w:rPr>
          <w:rFonts w:eastAsia="Times New Roman"/>
          <w:color w:val="000000"/>
          <w:sz w:val="20"/>
          <w:szCs w:val="20"/>
        </w:rPr>
        <w:t>Our primary source of liquidity is cash provided by operations and funds available under our d</w:t>
      </w:r>
      <w:r>
        <w:rPr>
          <w:rFonts w:eastAsia="Times New Roman"/>
          <w:color w:val="000000"/>
          <w:sz w:val="20"/>
          <w:szCs w:val="20"/>
        </w:rPr>
        <w:t>ebt facilities.  Principal uses of cash for investing activities are capital expenditures while principal uses of cash for financing activities are repurchase of the Company’s common stock and cash dividends paid to stockholders.  </w:t>
      </w:r>
    </w:p>
    <w:p w:rsidR="00000000" w:rsidRDefault="00905244">
      <w:pPr>
        <w:jc w:val="center"/>
        <w:divId w:val="1354652813"/>
        <w:rPr>
          <w:rFonts w:eastAsia="Times New Roman"/>
        </w:rPr>
      </w:pPr>
      <w:r>
        <w:rPr>
          <w:rFonts w:eastAsia="Times New Roman"/>
          <w:color w:val="000000"/>
          <w:sz w:val="20"/>
          <w:szCs w:val="20"/>
        </w:rPr>
        <w:t>41</w:t>
      </w:r>
    </w:p>
    <w:p w:rsidR="00000000" w:rsidRDefault="00905244">
      <w:pPr>
        <w:rPr>
          <w:rFonts w:eastAsia="Times New Roman"/>
        </w:rPr>
      </w:pPr>
      <w:r>
        <w:rPr>
          <w:rFonts w:eastAsia="Times New Roman"/>
        </w:rPr>
        <w:pict>
          <v:rect id="_x0000_i1070" style="width:0;height:1.5pt" o:hralign="center" o:hrstd="t" o:hr="t" fillcolor="#a0a0a0" stroked="f"/>
        </w:pict>
      </w:r>
    </w:p>
    <w:p w:rsidR="00000000" w:rsidRDefault="00905244">
      <w:pPr>
        <w:divId w:val="1392924842"/>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following table presents a summary of cash flows provided by or used in operating, investing, and financing activities for fiscal years 2020 and 2019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198"/>
        <w:gridCol w:w="37"/>
        <w:gridCol w:w="120"/>
        <w:gridCol w:w="1323"/>
        <w:gridCol w:w="36"/>
        <w:gridCol w:w="36"/>
        <w:gridCol w:w="36"/>
        <w:gridCol w:w="36"/>
        <w:gridCol w:w="120"/>
        <w:gridCol w:w="1288"/>
        <w:gridCol w:w="36"/>
      </w:tblGrid>
      <w:tr w:rsidR="00000000">
        <w:trPr>
          <w:divId w:val="1645620849"/>
        </w:trPr>
        <w:tc>
          <w:tcPr>
            <w:tcW w:w="50" w:type="pct"/>
            <w:vAlign w:val="center"/>
            <w:hideMark/>
          </w:tcPr>
          <w:p w:rsidR="00000000" w:rsidRDefault="00905244">
            <w:pPr>
              <w:jc w:val="both"/>
              <w:rPr>
                <w:rFonts w:eastAsia="Times New Roman"/>
              </w:rPr>
            </w:pPr>
          </w:p>
        </w:tc>
        <w:tc>
          <w:tcPr>
            <w:tcW w:w="3154"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82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82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645620849"/>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w:t>
            </w:r>
          </w:p>
        </w:tc>
      </w:tr>
      <w:tr w:rsidR="00000000">
        <w:trPr>
          <w:divId w:val="1645620849"/>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2019</w:t>
            </w:r>
          </w:p>
        </w:tc>
      </w:tr>
      <w:tr w:rsidR="00000000">
        <w:trPr>
          <w:divId w:val="1645620849"/>
        </w:trPr>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(52 weeks)</w:t>
            </w:r>
          </w:p>
        </w:tc>
      </w:tr>
      <w:tr w:rsidR="00000000">
        <w:trPr>
          <w:divId w:val="1645620849"/>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Net cash provided by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1,394.5 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811.7 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645620849"/>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Net cash used in investing activities</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(292.2)</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(215.0)</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645620849"/>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Net cash provided by/(used in)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155.2 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(598.8)</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645620849"/>
        </w:trPr>
        <w:tc>
          <w:tcPr>
            <w:tcW w:w="0" w:type="auto"/>
            <w:gridSpan w:val="3"/>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Net increase/(decrease) in cash and cash equivalents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1,257.5 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ind w:hanging="180"/>
        <w:jc w:val="both"/>
        <w:rPr>
          <w:rFonts w:eastAsia="Times New Roman"/>
        </w:rPr>
      </w:pPr>
    </w:p>
    <w:p w:rsidR="00000000" w:rsidRDefault="00905244">
      <w:pPr>
        <w:jc w:val="both"/>
        <w:rPr>
          <w:rFonts w:eastAsia="Times New Roman"/>
        </w:rPr>
      </w:pPr>
      <w:r>
        <w:rPr>
          <w:rFonts w:eastAsia="Times New Roman"/>
          <w:b/>
          <w:bCs/>
          <w:color w:val="000000"/>
          <w:sz w:val="20"/>
          <w:szCs w:val="20"/>
        </w:rPr>
        <w:t>Operating Activities</w:t>
      </w:r>
    </w:p>
    <w:p w:rsidR="00000000" w:rsidRDefault="00905244">
      <w:pPr>
        <w:divId w:val="831335126"/>
        <w:rPr>
          <w:rFonts w:eastAsia="Times New Roman"/>
        </w:rPr>
      </w:pPr>
    </w:p>
    <w:p w:rsidR="00000000" w:rsidRDefault="00905244">
      <w:pPr>
        <w:jc w:val="both"/>
        <w:rPr>
          <w:rFonts w:eastAsia="Times New Roman"/>
        </w:rPr>
      </w:pPr>
      <w:r>
        <w:rPr>
          <w:rFonts w:eastAsia="Times New Roman"/>
          <w:color w:val="000000"/>
          <w:sz w:val="20"/>
          <w:szCs w:val="20"/>
        </w:rPr>
        <w:t>Operating activities provided net cash of $1.39 billion and $811.7 million in fiscal 2020 and 2019, respectively. The $582.8 million increase in net cash provided by operating activities in fiscal 2020, compared to fiscal 2019, was due to changes in the fo</w:t>
      </w:r>
      <w:r>
        <w:rPr>
          <w:rFonts w:eastAsia="Times New Roman"/>
          <w:color w:val="000000"/>
          <w:sz w:val="20"/>
          <w:szCs w:val="20"/>
        </w:rPr>
        <w:t xml:space="preserve">llowing (in millions): </w:t>
      </w:r>
    </w:p>
    <w:tbl>
      <w:tblPr>
        <w:tblW w:w="4992" w:type="pct"/>
        <w:tblCellMar>
          <w:top w:w="15" w:type="dxa"/>
          <w:left w:w="15" w:type="dxa"/>
          <w:bottom w:w="15" w:type="dxa"/>
          <w:right w:w="15" w:type="dxa"/>
        </w:tblCellMar>
        <w:tblLook w:val="04A0" w:firstRow="1" w:lastRow="0" w:firstColumn="1" w:lastColumn="0" w:noHBand="0" w:noVBand="1"/>
      </w:tblPr>
      <w:tblGrid>
        <w:gridCol w:w="39"/>
        <w:gridCol w:w="3658"/>
        <w:gridCol w:w="37"/>
        <w:gridCol w:w="120"/>
        <w:gridCol w:w="1318"/>
        <w:gridCol w:w="36"/>
        <w:gridCol w:w="36"/>
        <w:gridCol w:w="36"/>
        <w:gridCol w:w="36"/>
        <w:gridCol w:w="120"/>
        <w:gridCol w:w="1278"/>
        <w:gridCol w:w="36"/>
        <w:gridCol w:w="36"/>
        <w:gridCol w:w="36"/>
        <w:gridCol w:w="36"/>
        <w:gridCol w:w="121"/>
        <w:gridCol w:w="1278"/>
        <w:gridCol w:w="36"/>
      </w:tblGrid>
      <w:tr w:rsidR="00000000">
        <w:trPr>
          <w:divId w:val="957368107"/>
        </w:trPr>
        <w:tc>
          <w:tcPr>
            <w:tcW w:w="50" w:type="pct"/>
            <w:vAlign w:val="center"/>
            <w:hideMark/>
          </w:tcPr>
          <w:p w:rsidR="00000000" w:rsidRDefault="00905244">
            <w:pPr>
              <w:jc w:val="both"/>
              <w:rPr>
                <w:rFonts w:eastAsia="Times New Roman"/>
              </w:rPr>
            </w:pPr>
          </w:p>
        </w:tc>
        <w:tc>
          <w:tcPr>
            <w:tcW w:w="223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823"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823"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823"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957368107"/>
          <w:trHeight w:val="12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9"/>
            <w:vMerge w:val="restart"/>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Variance</w:t>
            </w:r>
          </w:p>
        </w:tc>
      </w:tr>
      <w:tr w:rsidR="00000000">
        <w:trPr>
          <w:divId w:val="957368107"/>
          <w:trHeight w:val="120"/>
        </w:trPr>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9"/>
            <w:vMerge/>
            <w:vAlign w:val="center"/>
            <w:hideMark/>
          </w:tcPr>
          <w:p w:rsidR="00000000" w:rsidRDefault="00905244">
            <w:pP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vMerge/>
            <w:vAlign w:val="center"/>
            <w:hideMark/>
          </w:tcPr>
          <w:p w:rsidR="00000000" w:rsidRDefault="00905244">
            <w:pPr>
              <w:rPr>
                <w:rFonts w:eastAsia="Times New Roman"/>
              </w:rPr>
            </w:pPr>
          </w:p>
        </w:tc>
      </w:tr>
      <w:tr w:rsidR="00000000">
        <w:trPr>
          <w:divId w:val="957368107"/>
          <w:trHeight w:val="280"/>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2019</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vMerge/>
            <w:vAlign w:val="center"/>
            <w:hideMark/>
          </w:tcPr>
          <w:p w:rsidR="00000000" w:rsidRDefault="00905244">
            <w:pPr>
              <w:rPr>
                <w:rFonts w:eastAsia="Times New Roman"/>
              </w:rPr>
            </w:pPr>
          </w:p>
        </w:tc>
      </w:tr>
      <w:tr w:rsidR="00000000">
        <w:trPr>
          <w:divId w:val="957368107"/>
          <w:trHeight w:val="28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vMerge/>
            <w:vAlign w:val="center"/>
            <w:hideMark/>
          </w:tcPr>
          <w:p w:rsidR="00000000" w:rsidRDefault="00905244">
            <w:pPr>
              <w:rPr>
                <w:rFonts w:eastAsia="Times New Roman"/>
              </w:rPr>
            </w:pPr>
          </w:p>
        </w:tc>
      </w:tr>
      <w:tr w:rsidR="00000000">
        <w:trPr>
          <w:divId w:val="957368107"/>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749.0 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562.4 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186.6 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957368107"/>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217.1 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196.0 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21.1 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957368107"/>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Impairment expense</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74.1 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74.1 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957368107"/>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37.3 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31.1 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957368107"/>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(31.7)</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(38.5)</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957368107"/>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Inventories and accounts payable</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152.6 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142.8 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957368107"/>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(32.8)</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(46.4)</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957368107"/>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Accrued expenses</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152.4 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(3.9)</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156.3 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957368107"/>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14.0 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8.3 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957368107"/>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62.5 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(12.4)</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74.9 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957368107"/>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Net cash provided by operating activities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1,394.5 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811.7 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582.8 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divId w:val="1611232270"/>
        <w:rPr>
          <w:rFonts w:eastAsia="Times New Roman"/>
        </w:rPr>
      </w:pPr>
    </w:p>
    <w:p w:rsidR="00000000" w:rsidRDefault="00905244">
      <w:pPr>
        <w:jc w:val="both"/>
        <w:rPr>
          <w:rFonts w:eastAsia="Times New Roman"/>
        </w:rPr>
      </w:pPr>
      <w:r>
        <w:rPr>
          <w:rFonts w:eastAsia="Times New Roman"/>
          <w:color w:val="000000"/>
          <w:sz w:val="20"/>
          <w:szCs w:val="20"/>
        </w:rPr>
        <w:t>The $582.8 million increase in net cash provided by operating activities in fiscal 2020, compared to fiscal 2019, is primarily driven by a year-over-year increase in our net income as well as the net impact of changes in our operating assets and liabilitie</w:t>
      </w:r>
      <w:r>
        <w:rPr>
          <w:rFonts w:eastAsia="Times New Roman"/>
          <w:color w:val="000000"/>
          <w:sz w:val="20"/>
          <w:szCs w:val="20"/>
        </w:rPr>
        <w:t>s, principally due to significant Company growth in fiscal 2020 as well as the timing of accruals and related payments. The increase in net cash provided by operating activities was also affected by non-cash impairment charges recorded in fiscal 2020 relat</w:t>
      </w:r>
      <w:r>
        <w:rPr>
          <w:rFonts w:eastAsia="Times New Roman"/>
          <w:color w:val="000000"/>
          <w:sz w:val="20"/>
          <w:szCs w:val="20"/>
        </w:rPr>
        <w:t>ed to the Petsense business.</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Investing Activities</w:t>
      </w:r>
    </w:p>
    <w:p w:rsidR="00000000" w:rsidRDefault="00905244">
      <w:pPr>
        <w:divId w:val="1610039168"/>
        <w:rPr>
          <w:rFonts w:eastAsia="Times New Roman"/>
        </w:rPr>
      </w:pPr>
    </w:p>
    <w:p w:rsidR="00000000" w:rsidRDefault="00905244">
      <w:pPr>
        <w:jc w:val="both"/>
        <w:rPr>
          <w:rFonts w:eastAsia="Times New Roman"/>
        </w:rPr>
      </w:pPr>
      <w:r>
        <w:rPr>
          <w:rFonts w:eastAsia="Times New Roman"/>
          <w:color w:val="000000"/>
          <w:sz w:val="20"/>
          <w:szCs w:val="20"/>
        </w:rPr>
        <w:t xml:space="preserve">Investing activities used cash of $292.2 million and $215.0 million in fiscal 2020 and 2019, respectively.  Cash flows from investing activities in the years presented are primarily composed of capital </w:t>
      </w:r>
      <w:r>
        <w:rPr>
          <w:rFonts w:eastAsia="Times New Roman"/>
          <w:color w:val="000000"/>
          <w:sz w:val="20"/>
          <w:szCs w:val="20"/>
        </w:rPr>
        <w:t>expenditures. Capital expenditures for fiscal 2020 and 2019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514"/>
        <w:gridCol w:w="37"/>
        <w:gridCol w:w="120"/>
        <w:gridCol w:w="1165"/>
        <w:gridCol w:w="36"/>
        <w:gridCol w:w="36"/>
        <w:gridCol w:w="36"/>
        <w:gridCol w:w="36"/>
        <w:gridCol w:w="120"/>
        <w:gridCol w:w="1130"/>
        <w:gridCol w:w="36"/>
      </w:tblGrid>
      <w:tr w:rsidR="00000000">
        <w:trPr>
          <w:divId w:val="180440247"/>
        </w:trPr>
        <w:tc>
          <w:tcPr>
            <w:tcW w:w="50" w:type="pct"/>
            <w:vAlign w:val="center"/>
            <w:hideMark/>
          </w:tcPr>
          <w:p w:rsidR="00000000" w:rsidRDefault="00905244">
            <w:pPr>
              <w:jc w:val="both"/>
              <w:rPr>
                <w:rFonts w:eastAsia="Times New Roman"/>
              </w:rPr>
            </w:pPr>
          </w:p>
        </w:tc>
        <w:tc>
          <w:tcPr>
            <w:tcW w:w="3344"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72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72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80440247"/>
          <w:trHeight w:val="12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9"/>
            <w:vMerge w:val="restart"/>
            <w:tcBorders>
              <w:bottom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w:t>
            </w:r>
          </w:p>
        </w:tc>
      </w:tr>
      <w:tr w:rsidR="00000000">
        <w:trPr>
          <w:divId w:val="180440247"/>
          <w:trHeight w:val="120"/>
        </w:trPr>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9"/>
            <w:vMerge/>
            <w:tcBorders>
              <w:bottom w:val="single" w:sz="8" w:space="0" w:color="000000"/>
            </w:tcBorders>
            <w:vAlign w:val="center"/>
            <w:hideMark/>
          </w:tcPr>
          <w:p w:rsidR="00000000" w:rsidRDefault="00905244">
            <w:pPr>
              <w:rPr>
                <w:rFonts w:eastAsia="Times New Roman"/>
              </w:rPr>
            </w:pPr>
          </w:p>
        </w:tc>
      </w:tr>
      <w:tr w:rsidR="00000000">
        <w:trPr>
          <w:divId w:val="180440247"/>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2019</w:t>
            </w:r>
          </w:p>
        </w:tc>
      </w:tr>
      <w:tr w:rsidR="00000000">
        <w:trPr>
          <w:divId w:val="180440247"/>
        </w:trPr>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(52 weeks)</w:t>
            </w:r>
          </w:p>
        </w:tc>
      </w:tr>
      <w:tr w:rsidR="00000000">
        <w:trPr>
          <w:divId w:val="180440247"/>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Information technology</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133.0 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80440247"/>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Existing stores</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73.7 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45.5 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80440247"/>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New and relocated stores and stores not yet opened</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58.8 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59.3 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80440247"/>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Distribution center capacity and improvements</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23.4 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19.7 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80440247"/>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Corporate and other</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80440247"/>
        </w:trPr>
        <w:tc>
          <w:tcPr>
            <w:tcW w:w="0" w:type="auto"/>
            <w:gridSpan w:val="3"/>
            <w:vAlign w:val="center"/>
            <w:hideMark/>
          </w:tcPr>
          <w:p w:rsidR="00000000" w:rsidRDefault="00905244">
            <w:pPr>
              <w:jc w:val="right"/>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80440247"/>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 capital expenditures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294.0 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divId w:val="541216277"/>
        <w:rPr>
          <w:rFonts w:eastAsia="Times New Roman"/>
        </w:rPr>
      </w:pPr>
    </w:p>
    <w:p w:rsidR="00000000" w:rsidRDefault="00905244">
      <w:pPr>
        <w:jc w:val="center"/>
        <w:divId w:val="544559192"/>
        <w:rPr>
          <w:rFonts w:eastAsia="Times New Roman"/>
        </w:rPr>
      </w:pPr>
      <w:r>
        <w:rPr>
          <w:rFonts w:eastAsia="Times New Roman"/>
          <w:color w:val="000000"/>
          <w:sz w:val="20"/>
          <w:szCs w:val="20"/>
        </w:rPr>
        <w:t>42</w:t>
      </w:r>
    </w:p>
    <w:p w:rsidR="00000000" w:rsidRDefault="00905244">
      <w:pPr>
        <w:rPr>
          <w:rFonts w:eastAsia="Times New Roman"/>
        </w:rPr>
      </w:pPr>
      <w:r>
        <w:rPr>
          <w:rFonts w:eastAsia="Times New Roman"/>
        </w:rPr>
        <w:pict>
          <v:rect id="_x0000_i1071" style="width:0;height:1.5pt" o:hralign="center" o:hrstd="t" o:hr="t" fillcolor="#a0a0a0" stroked="f"/>
        </w:pict>
      </w:r>
    </w:p>
    <w:p w:rsidR="00000000" w:rsidRDefault="00905244">
      <w:pPr>
        <w:divId w:val="1315913367"/>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The spending on information technology represents continued support of our store growth and our omni-channel initiatives, as well as improvements in securit</w:t>
      </w:r>
      <w:r>
        <w:rPr>
          <w:rFonts w:eastAsia="Times New Roman"/>
          <w:color w:val="000000"/>
          <w:sz w:val="20"/>
          <w:szCs w:val="20"/>
        </w:rPr>
        <w:t>y and compliance, enhancements to our customer relationship management program, and other strategic initiatives. In fiscal 2020, we additionally prioritized information technology capital expenditures to accelerate initiatives to enhance safety and conveni</w:t>
      </w:r>
      <w:r>
        <w:rPr>
          <w:rFonts w:eastAsia="Times New Roman"/>
          <w:color w:val="000000"/>
          <w:sz w:val="20"/>
          <w:szCs w:val="20"/>
        </w:rPr>
        <w:t>ence for customers, including initiatives such as Buy Online, Pickup In Store; Buy Online, Deliver from Store; Contactless Curbside Pickup; Contactless Payment capabilities; additional Mobile POS devices in all stores; and improvements to our in-store wire</w:t>
      </w:r>
      <w:r>
        <w:rPr>
          <w:rFonts w:eastAsia="Times New Roman"/>
          <w:color w:val="000000"/>
          <w:sz w:val="20"/>
          <w:szCs w:val="20"/>
        </w:rPr>
        <w:t>less internet.</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Spending for existing stores includes routine refresh activity. However, the increased spend for existing stores in fiscal 2020 as compared to fiscal 2019 was driven by strategic initiatives in select stores including security enhancements</w:t>
      </w:r>
      <w:r>
        <w:rPr>
          <w:rFonts w:eastAsia="Times New Roman"/>
          <w:color w:val="000000"/>
          <w:sz w:val="20"/>
          <w:szCs w:val="20"/>
        </w:rPr>
        <w:t>, space productivity and side lot improvements.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above table reflects an investment in 80 new Tractor Supply stores, nine new Petsense stores, and one store relocation during fiscal 2020. In fiscal 2019, we opened 80 new Tractor Supply stores, eight n</w:t>
      </w:r>
      <w:r>
        <w:rPr>
          <w:rFonts w:eastAsia="Times New Roman"/>
          <w:color w:val="000000"/>
          <w:sz w:val="20"/>
          <w:szCs w:val="20"/>
        </w:rPr>
        <w:t>ew Petsense stores, and had two store relocations.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Spending for distribution center capacity and improvements in fiscal 2020 and fiscal 2019 represents new equipment and various enhancements for existing facilities. The northeast distribution center in </w:t>
      </w:r>
      <w:r>
        <w:rPr>
          <w:rFonts w:eastAsia="Times New Roman"/>
          <w:color w:val="000000"/>
          <w:sz w:val="20"/>
          <w:szCs w:val="20"/>
        </w:rPr>
        <w:t>Frankfort, New York was completed and began shipping merchandise to our stores in the first quarter of fiscal 2019.</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Our projected capital expenditures for fiscal 2021 are currently estimated to be in a range of approximately $450 million to $550 million.</w:t>
      </w:r>
      <w:r>
        <w:rPr>
          <w:rFonts w:eastAsia="Times New Roman"/>
          <w:color w:val="000000"/>
          <w:sz w:val="20"/>
          <w:szCs w:val="20"/>
        </w:rPr>
        <w:t xml:space="preserve"> The capital expenditures include a plan to open approximately 80 new Tractor Supply stores and 10 new Petsense stores. Additionally, we plan to begin construction in fiscal 2021 on a new distribution center in Navarre, Ohio which is currently anticipated </w:t>
      </w:r>
      <w:r>
        <w:rPr>
          <w:rFonts w:eastAsia="Times New Roman"/>
          <w:color w:val="000000"/>
          <w:sz w:val="20"/>
          <w:szCs w:val="20"/>
        </w:rPr>
        <w:t xml:space="preserve">to be complete by the end of fiscal 2022. We also plan to support our strategic growth initiatives related to space productivity and side lot improvements in certain existing stores as well as continued improvements in technology and infrastructure at our </w:t>
      </w:r>
      <w:r>
        <w:rPr>
          <w:rFonts w:eastAsia="Times New Roman"/>
          <w:color w:val="000000"/>
          <w:sz w:val="20"/>
          <w:szCs w:val="20"/>
        </w:rPr>
        <w:t>existing stores, and ongoing investments to enhance our digital and omni-channel capabilities to better serve our customers.</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Financing Activities</w:t>
      </w:r>
    </w:p>
    <w:p w:rsidR="00000000" w:rsidRDefault="00905244">
      <w:pPr>
        <w:divId w:val="1269041254"/>
        <w:rPr>
          <w:rFonts w:eastAsia="Times New Roman"/>
        </w:rPr>
      </w:pPr>
    </w:p>
    <w:p w:rsidR="00000000" w:rsidRDefault="00905244">
      <w:pPr>
        <w:jc w:val="both"/>
        <w:rPr>
          <w:rFonts w:eastAsia="Times New Roman"/>
        </w:rPr>
      </w:pPr>
      <w:r>
        <w:rPr>
          <w:rFonts w:eastAsia="Times New Roman"/>
          <w:color w:val="000000"/>
          <w:sz w:val="20"/>
          <w:szCs w:val="20"/>
        </w:rPr>
        <w:t>Financing activities provided cash of $155.2 million in fiscal 2020, while financing activities used $598.</w:t>
      </w:r>
      <w:r>
        <w:rPr>
          <w:rFonts w:eastAsia="Times New Roman"/>
          <w:color w:val="000000"/>
          <w:sz w:val="20"/>
          <w:szCs w:val="20"/>
        </w:rPr>
        <w:t xml:space="preserve">8 million in fiscal 2019. The $754.0 million increase in net cash provided by financing activities in fiscal 2020, compared to fiscal 2019, was due to changes in the following (in millions): </w:t>
      </w:r>
    </w:p>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4910"/>
        <w:gridCol w:w="37"/>
        <w:gridCol w:w="120"/>
        <w:gridCol w:w="940"/>
        <w:gridCol w:w="36"/>
        <w:gridCol w:w="36"/>
        <w:gridCol w:w="36"/>
        <w:gridCol w:w="36"/>
        <w:gridCol w:w="120"/>
        <w:gridCol w:w="899"/>
        <w:gridCol w:w="36"/>
        <w:gridCol w:w="36"/>
        <w:gridCol w:w="36"/>
        <w:gridCol w:w="36"/>
        <w:gridCol w:w="121"/>
        <w:gridCol w:w="736"/>
        <w:gridCol w:w="36"/>
      </w:tblGrid>
      <w:tr w:rsidR="00000000">
        <w:trPr>
          <w:divId w:val="1092511225"/>
          <w:jc w:val="center"/>
        </w:trPr>
        <w:tc>
          <w:tcPr>
            <w:tcW w:w="50" w:type="pct"/>
            <w:vAlign w:val="center"/>
            <w:hideMark/>
          </w:tcPr>
          <w:p w:rsidR="00000000" w:rsidRDefault="00905244">
            <w:pPr>
              <w:jc w:val="both"/>
              <w:rPr>
                <w:rFonts w:eastAsia="Times New Roman"/>
              </w:rPr>
            </w:pPr>
          </w:p>
        </w:tc>
        <w:tc>
          <w:tcPr>
            <w:tcW w:w="300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60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60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9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092511225"/>
          <w:trHeight w:val="120"/>
          <w:jc w:val="center"/>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9"/>
            <w:vMerge w:val="restart"/>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092511225"/>
          <w:trHeight w:val="120"/>
          <w:jc w:val="center"/>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9"/>
            <w:vMerge/>
            <w:vAlign w:val="center"/>
            <w:hideMark/>
          </w:tcPr>
          <w:p w:rsidR="00000000" w:rsidRDefault="00905244">
            <w:pP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092511225"/>
          <w:trHeight w:val="300"/>
          <w:jc w:val="center"/>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2019</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Variance</w:t>
            </w:r>
          </w:p>
        </w:tc>
      </w:tr>
      <w:tr w:rsidR="00000000">
        <w:trPr>
          <w:divId w:val="1092511225"/>
          <w:trHeight w:val="300"/>
          <w:jc w:val="center"/>
        </w:trPr>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vMerge/>
            <w:vAlign w:val="center"/>
            <w:hideMark/>
          </w:tcPr>
          <w:p w:rsidR="00000000" w:rsidRDefault="00905244">
            <w:pPr>
              <w:rPr>
                <w:rFonts w:eastAsia="Times New Roman"/>
              </w:rPr>
            </w:pPr>
          </w:p>
        </w:tc>
      </w:tr>
      <w:tr w:rsidR="00000000">
        <w:trPr>
          <w:divId w:val="1092511225"/>
          <w:jc w:val="center"/>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Net borrowings and repayments under debt facilities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602.5 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613.8 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092511225"/>
          <w:jc w:val="center"/>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Repurchase of common stock</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(343.0)</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(533.3)</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190.3 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092511225"/>
          <w:jc w:val="center"/>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Net proceeds from issuance of common stock</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99.3 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116.0 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(16.7)</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092511225"/>
          <w:jc w:val="center"/>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Cash dividends paid to stockholders</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(174.7)</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(162.7)</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(12.0)</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092511225"/>
          <w:jc w:val="center"/>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(28.9)</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(7.5)</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(21.4)</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092511225"/>
          <w:jc w:val="center"/>
        </w:trPr>
        <w:tc>
          <w:tcPr>
            <w:tcW w:w="0" w:type="auto"/>
            <w:gridSpan w:val="3"/>
            <w:shd w:val="clear" w:color="auto" w:fill="FFFFFF"/>
            <w:tcMar>
              <w:top w:w="30" w:type="dxa"/>
              <w:left w:w="245"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Net cash provided by/(used in) financing activities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155.2 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(598.8)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754.0 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The increase in net cash from financing activities in fiscal 2020, compared to fiscal 2019, reflects an increase in net borrowings discussed further in Note 4 to the Consolidated Financial Statements and a reduction of repurchases of common stock, both of </w:t>
      </w:r>
      <w:r>
        <w:rPr>
          <w:rFonts w:eastAsia="Times New Roman"/>
          <w:color w:val="000000"/>
          <w:sz w:val="20"/>
          <w:szCs w:val="20"/>
        </w:rPr>
        <w:t xml:space="preserve">which were the result of an effort throughout fiscal 2020 to increase liquidity and preserve cash while navigating the COVID-19 pandemic. These increases in net cash provided year-over-year were partially offset by increased quarterly cash dividends and a </w:t>
      </w:r>
      <w:r>
        <w:rPr>
          <w:rFonts w:eastAsia="Times New Roman"/>
          <w:color w:val="000000"/>
          <w:sz w:val="20"/>
          <w:szCs w:val="20"/>
        </w:rPr>
        <w:t>decrease in net proceeds from the issuance of common stock associated with the exercise of share-based compensation awards.</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Repurchase of Common Stock</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Company’</w:t>
      </w:r>
      <w:r>
        <w:rPr>
          <w:rFonts w:eastAsia="Times New Roman"/>
          <w:color w:val="000000"/>
          <w:sz w:val="20"/>
          <w:szCs w:val="20"/>
        </w:rPr>
        <w:t xml:space="preserve">s Board of Directors has authorized common stock repurchases under a share repurchase program which was announced in February 2007. The authorization amount of the program, which has been increased from time to time, is currently authorized for up to $4.5 </w:t>
      </w:r>
      <w:r>
        <w:rPr>
          <w:rFonts w:eastAsia="Times New Roman"/>
          <w:color w:val="000000"/>
          <w:sz w:val="20"/>
          <w:szCs w:val="20"/>
        </w:rPr>
        <w:t>billion, exclusive of any fees, commissions or other expenses related to such repurchases. The share repurchase program does not have an expiration date. The repurchases may be made from time to time on the open market or in privately negotiated transactio</w:t>
      </w:r>
      <w:r>
        <w:rPr>
          <w:rFonts w:eastAsia="Times New Roman"/>
          <w:color w:val="000000"/>
          <w:sz w:val="20"/>
          <w:szCs w:val="20"/>
        </w:rPr>
        <w:t xml:space="preserve">ns. The timing and amount of any shares repurchased under the program will depend </w:t>
      </w:r>
    </w:p>
    <w:p w:rsidR="00000000" w:rsidRDefault="00905244">
      <w:pPr>
        <w:jc w:val="center"/>
        <w:divId w:val="811026191"/>
        <w:rPr>
          <w:rFonts w:eastAsia="Times New Roman"/>
        </w:rPr>
      </w:pPr>
      <w:r>
        <w:rPr>
          <w:rFonts w:eastAsia="Times New Roman"/>
          <w:color w:val="000000"/>
          <w:sz w:val="20"/>
          <w:szCs w:val="20"/>
        </w:rPr>
        <w:t>43</w:t>
      </w:r>
    </w:p>
    <w:p w:rsidR="00000000" w:rsidRDefault="00905244">
      <w:pPr>
        <w:rPr>
          <w:rFonts w:eastAsia="Times New Roman"/>
        </w:rPr>
      </w:pPr>
      <w:r>
        <w:rPr>
          <w:rFonts w:eastAsia="Times New Roman"/>
        </w:rPr>
        <w:pict>
          <v:rect id="_x0000_i1072" style="width:0;height:1.5pt" o:hralign="center" o:hrstd="t" o:hr="t" fillcolor="#a0a0a0" stroked="f"/>
        </w:pict>
      </w:r>
    </w:p>
    <w:p w:rsidR="00000000" w:rsidRDefault="00905244">
      <w:pPr>
        <w:divId w:val="460345020"/>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on a variety of factors, including price, corporate and regulatory req</w:t>
      </w:r>
      <w:r>
        <w:rPr>
          <w:rFonts w:eastAsia="Times New Roman"/>
          <w:color w:val="000000"/>
          <w:sz w:val="20"/>
          <w:szCs w:val="20"/>
        </w:rPr>
        <w:t xml:space="preserve">uirements, capital availability, and other market conditions. Repurchased shares are accounted for at cost and will be held in treasury for future issuance. The program may be limited, temporarily paused, or terminated at any time without prior notice. As </w:t>
      </w:r>
      <w:r>
        <w:rPr>
          <w:rFonts w:eastAsia="Times New Roman"/>
          <w:color w:val="000000"/>
          <w:sz w:val="20"/>
          <w:szCs w:val="20"/>
        </w:rPr>
        <w:t xml:space="preserve">of December 26, 2020, the Company had remaining authorization under the share repurchase program of $1.14 billion, exclusive of any fees, commissions or other expenses.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repurchased approximately 3.4 million and 5.4 million shares of common stock unde</w:t>
      </w:r>
      <w:r>
        <w:rPr>
          <w:rFonts w:eastAsia="Times New Roman"/>
          <w:color w:val="000000"/>
          <w:sz w:val="20"/>
          <w:szCs w:val="20"/>
        </w:rPr>
        <w:t>r the share repurchase program at a total cost of $343.0 million and $533.3 million in fiscal 2020 and 2019, respectively.  As of December 26, 2020, the Company had remaining authorization under the share repurchase program of $1.14 billion, exclusive of a</w:t>
      </w:r>
      <w:r>
        <w:rPr>
          <w:rFonts w:eastAsia="Times New Roman"/>
          <w:color w:val="000000"/>
          <w:sz w:val="20"/>
          <w:szCs w:val="20"/>
        </w:rPr>
        <w:t>ny fees, commissions, or other expenses. Shares repurchased in fiscal 2020 were impacted by the temporary suspension of our share repurchase program from March 12, 2020 until November 5, 2020, in order to strengthen our liquidity and preserve cash while na</w:t>
      </w:r>
      <w:r>
        <w:rPr>
          <w:rFonts w:eastAsia="Times New Roman"/>
          <w:color w:val="000000"/>
          <w:sz w:val="20"/>
          <w:szCs w:val="20"/>
        </w:rPr>
        <w:t>vigating the COVID-19 pandemic.</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Cash Dividends Paid to Stockholders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paid cash dividends totaling $174.7 million and $162.7 million in fiscal 2020 and 2019, respectively. In fiscal 2020, we declared and paid cash dividends to stockholders of $1.50 pe</w:t>
      </w:r>
      <w:r>
        <w:rPr>
          <w:rFonts w:eastAsia="Times New Roman"/>
          <w:color w:val="000000"/>
          <w:sz w:val="20"/>
          <w:szCs w:val="20"/>
        </w:rPr>
        <w:t>r common share outstanding as compared to $1.36 per common share outstanding in fiscal 2019, respectively. These payments reflect an increase in the quarterly dividend in the third quarter of fiscal 2020 to $0.40 per share from $0.35 per share and an incre</w:t>
      </w:r>
      <w:r>
        <w:rPr>
          <w:rFonts w:eastAsia="Times New Roman"/>
          <w:color w:val="000000"/>
          <w:sz w:val="20"/>
          <w:szCs w:val="20"/>
        </w:rPr>
        <w:t xml:space="preserve">ase in the quarterly dividend in the second quarter of fiscal 2019 from $0.31 per share.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On January 27, 2021, the Company’s Board of Directors declared a quarterly cash dividend of $0.52 per share of the Company’s outstanding common stock.  The dividend</w:t>
      </w:r>
      <w:r>
        <w:rPr>
          <w:rFonts w:eastAsia="Times New Roman"/>
          <w:color w:val="000000"/>
          <w:sz w:val="20"/>
          <w:szCs w:val="20"/>
        </w:rPr>
        <w:t xml:space="preserve"> will be paid on March 9, 2021, to stockholders of record as of the close of business on February 22, 2021.</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It is the present intention of the Company’s Board of Directors to continue to pay a quarterly cash dividend; however, the declaration and payment</w:t>
      </w:r>
      <w:r>
        <w:rPr>
          <w:rFonts w:eastAsia="Times New Roman"/>
          <w:color w:val="000000"/>
          <w:sz w:val="20"/>
          <w:szCs w:val="20"/>
        </w:rPr>
        <w:t xml:space="preserve"> of future dividends will be determined by the Company’s Board of Directors in its sole discretion and will depend upon the earnings, financial condition, and capital needs of the Company, along with any other factors which the Company’s Board of Directors</w:t>
      </w:r>
      <w:r>
        <w:rPr>
          <w:rFonts w:eastAsia="Times New Roman"/>
          <w:color w:val="000000"/>
          <w:sz w:val="20"/>
          <w:szCs w:val="20"/>
        </w:rPr>
        <w:t xml:space="preserve"> deem relevant.</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2"/>
          <w:szCs w:val="22"/>
        </w:rPr>
        <w:t>Significant Contractual Obligations and Commercial Commitments</w:t>
      </w:r>
    </w:p>
    <w:p w:rsidR="00000000" w:rsidRDefault="00905244">
      <w:pPr>
        <w:divId w:val="6103691"/>
        <w:rPr>
          <w:rFonts w:eastAsia="Times New Roman"/>
        </w:rPr>
      </w:pPr>
    </w:p>
    <w:p w:rsidR="00000000" w:rsidRDefault="00905244">
      <w:pPr>
        <w:jc w:val="both"/>
        <w:rPr>
          <w:rFonts w:eastAsia="Times New Roman"/>
        </w:rPr>
      </w:pPr>
      <w:r>
        <w:rPr>
          <w:rFonts w:eastAsia="Times New Roman"/>
          <w:color w:val="000000"/>
          <w:sz w:val="20"/>
          <w:szCs w:val="20"/>
        </w:rPr>
        <w:t>The following table reflects our future obligations and commitments as of December 26, 2020 (in thousands):</w:t>
      </w:r>
    </w:p>
    <w:tbl>
      <w:tblPr>
        <w:tblW w:w="4992" w:type="pct"/>
        <w:tblCellMar>
          <w:top w:w="15" w:type="dxa"/>
          <w:left w:w="15" w:type="dxa"/>
          <w:bottom w:w="15" w:type="dxa"/>
          <w:right w:w="15" w:type="dxa"/>
        </w:tblCellMar>
        <w:tblLook w:val="04A0" w:firstRow="1" w:lastRow="0" w:firstColumn="1" w:lastColumn="0" w:noHBand="0" w:noVBand="1"/>
      </w:tblPr>
      <w:tblGrid>
        <w:gridCol w:w="37"/>
        <w:gridCol w:w="2559"/>
        <w:gridCol w:w="36"/>
        <w:gridCol w:w="36"/>
        <w:gridCol w:w="36"/>
        <w:gridCol w:w="36"/>
        <w:gridCol w:w="120"/>
        <w:gridCol w:w="867"/>
        <w:gridCol w:w="36"/>
        <w:gridCol w:w="36"/>
        <w:gridCol w:w="36"/>
        <w:gridCol w:w="36"/>
        <w:gridCol w:w="120"/>
        <w:gridCol w:w="868"/>
        <w:gridCol w:w="36"/>
        <w:gridCol w:w="36"/>
        <w:gridCol w:w="36"/>
        <w:gridCol w:w="36"/>
        <w:gridCol w:w="120"/>
        <w:gridCol w:w="868"/>
        <w:gridCol w:w="36"/>
        <w:gridCol w:w="36"/>
        <w:gridCol w:w="36"/>
        <w:gridCol w:w="36"/>
        <w:gridCol w:w="120"/>
        <w:gridCol w:w="868"/>
        <w:gridCol w:w="36"/>
        <w:gridCol w:w="36"/>
        <w:gridCol w:w="36"/>
        <w:gridCol w:w="36"/>
        <w:gridCol w:w="120"/>
        <w:gridCol w:w="870"/>
        <w:gridCol w:w="36"/>
      </w:tblGrid>
      <w:tr w:rsidR="00000000">
        <w:trPr>
          <w:divId w:val="554196460"/>
        </w:trPr>
        <w:tc>
          <w:tcPr>
            <w:tcW w:w="50" w:type="pct"/>
            <w:vAlign w:val="center"/>
            <w:hideMark/>
          </w:tcPr>
          <w:p w:rsidR="00000000" w:rsidRDefault="00905244">
            <w:pPr>
              <w:jc w:val="both"/>
              <w:rPr>
                <w:rFonts w:eastAsia="Times New Roman"/>
              </w:rPr>
            </w:pPr>
          </w:p>
        </w:tc>
        <w:tc>
          <w:tcPr>
            <w:tcW w:w="157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8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8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8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8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8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554196460"/>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7"/>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Payment Due by Period</w:t>
            </w:r>
          </w:p>
        </w:tc>
      </w:tr>
      <w:tr w:rsidR="00000000">
        <w:trPr>
          <w:divId w:val="554196460"/>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2022-2023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2024-2025</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Thereafter</w:t>
            </w:r>
          </w:p>
        </w:tc>
      </w:tr>
      <w:tr w:rsidR="00000000">
        <w:trPr>
          <w:divId w:val="554196460"/>
        </w:trPr>
        <w:tc>
          <w:tcPr>
            <w:tcW w:w="0" w:type="auto"/>
            <w:gridSpan w:val="3"/>
            <w:shd w:val="clear" w:color="auto" w:fill="CCEEFF"/>
            <w:tcMar>
              <w:top w:w="30" w:type="dxa"/>
              <w:left w:w="20" w:type="dxa"/>
              <w:bottom w:w="30" w:type="dxa"/>
              <w:right w:w="20" w:type="dxa"/>
            </w:tcMar>
            <w:vAlign w:val="bottom"/>
            <w:hideMark/>
          </w:tcPr>
          <w:p w:rsidR="00000000" w:rsidRDefault="00905244">
            <w:pPr>
              <w:divId w:val="1130123662"/>
              <w:rPr>
                <w:rFonts w:eastAsia="Times New Roman"/>
              </w:rPr>
            </w:pPr>
            <w:r>
              <w:rPr>
                <w:rFonts w:eastAsia="Times New Roman"/>
                <w:color w:val="000000"/>
                <w:sz w:val="20"/>
                <w:szCs w:val="20"/>
              </w:rPr>
              <w:t>Operating leases</w:t>
            </w:r>
            <w:r>
              <w:rPr>
                <w:rFonts w:eastAsia="Times New Roman"/>
                <w:color w:val="000000"/>
                <w:sz w:val="20"/>
                <w:szCs w:val="20"/>
              </w:rPr>
              <w:t xml:space="preserve"> </w:t>
            </w:r>
            <w:r>
              <w:rPr>
                <w:rFonts w:eastAsia="Times New Roman"/>
                <w:color w:val="000000"/>
                <w:sz w:val="13"/>
                <w:szCs w:val="13"/>
              </w:rPr>
              <w:t>(a) (b</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3,039,043 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394,576 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733,692 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625,490 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1,285,285 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554196460"/>
        </w:trPr>
        <w:tc>
          <w:tcPr>
            <w:tcW w:w="0" w:type="auto"/>
            <w:gridSpan w:val="3"/>
            <w:shd w:val="clear" w:color="auto" w:fill="FFFFFF"/>
            <w:tcMar>
              <w:top w:w="30" w:type="dxa"/>
              <w:left w:w="20" w:type="dxa"/>
              <w:bottom w:w="30" w:type="dxa"/>
              <w:right w:w="20" w:type="dxa"/>
            </w:tcMar>
            <w:vAlign w:val="bottom"/>
            <w:hideMark/>
          </w:tcPr>
          <w:p w:rsidR="00000000" w:rsidRDefault="00905244">
            <w:pPr>
              <w:divId w:val="1353531089"/>
              <w:rPr>
                <w:rFonts w:eastAsia="Times New Roman"/>
              </w:rPr>
            </w:pPr>
            <w:r>
              <w:rPr>
                <w:rFonts w:eastAsia="Times New Roman"/>
                <w:color w:val="000000"/>
                <w:sz w:val="20"/>
                <w:szCs w:val="20"/>
              </w:rPr>
              <w:t>Finance leases</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48,126 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6,269 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9,294 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8,060 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24,503 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554196460"/>
        </w:trPr>
        <w:tc>
          <w:tcPr>
            <w:tcW w:w="0" w:type="auto"/>
            <w:gridSpan w:val="3"/>
            <w:shd w:val="clear" w:color="auto" w:fill="CCEEFF"/>
            <w:tcMar>
              <w:top w:w="30" w:type="dxa"/>
              <w:left w:w="20" w:type="dxa"/>
              <w:bottom w:w="30" w:type="dxa"/>
              <w:right w:w="20" w:type="dxa"/>
            </w:tcMar>
            <w:vAlign w:val="bottom"/>
            <w:hideMark/>
          </w:tcPr>
          <w:p w:rsidR="00000000" w:rsidRDefault="00905244">
            <w:pPr>
              <w:divId w:val="1846700454"/>
              <w:rPr>
                <w:rFonts w:eastAsia="Times New Roman"/>
              </w:rPr>
            </w:pPr>
            <w:r>
              <w:rPr>
                <w:rFonts w:eastAsia="Times New Roman"/>
                <w:color w:val="000000"/>
                <w:sz w:val="20"/>
                <w:szCs w:val="20"/>
              </w:rPr>
              <w:t>Long-term debt</w:t>
            </w:r>
            <w:r>
              <w:rPr>
                <w:rFonts w:eastAsia="Times New Roman"/>
                <w:color w:val="000000"/>
                <w:sz w:val="20"/>
                <w:szCs w:val="20"/>
              </w:rPr>
              <w:t xml:space="preserve"> </w:t>
            </w:r>
            <w:r>
              <w:rPr>
                <w:rFonts w:eastAsia="Times New Roman"/>
                <w:color w:val="000000"/>
                <w:sz w:val="13"/>
                <w:szCs w:val="13"/>
              </w:rPr>
              <w:t>(c</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1,171,515 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20,747 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240,857 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33,850 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876,061 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554196460"/>
        </w:trPr>
        <w:tc>
          <w:tcPr>
            <w:tcW w:w="0" w:type="auto"/>
            <w:gridSpan w:val="3"/>
            <w:vAlign w:val="center"/>
            <w:hideMark/>
          </w:tcPr>
          <w:p w:rsidR="00000000" w:rsidRDefault="00905244">
            <w:pPr>
              <w:jc w:val="right"/>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554196460"/>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4,258,684 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421,592 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983,843 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667,400 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2,185,849 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divId w:val="1257521707"/>
        <w:rPr>
          <w:rFonts w:eastAsia="Times New Roman"/>
        </w:rPr>
      </w:pPr>
      <w:r>
        <w:rPr>
          <w:rFonts w:eastAsia="Times New Roman"/>
          <w:color w:val="000000"/>
          <w:sz w:val="10"/>
          <w:szCs w:val="10"/>
        </w:rPr>
        <w:t>(a</w:t>
      </w:r>
      <w:r>
        <w:rPr>
          <w:rFonts w:eastAsia="Times New Roman"/>
          <w:color w:val="000000"/>
          <w:sz w:val="10"/>
          <w:szCs w:val="10"/>
        </w:rPr>
        <w:t>)</w:t>
      </w:r>
      <w:r>
        <w:rPr>
          <w:rFonts w:eastAsia="Times New Roman"/>
          <w:color w:val="000000"/>
          <w:sz w:val="16"/>
          <w:szCs w:val="16"/>
        </w:rPr>
        <w:t xml:space="preserve"> Operating lease payments exclude $174.1 million of legally binding minimum lease payments for leases signed, but not yet commenced.</w:t>
      </w:r>
    </w:p>
    <w:p w:rsidR="00000000" w:rsidRDefault="00905244">
      <w:pPr>
        <w:jc w:val="both"/>
        <w:rPr>
          <w:rFonts w:eastAsia="Times New Roman"/>
        </w:rPr>
      </w:pPr>
      <w:r>
        <w:rPr>
          <w:rFonts w:eastAsia="Times New Roman"/>
          <w:color w:val="000000"/>
          <w:sz w:val="10"/>
          <w:szCs w:val="10"/>
        </w:rPr>
        <w:t>(b)</w:t>
      </w:r>
      <w:r>
        <w:rPr>
          <w:rFonts w:eastAsia="Times New Roman"/>
          <w:color w:val="000000"/>
          <w:sz w:val="10"/>
          <w:szCs w:val="10"/>
        </w:rPr>
        <w:t xml:space="preserve"> </w:t>
      </w:r>
      <w:r>
        <w:rPr>
          <w:rFonts w:eastAsia="Times New Roman"/>
          <w:color w:val="000000"/>
          <w:sz w:val="16"/>
          <w:szCs w:val="16"/>
        </w:rPr>
        <w:t>Operating and finance lease obligations both include related interest.</w:t>
      </w:r>
    </w:p>
    <w:p w:rsidR="00000000" w:rsidRDefault="00905244">
      <w:pPr>
        <w:ind w:hanging="180"/>
        <w:jc w:val="both"/>
        <w:rPr>
          <w:rFonts w:eastAsia="Times New Roman"/>
        </w:rPr>
      </w:pPr>
      <w:r>
        <w:rPr>
          <w:rFonts w:eastAsia="Times New Roman"/>
          <w:color w:val="000000"/>
          <w:sz w:val="10"/>
          <w:szCs w:val="10"/>
        </w:rPr>
        <w:t>(c)</w:t>
      </w:r>
      <w:r>
        <w:rPr>
          <w:rFonts w:eastAsia="Times New Roman"/>
          <w:color w:val="000000"/>
          <w:sz w:val="10"/>
          <w:szCs w:val="10"/>
        </w:rPr>
        <w:t xml:space="preserve"> </w:t>
      </w:r>
      <w:r>
        <w:rPr>
          <w:rFonts w:eastAsia="Times New Roman"/>
          <w:color w:val="000000"/>
          <w:sz w:val="16"/>
          <w:szCs w:val="16"/>
        </w:rPr>
        <w:t>Long-term</w:t>
      </w:r>
      <w:r>
        <w:rPr>
          <w:rFonts w:eastAsia="Times New Roman"/>
          <w:color w:val="000000"/>
          <w:sz w:val="16"/>
          <w:szCs w:val="16"/>
        </w:rPr>
        <w:t xml:space="preserve"> debt obligations include an estimate of related interest after consideration of the interest rate swap agreements. See Notes 4 and 5 to the Consolidated Financial Statements for additional information regarding our interest rates.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At December 26, 2020, </w:t>
      </w:r>
      <w:r>
        <w:rPr>
          <w:rFonts w:eastAsia="Times New Roman"/>
          <w:color w:val="000000"/>
          <w:sz w:val="20"/>
          <w:szCs w:val="20"/>
        </w:rPr>
        <w:t>there were $48.7 million outstanding letters of credit under the Senior Credit Facility.</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Off-Balance Sheet Arrangements</w:t>
      </w:r>
    </w:p>
    <w:p w:rsidR="00000000" w:rsidRDefault="00905244">
      <w:pPr>
        <w:divId w:val="331299212"/>
        <w:rPr>
          <w:rFonts w:eastAsia="Times New Roman"/>
        </w:rPr>
      </w:pPr>
    </w:p>
    <w:p w:rsidR="00000000" w:rsidRDefault="00905244">
      <w:pPr>
        <w:jc w:val="both"/>
        <w:rPr>
          <w:rFonts w:eastAsia="Times New Roman"/>
        </w:rPr>
      </w:pPr>
      <w:r>
        <w:rPr>
          <w:rFonts w:eastAsia="Times New Roman"/>
          <w:color w:val="000000"/>
          <w:sz w:val="20"/>
          <w:szCs w:val="20"/>
        </w:rPr>
        <w:t>Our off-balance sheet arrangements are limited to lease agreements signed but not yet commenced and outstanding letters of credit.  </w:t>
      </w:r>
      <w:r>
        <w:rPr>
          <w:rFonts w:eastAsia="Times New Roman"/>
          <w:color w:val="000000"/>
          <w:sz w:val="20"/>
          <w:szCs w:val="20"/>
        </w:rPr>
        <w:t>The balances for these arrangements are previously discussed.  Letters of credit allow us to purchase inventory, primarily sourced overseas, in a timely manner and support certain risk management programs.</w:t>
      </w:r>
    </w:p>
    <w:p w:rsidR="00000000" w:rsidRDefault="00905244">
      <w:pPr>
        <w:jc w:val="right"/>
        <w:rPr>
          <w:rFonts w:eastAsia="Times New Roman"/>
        </w:rPr>
      </w:pPr>
    </w:p>
    <w:p w:rsidR="00000000" w:rsidRDefault="00905244">
      <w:pPr>
        <w:jc w:val="both"/>
        <w:rPr>
          <w:rFonts w:eastAsia="Times New Roman"/>
        </w:rPr>
      </w:pPr>
      <w:r>
        <w:rPr>
          <w:rFonts w:eastAsia="Times New Roman"/>
          <w:b/>
          <w:bCs/>
          <w:color w:val="000000"/>
          <w:sz w:val="20"/>
          <w:szCs w:val="20"/>
        </w:rPr>
        <w:t>New Accounting Pronouncements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w:t>
      </w:r>
      <w:r>
        <w:rPr>
          <w:rFonts w:eastAsia="Times New Roman"/>
          <w:color w:val="000000"/>
          <w:sz w:val="18"/>
          <w:szCs w:val="18"/>
        </w:rPr>
        <w:t xml:space="preserve"> </w:t>
      </w:r>
      <w:r>
        <w:rPr>
          <w:rFonts w:eastAsia="Times New Roman"/>
          <w:color w:val="000000"/>
          <w:sz w:val="20"/>
          <w:szCs w:val="20"/>
        </w:rPr>
        <w:t>Company adop</w:t>
      </w:r>
      <w:r>
        <w:rPr>
          <w:rFonts w:eastAsia="Times New Roman"/>
          <w:color w:val="000000"/>
          <w:sz w:val="20"/>
          <w:szCs w:val="20"/>
        </w:rPr>
        <w:t xml:space="preserve">ted new lease accounting guidance in the first quarter of fiscal 2019 which had a material impact on our Consolidated Balance Sheets and related disclosures. For additional information, including the required disclosures, related to the impact of adopting </w:t>
      </w:r>
      <w:r>
        <w:rPr>
          <w:rFonts w:eastAsia="Times New Roman"/>
          <w:color w:val="000000"/>
          <w:sz w:val="20"/>
          <w:szCs w:val="20"/>
        </w:rPr>
        <w:t xml:space="preserve">this new accounting guidance, see Note 1 and Note 6 to the Consolidated Financial Statements. </w:t>
      </w:r>
    </w:p>
    <w:p w:rsidR="00000000" w:rsidRDefault="00905244">
      <w:pPr>
        <w:jc w:val="both"/>
        <w:rPr>
          <w:rFonts w:eastAsia="Times New Roman"/>
        </w:rPr>
      </w:pPr>
    </w:p>
    <w:p w:rsidR="00000000" w:rsidRDefault="00905244">
      <w:pPr>
        <w:jc w:val="center"/>
        <w:divId w:val="1495997270"/>
        <w:rPr>
          <w:rFonts w:eastAsia="Times New Roman"/>
        </w:rPr>
      </w:pPr>
      <w:r>
        <w:rPr>
          <w:rFonts w:eastAsia="Times New Roman"/>
          <w:color w:val="000000"/>
          <w:sz w:val="20"/>
          <w:szCs w:val="20"/>
        </w:rPr>
        <w:t>44</w:t>
      </w:r>
    </w:p>
    <w:p w:rsidR="00000000" w:rsidRDefault="00905244">
      <w:pPr>
        <w:rPr>
          <w:rFonts w:eastAsia="Times New Roman"/>
        </w:rPr>
      </w:pPr>
      <w:r>
        <w:rPr>
          <w:rFonts w:eastAsia="Times New Roman"/>
        </w:rPr>
        <w:pict>
          <v:rect id="_x0000_i1073" style="width:0;height:1.5pt" o:hralign="center" o:hrstd="t" o:hr="t" fillcolor="#a0a0a0" stroked="f"/>
        </w:pict>
      </w:r>
    </w:p>
    <w:p w:rsidR="00000000" w:rsidRDefault="00905244">
      <w:pPr>
        <w:divId w:val="1178302322"/>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 xml:space="preserve">Refer to Note 14 to the Consolidated Financial Statements for recently adopted accounting pronouncements and recently issued pronouncements not yet adopted </w:t>
      </w:r>
      <w:r>
        <w:rPr>
          <w:rFonts w:eastAsia="Times New Roman"/>
          <w:color w:val="000000"/>
          <w:sz w:val="20"/>
          <w:szCs w:val="20"/>
        </w:rPr>
        <w:t>as of December 26, 2020.</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u w:val="single"/>
        </w:rPr>
        <w:t>Item 7A</w:t>
      </w:r>
      <w:r>
        <w:rPr>
          <w:rFonts w:eastAsia="Times New Roman"/>
          <w:b/>
          <w:bCs/>
          <w:color w:val="000000"/>
          <w:sz w:val="20"/>
          <w:szCs w:val="20"/>
        </w:rPr>
        <w:t>.     </w:t>
      </w:r>
      <w:r>
        <w:rPr>
          <w:rFonts w:eastAsia="Times New Roman"/>
          <w:b/>
          <w:bCs/>
          <w:color w:val="000000"/>
          <w:sz w:val="20"/>
          <w:szCs w:val="20"/>
          <w:u w:val="single"/>
        </w:rPr>
        <w:t>Quantitative and Qualitative Disclosures About Market Risk</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Interest Rate Risk</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We are exposed to interest rate changes, primarily as a result of borrowings under our Senior Credit Facility (as discussed in Note 4 </w:t>
      </w:r>
      <w:r>
        <w:rPr>
          <w:rFonts w:eastAsia="Times New Roman"/>
          <w:color w:val="000000"/>
          <w:sz w:val="20"/>
          <w:szCs w:val="20"/>
        </w:rPr>
        <w:t>to the Consolidated Financial Statements), which bear interest based on variable rates.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As discussed in Note 5 to the Consolidated Financial Statements, we entered into interest rate swap agreements which are intended to mitigate interest rate risk assoc</w:t>
      </w:r>
      <w:r>
        <w:rPr>
          <w:rFonts w:eastAsia="Times New Roman"/>
          <w:color w:val="000000"/>
          <w:sz w:val="20"/>
          <w:szCs w:val="20"/>
        </w:rPr>
        <w:t>iated with future changes in interest rates for the term loan borrowings under the Senior Credit Facility. As a result of the interest rate swaps, our exposure to interest rate volatility is minimized. The interest rate swap agreements have been executed f</w:t>
      </w:r>
      <w:r>
        <w:rPr>
          <w:rFonts w:eastAsia="Times New Roman"/>
          <w:color w:val="000000"/>
          <w:sz w:val="20"/>
          <w:szCs w:val="20"/>
        </w:rPr>
        <w:t>or risk management purposes and are not held for trading purposes.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A 1% change in interest rates on our variable rate debt in excess of that amount covered by the interest rate swaps would have affected interest expense by approximately $2.4 million, $1.</w:t>
      </w:r>
      <w:r>
        <w:rPr>
          <w:rFonts w:eastAsia="Times New Roman"/>
          <w:color w:val="000000"/>
          <w:sz w:val="20"/>
          <w:szCs w:val="20"/>
        </w:rPr>
        <w:t>9 million, and $1.6 million in fiscal 2020, 2019, and 2018, respectively. Based on the amount of outstanding variable rate debt as of December 26, 2020, excluding those borrowings for which we have interest rate swaps, a 1% change in interest rates would n</w:t>
      </w:r>
      <w:r>
        <w:rPr>
          <w:rFonts w:eastAsia="Times New Roman"/>
          <w:color w:val="000000"/>
          <w:sz w:val="20"/>
          <w:szCs w:val="20"/>
        </w:rPr>
        <w:t>ot result in any material increase in our interest expense on a prospective basis.</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Purchase Price Volatility</w:t>
      </w:r>
    </w:p>
    <w:p w:rsidR="00000000" w:rsidRDefault="00905244">
      <w:pPr>
        <w:divId w:val="159123042"/>
        <w:rPr>
          <w:rFonts w:eastAsia="Times New Roman"/>
        </w:rPr>
      </w:pPr>
    </w:p>
    <w:p w:rsidR="00000000" w:rsidRDefault="00905244">
      <w:pPr>
        <w:jc w:val="both"/>
        <w:rPr>
          <w:rFonts w:eastAsia="Times New Roman"/>
        </w:rPr>
      </w:pPr>
      <w:r>
        <w:rPr>
          <w:rFonts w:eastAsia="Times New Roman"/>
          <w:color w:val="000000"/>
          <w:sz w:val="20"/>
          <w:szCs w:val="20"/>
        </w:rPr>
        <w:t>Although we cannot determine the full effect of inflation and deflation on our operations, we believe our sales and results of operations are affected by both.  We are subject to market risk with respect to the pricing of certain products and services, whi</w:t>
      </w:r>
      <w:r>
        <w:rPr>
          <w:rFonts w:eastAsia="Times New Roman"/>
          <w:color w:val="000000"/>
          <w:sz w:val="20"/>
          <w:szCs w:val="20"/>
        </w:rPr>
        <w:t>ch include, among other items, grain, corn, steel, petroleum, cotton, and other commodities, as well as duties, tariffs, diesel fuel, and transportation services.  Therefore, we may experience both inflationary and deflationary pressure on product cost, wh</w:t>
      </w:r>
      <w:r>
        <w:rPr>
          <w:rFonts w:eastAsia="Times New Roman"/>
          <w:color w:val="000000"/>
          <w:sz w:val="20"/>
          <w:szCs w:val="20"/>
        </w:rPr>
        <w:t>ich may impact consumer demand and, as a result, sales and gross margin.  Our strategy is to reduce or mitigate the effects of purchase price volatility, principally by taking advantage of vendor incentive programs, economies of scale from increased volume</w:t>
      </w:r>
      <w:r>
        <w:rPr>
          <w:rFonts w:eastAsia="Times New Roman"/>
          <w:color w:val="000000"/>
          <w:sz w:val="20"/>
          <w:szCs w:val="20"/>
        </w:rPr>
        <w:t xml:space="preserve"> of purchases, adjusting retail prices, and selectively buying from the most competitive vendors without sacrificing quality.</w:t>
      </w:r>
    </w:p>
    <w:p w:rsidR="00000000" w:rsidRDefault="00905244">
      <w:pPr>
        <w:jc w:val="both"/>
        <w:rPr>
          <w:rFonts w:eastAsia="Times New Roman"/>
        </w:rPr>
      </w:pPr>
    </w:p>
    <w:p w:rsidR="00000000" w:rsidRDefault="00905244">
      <w:pPr>
        <w:jc w:val="center"/>
        <w:divId w:val="1766808267"/>
        <w:rPr>
          <w:rFonts w:eastAsia="Times New Roman"/>
        </w:rPr>
      </w:pPr>
      <w:r>
        <w:rPr>
          <w:rFonts w:eastAsia="Times New Roman"/>
          <w:color w:val="000000"/>
          <w:sz w:val="20"/>
          <w:szCs w:val="20"/>
        </w:rPr>
        <w:t>45</w:t>
      </w:r>
    </w:p>
    <w:p w:rsidR="00000000" w:rsidRDefault="00905244">
      <w:pPr>
        <w:rPr>
          <w:rFonts w:eastAsia="Times New Roman"/>
        </w:rPr>
      </w:pPr>
      <w:r>
        <w:rPr>
          <w:rFonts w:eastAsia="Times New Roman"/>
        </w:rPr>
        <w:pict>
          <v:rect id="_x0000_i1074" style="width:0;height:1.5pt" o:hralign="center" o:hrstd="t" o:hr="t" fillcolor="#a0a0a0" stroked="f"/>
        </w:pict>
      </w:r>
    </w:p>
    <w:p w:rsidR="00000000" w:rsidRDefault="00905244">
      <w:pPr>
        <w:divId w:val="1894996203"/>
        <w:rPr>
          <w:rFonts w:eastAsia="Times New Roman"/>
        </w:rPr>
      </w:pPr>
      <w:hyperlink w:anchor="i137f04c25e1e4da3b6d1f469d06f3319_7" w:history="1">
        <w:r>
          <w:rPr>
            <w:rStyle w:val="a3"/>
            <w:rFonts w:eastAsia="Times New Roman"/>
            <w:sz w:val="18"/>
            <w:szCs w:val="18"/>
          </w:rPr>
          <w:t>Index</w:t>
        </w:r>
      </w:hyperlink>
    </w:p>
    <w:p w:rsidR="00000000" w:rsidRDefault="00905244">
      <w:pPr>
        <w:ind w:hanging="1440"/>
        <w:divId w:val="1633294219"/>
        <w:rPr>
          <w:rFonts w:eastAsia="Times New Roman"/>
        </w:rPr>
      </w:pPr>
      <w:r>
        <w:rPr>
          <w:rFonts w:eastAsia="Times New Roman"/>
          <w:b/>
          <w:bCs/>
          <w:color w:val="000000"/>
          <w:sz w:val="20"/>
          <w:szCs w:val="20"/>
          <w:u w:val="single"/>
        </w:rPr>
        <w:t>Item 8</w:t>
      </w:r>
      <w:r>
        <w:rPr>
          <w:rFonts w:eastAsia="Times New Roman"/>
          <w:b/>
          <w:bCs/>
          <w:color w:val="000000"/>
          <w:sz w:val="20"/>
          <w:szCs w:val="20"/>
        </w:rPr>
        <w:t>.        </w:t>
      </w:r>
      <w:r>
        <w:rPr>
          <w:rFonts w:eastAsia="Times New Roman"/>
          <w:b/>
          <w:bCs/>
          <w:color w:val="000000"/>
          <w:sz w:val="20"/>
          <w:szCs w:val="20"/>
          <w:u w:val="single"/>
        </w:rPr>
        <w:t>Financial</w:t>
      </w:r>
      <w:r>
        <w:rPr>
          <w:rFonts w:eastAsia="Times New Roman"/>
          <w:b/>
          <w:bCs/>
          <w:color w:val="000000"/>
          <w:sz w:val="20"/>
          <w:szCs w:val="20"/>
          <w:u w:val="single"/>
        </w:rPr>
        <w:t xml:space="preserve"> Statements and Supplementary Data</w:t>
      </w:r>
    </w:p>
    <w:p w:rsidR="00000000" w:rsidRDefault="00905244">
      <w:pPr>
        <w:divId w:val="1151101103"/>
        <w:rPr>
          <w:rFonts w:eastAsia="Times New Roman"/>
        </w:rPr>
      </w:pPr>
    </w:p>
    <w:p w:rsidR="00000000" w:rsidRDefault="00905244">
      <w:pPr>
        <w:jc w:val="center"/>
        <w:rPr>
          <w:rFonts w:eastAsia="Times New Roman"/>
        </w:rPr>
      </w:pPr>
      <w:r>
        <w:rPr>
          <w:rFonts w:eastAsia="Times New Roman"/>
          <w:b/>
          <w:bCs/>
          <w:color w:val="000000"/>
          <w:sz w:val="20"/>
          <w:szCs w:val="20"/>
        </w:rPr>
        <w:t>INDEX</w:t>
      </w:r>
    </w:p>
    <w:p w:rsidR="00000000" w:rsidRDefault="00905244">
      <w:pPr>
        <w:divId w:val="1003431700"/>
        <w:rPr>
          <w:rFonts w:eastAsia="Times New Roman"/>
        </w:rPr>
      </w:pPr>
    </w:p>
    <w:p w:rsidR="00000000" w:rsidRDefault="00905244">
      <w:pPr>
        <w:jc w:val="center"/>
        <w:rPr>
          <w:rFonts w:eastAsia="Times New Roman"/>
        </w:rPr>
      </w:pPr>
      <w:r>
        <w:rPr>
          <w:rFonts w:eastAsia="Times New Roman"/>
          <w:b/>
          <w:bCs/>
          <w:color w:val="000000"/>
          <w:sz w:val="20"/>
          <w:szCs w:val="20"/>
        </w:rPr>
        <w:t>TRACTOR SUPPLY COMPANY</w:t>
      </w:r>
    </w:p>
    <w:p w:rsidR="00000000" w:rsidRDefault="00905244">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7473"/>
        <w:gridCol w:w="37"/>
        <w:gridCol w:w="69"/>
        <w:gridCol w:w="622"/>
        <w:gridCol w:w="36"/>
      </w:tblGrid>
      <w:tr w:rsidR="00000000">
        <w:trPr>
          <w:divId w:val="1152453329"/>
        </w:trPr>
        <w:tc>
          <w:tcPr>
            <w:tcW w:w="50" w:type="pct"/>
            <w:vAlign w:val="center"/>
            <w:hideMark/>
          </w:tcPr>
          <w:p w:rsidR="00000000" w:rsidRDefault="00905244">
            <w:pPr>
              <w:jc w:val="both"/>
              <w:rPr>
                <w:rFonts w:eastAsia="Times New Roman"/>
              </w:rPr>
            </w:pPr>
          </w:p>
        </w:tc>
        <w:tc>
          <w:tcPr>
            <w:tcW w:w="450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383"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152453329"/>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 </w:t>
            </w:r>
            <w:r>
              <w:rPr>
                <w:rFonts w:eastAsia="Times New Roman"/>
                <w:b/>
                <w:bCs/>
                <w:color w:val="000000"/>
                <w:sz w:val="20"/>
                <w:szCs w:val="20"/>
                <w:u w:val="single"/>
              </w:rPr>
              <w:t>Page</w:t>
            </w:r>
          </w:p>
        </w:tc>
      </w:tr>
      <w:tr w:rsidR="00000000">
        <w:trPr>
          <w:divId w:val="1152453329"/>
        </w:trPr>
        <w:tc>
          <w:tcPr>
            <w:tcW w:w="0" w:type="auto"/>
            <w:gridSpan w:val="3"/>
            <w:tcMar>
              <w:top w:w="30" w:type="dxa"/>
              <w:left w:w="20" w:type="dxa"/>
              <w:bottom w:w="30" w:type="dxa"/>
              <w:right w:w="20" w:type="dxa"/>
            </w:tcMar>
            <w:vAlign w:val="bottom"/>
            <w:hideMark/>
          </w:tcPr>
          <w:p w:rsidR="00000000" w:rsidRDefault="00905244">
            <w:pPr>
              <w:divId w:val="1111585155"/>
              <w:rPr>
                <w:rFonts w:eastAsia="Times New Roman"/>
              </w:rPr>
            </w:pPr>
            <w:hyperlink w:anchor="i137f04c25e1e4da3b6d1f469d06f3319_76" w:history="1">
              <w:r>
                <w:rPr>
                  <w:rStyle w:val="a3"/>
                  <w:rFonts w:eastAsia="Times New Roman"/>
                  <w:sz w:val="20"/>
                  <w:szCs w:val="20"/>
                </w:rPr>
                <w:t>Management's Report on Internal Control over Financial Reporting</w:t>
              </w:r>
            </w:hyperlink>
          </w:p>
        </w:tc>
        <w:tc>
          <w:tcPr>
            <w:tcW w:w="0" w:type="auto"/>
            <w:gridSpan w:val="3"/>
            <w:tcMar>
              <w:top w:w="30" w:type="dxa"/>
              <w:left w:w="20" w:type="dxa"/>
              <w:bottom w:w="30" w:type="dxa"/>
              <w:right w:w="20" w:type="dxa"/>
            </w:tcMar>
            <w:hideMark/>
          </w:tcPr>
          <w:p w:rsidR="00000000" w:rsidRDefault="00905244">
            <w:pPr>
              <w:jc w:val="center"/>
              <w:rPr>
                <w:rFonts w:eastAsia="Times New Roman"/>
              </w:rPr>
            </w:pPr>
            <w:hyperlink w:anchor="i137f04c25e1e4da3b6d1f469d06f3319_76" w:history="1">
              <w:r>
                <w:rPr>
                  <w:rStyle w:val="a3"/>
                  <w:rFonts w:eastAsia="Times New Roman"/>
                  <w:sz w:val="20"/>
                  <w:szCs w:val="20"/>
                </w:rPr>
                <w:t>47</w:t>
              </w:r>
            </w:hyperlink>
          </w:p>
        </w:tc>
      </w:tr>
      <w:tr w:rsidR="00000000">
        <w:trPr>
          <w:divId w:val="1152453329"/>
          <w:trHeight w:val="300"/>
        </w:trPr>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152453329"/>
        </w:trPr>
        <w:tc>
          <w:tcPr>
            <w:tcW w:w="0" w:type="auto"/>
            <w:gridSpan w:val="3"/>
            <w:tcMar>
              <w:top w:w="30" w:type="dxa"/>
              <w:left w:w="20" w:type="dxa"/>
              <w:bottom w:w="30" w:type="dxa"/>
              <w:right w:w="20" w:type="dxa"/>
            </w:tcMar>
            <w:vAlign w:val="bottom"/>
            <w:hideMark/>
          </w:tcPr>
          <w:p w:rsidR="00000000" w:rsidRDefault="00905244">
            <w:pPr>
              <w:divId w:val="1335382054"/>
              <w:rPr>
                <w:rFonts w:eastAsia="Times New Roman"/>
              </w:rPr>
            </w:pPr>
            <w:hyperlink w:anchor="i137f04c25e1e4da3b6d1f469d06f3319_79" w:history="1">
              <w:r>
                <w:rPr>
                  <w:rStyle w:val="a3"/>
                  <w:rFonts w:eastAsia="Times New Roman"/>
                  <w:sz w:val="20"/>
                  <w:szCs w:val="20"/>
                </w:rPr>
                <w:t>Reports of Independent Registered Public Accounting Firm</w:t>
              </w:r>
            </w:hyperlink>
          </w:p>
        </w:tc>
        <w:tc>
          <w:tcPr>
            <w:tcW w:w="0" w:type="auto"/>
            <w:gridSpan w:val="3"/>
            <w:tcMar>
              <w:top w:w="30" w:type="dxa"/>
              <w:left w:w="20" w:type="dxa"/>
              <w:bottom w:w="30" w:type="dxa"/>
              <w:right w:w="20" w:type="dxa"/>
            </w:tcMar>
            <w:hideMark/>
          </w:tcPr>
          <w:p w:rsidR="00000000" w:rsidRDefault="00905244">
            <w:pPr>
              <w:jc w:val="center"/>
              <w:rPr>
                <w:rFonts w:eastAsia="Times New Roman"/>
              </w:rPr>
            </w:pPr>
            <w:hyperlink w:anchor="i137f04c25e1e4da3b6d1f469d06f3319_79" w:history="1">
              <w:r>
                <w:rPr>
                  <w:rStyle w:val="a3"/>
                  <w:rFonts w:eastAsia="Times New Roman"/>
                  <w:sz w:val="20"/>
                  <w:szCs w:val="20"/>
                </w:rPr>
                <w:t>48</w:t>
              </w:r>
            </w:hyperlink>
          </w:p>
        </w:tc>
      </w:tr>
      <w:tr w:rsidR="00000000">
        <w:trPr>
          <w:divId w:val="1152453329"/>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 </w:t>
            </w:r>
          </w:p>
        </w:tc>
      </w:tr>
      <w:tr w:rsidR="00000000">
        <w:trPr>
          <w:divId w:val="1152453329"/>
        </w:trPr>
        <w:tc>
          <w:tcPr>
            <w:tcW w:w="0" w:type="auto"/>
            <w:gridSpan w:val="3"/>
            <w:tcMar>
              <w:top w:w="30" w:type="dxa"/>
              <w:left w:w="20" w:type="dxa"/>
              <w:bottom w:w="30" w:type="dxa"/>
              <w:right w:w="20" w:type="dxa"/>
            </w:tcMar>
            <w:vAlign w:val="bottom"/>
            <w:hideMark/>
          </w:tcPr>
          <w:p w:rsidR="00000000" w:rsidRDefault="00905244">
            <w:pPr>
              <w:divId w:val="1588230230"/>
              <w:rPr>
                <w:rFonts w:eastAsia="Times New Roman"/>
              </w:rPr>
            </w:pPr>
            <w:hyperlink w:anchor="i137f04c25e1e4da3b6d1f469d06f3319_85" w:history="1">
              <w:r>
                <w:rPr>
                  <w:rStyle w:val="a3"/>
                  <w:rFonts w:eastAsia="Times New Roman"/>
                  <w:sz w:val="20"/>
                  <w:szCs w:val="20"/>
                </w:rPr>
                <w:t>Consolidated Statements of Income for the fiscal years ended Dec</w:t>
              </w:r>
              <w:r>
                <w:rPr>
                  <w:rStyle w:val="a3"/>
                  <w:rFonts w:eastAsia="Times New Roman"/>
                  <w:sz w:val="20"/>
                  <w:szCs w:val="20"/>
                </w:rPr>
                <w:t>ember 26, 2020, December 28, 2019, and December 29, 2018</w:t>
              </w:r>
            </w:hyperlink>
          </w:p>
        </w:tc>
        <w:tc>
          <w:tcPr>
            <w:tcW w:w="0" w:type="auto"/>
            <w:gridSpan w:val="3"/>
            <w:tcMar>
              <w:top w:w="30" w:type="dxa"/>
              <w:left w:w="20" w:type="dxa"/>
              <w:bottom w:w="30" w:type="dxa"/>
              <w:right w:w="20" w:type="dxa"/>
            </w:tcMar>
            <w:hideMark/>
          </w:tcPr>
          <w:p w:rsidR="00000000" w:rsidRDefault="00905244">
            <w:pPr>
              <w:jc w:val="center"/>
              <w:rPr>
                <w:rFonts w:eastAsia="Times New Roman"/>
              </w:rPr>
            </w:pPr>
            <w:hyperlink w:anchor="i137f04c25e1e4da3b6d1f469d06f3319_85" w:history="1">
              <w:r>
                <w:rPr>
                  <w:rStyle w:val="a3"/>
                  <w:rFonts w:eastAsia="Times New Roman"/>
                  <w:sz w:val="20"/>
                  <w:szCs w:val="20"/>
                </w:rPr>
                <w:t>51</w:t>
              </w:r>
            </w:hyperlink>
          </w:p>
        </w:tc>
      </w:tr>
      <w:tr w:rsidR="00000000">
        <w:trPr>
          <w:divId w:val="1152453329"/>
          <w:trHeight w:val="300"/>
        </w:trPr>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152453329"/>
        </w:trPr>
        <w:tc>
          <w:tcPr>
            <w:tcW w:w="0" w:type="auto"/>
            <w:gridSpan w:val="3"/>
            <w:tcMar>
              <w:top w:w="30" w:type="dxa"/>
              <w:left w:w="20" w:type="dxa"/>
              <w:bottom w:w="30" w:type="dxa"/>
              <w:right w:w="20" w:type="dxa"/>
            </w:tcMar>
            <w:vAlign w:val="bottom"/>
            <w:hideMark/>
          </w:tcPr>
          <w:p w:rsidR="00000000" w:rsidRDefault="00905244">
            <w:pPr>
              <w:divId w:val="588851577"/>
              <w:rPr>
                <w:rFonts w:eastAsia="Times New Roman"/>
              </w:rPr>
            </w:pPr>
            <w:hyperlink w:anchor="i137f04c25e1e4da3b6d1f469d06f3319_88" w:history="1">
              <w:r>
                <w:rPr>
                  <w:rStyle w:val="a3"/>
                  <w:rFonts w:eastAsia="Times New Roman"/>
                  <w:sz w:val="20"/>
                  <w:szCs w:val="20"/>
                </w:rPr>
                <w:t>Consolidated Statements of Comprehensive Income for the fiscal years ended December 26, 2020, December 28, 2019, and December 29, 2018</w:t>
              </w:r>
            </w:hyperlink>
          </w:p>
        </w:tc>
        <w:tc>
          <w:tcPr>
            <w:tcW w:w="0" w:type="auto"/>
            <w:gridSpan w:val="3"/>
            <w:tcMar>
              <w:top w:w="30" w:type="dxa"/>
              <w:left w:w="20" w:type="dxa"/>
              <w:bottom w:w="30" w:type="dxa"/>
              <w:right w:w="20" w:type="dxa"/>
            </w:tcMar>
            <w:hideMark/>
          </w:tcPr>
          <w:p w:rsidR="00000000" w:rsidRDefault="00905244">
            <w:pPr>
              <w:jc w:val="center"/>
              <w:rPr>
                <w:rFonts w:eastAsia="Times New Roman"/>
              </w:rPr>
            </w:pPr>
            <w:hyperlink w:anchor="i137f04c25e1e4da3b6d1f469d06f3319_88" w:history="1">
              <w:r>
                <w:rPr>
                  <w:rStyle w:val="a3"/>
                  <w:rFonts w:eastAsia="Times New Roman"/>
                  <w:sz w:val="20"/>
                  <w:szCs w:val="20"/>
                </w:rPr>
                <w:t>52</w:t>
              </w:r>
            </w:hyperlink>
          </w:p>
        </w:tc>
      </w:tr>
      <w:tr w:rsidR="00000000">
        <w:trPr>
          <w:divId w:val="1152453329"/>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 </w:t>
            </w:r>
          </w:p>
        </w:tc>
      </w:tr>
      <w:tr w:rsidR="00000000">
        <w:trPr>
          <w:divId w:val="1152453329"/>
        </w:trPr>
        <w:tc>
          <w:tcPr>
            <w:tcW w:w="0" w:type="auto"/>
            <w:gridSpan w:val="3"/>
            <w:tcMar>
              <w:top w:w="30" w:type="dxa"/>
              <w:left w:w="20" w:type="dxa"/>
              <w:bottom w:w="30" w:type="dxa"/>
              <w:right w:w="20" w:type="dxa"/>
            </w:tcMar>
            <w:vAlign w:val="bottom"/>
            <w:hideMark/>
          </w:tcPr>
          <w:p w:rsidR="00000000" w:rsidRDefault="00905244">
            <w:pPr>
              <w:divId w:val="622148890"/>
              <w:rPr>
                <w:rFonts w:eastAsia="Times New Roman"/>
              </w:rPr>
            </w:pPr>
            <w:hyperlink w:anchor="i137f04c25e1e4da3b6d1f469d06f3319_91" w:history="1">
              <w:r>
                <w:rPr>
                  <w:rStyle w:val="a3"/>
                  <w:rFonts w:eastAsia="Times New Roman"/>
                  <w:sz w:val="20"/>
                  <w:szCs w:val="20"/>
                </w:rPr>
                <w:t>Consolidated Balance Sheets as of December 26, 2020 and December 28, 2019</w:t>
              </w:r>
            </w:hyperlink>
          </w:p>
        </w:tc>
        <w:tc>
          <w:tcPr>
            <w:tcW w:w="0" w:type="auto"/>
            <w:gridSpan w:val="3"/>
            <w:tcMar>
              <w:top w:w="30" w:type="dxa"/>
              <w:left w:w="20" w:type="dxa"/>
              <w:bottom w:w="30" w:type="dxa"/>
              <w:right w:w="20" w:type="dxa"/>
            </w:tcMar>
            <w:hideMark/>
          </w:tcPr>
          <w:p w:rsidR="00000000" w:rsidRDefault="00905244">
            <w:pPr>
              <w:jc w:val="center"/>
              <w:rPr>
                <w:rFonts w:eastAsia="Times New Roman"/>
              </w:rPr>
            </w:pPr>
            <w:hyperlink w:anchor="i137f04c25e1e4da3b6d1f469d06f3319_91" w:history="1">
              <w:r>
                <w:rPr>
                  <w:rStyle w:val="a3"/>
                  <w:rFonts w:eastAsia="Times New Roman"/>
                  <w:sz w:val="20"/>
                  <w:szCs w:val="20"/>
                </w:rPr>
                <w:t>53</w:t>
              </w:r>
            </w:hyperlink>
          </w:p>
        </w:tc>
      </w:tr>
      <w:tr w:rsidR="00000000">
        <w:trPr>
          <w:divId w:val="1152453329"/>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 </w:t>
            </w:r>
          </w:p>
        </w:tc>
      </w:tr>
      <w:tr w:rsidR="00000000">
        <w:trPr>
          <w:divId w:val="1152453329"/>
        </w:trPr>
        <w:tc>
          <w:tcPr>
            <w:tcW w:w="0" w:type="auto"/>
            <w:gridSpan w:val="3"/>
            <w:tcMar>
              <w:top w:w="30" w:type="dxa"/>
              <w:left w:w="20" w:type="dxa"/>
              <w:bottom w:w="30" w:type="dxa"/>
              <w:right w:w="20" w:type="dxa"/>
            </w:tcMar>
            <w:vAlign w:val="bottom"/>
            <w:hideMark/>
          </w:tcPr>
          <w:p w:rsidR="00000000" w:rsidRDefault="00905244">
            <w:pPr>
              <w:divId w:val="609774061"/>
              <w:rPr>
                <w:rFonts w:eastAsia="Times New Roman"/>
              </w:rPr>
            </w:pPr>
            <w:hyperlink w:anchor="i137f04c25e1e4da3b6d1f469d06f3319_97" w:history="1">
              <w:r>
                <w:rPr>
                  <w:rStyle w:val="a3"/>
                  <w:rFonts w:eastAsia="Times New Roman"/>
                  <w:sz w:val="20"/>
                  <w:szCs w:val="20"/>
                </w:rPr>
                <w:t>Consolidated Statements of Stockholders’ Equity for the fiscal years ended December 26, 2020, December 28, 2019, and December 29, 2018</w:t>
              </w:r>
            </w:hyperlink>
          </w:p>
        </w:tc>
        <w:tc>
          <w:tcPr>
            <w:tcW w:w="0" w:type="auto"/>
            <w:gridSpan w:val="3"/>
            <w:tcMar>
              <w:top w:w="30" w:type="dxa"/>
              <w:left w:w="20" w:type="dxa"/>
              <w:bottom w:w="30" w:type="dxa"/>
              <w:right w:w="20" w:type="dxa"/>
            </w:tcMar>
            <w:hideMark/>
          </w:tcPr>
          <w:p w:rsidR="00000000" w:rsidRDefault="00905244">
            <w:pPr>
              <w:jc w:val="center"/>
              <w:rPr>
                <w:rFonts w:eastAsia="Times New Roman"/>
              </w:rPr>
            </w:pPr>
            <w:hyperlink w:anchor="i137f04c25e1e4da3b6d1f469d06f3319_97" w:history="1">
              <w:r>
                <w:rPr>
                  <w:rStyle w:val="a3"/>
                  <w:rFonts w:eastAsia="Times New Roman"/>
                  <w:sz w:val="20"/>
                  <w:szCs w:val="20"/>
                </w:rPr>
                <w:t>54</w:t>
              </w:r>
            </w:hyperlink>
          </w:p>
        </w:tc>
      </w:tr>
      <w:tr w:rsidR="00000000">
        <w:trPr>
          <w:divId w:val="1152453329"/>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 </w:t>
            </w:r>
          </w:p>
        </w:tc>
      </w:tr>
      <w:tr w:rsidR="00000000">
        <w:trPr>
          <w:divId w:val="1152453329"/>
        </w:trPr>
        <w:tc>
          <w:tcPr>
            <w:tcW w:w="0" w:type="auto"/>
            <w:gridSpan w:val="3"/>
            <w:tcMar>
              <w:top w:w="30" w:type="dxa"/>
              <w:left w:w="20" w:type="dxa"/>
              <w:bottom w:w="30" w:type="dxa"/>
              <w:right w:w="20" w:type="dxa"/>
            </w:tcMar>
            <w:vAlign w:val="bottom"/>
            <w:hideMark/>
          </w:tcPr>
          <w:p w:rsidR="00000000" w:rsidRDefault="00905244">
            <w:pPr>
              <w:divId w:val="1519738751"/>
              <w:rPr>
                <w:rFonts w:eastAsia="Times New Roman"/>
              </w:rPr>
            </w:pPr>
            <w:hyperlink w:anchor="i137f04c25e1e4da3b6d1f469d06f3319_100" w:history="1">
              <w:r>
                <w:rPr>
                  <w:rStyle w:val="a3"/>
                  <w:rFonts w:eastAsia="Times New Roman"/>
                  <w:sz w:val="20"/>
                  <w:szCs w:val="20"/>
                </w:rPr>
                <w:t>Consolidated Statements of Cash Flows for the fiscal years ended December 26, 2020, December 28, 2019, and December 29, 2018</w:t>
              </w:r>
            </w:hyperlink>
          </w:p>
        </w:tc>
        <w:tc>
          <w:tcPr>
            <w:tcW w:w="0" w:type="auto"/>
            <w:gridSpan w:val="3"/>
            <w:tcMar>
              <w:top w:w="30" w:type="dxa"/>
              <w:left w:w="20" w:type="dxa"/>
              <w:bottom w:w="30" w:type="dxa"/>
              <w:right w:w="20" w:type="dxa"/>
            </w:tcMar>
            <w:hideMark/>
          </w:tcPr>
          <w:p w:rsidR="00000000" w:rsidRDefault="00905244">
            <w:pPr>
              <w:jc w:val="center"/>
              <w:rPr>
                <w:rFonts w:eastAsia="Times New Roman"/>
              </w:rPr>
            </w:pPr>
            <w:hyperlink w:anchor="i137f04c25e1e4da3b6d1f469d06f3319_100" w:history="1">
              <w:r>
                <w:rPr>
                  <w:rStyle w:val="a3"/>
                  <w:rFonts w:eastAsia="Times New Roman"/>
                  <w:sz w:val="20"/>
                  <w:szCs w:val="20"/>
                </w:rPr>
                <w:t>55</w:t>
              </w:r>
            </w:hyperlink>
          </w:p>
        </w:tc>
      </w:tr>
      <w:tr w:rsidR="00000000">
        <w:trPr>
          <w:divId w:val="1152453329"/>
          <w:trHeight w:val="300"/>
        </w:trPr>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152453329"/>
        </w:trPr>
        <w:tc>
          <w:tcPr>
            <w:tcW w:w="0" w:type="auto"/>
            <w:gridSpan w:val="3"/>
            <w:tcMar>
              <w:top w:w="30" w:type="dxa"/>
              <w:left w:w="20" w:type="dxa"/>
              <w:bottom w:w="30" w:type="dxa"/>
              <w:right w:w="20" w:type="dxa"/>
            </w:tcMar>
            <w:vAlign w:val="bottom"/>
            <w:hideMark/>
          </w:tcPr>
          <w:p w:rsidR="00000000" w:rsidRDefault="00905244">
            <w:pPr>
              <w:divId w:val="668405957"/>
              <w:rPr>
                <w:rFonts w:eastAsia="Times New Roman"/>
              </w:rPr>
            </w:pPr>
            <w:hyperlink w:anchor="i137f04c25e1e4da3b6d1f469d06f3319_103" w:history="1">
              <w:r>
                <w:rPr>
                  <w:rStyle w:val="a3"/>
                  <w:rFonts w:eastAsia="Times New Roman"/>
                  <w:sz w:val="20"/>
                  <w:szCs w:val="20"/>
                </w:rPr>
                <w:t>Notes to Consolidated Financial Statements</w:t>
              </w:r>
            </w:hyperlink>
          </w:p>
        </w:tc>
        <w:tc>
          <w:tcPr>
            <w:tcW w:w="0" w:type="auto"/>
            <w:gridSpan w:val="3"/>
            <w:tcMar>
              <w:top w:w="30" w:type="dxa"/>
              <w:left w:w="20" w:type="dxa"/>
              <w:bottom w:w="30" w:type="dxa"/>
              <w:right w:w="20" w:type="dxa"/>
            </w:tcMar>
            <w:hideMark/>
          </w:tcPr>
          <w:p w:rsidR="00000000" w:rsidRDefault="00905244">
            <w:pPr>
              <w:jc w:val="center"/>
              <w:rPr>
                <w:rFonts w:eastAsia="Times New Roman"/>
              </w:rPr>
            </w:pPr>
            <w:hyperlink w:anchor="i137f04c25e1e4da3b6d1f469d06f3319_103" w:history="1">
              <w:r>
                <w:rPr>
                  <w:rStyle w:val="a3"/>
                  <w:rFonts w:eastAsia="Times New Roman"/>
                  <w:sz w:val="20"/>
                  <w:szCs w:val="20"/>
                </w:rPr>
                <w:t>56</w:t>
              </w:r>
            </w:hyperlink>
          </w:p>
        </w:tc>
      </w:tr>
    </w:tbl>
    <w:p w:rsidR="00000000" w:rsidRDefault="00905244">
      <w:pPr>
        <w:divId w:val="2004316712"/>
        <w:rPr>
          <w:rFonts w:eastAsia="Times New Roman"/>
        </w:rPr>
      </w:pPr>
    </w:p>
    <w:p w:rsidR="00000000" w:rsidRDefault="00905244">
      <w:pPr>
        <w:jc w:val="center"/>
        <w:divId w:val="182326023"/>
        <w:rPr>
          <w:rFonts w:eastAsia="Times New Roman"/>
        </w:rPr>
      </w:pPr>
      <w:r>
        <w:rPr>
          <w:rFonts w:eastAsia="Times New Roman"/>
          <w:color w:val="000000"/>
          <w:sz w:val="20"/>
          <w:szCs w:val="20"/>
        </w:rPr>
        <w:t>46</w:t>
      </w:r>
    </w:p>
    <w:p w:rsidR="00000000" w:rsidRDefault="00905244">
      <w:pPr>
        <w:rPr>
          <w:rFonts w:eastAsia="Times New Roman"/>
        </w:rPr>
      </w:pPr>
      <w:r>
        <w:rPr>
          <w:rFonts w:eastAsia="Times New Roman"/>
        </w:rPr>
        <w:pict>
          <v:rect id="_x0000_i1075" style="width:0;height:1.5pt" o:hralign="center" o:hrstd="t" o:hr="t" fillcolor="#a0a0a0" stroked="f"/>
        </w:pict>
      </w:r>
    </w:p>
    <w:p w:rsidR="00000000" w:rsidRDefault="00905244">
      <w:pPr>
        <w:divId w:val="174421150"/>
        <w:rPr>
          <w:rFonts w:eastAsia="Times New Roman"/>
        </w:rPr>
      </w:pPr>
      <w:hyperlink w:anchor="i137f04c25e1e4da3b6d1f469d06f3319_7" w:history="1">
        <w:r>
          <w:rPr>
            <w:rStyle w:val="a3"/>
            <w:rFonts w:eastAsia="Times New Roman"/>
            <w:sz w:val="18"/>
            <w:szCs w:val="18"/>
          </w:rPr>
          <w:t>Index</w:t>
        </w:r>
      </w:hyperlink>
    </w:p>
    <w:p w:rsidR="00000000" w:rsidRDefault="00905244">
      <w:pPr>
        <w:jc w:val="center"/>
        <w:rPr>
          <w:rFonts w:eastAsia="Times New Roman"/>
        </w:rPr>
      </w:pPr>
      <w:r>
        <w:rPr>
          <w:rFonts w:eastAsia="Times New Roman"/>
          <w:b/>
          <w:bCs/>
          <w:color w:val="000000"/>
          <w:sz w:val="20"/>
          <w:szCs w:val="20"/>
        </w:rPr>
        <w:t>Management’s Report on Internal Control Over Financial Reporting</w:t>
      </w:r>
    </w:p>
    <w:p w:rsidR="00000000" w:rsidRDefault="00905244">
      <w:pPr>
        <w:divId w:val="797457914"/>
        <w:rPr>
          <w:rFonts w:eastAsia="Times New Roman"/>
        </w:rPr>
      </w:pPr>
    </w:p>
    <w:p w:rsidR="00000000" w:rsidRDefault="00905244">
      <w:pPr>
        <w:jc w:val="both"/>
        <w:rPr>
          <w:rFonts w:eastAsia="Times New Roman"/>
        </w:rPr>
      </w:pPr>
      <w:r>
        <w:rPr>
          <w:rFonts w:eastAsia="Times New Roman"/>
          <w:color w:val="000000"/>
          <w:sz w:val="20"/>
          <w:szCs w:val="20"/>
        </w:rPr>
        <w:t>Our management is responsible for establishing and maintaining adequate internal control over financial reporting (as defined in Rules 13a-15(f) under the Securities Exchange Act of 1934, as amended).  The Company’s internal control over financial reportin</w:t>
      </w:r>
      <w:r>
        <w:rPr>
          <w:rFonts w:eastAsia="Times New Roman"/>
          <w:color w:val="000000"/>
          <w:sz w:val="20"/>
          <w:szCs w:val="20"/>
        </w:rPr>
        <w:t>g is a process designed to provide reasonable assurance regarding the reliability of financial reporting and the preparation of financial statements for external purposes in accordance with generally accepted accounting principles.</w:t>
      </w:r>
    </w:p>
    <w:p w:rsidR="00000000" w:rsidRDefault="00905244">
      <w:pPr>
        <w:divId w:val="738986698"/>
        <w:rPr>
          <w:rFonts w:eastAsia="Times New Roman"/>
        </w:rPr>
      </w:pPr>
    </w:p>
    <w:p w:rsidR="00000000" w:rsidRDefault="00905244">
      <w:pPr>
        <w:jc w:val="both"/>
        <w:rPr>
          <w:rFonts w:eastAsia="Times New Roman"/>
        </w:rPr>
      </w:pPr>
      <w:r>
        <w:rPr>
          <w:rFonts w:eastAsia="Times New Roman"/>
          <w:color w:val="000000"/>
          <w:sz w:val="20"/>
          <w:szCs w:val="20"/>
        </w:rPr>
        <w:t>Because of its inheren</w:t>
      </w:r>
      <w:r>
        <w:rPr>
          <w:rFonts w:eastAsia="Times New Roman"/>
          <w:color w:val="000000"/>
          <w:sz w:val="20"/>
          <w:szCs w:val="20"/>
        </w:rPr>
        <w:t>t limitations, internal control over financial reporting may not prevent or detect misstatements.  Therefore, even those systems determined to be effective can provide only reasonable assurance with respect to financial statement preparation and presentati</w:t>
      </w:r>
      <w:r>
        <w:rPr>
          <w:rFonts w:eastAsia="Times New Roman"/>
          <w:color w:val="000000"/>
          <w:sz w:val="20"/>
          <w:szCs w:val="20"/>
        </w:rPr>
        <w:t>on.</w:t>
      </w:r>
    </w:p>
    <w:p w:rsidR="00000000" w:rsidRDefault="00905244">
      <w:pPr>
        <w:divId w:val="2023124398"/>
        <w:rPr>
          <w:rFonts w:eastAsia="Times New Roman"/>
        </w:rPr>
      </w:pPr>
    </w:p>
    <w:p w:rsidR="00000000" w:rsidRDefault="00905244">
      <w:pPr>
        <w:jc w:val="both"/>
        <w:rPr>
          <w:rFonts w:eastAsia="Times New Roman"/>
        </w:rPr>
      </w:pPr>
      <w:r>
        <w:rPr>
          <w:rFonts w:eastAsia="Times New Roman"/>
          <w:color w:val="000000"/>
          <w:sz w:val="20"/>
          <w:szCs w:val="20"/>
        </w:rPr>
        <w:t>Management assessed the effectiveness of the Company’s internal control over financial reporting as of December 26, 2020.  In making this assessment, management used the criteria established in Internal Control-Integrated Framework issued by the Comm</w:t>
      </w:r>
      <w:r>
        <w:rPr>
          <w:rFonts w:eastAsia="Times New Roman"/>
          <w:color w:val="000000"/>
          <w:sz w:val="20"/>
          <w:szCs w:val="20"/>
        </w:rPr>
        <w:t>ittee of Sponsoring Organizations of the Treadway Commission (2013 framework) (the COSO criteria).  Based on this assessment, management believes that, as of December 26, 2020, the Company’s internal control over financial reporting is effective based on t</w:t>
      </w:r>
      <w:r>
        <w:rPr>
          <w:rFonts w:eastAsia="Times New Roman"/>
          <w:color w:val="000000"/>
          <w:sz w:val="20"/>
          <w:szCs w:val="20"/>
        </w:rPr>
        <w:t>hose criteria.</w:t>
      </w:r>
    </w:p>
    <w:p w:rsidR="00000000" w:rsidRDefault="00905244">
      <w:pPr>
        <w:divId w:val="1492520977"/>
        <w:rPr>
          <w:rFonts w:eastAsia="Times New Roman"/>
        </w:rPr>
      </w:pPr>
    </w:p>
    <w:p w:rsidR="00000000" w:rsidRDefault="00905244">
      <w:pPr>
        <w:jc w:val="both"/>
        <w:rPr>
          <w:rFonts w:eastAsia="Times New Roman"/>
        </w:rPr>
      </w:pPr>
      <w:r>
        <w:rPr>
          <w:rFonts w:eastAsia="Times New Roman"/>
          <w:color w:val="000000"/>
          <w:sz w:val="20"/>
          <w:szCs w:val="20"/>
        </w:rPr>
        <w:t>Ernst &amp; Young LLP, the independent registered public accounting firm which also audited the Company’s Consolidated Financial Statements, has issued a report on the Company’s internal control over financial reporting, which is included here</w:t>
      </w:r>
      <w:r>
        <w:rPr>
          <w:rFonts w:eastAsia="Times New Roman"/>
          <w:color w:val="000000"/>
          <w:sz w:val="20"/>
          <w:szCs w:val="20"/>
        </w:rPr>
        <w:t>in.</w:t>
      </w:r>
    </w:p>
    <w:p w:rsidR="00000000" w:rsidRDefault="00905244">
      <w:pPr>
        <w:divId w:val="1810054204"/>
        <w:rPr>
          <w:rFonts w:eastAsia="Times New Roman"/>
        </w:rPr>
      </w:pPr>
      <w:r>
        <w:rPr>
          <w:rFonts w:eastAsia="Times New Roman"/>
          <w:color w:val="000000"/>
          <w:sz w:val="18"/>
          <w:szCs w:val="18"/>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59"/>
        <w:gridCol w:w="3777"/>
        <w:gridCol w:w="36"/>
        <w:gridCol w:w="36"/>
        <w:gridCol w:w="44"/>
        <w:gridCol w:w="36"/>
        <w:gridCol w:w="59"/>
        <w:gridCol w:w="212"/>
        <w:gridCol w:w="36"/>
        <w:gridCol w:w="36"/>
        <w:gridCol w:w="44"/>
        <w:gridCol w:w="36"/>
        <w:gridCol w:w="59"/>
        <w:gridCol w:w="3800"/>
        <w:gridCol w:w="36"/>
      </w:tblGrid>
      <w:tr w:rsidR="00000000">
        <w:trPr>
          <w:divId w:val="448623081"/>
          <w:jc w:val="center"/>
        </w:trPr>
        <w:tc>
          <w:tcPr>
            <w:tcW w:w="50" w:type="pct"/>
            <w:vAlign w:val="center"/>
            <w:hideMark/>
          </w:tcPr>
          <w:p w:rsidR="00000000" w:rsidRDefault="00905244">
            <w:pPr>
              <w:rPr>
                <w:rFonts w:eastAsia="Times New Roman"/>
              </w:rPr>
            </w:pPr>
          </w:p>
        </w:tc>
        <w:tc>
          <w:tcPr>
            <w:tcW w:w="228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4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14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4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230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448623081"/>
          <w:trHeight w:val="780"/>
          <w:jc w:val="center"/>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448623081"/>
          <w:trHeight w:val="240"/>
          <w:jc w:val="center"/>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448623081"/>
          <w:jc w:val="center"/>
        </w:trPr>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/s/    Harry A. Lawton, III</w:t>
            </w:r>
            <w:r>
              <w:rPr>
                <w:rFonts w:eastAsia="Times New Roman"/>
                <w:color w:val="000000"/>
                <w:sz w:val="14"/>
                <w:szCs w:val="14"/>
              </w:rPr>
              <w:t xml:space="preserve">    </w:t>
            </w:r>
          </w:p>
        </w:tc>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4"/>
                <w:szCs w:val="14"/>
              </w:rPr>
              <w:t> </w:t>
            </w: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/s/    Kurt D. Barton</w:t>
            </w:r>
            <w:r>
              <w:rPr>
                <w:rFonts w:eastAsia="Times New Roman"/>
                <w:color w:val="000000"/>
                <w:sz w:val="14"/>
                <w:szCs w:val="14"/>
              </w:rPr>
              <w:t>  </w:t>
            </w:r>
          </w:p>
        </w:tc>
      </w:tr>
      <w:tr w:rsidR="00000000">
        <w:trPr>
          <w:divId w:val="448623081"/>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905244">
            <w:pPr>
              <w:jc w:val="center"/>
              <w:rPr>
                <w:rFonts w:eastAsia="Times New Roman"/>
              </w:rPr>
            </w:pPr>
            <w:r>
              <w:rPr>
                <w:rFonts w:eastAsia="Times New Roman"/>
                <w:b/>
                <w:bCs/>
                <w:color w:val="000000"/>
                <w:sz w:val="18"/>
                <w:szCs w:val="18"/>
              </w:rPr>
              <w:t>Harry A. Lawton, III</w:t>
            </w:r>
          </w:p>
          <w:p w:rsidR="00000000" w:rsidRDefault="00905244">
            <w:pPr>
              <w:jc w:val="center"/>
              <w:rPr>
                <w:rFonts w:eastAsia="Times New Roman"/>
              </w:rPr>
            </w:pPr>
            <w:r>
              <w:rPr>
                <w:rFonts w:eastAsia="Times New Roman"/>
                <w:b/>
                <w:bCs/>
                <w:color w:val="000000"/>
                <w:sz w:val="18"/>
                <w:szCs w:val="18"/>
              </w:rPr>
              <w:t>President and Chief Executive Officer</w:t>
            </w:r>
          </w:p>
        </w:tc>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18"/>
                <w:szCs w:val="18"/>
              </w:rPr>
              <w:t>Kurt D. Barton</w:t>
            </w:r>
          </w:p>
          <w:p w:rsidR="00000000" w:rsidRDefault="00905244">
            <w:pPr>
              <w:jc w:val="center"/>
              <w:rPr>
                <w:rFonts w:eastAsia="Times New Roman"/>
              </w:rPr>
            </w:pPr>
            <w:r>
              <w:rPr>
                <w:rFonts w:eastAsia="Times New Roman"/>
                <w:b/>
                <w:bCs/>
                <w:color w:val="000000"/>
                <w:sz w:val="18"/>
                <w:szCs w:val="18"/>
              </w:rPr>
              <w:t>Executive Vice President -</w:t>
            </w:r>
          </w:p>
          <w:p w:rsidR="00000000" w:rsidRDefault="00905244">
            <w:pPr>
              <w:jc w:val="center"/>
              <w:divId w:val="1386562475"/>
              <w:rPr>
                <w:rFonts w:eastAsia="Times New Roman"/>
              </w:rPr>
            </w:pPr>
            <w:r>
              <w:rPr>
                <w:rFonts w:eastAsia="Times New Roman"/>
                <w:b/>
                <w:bCs/>
                <w:color w:val="000000"/>
                <w:sz w:val="18"/>
                <w:szCs w:val="18"/>
              </w:rPr>
              <w:t>Chief Financial Officer and Treasurer</w:t>
            </w:r>
          </w:p>
        </w:tc>
      </w:tr>
      <w:tr w:rsidR="00000000">
        <w:trPr>
          <w:divId w:val="448623081"/>
          <w:jc w:val="center"/>
        </w:trPr>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18"/>
                <w:szCs w:val="18"/>
              </w:rPr>
              <w:t>February 18, 2021</w:t>
            </w:r>
          </w:p>
        </w:tc>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18"/>
                <w:szCs w:val="18"/>
              </w:rPr>
              <w:t>February 18, 2021</w:t>
            </w:r>
          </w:p>
        </w:tc>
      </w:tr>
    </w:tbl>
    <w:p w:rsidR="00000000" w:rsidRDefault="00905244">
      <w:pPr>
        <w:divId w:val="683744243"/>
        <w:rPr>
          <w:rFonts w:eastAsia="Times New Roman"/>
        </w:rPr>
      </w:pPr>
    </w:p>
    <w:p w:rsidR="00000000" w:rsidRDefault="00905244">
      <w:pPr>
        <w:jc w:val="center"/>
        <w:divId w:val="1152481087"/>
        <w:rPr>
          <w:rFonts w:eastAsia="Times New Roman"/>
        </w:rPr>
      </w:pPr>
      <w:r>
        <w:rPr>
          <w:rFonts w:eastAsia="Times New Roman"/>
          <w:color w:val="000000"/>
          <w:sz w:val="20"/>
          <w:szCs w:val="20"/>
        </w:rPr>
        <w:t>47</w:t>
      </w:r>
    </w:p>
    <w:p w:rsidR="00000000" w:rsidRDefault="00905244">
      <w:pPr>
        <w:rPr>
          <w:rFonts w:eastAsia="Times New Roman"/>
        </w:rPr>
      </w:pPr>
      <w:r>
        <w:rPr>
          <w:rFonts w:eastAsia="Times New Roman"/>
        </w:rPr>
        <w:pict>
          <v:rect id="_x0000_i1076" style="width:0;height:1.5pt" o:hralign="center" o:hrstd="t" o:hr="t" fillcolor="#a0a0a0" stroked="f"/>
        </w:pict>
      </w:r>
    </w:p>
    <w:p w:rsidR="00000000" w:rsidRDefault="00905244">
      <w:pPr>
        <w:divId w:val="107043496"/>
        <w:rPr>
          <w:rFonts w:eastAsia="Times New Roman"/>
        </w:rPr>
      </w:pPr>
      <w:hyperlink w:anchor="i137f04c25e1e4da3b6d1f469d06f3319_7" w:history="1">
        <w:r>
          <w:rPr>
            <w:rStyle w:val="a3"/>
            <w:rFonts w:eastAsia="Times New Roman"/>
            <w:sz w:val="18"/>
            <w:szCs w:val="18"/>
          </w:rPr>
          <w:t>Index</w:t>
        </w:r>
      </w:hyperlink>
    </w:p>
    <w:p w:rsidR="00000000" w:rsidRDefault="00905244">
      <w:pPr>
        <w:jc w:val="center"/>
        <w:rPr>
          <w:rFonts w:eastAsia="Times New Roman"/>
        </w:rPr>
      </w:pPr>
      <w:r>
        <w:rPr>
          <w:rFonts w:eastAsia="Times New Roman"/>
          <w:b/>
          <w:bCs/>
          <w:color w:val="000000"/>
          <w:sz w:val="20"/>
          <w:szCs w:val="20"/>
        </w:rPr>
        <w:t>Report of Independent Registered Public Accounting Firm</w:t>
      </w:r>
    </w:p>
    <w:p w:rsidR="00000000" w:rsidRDefault="00905244">
      <w:pPr>
        <w:divId w:val="161163222"/>
        <w:rPr>
          <w:rFonts w:eastAsia="Times New Roman"/>
        </w:rPr>
      </w:pPr>
    </w:p>
    <w:p w:rsidR="00000000" w:rsidRDefault="00905244">
      <w:pPr>
        <w:divId w:val="1385174948"/>
        <w:rPr>
          <w:rFonts w:eastAsia="Times New Roman"/>
        </w:rPr>
      </w:pPr>
    </w:p>
    <w:p w:rsidR="00000000" w:rsidRDefault="00905244">
      <w:pPr>
        <w:divId w:val="231279236"/>
        <w:rPr>
          <w:rFonts w:eastAsia="Times New Roman"/>
        </w:rPr>
      </w:pPr>
      <w:r>
        <w:rPr>
          <w:rFonts w:eastAsia="Times New Roman"/>
          <w:b/>
          <w:bCs/>
          <w:color w:val="000000"/>
          <w:sz w:val="20"/>
          <w:szCs w:val="20"/>
        </w:rPr>
        <w:t>To the Shareholders and the Board of Directors of Tractor Supply Company</w:t>
      </w:r>
    </w:p>
    <w:p w:rsidR="00000000" w:rsidRDefault="00905244">
      <w:pPr>
        <w:divId w:val="1973360231"/>
        <w:rPr>
          <w:rFonts w:eastAsia="Times New Roman"/>
        </w:rPr>
      </w:pPr>
    </w:p>
    <w:p w:rsidR="00000000" w:rsidRDefault="00905244">
      <w:pPr>
        <w:divId w:val="204022824"/>
        <w:rPr>
          <w:rFonts w:eastAsia="Times New Roman"/>
        </w:rPr>
      </w:pPr>
      <w:r>
        <w:rPr>
          <w:rFonts w:eastAsia="Times New Roman"/>
          <w:b/>
          <w:bCs/>
          <w:color w:val="000000"/>
          <w:sz w:val="20"/>
          <w:szCs w:val="20"/>
        </w:rPr>
        <w:t>Opinion on Internal Control Over Financial Reporting</w:t>
      </w:r>
    </w:p>
    <w:p w:rsidR="00000000" w:rsidRDefault="00905244">
      <w:pPr>
        <w:jc w:val="both"/>
        <w:rPr>
          <w:rFonts w:eastAsia="Times New Roman"/>
        </w:rPr>
      </w:pPr>
      <w:r>
        <w:rPr>
          <w:rFonts w:eastAsia="Times New Roman"/>
          <w:color w:val="000000"/>
          <w:sz w:val="20"/>
          <w:szCs w:val="20"/>
        </w:rPr>
        <w:t>We have audited Tractor Supply Company’s internal control over financial reporting as of December 26, 2020, based on criteria es</w:t>
      </w:r>
      <w:r>
        <w:rPr>
          <w:rFonts w:eastAsia="Times New Roman"/>
          <w:color w:val="000000"/>
          <w:sz w:val="20"/>
          <w:szCs w:val="20"/>
        </w:rPr>
        <w:t>tablished in Internal Control-Integrated Framework issued by the Committee of Sponsoring Organizations of the Treadway Commission (2013 framework) (the COSO criteria). In our opinion, Tractor Supply Company (the Company) maintained, in all material respect</w:t>
      </w:r>
      <w:r>
        <w:rPr>
          <w:rFonts w:eastAsia="Times New Roman"/>
          <w:color w:val="000000"/>
          <w:sz w:val="20"/>
          <w:szCs w:val="20"/>
        </w:rPr>
        <w:t>s, effective internal control over financial reporting as of December 26, 2020, based on the COSO criteria.</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We also have audited, in accordance with the standards of the Public Company Accounting Oversight Board (United States) (PCAOB), the Consolidated </w:t>
      </w:r>
      <w:r>
        <w:rPr>
          <w:rFonts w:eastAsia="Times New Roman"/>
          <w:color w:val="000000"/>
          <w:sz w:val="20"/>
          <w:szCs w:val="20"/>
        </w:rPr>
        <w:t>Balance Sheets of Tractor Supply Company as of December 26, 2020 and December 28, 2019, and the related Consolidated Statements of Income, Comprehensive Income, Stockholders’ Equity, and Cash Flows for each of the three fiscal years in the period ended Dec</w:t>
      </w:r>
      <w:r>
        <w:rPr>
          <w:rFonts w:eastAsia="Times New Roman"/>
          <w:color w:val="000000"/>
          <w:sz w:val="20"/>
          <w:szCs w:val="20"/>
        </w:rPr>
        <w:t>ember 26, 2020, and the related notes and our report dated February 18, 2021, expressed an unqualified opinion thereon.</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Basis for Opinion</w:t>
      </w:r>
    </w:p>
    <w:p w:rsidR="00000000" w:rsidRDefault="00905244">
      <w:pPr>
        <w:jc w:val="both"/>
        <w:rPr>
          <w:rFonts w:eastAsia="Times New Roman"/>
        </w:rPr>
      </w:pPr>
      <w:r>
        <w:rPr>
          <w:rFonts w:eastAsia="Times New Roman"/>
          <w:color w:val="000000"/>
          <w:sz w:val="20"/>
          <w:szCs w:val="20"/>
        </w:rPr>
        <w:t xml:space="preserve">The Company’s management is responsible for maintaining effective internal control over financial reporting and for </w:t>
      </w:r>
      <w:r>
        <w:rPr>
          <w:rFonts w:eastAsia="Times New Roman"/>
          <w:color w:val="000000"/>
          <w:sz w:val="20"/>
          <w:szCs w:val="20"/>
        </w:rPr>
        <w:t>its assessment of the effectiveness of internal control over financial reporting included in the accompanying Management’s Report on Internal Control Over Financial Reporting. Our responsibility is to express an opinion on the Company’s internal control ov</w:t>
      </w:r>
      <w:r>
        <w:rPr>
          <w:rFonts w:eastAsia="Times New Roman"/>
          <w:color w:val="000000"/>
          <w:sz w:val="20"/>
          <w:szCs w:val="20"/>
        </w:rPr>
        <w:t xml:space="preserve">er financial reporting based on our audit. We are a public accounting firm registered with the PCAOB and are required to be independent with respect to the Company in accordance with U.S. federal securities laws and the applicable rules and regulations of </w:t>
      </w:r>
      <w:r>
        <w:rPr>
          <w:rFonts w:eastAsia="Times New Roman"/>
          <w:color w:val="000000"/>
          <w:sz w:val="20"/>
          <w:szCs w:val="20"/>
        </w:rPr>
        <w:t>the Securities and Exchange Commission and the PCAOB.</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conducted our audit in accordance with the standards of the PCAOB. Those standards require that we plan and perform the audit to obtain reasonable assurance about whether effective internal control</w:t>
      </w:r>
      <w:r>
        <w:rPr>
          <w:rFonts w:eastAsia="Times New Roman"/>
          <w:color w:val="000000"/>
          <w:sz w:val="20"/>
          <w:szCs w:val="20"/>
        </w:rPr>
        <w:t xml:space="preserve"> over financial reporting was maintained in all material respects.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Our audit included obtaining an understanding of internal control over financial reporting, assessing the risk that a material weakness exists, testing and evaluating the design and oper</w:t>
      </w:r>
      <w:r>
        <w:rPr>
          <w:rFonts w:eastAsia="Times New Roman"/>
          <w:color w:val="000000"/>
          <w:sz w:val="20"/>
          <w:szCs w:val="20"/>
        </w:rPr>
        <w:t>ating effectiveness of internal control based on the assessed risk, and performing such other procedures as we considered necessary in the circumstances. We believe that our audit provides a reasonable basis for our opinion.</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Definition and Limitations of</w:t>
      </w:r>
      <w:r>
        <w:rPr>
          <w:rFonts w:eastAsia="Times New Roman"/>
          <w:b/>
          <w:bCs/>
          <w:color w:val="000000"/>
          <w:sz w:val="20"/>
          <w:szCs w:val="20"/>
        </w:rPr>
        <w:t xml:space="preserve"> Internal Control Over Financial Reporting</w:t>
      </w:r>
    </w:p>
    <w:p w:rsidR="00000000" w:rsidRDefault="00905244">
      <w:pPr>
        <w:jc w:val="both"/>
        <w:rPr>
          <w:rFonts w:eastAsia="Times New Roman"/>
        </w:rPr>
      </w:pPr>
      <w:r>
        <w:rPr>
          <w:rFonts w:eastAsia="Times New Roman"/>
          <w:color w:val="000000"/>
          <w:sz w:val="20"/>
          <w:szCs w:val="20"/>
        </w:rPr>
        <w:t>A company’s internal control over financial reporting is a process designed to provide reasonable assurance regarding the reliability of financial reporting and the preparation of financial statements for external</w:t>
      </w:r>
      <w:r>
        <w:rPr>
          <w:rFonts w:eastAsia="Times New Roman"/>
          <w:color w:val="000000"/>
          <w:sz w:val="20"/>
          <w:szCs w:val="20"/>
        </w:rPr>
        <w:t xml:space="preserve"> purposes in accordance with generally accepted accounting principles. A company’s internal control over financial reporting includes those policies and procedures that (1) pertain to the maintenance of records that, in reasonable detail, accurately and fa</w:t>
      </w:r>
      <w:r>
        <w:rPr>
          <w:rFonts w:eastAsia="Times New Roman"/>
          <w:color w:val="000000"/>
          <w:sz w:val="20"/>
          <w:szCs w:val="20"/>
        </w:rPr>
        <w:t>irly reflect the transactions and dispositions of the assets of the company; (2) provide reasonable assurance that transactions are recorded as necessary to permit preparation of financial statements in accordance with generally accepted accounting princip</w:t>
      </w:r>
      <w:r>
        <w:rPr>
          <w:rFonts w:eastAsia="Times New Roman"/>
          <w:color w:val="000000"/>
          <w:sz w:val="20"/>
          <w:szCs w:val="20"/>
        </w:rPr>
        <w:t>les, and that receipts and expenditures of the company are being made only in accordance with authorizations of management and directors of the company; and (3) provide reasonable assurance regarding prevention or timely detection of unauthorized acquisiti</w:t>
      </w:r>
      <w:r>
        <w:rPr>
          <w:rFonts w:eastAsia="Times New Roman"/>
          <w:color w:val="000000"/>
          <w:sz w:val="20"/>
          <w:szCs w:val="20"/>
        </w:rPr>
        <w:t>on, use, or disposition of the company’s assets that could have a material effect on the financial statements.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Because of its inherent limitations, internal control over financial reporting may not prevent or detect misstatements. Also, projections of an</w:t>
      </w:r>
      <w:r>
        <w:rPr>
          <w:rFonts w:eastAsia="Times New Roman"/>
          <w:color w:val="000000"/>
          <w:sz w:val="20"/>
          <w:szCs w:val="20"/>
        </w:rPr>
        <w:t>y evaluation of effectiveness to future periods are subject to the risk that controls may become inadequate because of changes in conditions, or that the degree of compliance with the policies or procedures may deteriorate.</w:t>
      </w:r>
    </w:p>
    <w:p w:rsidR="00000000" w:rsidRDefault="00905244">
      <w:pPr>
        <w:jc w:val="both"/>
        <w:rPr>
          <w:rFonts w:eastAsia="Times New Roman"/>
        </w:rPr>
      </w:pPr>
    </w:p>
    <w:p w:rsidR="00000000" w:rsidRDefault="00905244">
      <w:pPr>
        <w:jc w:val="both"/>
        <w:rPr>
          <w:rFonts w:eastAsia="Times New Roman"/>
        </w:rPr>
      </w:pPr>
    </w:p>
    <w:p w:rsidR="00000000" w:rsidRDefault="00905244">
      <w:pPr>
        <w:divId w:val="879169681"/>
        <w:rPr>
          <w:rFonts w:eastAsia="Times New Roman"/>
        </w:rPr>
      </w:pPr>
    </w:p>
    <w:p w:rsidR="00000000" w:rsidRDefault="00905244">
      <w:pPr>
        <w:divId w:val="144510293"/>
        <w:rPr>
          <w:rFonts w:eastAsia="Times New Roman"/>
        </w:rPr>
      </w:pPr>
    </w:p>
    <w:p w:rsidR="00000000" w:rsidRDefault="00905244">
      <w:pPr>
        <w:ind w:firstLine="5040"/>
        <w:jc w:val="both"/>
        <w:rPr>
          <w:rFonts w:eastAsia="Times New Roman"/>
        </w:rPr>
      </w:pPr>
      <w:r>
        <w:rPr>
          <w:rFonts w:eastAsia="Times New Roman"/>
          <w:color w:val="000000"/>
          <w:sz w:val="20"/>
          <w:szCs w:val="20"/>
        </w:rPr>
        <w:t>/s/ Ernst &amp; Young LLP</w:t>
      </w:r>
    </w:p>
    <w:p w:rsidR="00000000" w:rsidRDefault="00905244">
      <w:pPr>
        <w:divId w:val="161704593"/>
        <w:rPr>
          <w:rFonts w:eastAsia="Times New Roman"/>
        </w:rPr>
      </w:pPr>
      <w:r>
        <w:rPr>
          <w:rFonts w:eastAsia="Times New Roman"/>
          <w:color w:val="000000"/>
          <w:sz w:val="20"/>
          <w:szCs w:val="20"/>
        </w:rPr>
        <w:t>Na</w:t>
      </w:r>
      <w:r>
        <w:rPr>
          <w:rFonts w:eastAsia="Times New Roman"/>
          <w:color w:val="000000"/>
          <w:sz w:val="20"/>
          <w:szCs w:val="20"/>
        </w:rPr>
        <w:t>shville, Tennessee</w:t>
      </w:r>
    </w:p>
    <w:p w:rsidR="00000000" w:rsidRDefault="00905244">
      <w:pPr>
        <w:divId w:val="1457523320"/>
        <w:rPr>
          <w:rFonts w:eastAsia="Times New Roman"/>
        </w:rPr>
      </w:pPr>
      <w:r>
        <w:rPr>
          <w:rFonts w:eastAsia="Times New Roman"/>
          <w:color w:val="000000"/>
          <w:sz w:val="20"/>
          <w:szCs w:val="20"/>
        </w:rPr>
        <w:t xml:space="preserve">February 18, 2021 </w:t>
      </w:r>
    </w:p>
    <w:p w:rsidR="00000000" w:rsidRDefault="00905244">
      <w:pPr>
        <w:jc w:val="center"/>
        <w:divId w:val="588778512"/>
        <w:rPr>
          <w:rFonts w:eastAsia="Times New Roman"/>
        </w:rPr>
      </w:pPr>
      <w:r>
        <w:rPr>
          <w:rFonts w:eastAsia="Times New Roman"/>
          <w:color w:val="000000"/>
          <w:sz w:val="20"/>
          <w:szCs w:val="20"/>
        </w:rPr>
        <w:t>48</w:t>
      </w:r>
    </w:p>
    <w:p w:rsidR="00000000" w:rsidRDefault="00905244">
      <w:pPr>
        <w:rPr>
          <w:rFonts w:eastAsia="Times New Roman"/>
        </w:rPr>
      </w:pPr>
      <w:r>
        <w:rPr>
          <w:rFonts w:eastAsia="Times New Roman"/>
        </w:rPr>
        <w:pict>
          <v:rect id="_x0000_i1077" style="width:0;height:1.5pt" o:hralign="center" o:hrstd="t" o:hr="t" fillcolor="#a0a0a0" stroked="f"/>
        </w:pict>
      </w:r>
    </w:p>
    <w:p w:rsidR="00000000" w:rsidRDefault="00905244">
      <w:pPr>
        <w:divId w:val="175077329"/>
        <w:rPr>
          <w:rFonts w:eastAsia="Times New Roman"/>
        </w:rPr>
      </w:pPr>
      <w:hyperlink w:anchor="i137f04c25e1e4da3b6d1f469d06f3319_7" w:history="1">
        <w:r>
          <w:rPr>
            <w:rStyle w:val="a3"/>
            <w:rFonts w:eastAsia="Times New Roman"/>
            <w:sz w:val="18"/>
            <w:szCs w:val="18"/>
          </w:rPr>
          <w:t>Index</w:t>
        </w:r>
      </w:hyperlink>
    </w:p>
    <w:p w:rsidR="00000000" w:rsidRDefault="00905244">
      <w:pPr>
        <w:jc w:val="center"/>
        <w:rPr>
          <w:rFonts w:eastAsia="Times New Roman"/>
        </w:rPr>
      </w:pPr>
      <w:r>
        <w:rPr>
          <w:rFonts w:eastAsia="Times New Roman"/>
          <w:b/>
          <w:bCs/>
          <w:color w:val="000000"/>
          <w:sz w:val="20"/>
          <w:szCs w:val="20"/>
        </w:rPr>
        <w:t>Report of Independent Registered Public Accounting Firm</w:t>
      </w:r>
    </w:p>
    <w:p w:rsidR="00000000" w:rsidRDefault="00905244">
      <w:pPr>
        <w:divId w:val="727804293"/>
        <w:rPr>
          <w:rFonts w:eastAsia="Times New Roman"/>
        </w:rPr>
      </w:pPr>
    </w:p>
    <w:p w:rsidR="00000000" w:rsidRDefault="00905244">
      <w:pPr>
        <w:divId w:val="792402167"/>
        <w:rPr>
          <w:rFonts w:eastAsia="Times New Roman"/>
        </w:rPr>
      </w:pPr>
    </w:p>
    <w:p w:rsidR="00000000" w:rsidRDefault="00905244">
      <w:pPr>
        <w:divId w:val="1563053439"/>
        <w:rPr>
          <w:rFonts w:eastAsia="Times New Roman"/>
        </w:rPr>
      </w:pPr>
      <w:r>
        <w:rPr>
          <w:rFonts w:eastAsia="Times New Roman"/>
          <w:b/>
          <w:bCs/>
          <w:color w:val="000000"/>
          <w:sz w:val="20"/>
          <w:szCs w:val="20"/>
        </w:rPr>
        <w:t>To the Shareholders and the Board of Directors of Tractor Supply Company</w:t>
      </w:r>
    </w:p>
    <w:p w:rsidR="00000000" w:rsidRDefault="00905244">
      <w:pPr>
        <w:divId w:val="861165671"/>
        <w:rPr>
          <w:rFonts w:eastAsia="Times New Roman"/>
        </w:rPr>
      </w:pPr>
    </w:p>
    <w:p w:rsidR="00000000" w:rsidRDefault="00905244">
      <w:pPr>
        <w:divId w:val="2033919850"/>
        <w:rPr>
          <w:rFonts w:eastAsia="Times New Roman"/>
        </w:rPr>
      </w:pPr>
      <w:r>
        <w:rPr>
          <w:rFonts w:eastAsia="Times New Roman"/>
          <w:b/>
          <w:bCs/>
          <w:color w:val="000000"/>
          <w:sz w:val="20"/>
          <w:szCs w:val="20"/>
        </w:rPr>
        <w:t>Opinion on the Financ</w:t>
      </w:r>
      <w:r>
        <w:rPr>
          <w:rFonts w:eastAsia="Times New Roman"/>
          <w:b/>
          <w:bCs/>
          <w:color w:val="000000"/>
          <w:sz w:val="20"/>
          <w:szCs w:val="20"/>
        </w:rPr>
        <w:t>ial Statements</w:t>
      </w:r>
    </w:p>
    <w:p w:rsidR="00000000" w:rsidRDefault="00905244">
      <w:pPr>
        <w:jc w:val="both"/>
        <w:rPr>
          <w:rFonts w:eastAsia="Times New Roman"/>
        </w:rPr>
      </w:pPr>
      <w:r>
        <w:rPr>
          <w:rFonts w:eastAsia="Times New Roman"/>
          <w:color w:val="000000"/>
          <w:sz w:val="20"/>
          <w:szCs w:val="20"/>
        </w:rPr>
        <w:t>We have audited the accompanying Consolidated Balance Sheets of Tractor Supply Company (the Company) as of December 26, 2020 and December 28, 2019, the related Consolidated Statements of Income, Comprehensive Income, Stockholders’ Equity and</w:t>
      </w:r>
      <w:r>
        <w:rPr>
          <w:rFonts w:eastAsia="Times New Roman"/>
          <w:color w:val="000000"/>
          <w:sz w:val="20"/>
          <w:szCs w:val="20"/>
        </w:rPr>
        <w:t xml:space="preserve"> Cash Flows for each of the three fiscal years in the period ended December 26, 2020, and the related notes (collectively referred to as the “consolidated financial statements”). In our opinion, the consolidated financial statements present fairly, in all </w:t>
      </w:r>
      <w:r>
        <w:rPr>
          <w:rFonts w:eastAsia="Times New Roman"/>
          <w:color w:val="000000"/>
          <w:sz w:val="20"/>
          <w:szCs w:val="20"/>
        </w:rPr>
        <w:t>material respects, the financial position of the Company at December 26, 2020 and December 28, 2019, and the results of its operations and its cash flows for each of the three fiscal years in the period ended December 26, 2020, in conformity with U.S. gene</w:t>
      </w:r>
      <w:r>
        <w:rPr>
          <w:rFonts w:eastAsia="Times New Roman"/>
          <w:color w:val="000000"/>
          <w:sz w:val="20"/>
          <w:szCs w:val="20"/>
        </w:rPr>
        <w:t>rally accepted accounting principles.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We also have audited, in accordance with the standards of the Public Company Accounting Oversight Board (United States) (PCAOB), the Company’s internal control over financial reporting as of December 26, 2020, based </w:t>
      </w:r>
      <w:r>
        <w:rPr>
          <w:rFonts w:eastAsia="Times New Roman"/>
          <w:color w:val="000000"/>
          <w:sz w:val="20"/>
          <w:szCs w:val="20"/>
        </w:rPr>
        <w:t>on criteria established in Internal Control-Integrated Framework issued by the Committee of Sponsoring Organizations of the Treadway Commission (2013 framework) and our report dated February 18, 2021, expressed an unqualified opinion thereon.</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Basis for O</w:t>
      </w:r>
      <w:r>
        <w:rPr>
          <w:rFonts w:eastAsia="Times New Roman"/>
          <w:b/>
          <w:bCs/>
          <w:color w:val="000000"/>
          <w:sz w:val="20"/>
          <w:szCs w:val="20"/>
        </w:rPr>
        <w:t>pinion</w:t>
      </w:r>
    </w:p>
    <w:p w:rsidR="00000000" w:rsidRDefault="00905244">
      <w:pPr>
        <w:jc w:val="both"/>
        <w:rPr>
          <w:rFonts w:eastAsia="Times New Roman"/>
        </w:rPr>
      </w:pPr>
      <w:r>
        <w:rPr>
          <w:rFonts w:eastAsia="Times New Roman"/>
          <w:color w:val="000000"/>
          <w:sz w:val="20"/>
          <w:szCs w:val="20"/>
        </w:rPr>
        <w:t>These financial statements are the responsibility of the Company’s management. Our responsibility is to express an opinion on the Company’s financial statements based on our audits. We are a public accounting firm registered with the PCAOB and are r</w:t>
      </w:r>
      <w:r>
        <w:rPr>
          <w:rFonts w:eastAsia="Times New Roman"/>
          <w:color w:val="000000"/>
          <w:sz w:val="20"/>
          <w:szCs w:val="20"/>
        </w:rPr>
        <w:t>equired to be independent with respect to the Company in accordance with the U.S. federal securities laws and the applicable rules and regulations of the Securities and Exchange Commission and the PCAOB.</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conducted our audits in accordance with the sta</w:t>
      </w:r>
      <w:r>
        <w:rPr>
          <w:rFonts w:eastAsia="Times New Roman"/>
          <w:color w:val="000000"/>
          <w:sz w:val="20"/>
          <w:szCs w:val="20"/>
        </w:rPr>
        <w:t>ndards of the PCAOB. Those standards require that we plan and perform the audit to obtain reasonable assurance about whether the financial statements are free of material misstatement, whether due to error or fraud. Our audits included performing procedure</w:t>
      </w:r>
      <w:r>
        <w:rPr>
          <w:rFonts w:eastAsia="Times New Roman"/>
          <w:color w:val="000000"/>
          <w:sz w:val="20"/>
          <w:szCs w:val="20"/>
        </w:rPr>
        <w:t>s to assess the risks of material misstatement of the financial statements, whether due to error or fraud, and performing procedures that respond to those risks. Such procedures include examining, on a test basis, evidence regarding the amounts and disclos</w:t>
      </w:r>
      <w:r>
        <w:rPr>
          <w:rFonts w:eastAsia="Times New Roman"/>
          <w:color w:val="000000"/>
          <w:sz w:val="20"/>
          <w:szCs w:val="20"/>
        </w:rPr>
        <w:t>ures in the financial statements. Our audits also included evaluating the accounting principles used and significant estimates made by management, as well as evaluating the overall presentation of the financial statements. We believe that our audits provid</w:t>
      </w:r>
      <w:r>
        <w:rPr>
          <w:rFonts w:eastAsia="Times New Roman"/>
          <w:color w:val="000000"/>
          <w:sz w:val="20"/>
          <w:szCs w:val="20"/>
        </w:rPr>
        <w:t>e a reasonable basis for our opinion.</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Critical Audit Matters</w:t>
      </w:r>
    </w:p>
    <w:p w:rsidR="00000000" w:rsidRDefault="00905244">
      <w:pPr>
        <w:jc w:val="both"/>
        <w:rPr>
          <w:rFonts w:eastAsia="Times New Roman"/>
        </w:rPr>
      </w:pPr>
      <w:r>
        <w:rPr>
          <w:rFonts w:eastAsia="Times New Roman"/>
          <w:color w:val="000000"/>
          <w:sz w:val="20"/>
          <w:szCs w:val="20"/>
        </w:rPr>
        <w:t>The critical audit matters communicated below are matters arising from the current period audit of the financial statements that were communicated or required to be communicated to the audit co</w:t>
      </w:r>
      <w:r>
        <w:rPr>
          <w:rFonts w:eastAsia="Times New Roman"/>
          <w:color w:val="000000"/>
          <w:sz w:val="20"/>
          <w:szCs w:val="20"/>
        </w:rPr>
        <w:t>mmittee and that: (1) relate to accounts or disclosures that are material to the financial statements and (2) involved our especially challenging, subjective or complex judgments. The communication of critical audit matters does not alter in any way our op</w:t>
      </w:r>
      <w:r>
        <w:rPr>
          <w:rFonts w:eastAsia="Times New Roman"/>
          <w:color w:val="000000"/>
          <w:sz w:val="20"/>
          <w:szCs w:val="20"/>
        </w:rPr>
        <w:t>inion on the consolidated financial statements, taken as a whole, and we are not, by communicating the critical audit matters below, providing separate opinions on the critical audit matters or on the accounts or disclosures to which they relate.</w:t>
      </w:r>
    </w:p>
    <w:p w:rsidR="00000000" w:rsidRDefault="00905244">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1242"/>
        <w:gridCol w:w="36"/>
        <w:gridCol w:w="69"/>
        <w:gridCol w:w="6854"/>
        <w:gridCol w:w="36"/>
      </w:tblGrid>
      <w:tr w:rsidR="00000000">
        <w:trPr>
          <w:divId w:val="1451166982"/>
        </w:trPr>
        <w:tc>
          <w:tcPr>
            <w:tcW w:w="50" w:type="pct"/>
            <w:vAlign w:val="center"/>
            <w:hideMark/>
          </w:tcPr>
          <w:p w:rsidR="00000000" w:rsidRDefault="00905244">
            <w:pPr>
              <w:jc w:val="both"/>
              <w:rPr>
                <w:rFonts w:eastAsia="Times New Roman"/>
              </w:rPr>
            </w:pPr>
          </w:p>
        </w:tc>
        <w:tc>
          <w:tcPr>
            <w:tcW w:w="75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133"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451166982"/>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b/>
                <w:bCs/>
                <w:i/>
                <w:iCs/>
                <w:color w:val="000000"/>
                <w:sz w:val="20"/>
                <w:szCs w:val="20"/>
              </w:rPr>
              <w:t>Estimate of Workers' Compensation and General Liability Self-Insurance Reserves</w:t>
            </w:r>
          </w:p>
        </w:tc>
      </w:tr>
      <w:tr w:rsidR="00000000">
        <w:trPr>
          <w:divId w:val="1451166982"/>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i/>
                <w:iCs/>
                <w:color w:val="000000"/>
                <w:sz w:val="20"/>
                <w:szCs w:val="20"/>
              </w:rPr>
              <w:t>Description of the Matter</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 xml:space="preserve">At December 26, 2020, the Company’s net reserves for workers’ </w:t>
            </w:r>
            <w:r>
              <w:rPr>
                <w:rFonts w:eastAsia="Times New Roman"/>
                <w:color w:val="000000"/>
                <w:sz w:val="20"/>
                <w:szCs w:val="20"/>
              </w:rPr>
              <w:t>compensation and general liability self-insurance risks were $75.5 million. As discussed in Note 1 of the consolidated financial statements, the Company retains a significant portion of risk for its workers’ compensation and general liability exposures. Ac</w:t>
            </w:r>
            <w:r>
              <w:rPr>
                <w:rFonts w:eastAsia="Times New Roman"/>
                <w:color w:val="000000"/>
                <w:sz w:val="20"/>
                <w:szCs w:val="20"/>
              </w:rPr>
              <w:t>cordingly, provisions are recorded based upon periodic estimates of such losses, as determined by management. The future claim costs for the workers’ compensation and general liability exposures are estimated using actuarial methods that consider assumptio</w:t>
            </w:r>
            <w:r>
              <w:rPr>
                <w:rFonts w:eastAsia="Times New Roman"/>
                <w:color w:val="000000"/>
                <w:sz w:val="20"/>
                <w:szCs w:val="20"/>
              </w:rPr>
              <w:t>ns for a number of factors including, but not limited to, historical claims experience, loss development factors, and severity factors.</w:t>
            </w:r>
          </w:p>
        </w:tc>
      </w:tr>
      <w:tr w:rsidR="00000000">
        <w:trPr>
          <w:divId w:val="1451166982"/>
          <w:trHeight w:val="300"/>
        </w:trPr>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451166982"/>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 xml:space="preserve">Auditing management’s estimate of the recorded workers’ </w:t>
            </w:r>
            <w:r>
              <w:rPr>
                <w:rFonts w:eastAsia="Times New Roman"/>
                <w:color w:val="000000"/>
                <w:sz w:val="20"/>
                <w:szCs w:val="20"/>
              </w:rPr>
              <w:t>compensation and general liability self-insurance reserves was complex and judgmental due to the significant assumptions and judgments required by management in projecting the exposure on incurred claims that remain unresolved, including those which have n</w:t>
            </w:r>
            <w:r>
              <w:rPr>
                <w:rFonts w:eastAsia="Times New Roman"/>
                <w:color w:val="000000"/>
                <w:sz w:val="20"/>
                <w:szCs w:val="20"/>
              </w:rPr>
              <w:t>ot yet been reported to the Company.</w:t>
            </w:r>
          </w:p>
        </w:tc>
      </w:tr>
      <w:tr w:rsidR="00000000">
        <w:trPr>
          <w:divId w:val="1451166982"/>
          <w:trHeight w:val="300"/>
        </w:trPr>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bl>
    <w:p w:rsidR="00000000" w:rsidRDefault="00905244">
      <w:pPr>
        <w:divId w:val="407508102"/>
        <w:rPr>
          <w:rFonts w:eastAsia="Times New Roman"/>
        </w:rPr>
      </w:pPr>
    </w:p>
    <w:p w:rsidR="00000000" w:rsidRDefault="00905244">
      <w:pPr>
        <w:jc w:val="center"/>
        <w:divId w:val="2018774233"/>
        <w:rPr>
          <w:rFonts w:eastAsia="Times New Roman"/>
        </w:rPr>
      </w:pPr>
      <w:r>
        <w:rPr>
          <w:rFonts w:eastAsia="Times New Roman"/>
          <w:color w:val="000000"/>
          <w:sz w:val="20"/>
          <w:szCs w:val="20"/>
        </w:rPr>
        <w:t>49</w:t>
      </w:r>
    </w:p>
    <w:p w:rsidR="00000000" w:rsidRDefault="00905244">
      <w:pPr>
        <w:rPr>
          <w:rFonts w:eastAsia="Times New Roman"/>
        </w:rPr>
      </w:pPr>
      <w:r>
        <w:rPr>
          <w:rFonts w:eastAsia="Times New Roman"/>
        </w:rPr>
        <w:pict>
          <v:rect id="_x0000_i1078" style="width:0;height:1.5pt" o:hralign="center" o:hrstd="t" o:hr="t" fillcolor="#a0a0a0" stroked="f"/>
        </w:pict>
      </w:r>
    </w:p>
    <w:p w:rsidR="00000000" w:rsidRDefault="00905244">
      <w:pPr>
        <w:divId w:val="1090740643"/>
        <w:rPr>
          <w:rFonts w:eastAsia="Times New Roman"/>
        </w:rPr>
      </w:pPr>
      <w:hyperlink w:anchor="i137f04c25e1e4da3b6d1f469d06f3319_7" w:history="1">
        <w:r>
          <w:rPr>
            <w:rStyle w:val="a3"/>
            <w:rFonts w:eastAsia="Times New Roman"/>
            <w:sz w:val="18"/>
            <w:szCs w:val="18"/>
          </w:rPr>
          <w:t>Index</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1242"/>
        <w:gridCol w:w="36"/>
        <w:gridCol w:w="69"/>
        <w:gridCol w:w="6854"/>
        <w:gridCol w:w="36"/>
      </w:tblGrid>
      <w:tr w:rsidR="00000000">
        <w:trPr>
          <w:divId w:val="447892524"/>
        </w:trPr>
        <w:tc>
          <w:tcPr>
            <w:tcW w:w="50" w:type="pct"/>
            <w:vAlign w:val="center"/>
            <w:hideMark/>
          </w:tcPr>
          <w:p w:rsidR="00000000" w:rsidRDefault="00905244">
            <w:pPr>
              <w:rPr>
                <w:rFonts w:eastAsia="Times New Roman"/>
              </w:rPr>
            </w:pPr>
          </w:p>
        </w:tc>
        <w:tc>
          <w:tcPr>
            <w:tcW w:w="75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133"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447892524"/>
          <w:trHeight w:val="30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44789252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i/>
                <w:iCs/>
                <w:color w:val="000000"/>
                <w:sz w:val="20"/>
                <w:szCs w:val="20"/>
              </w:rPr>
              <w:t>How We Addressed the Matter in Our Audit</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We obtained an understanding, evaluated the design, and tested the operating effectiveness of controls over the Company’s accounting for self-insurance exposures. For example, we tested controls over the appropriateness of management’s review of the signif</w:t>
            </w:r>
            <w:r>
              <w:rPr>
                <w:rFonts w:eastAsia="Times New Roman"/>
                <w:color w:val="000000"/>
                <w:sz w:val="20"/>
                <w:szCs w:val="20"/>
              </w:rPr>
              <w:t>icant assumptions described above, including the completeness and accuracy of the underlying data, as well as management’s review of the actuarial calculations.</w:t>
            </w:r>
          </w:p>
        </w:tc>
      </w:tr>
      <w:tr w:rsidR="00000000">
        <w:trPr>
          <w:divId w:val="447892524"/>
          <w:trHeight w:val="300"/>
        </w:trPr>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447892524"/>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To test the Company’</w:t>
            </w:r>
            <w:r>
              <w:rPr>
                <w:rFonts w:eastAsia="Times New Roman"/>
                <w:color w:val="000000"/>
                <w:sz w:val="20"/>
                <w:szCs w:val="20"/>
              </w:rPr>
              <w:t>s estimate of the self-insurance reserves, we performed audit procedures that included, among others, assessing the actuarial valuation methodologies utilized by management, testing the significant assumptions described above, testing the related underlyin</w:t>
            </w:r>
            <w:r>
              <w:rPr>
                <w:rFonts w:eastAsia="Times New Roman"/>
                <w:color w:val="000000"/>
                <w:sz w:val="20"/>
                <w:szCs w:val="20"/>
              </w:rPr>
              <w:t>g data used by the Company in its evaluation for completeness and accuracy, and testing the mathematical accuracy of the calculations. Our audit procedures also included, among others, comparing the significant assumptions used by management to industry ac</w:t>
            </w:r>
            <w:r>
              <w:rPr>
                <w:rFonts w:eastAsia="Times New Roman"/>
                <w:color w:val="000000"/>
                <w:sz w:val="20"/>
                <w:szCs w:val="20"/>
              </w:rPr>
              <w:t>cepted actuarial assumptions and reassessing the accuracy of management’s historical estimates utilized in prior period evaluations. We involved our actuarial valuation specialists to assist in assessing the valuation methodologies and significant assumpti</w:t>
            </w:r>
            <w:r>
              <w:rPr>
                <w:rFonts w:eastAsia="Times New Roman"/>
                <w:color w:val="000000"/>
                <w:sz w:val="20"/>
                <w:szCs w:val="20"/>
              </w:rPr>
              <w:t>ons noted above and to develop an independent range of estimates for the insurance reserves which were then compared to management’s estimates.</w:t>
            </w:r>
          </w:p>
        </w:tc>
      </w:tr>
    </w:tbl>
    <w:p w:rsidR="00000000" w:rsidRDefault="00905244">
      <w:pPr>
        <w:divId w:val="144048535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1242"/>
        <w:gridCol w:w="36"/>
        <w:gridCol w:w="69"/>
        <w:gridCol w:w="6853"/>
        <w:gridCol w:w="38"/>
      </w:tblGrid>
      <w:tr w:rsidR="00000000">
        <w:trPr>
          <w:divId w:val="1682774073"/>
        </w:trPr>
        <w:tc>
          <w:tcPr>
            <w:tcW w:w="50" w:type="pct"/>
            <w:vAlign w:val="center"/>
            <w:hideMark/>
          </w:tcPr>
          <w:p w:rsidR="00000000" w:rsidRDefault="00905244">
            <w:pPr>
              <w:rPr>
                <w:rFonts w:eastAsia="Times New Roman"/>
              </w:rPr>
            </w:pPr>
          </w:p>
        </w:tc>
        <w:tc>
          <w:tcPr>
            <w:tcW w:w="75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133"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682774073"/>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b/>
                <w:bCs/>
                <w:i/>
                <w:iCs/>
                <w:color w:val="000000"/>
                <w:sz w:val="20"/>
                <w:szCs w:val="20"/>
              </w:rPr>
              <w:t>Valuation of Goodwill</w:t>
            </w:r>
          </w:p>
        </w:tc>
      </w:tr>
      <w:tr w:rsidR="00000000">
        <w:trPr>
          <w:divId w:val="1682774073"/>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i/>
                <w:iCs/>
                <w:color w:val="000000"/>
                <w:sz w:val="20"/>
                <w:szCs w:val="20"/>
              </w:rPr>
              <w:t>Description of the Matter</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At December 26, 2020, the Company had $22.2 million in goodwill, subsequent to an impairment charge of $60.8 million, related to the Petsense reporting unit. As discussed in Note 1 and Note 3 of the consolidated financial statements, goodwill is qualitativ</w:t>
            </w:r>
            <w:r>
              <w:rPr>
                <w:rFonts w:eastAsia="Times New Roman"/>
                <w:color w:val="000000"/>
                <w:sz w:val="20"/>
                <w:szCs w:val="20"/>
              </w:rPr>
              <w:t>ely or quantitatively tested for impairment at the reporting unit level at least annually, during the fourth quarter, or whenever events or changes in circumstances indicate that the carrying value may not be recoverable. The quantitative evaluation involv</w:t>
            </w:r>
            <w:r>
              <w:rPr>
                <w:rFonts w:eastAsia="Times New Roman"/>
                <w:color w:val="000000"/>
                <w:sz w:val="20"/>
                <w:szCs w:val="20"/>
              </w:rPr>
              <w:t>es the comparison of the carrying value of the reporting unit to its fair value, as determined by management.</w:t>
            </w:r>
          </w:p>
        </w:tc>
      </w:tr>
      <w:tr w:rsidR="00000000">
        <w:trPr>
          <w:divId w:val="1682774073"/>
          <w:trHeight w:val="300"/>
        </w:trPr>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682774073"/>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Auditing management’</w:t>
            </w:r>
            <w:r>
              <w:rPr>
                <w:rFonts w:eastAsia="Times New Roman"/>
                <w:color w:val="000000"/>
                <w:sz w:val="20"/>
                <w:szCs w:val="20"/>
              </w:rPr>
              <w:t>s annual goodwill impairment analysis was complex due to the significant estimation required by management in determining the fair value of a reporting unit. In particular, the fair value estimates are sensitive to significant assumptions such as projected</w:t>
            </w:r>
            <w:r>
              <w:rPr>
                <w:rFonts w:eastAsia="Times New Roman"/>
                <w:color w:val="000000"/>
                <w:sz w:val="20"/>
                <w:szCs w:val="20"/>
              </w:rPr>
              <w:t xml:space="preserve"> financial information (revenue growth rates, profit margins, tax rates, and capital expenditures) and the discount rate, which are affected by expectations about future market or economic conditions.</w:t>
            </w:r>
          </w:p>
        </w:tc>
      </w:tr>
      <w:tr w:rsidR="00000000">
        <w:trPr>
          <w:divId w:val="1682774073"/>
          <w:trHeight w:val="300"/>
        </w:trPr>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682774073"/>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i/>
                <w:iCs/>
                <w:color w:val="000000"/>
                <w:sz w:val="20"/>
                <w:szCs w:val="20"/>
              </w:rPr>
              <w:t>How We Addressed the Matter in Our Audit</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We</w:t>
            </w:r>
            <w:r>
              <w:rPr>
                <w:rFonts w:eastAsia="Times New Roman"/>
                <w:color w:val="000000"/>
                <w:sz w:val="20"/>
                <w:szCs w:val="20"/>
              </w:rPr>
              <w:t xml:space="preserve"> obtained an understanding, evaluated the design and tested the operating effectiveness of controls over the Company’s goodwill impairment review process, including controls over management’s review of the significant assumptions described above, as well a</w:t>
            </w:r>
            <w:r>
              <w:rPr>
                <w:rFonts w:eastAsia="Times New Roman"/>
                <w:color w:val="000000"/>
                <w:sz w:val="20"/>
                <w:szCs w:val="20"/>
              </w:rPr>
              <w:t>s the review of the fair value methodologies utilized. For example, we tested controls over management’s identification of reporting units and review of significant assumptions utilized within the fair value model, including the development of the projecte</w:t>
            </w:r>
            <w:r>
              <w:rPr>
                <w:rFonts w:eastAsia="Times New Roman"/>
                <w:color w:val="000000"/>
                <w:sz w:val="20"/>
                <w:szCs w:val="20"/>
              </w:rPr>
              <w:t>d financial information and determination of the discount rate.</w:t>
            </w:r>
          </w:p>
        </w:tc>
      </w:tr>
      <w:tr w:rsidR="00000000">
        <w:trPr>
          <w:divId w:val="1682774073"/>
          <w:trHeight w:val="300"/>
        </w:trPr>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682774073"/>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 xml:space="preserve">To test the estimated fair value of the Petsense reporting unit, we performed audit procedures that included, among others, involvement of our valuation specialists to assess fair value methodologies, including the significant assumptions discussed above. </w:t>
            </w:r>
            <w:r>
              <w:rPr>
                <w:rFonts w:eastAsia="Times New Roman"/>
                <w:color w:val="000000"/>
                <w:sz w:val="20"/>
                <w:szCs w:val="20"/>
              </w:rPr>
              <w:t>Specifically, we compared significant assumptions used by management to current industry and economic trends and changes to the Company’s business model. As part of this assessment, we also compared the discount rate to rates for hypothetical market partic</w:t>
            </w:r>
            <w:r>
              <w:rPr>
                <w:rFonts w:eastAsia="Times New Roman"/>
                <w:color w:val="000000"/>
                <w:sz w:val="20"/>
                <w:szCs w:val="20"/>
              </w:rPr>
              <w:t>ipants based on the capital structure of the Company and its related peer group. We assessed the historical accuracy of management’s estimates and performed sensitivity analyses of significant assumptions to evaluate the changes in the fair value of a repo</w:t>
            </w:r>
            <w:r>
              <w:rPr>
                <w:rFonts w:eastAsia="Times New Roman"/>
                <w:color w:val="000000"/>
                <w:sz w:val="20"/>
                <w:szCs w:val="20"/>
              </w:rPr>
              <w:t xml:space="preserve">rting unit that would result from changes in the assumptions, as well as corroborated the estimated fair value by comparing it with peer company trading and transaction multiples. In addition, we tested management’s reconciliation of the fair value of the </w:t>
            </w:r>
            <w:r>
              <w:rPr>
                <w:rFonts w:eastAsia="Times New Roman"/>
                <w:color w:val="000000"/>
                <w:sz w:val="20"/>
                <w:szCs w:val="20"/>
              </w:rPr>
              <w:t>reporting units to the market capitalization of the Company.</w:t>
            </w:r>
          </w:p>
        </w:tc>
      </w:tr>
      <w:tr w:rsidR="00000000">
        <w:trPr>
          <w:divId w:val="1682774073"/>
          <w:trHeight w:val="300"/>
        </w:trPr>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bl>
    <w:p w:rsidR="00000000" w:rsidRDefault="00905244">
      <w:pPr>
        <w:divId w:val="1272206482"/>
        <w:rPr>
          <w:rFonts w:eastAsia="Times New Roman"/>
        </w:rPr>
      </w:pPr>
    </w:p>
    <w:p w:rsidR="00000000" w:rsidRDefault="00905244">
      <w:pPr>
        <w:divId w:val="419257104"/>
        <w:rPr>
          <w:rFonts w:eastAsia="Times New Roman"/>
        </w:rPr>
      </w:pPr>
      <w:r>
        <w:rPr>
          <w:rFonts w:eastAsia="Times New Roman"/>
          <w:color w:val="000000"/>
          <w:sz w:val="20"/>
          <w:szCs w:val="20"/>
        </w:rPr>
        <w:t>/s/ Ernst &amp; Young LLP</w:t>
      </w:r>
    </w:p>
    <w:p w:rsidR="00000000" w:rsidRDefault="00905244">
      <w:pPr>
        <w:divId w:val="677584634"/>
        <w:rPr>
          <w:rFonts w:eastAsia="Times New Roman"/>
        </w:rPr>
      </w:pPr>
      <w:r>
        <w:rPr>
          <w:rFonts w:eastAsia="Times New Roman"/>
          <w:color w:val="000000"/>
          <w:sz w:val="20"/>
          <w:szCs w:val="20"/>
        </w:rPr>
        <w:t>We have served as the Company’s auditor since 2001.</w:t>
      </w:r>
    </w:p>
    <w:p w:rsidR="00000000" w:rsidRDefault="00905244">
      <w:pPr>
        <w:divId w:val="1838155238"/>
        <w:rPr>
          <w:rFonts w:eastAsia="Times New Roman"/>
        </w:rPr>
      </w:pPr>
      <w:r>
        <w:rPr>
          <w:rFonts w:eastAsia="Times New Roman"/>
          <w:color w:val="000000"/>
          <w:sz w:val="20"/>
          <w:szCs w:val="20"/>
        </w:rPr>
        <w:t>Nashville, Tennessee</w:t>
      </w:r>
    </w:p>
    <w:p w:rsidR="00000000" w:rsidRDefault="00905244">
      <w:pPr>
        <w:divId w:val="1105421278"/>
        <w:rPr>
          <w:rFonts w:eastAsia="Times New Roman"/>
        </w:rPr>
      </w:pPr>
      <w:r>
        <w:rPr>
          <w:rFonts w:eastAsia="Times New Roman"/>
          <w:color w:val="000000"/>
          <w:sz w:val="20"/>
          <w:szCs w:val="20"/>
        </w:rPr>
        <w:t xml:space="preserve">February 18, 2021 </w:t>
      </w:r>
    </w:p>
    <w:p w:rsidR="00000000" w:rsidRDefault="00905244">
      <w:pPr>
        <w:jc w:val="center"/>
        <w:divId w:val="1862474092"/>
        <w:rPr>
          <w:rFonts w:eastAsia="Times New Roman"/>
        </w:rPr>
      </w:pPr>
      <w:r>
        <w:rPr>
          <w:rFonts w:eastAsia="Times New Roman"/>
          <w:color w:val="000000"/>
          <w:sz w:val="20"/>
          <w:szCs w:val="20"/>
        </w:rPr>
        <w:t>50</w:t>
      </w:r>
    </w:p>
    <w:p w:rsidR="00000000" w:rsidRDefault="00905244">
      <w:pPr>
        <w:rPr>
          <w:rFonts w:eastAsia="Times New Roman"/>
        </w:rPr>
      </w:pPr>
      <w:r>
        <w:rPr>
          <w:rFonts w:eastAsia="Times New Roman"/>
        </w:rPr>
        <w:pict>
          <v:rect id="_x0000_i1079" style="width:0;height:1.5pt" o:hralign="center" o:hrstd="t" o:hr="t" fillcolor="#a0a0a0" stroked="f"/>
        </w:pict>
      </w:r>
    </w:p>
    <w:p w:rsidR="00000000" w:rsidRDefault="00905244">
      <w:pPr>
        <w:divId w:val="2131165444"/>
        <w:rPr>
          <w:rFonts w:eastAsia="Times New Roman"/>
        </w:rPr>
      </w:pPr>
      <w:hyperlink w:anchor="i137f04c25e1e4da3b6d1f469d06f3319_7" w:history="1">
        <w:r>
          <w:rPr>
            <w:rStyle w:val="a3"/>
            <w:rFonts w:eastAsia="Times New Roman"/>
            <w:sz w:val="18"/>
            <w:szCs w:val="18"/>
          </w:rPr>
          <w:t>Index</w:t>
        </w:r>
      </w:hyperlink>
    </w:p>
    <w:p w:rsidR="00000000" w:rsidRDefault="00905244">
      <w:pPr>
        <w:jc w:val="center"/>
        <w:rPr>
          <w:rFonts w:eastAsia="Times New Roman"/>
        </w:rPr>
      </w:pPr>
      <w:r>
        <w:rPr>
          <w:rFonts w:eastAsia="Times New Roman"/>
          <w:b/>
          <w:bCs/>
          <w:color w:val="000000"/>
          <w:sz w:val="20"/>
          <w:szCs w:val="20"/>
        </w:rPr>
        <w:t>TRACTOR SUPPLY COMPANY</w:t>
      </w:r>
    </w:p>
    <w:p w:rsidR="00000000" w:rsidRDefault="00905244">
      <w:pPr>
        <w:jc w:val="center"/>
        <w:rPr>
          <w:rFonts w:eastAsia="Times New Roman"/>
        </w:rPr>
      </w:pPr>
      <w:r>
        <w:rPr>
          <w:rFonts w:eastAsia="Times New Roman"/>
          <w:b/>
          <w:bCs/>
          <w:color w:val="000000"/>
          <w:sz w:val="20"/>
          <w:szCs w:val="20"/>
        </w:rPr>
        <w:t>CONSOLIDATED STATEMENTS OF INCOME</w:t>
      </w:r>
    </w:p>
    <w:p w:rsidR="00000000" w:rsidRDefault="00905244">
      <w:pPr>
        <w:jc w:val="center"/>
        <w:rPr>
          <w:rFonts w:eastAsia="Times New Roman"/>
        </w:rPr>
      </w:pPr>
      <w:r>
        <w:rPr>
          <w:rFonts w:eastAsia="Times New Roman"/>
          <w:b/>
          <w:bCs/>
          <w:color w:val="000000"/>
          <w:sz w:val="20"/>
          <w:szCs w:val="20"/>
        </w:rPr>
        <w:t>(in thousands, except per share amounts)</w:t>
      </w:r>
    </w:p>
    <w:p w:rsidR="00000000" w:rsidRDefault="00905244">
      <w:pPr>
        <w:divId w:val="161363000"/>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9"/>
        <w:gridCol w:w="4680"/>
        <w:gridCol w:w="37"/>
        <w:gridCol w:w="120"/>
        <w:gridCol w:w="977"/>
        <w:gridCol w:w="36"/>
        <w:gridCol w:w="36"/>
        <w:gridCol w:w="36"/>
        <w:gridCol w:w="36"/>
        <w:gridCol w:w="120"/>
        <w:gridCol w:w="938"/>
        <w:gridCol w:w="36"/>
        <w:gridCol w:w="36"/>
        <w:gridCol w:w="36"/>
        <w:gridCol w:w="36"/>
        <w:gridCol w:w="120"/>
        <w:gridCol w:w="938"/>
        <w:gridCol w:w="36"/>
      </w:tblGrid>
      <w:tr w:rsidR="00000000">
        <w:trPr>
          <w:divId w:val="1036545655"/>
        </w:trPr>
        <w:tc>
          <w:tcPr>
            <w:tcW w:w="50" w:type="pct"/>
            <w:vAlign w:val="center"/>
            <w:hideMark/>
          </w:tcPr>
          <w:p w:rsidR="00000000" w:rsidRDefault="00905244">
            <w:pPr>
              <w:rPr>
                <w:rFonts w:eastAsia="Times New Roman"/>
              </w:rPr>
            </w:pPr>
          </w:p>
        </w:tc>
        <w:tc>
          <w:tcPr>
            <w:tcW w:w="285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61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61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61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036545655"/>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w:t>
            </w:r>
          </w:p>
        </w:tc>
      </w:tr>
      <w:tr w:rsidR="00000000">
        <w:trPr>
          <w:divId w:val="1036545655"/>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2018</w:t>
            </w:r>
          </w:p>
        </w:tc>
      </w:tr>
      <w:tr w:rsidR="00000000">
        <w:trPr>
          <w:divId w:val="1036545655"/>
        </w:trPr>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(52 weeks)</w:t>
            </w:r>
          </w:p>
        </w:tc>
      </w:tr>
      <w:tr w:rsidR="00000000">
        <w:trPr>
          <w:divId w:val="1036545655"/>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Net sales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10,620,352 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8,351,931 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7,911,046 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036545655"/>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Cost of merchandise sold</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6,858,803 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5,480,161 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5,208,518 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036545655"/>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Gross profit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3,761,549 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2,871,770 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2,702,528 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036545655"/>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2,478,524 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1,932,572 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1,823,440 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036545655"/>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217,124 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195,978 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177,351 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036545655"/>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Impairment of goodwill and other intangible assets</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68,973 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036545655"/>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Operating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996,928 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743,220 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701,737 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036545655"/>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Interest expense, net</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28,781 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19,843 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18,352 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036545655"/>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Income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968,147 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723,377 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683,385 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036545655"/>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Income tax expense</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219,189 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161,023 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151,028 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036545655"/>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748,958 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562,354 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532,357 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036545655"/>
          <w:trHeight w:val="280"/>
        </w:trPr>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036545655"/>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Net income per share – basic</w:t>
            </w: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6.44 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4.70 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4.34 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036545655"/>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Net income per share – 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6.38 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4.66 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4.31 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036545655"/>
          <w:trHeight w:val="280"/>
        </w:trPr>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036545655"/>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Weighted average shares outstanding</w:t>
            </w:r>
          </w:p>
        </w:tc>
        <w:tc>
          <w:tcPr>
            <w:tcW w:w="0" w:type="auto"/>
            <w:gridSpan w:val="3"/>
            <w:shd w:val="clear" w:color="auto" w:fill="FFFF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r>
      <w:tr w:rsidR="00000000">
        <w:trPr>
          <w:divId w:val="1036545655"/>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116,370 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119,727 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122,651 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036545655"/>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Diluted</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117,436 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120,743 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123,471 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036545655"/>
          <w:trHeight w:val="280"/>
        </w:trPr>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036545655"/>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Dividends declared per common share outstanding</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1.50 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1.36 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1.20 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divId w:val="1943760399"/>
        <w:rPr>
          <w:rFonts w:eastAsia="Times New Roman"/>
        </w:rPr>
      </w:pPr>
    </w:p>
    <w:p w:rsidR="00000000" w:rsidRDefault="00905244">
      <w:pPr>
        <w:jc w:val="center"/>
        <w:rPr>
          <w:rFonts w:eastAsia="Times New Roman"/>
        </w:rPr>
      </w:pPr>
      <w:r>
        <w:rPr>
          <w:rFonts w:eastAsia="Times New Roman"/>
          <w:color w:val="000000"/>
          <w:sz w:val="20"/>
          <w:szCs w:val="20"/>
        </w:rPr>
        <w:t>The accompanying notes are an integral part of these Consolidated Financial Statements.</w:t>
      </w:r>
    </w:p>
    <w:p w:rsidR="00000000" w:rsidRDefault="00905244">
      <w:pPr>
        <w:jc w:val="center"/>
        <w:divId w:val="1366254601"/>
        <w:rPr>
          <w:rFonts w:eastAsia="Times New Roman"/>
        </w:rPr>
      </w:pPr>
      <w:r>
        <w:rPr>
          <w:rFonts w:eastAsia="Times New Roman"/>
          <w:color w:val="000000"/>
          <w:sz w:val="20"/>
          <w:szCs w:val="20"/>
        </w:rPr>
        <w:t>51</w:t>
      </w:r>
    </w:p>
    <w:p w:rsidR="00000000" w:rsidRDefault="00905244">
      <w:pPr>
        <w:rPr>
          <w:rFonts w:eastAsia="Times New Roman"/>
        </w:rPr>
      </w:pPr>
      <w:r>
        <w:rPr>
          <w:rFonts w:eastAsia="Times New Roman"/>
        </w:rPr>
        <w:pict>
          <v:rect id="_x0000_i1080" style="width:0;height:1.5pt" o:hralign="center" o:hrstd="t" o:hr="t" fillcolor="#a0a0a0" stroked="f"/>
        </w:pict>
      </w:r>
    </w:p>
    <w:p w:rsidR="00000000" w:rsidRDefault="00905244">
      <w:pPr>
        <w:divId w:val="461966582"/>
        <w:rPr>
          <w:rFonts w:eastAsia="Times New Roman"/>
        </w:rPr>
      </w:pPr>
      <w:hyperlink w:anchor="i137f04c25e1e4da3b6d1f469d06f3319_7" w:history="1">
        <w:r>
          <w:rPr>
            <w:rStyle w:val="a3"/>
            <w:rFonts w:eastAsia="Times New Roman"/>
            <w:sz w:val="18"/>
            <w:szCs w:val="18"/>
          </w:rPr>
          <w:t>Index</w:t>
        </w:r>
      </w:hyperlink>
    </w:p>
    <w:p w:rsidR="00000000" w:rsidRDefault="00905244">
      <w:pPr>
        <w:jc w:val="center"/>
        <w:rPr>
          <w:rFonts w:eastAsia="Times New Roman"/>
        </w:rPr>
      </w:pPr>
      <w:r>
        <w:rPr>
          <w:rFonts w:eastAsia="Times New Roman"/>
          <w:b/>
          <w:bCs/>
          <w:color w:val="000000"/>
          <w:sz w:val="20"/>
          <w:szCs w:val="20"/>
        </w:rPr>
        <w:t>TRACTOR SUPP</w:t>
      </w:r>
      <w:r>
        <w:rPr>
          <w:rFonts w:eastAsia="Times New Roman"/>
          <w:b/>
          <w:bCs/>
          <w:color w:val="000000"/>
          <w:sz w:val="20"/>
          <w:szCs w:val="20"/>
        </w:rPr>
        <w:t>LY COMPANY</w:t>
      </w:r>
    </w:p>
    <w:p w:rsidR="00000000" w:rsidRDefault="00905244">
      <w:pPr>
        <w:jc w:val="center"/>
        <w:rPr>
          <w:rFonts w:eastAsia="Times New Roman"/>
        </w:rPr>
      </w:pPr>
      <w:r>
        <w:rPr>
          <w:rFonts w:eastAsia="Times New Roman"/>
          <w:b/>
          <w:bCs/>
          <w:color w:val="000000"/>
          <w:sz w:val="20"/>
          <w:szCs w:val="20"/>
        </w:rPr>
        <w:t>CONSOLIDATED STATEMENTS OF COMPREHENSIVE INCOME</w:t>
      </w:r>
    </w:p>
    <w:p w:rsidR="00000000" w:rsidRDefault="00905244">
      <w:pPr>
        <w:jc w:val="center"/>
        <w:rPr>
          <w:rFonts w:eastAsia="Times New Roman"/>
        </w:rPr>
      </w:pPr>
      <w:r>
        <w:rPr>
          <w:rFonts w:eastAsia="Times New Roman"/>
          <w:b/>
          <w:bCs/>
          <w:color w:val="000000"/>
          <w:sz w:val="20"/>
          <w:szCs w:val="20"/>
        </w:rPr>
        <w:t>(in thousands)</w:t>
      </w:r>
    </w:p>
    <w:p w:rsidR="00000000" w:rsidRDefault="00905244">
      <w:pPr>
        <w:divId w:val="1535540416"/>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39"/>
        <w:gridCol w:w="4777"/>
        <w:gridCol w:w="37"/>
        <w:gridCol w:w="120"/>
        <w:gridCol w:w="941"/>
        <w:gridCol w:w="36"/>
        <w:gridCol w:w="36"/>
        <w:gridCol w:w="36"/>
        <w:gridCol w:w="36"/>
        <w:gridCol w:w="120"/>
        <w:gridCol w:w="901"/>
        <w:gridCol w:w="36"/>
        <w:gridCol w:w="36"/>
        <w:gridCol w:w="36"/>
        <w:gridCol w:w="36"/>
        <w:gridCol w:w="120"/>
        <w:gridCol w:w="902"/>
        <w:gridCol w:w="36"/>
      </w:tblGrid>
      <w:tr w:rsidR="00000000">
        <w:trPr>
          <w:divId w:val="295183011"/>
        </w:trPr>
        <w:tc>
          <w:tcPr>
            <w:tcW w:w="50" w:type="pct"/>
            <w:vAlign w:val="center"/>
            <w:hideMark/>
          </w:tcPr>
          <w:p w:rsidR="00000000" w:rsidRDefault="00905244">
            <w:pPr>
              <w:rPr>
                <w:rFonts w:eastAsia="Times New Roman"/>
              </w:rPr>
            </w:pPr>
          </w:p>
        </w:tc>
        <w:tc>
          <w:tcPr>
            <w:tcW w:w="2914"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295183011"/>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15"/>
            <w:tcMar>
              <w:top w:w="30" w:type="dxa"/>
              <w:left w:w="132" w:type="dxa"/>
              <w:bottom w:w="30" w:type="dxa"/>
              <w:right w:w="132" w:type="dxa"/>
            </w:tcMar>
            <w:vAlign w:val="bottom"/>
            <w:hideMark/>
          </w:tcPr>
          <w:p w:rsidR="00000000" w:rsidRDefault="00905244">
            <w:pPr>
              <w:jc w:val="center"/>
              <w:rPr>
                <w:rFonts w:eastAsia="Times New Roman"/>
              </w:rPr>
            </w:pPr>
            <w:r>
              <w:rPr>
                <w:rFonts w:eastAsia="Times New Roman"/>
                <w:b/>
                <w:bCs/>
                <w:color w:val="000000"/>
                <w:sz w:val="20"/>
                <w:szCs w:val="20"/>
              </w:rPr>
              <w:t>Fiscal Year</w:t>
            </w:r>
          </w:p>
        </w:tc>
      </w:tr>
      <w:tr w:rsidR="00000000">
        <w:trPr>
          <w:divId w:val="295183011"/>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2018</w:t>
            </w:r>
          </w:p>
        </w:tc>
      </w:tr>
      <w:tr w:rsidR="00000000">
        <w:trPr>
          <w:divId w:val="295183011"/>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(52 weeks)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(52 weeks)</w:t>
            </w:r>
          </w:p>
        </w:tc>
      </w:tr>
      <w:tr w:rsidR="00000000">
        <w:trPr>
          <w:divId w:val="295183011"/>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748,958 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562,354 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532,357 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95183011"/>
          <w:trHeight w:val="160"/>
        </w:trPr>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295183011"/>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Other comprehensive (loss)/income:</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295183011"/>
        </w:trPr>
        <w:tc>
          <w:tcPr>
            <w:tcW w:w="0" w:type="auto"/>
            <w:gridSpan w:val="3"/>
            <w:tcMar>
              <w:top w:w="30" w:type="dxa"/>
              <w:left w:w="245" w:type="dxa"/>
              <w:bottom w:w="30" w:type="dxa"/>
              <w:right w:w="20" w:type="dxa"/>
            </w:tcMar>
            <w:vAlign w:val="bottom"/>
            <w:hideMark/>
          </w:tcPr>
          <w:p w:rsidR="00000000" w:rsidRDefault="00905244">
            <w:pPr>
              <w:rPr>
                <w:rFonts w:eastAsia="Times New Roman"/>
              </w:rPr>
            </w:pPr>
            <w:r>
              <w:rPr>
                <w:rFonts w:eastAsia="Times New Roman"/>
                <w:color w:val="000000"/>
                <w:sz w:val="20"/>
                <w:szCs w:val="20"/>
              </w:rPr>
              <w:t>Change in fair value of interest rate swaps, net of taxes</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(3,442)</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(4,332)</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456 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95183011"/>
        </w:trPr>
        <w:tc>
          <w:tcPr>
            <w:tcW w:w="0" w:type="auto"/>
            <w:gridSpan w:val="3"/>
            <w:vAlign w:val="center"/>
            <w:hideMark/>
          </w:tcPr>
          <w:p w:rsidR="00000000" w:rsidRDefault="00905244">
            <w:pPr>
              <w:jc w:val="right"/>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295183011"/>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 other comprehensive (loss)/income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(3,442)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(4,332)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95183011"/>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Total comprehensive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745,516 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558,022 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532,813 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divId w:val="1549876257"/>
        <w:rPr>
          <w:rFonts w:eastAsia="Times New Roman"/>
        </w:rPr>
      </w:pPr>
    </w:p>
    <w:p w:rsidR="00000000" w:rsidRDefault="00905244">
      <w:pPr>
        <w:jc w:val="center"/>
        <w:rPr>
          <w:rFonts w:eastAsia="Times New Roman"/>
        </w:rPr>
      </w:pPr>
      <w:r>
        <w:rPr>
          <w:rFonts w:eastAsia="Times New Roman"/>
          <w:color w:val="000000"/>
          <w:sz w:val="20"/>
          <w:szCs w:val="20"/>
        </w:rPr>
        <w:t>The accompanying notes are an integral part of these Consolidated Financial Statements.</w:t>
      </w:r>
    </w:p>
    <w:p w:rsidR="00000000" w:rsidRDefault="00905244">
      <w:pPr>
        <w:divId w:val="1551959693"/>
        <w:rPr>
          <w:rFonts w:eastAsia="Times New Roman"/>
        </w:rPr>
      </w:pPr>
    </w:p>
    <w:p w:rsidR="00000000" w:rsidRDefault="00905244">
      <w:pPr>
        <w:jc w:val="center"/>
        <w:divId w:val="1693989436"/>
        <w:rPr>
          <w:rFonts w:eastAsia="Times New Roman"/>
        </w:rPr>
      </w:pPr>
      <w:r>
        <w:rPr>
          <w:rFonts w:eastAsia="Times New Roman"/>
          <w:color w:val="000000"/>
          <w:sz w:val="20"/>
          <w:szCs w:val="20"/>
        </w:rPr>
        <w:t>52</w:t>
      </w:r>
    </w:p>
    <w:p w:rsidR="00000000" w:rsidRDefault="00905244">
      <w:pPr>
        <w:rPr>
          <w:rFonts w:eastAsia="Times New Roman"/>
        </w:rPr>
      </w:pPr>
      <w:r>
        <w:rPr>
          <w:rFonts w:eastAsia="Times New Roman"/>
        </w:rPr>
        <w:pict>
          <v:rect id="_x0000_i1081" style="width:0;height:1.5pt" o:hralign="center" o:hrstd="t" o:hr="t" fillcolor="#a0a0a0" stroked="f"/>
        </w:pict>
      </w:r>
    </w:p>
    <w:p w:rsidR="00000000" w:rsidRDefault="00905244">
      <w:pPr>
        <w:divId w:val="1055397708"/>
        <w:rPr>
          <w:rFonts w:eastAsia="Times New Roman"/>
        </w:rPr>
      </w:pPr>
      <w:hyperlink w:anchor="i137f04c25e1e4da3b6d1f469d06f3319_7" w:history="1">
        <w:r>
          <w:rPr>
            <w:rStyle w:val="a3"/>
            <w:rFonts w:eastAsia="Times New Roman"/>
            <w:sz w:val="18"/>
            <w:szCs w:val="18"/>
          </w:rPr>
          <w:t>Index</w:t>
        </w:r>
      </w:hyperlink>
    </w:p>
    <w:p w:rsidR="00000000" w:rsidRDefault="00905244">
      <w:pPr>
        <w:jc w:val="center"/>
        <w:rPr>
          <w:rFonts w:eastAsia="Times New Roman"/>
        </w:rPr>
      </w:pPr>
      <w:r>
        <w:rPr>
          <w:rFonts w:eastAsia="Times New Roman"/>
          <w:b/>
          <w:bCs/>
          <w:color w:val="000000"/>
          <w:sz w:val="20"/>
          <w:szCs w:val="20"/>
        </w:rPr>
        <w:t>TRACTOR SUPPLY COMPANY</w:t>
      </w:r>
    </w:p>
    <w:p w:rsidR="00000000" w:rsidRDefault="00905244">
      <w:pPr>
        <w:jc w:val="center"/>
        <w:rPr>
          <w:rFonts w:eastAsia="Times New Roman"/>
        </w:rPr>
      </w:pPr>
      <w:r>
        <w:rPr>
          <w:rFonts w:eastAsia="Times New Roman"/>
          <w:b/>
          <w:bCs/>
          <w:color w:val="000000"/>
          <w:sz w:val="20"/>
          <w:szCs w:val="20"/>
        </w:rPr>
        <w:t>CONSOLIDATED BALANCE SHEETS</w:t>
      </w:r>
    </w:p>
    <w:p w:rsidR="00000000" w:rsidRDefault="00905244">
      <w:pPr>
        <w:jc w:val="center"/>
        <w:rPr>
          <w:rFonts w:eastAsia="Times New Roman"/>
        </w:rPr>
      </w:pPr>
      <w:r>
        <w:rPr>
          <w:rFonts w:eastAsia="Times New Roman"/>
          <w:b/>
          <w:bCs/>
          <w:color w:val="000000"/>
          <w:sz w:val="20"/>
          <w:szCs w:val="20"/>
        </w:rPr>
        <w:t>(in thousands, except per share amounts)</w:t>
      </w:r>
    </w:p>
    <w:tbl>
      <w:tblPr>
        <w:tblW w:w="4992" w:type="pct"/>
        <w:tblCellMar>
          <w:top w:w="15" w:type="dxa"/>
          <w:left w:w="15" w:type="dxa"/>
          <w:bottom w:w="15" w:type="dxa"/>
          <w:right w:w="15" w:type="dxa"/>
        </w:tblCellMar>
        <w:tblLook w:val="04A0" w:firstRow="1" w:lastRow="0" w:firstColumn="1" w:lastColumn="0" w:noHBand="0" w:noVBand="1"/>
      </w:tblPr>
      <w:tblGrid>
        <w:gridCol w:w="60"/>
        <w:gridCol w:w="5968"/>
        <w:gridCol w:w="38"/>
        <w:gridCol w:w="120"/>
        <w:gridCol w:w="921"/>
        <w:gridCol w:w="36"/>
        <w:gridCol w:w="36"/>
        <w:gridCol w:w="36"/>
        <w:gridCol w:w="36"/>
        <w:gridCol w:w="120"/>
        <w:gridCol w:w="886"/>
        <w:gridCol w:w="36"/>
      </w:tblGrid>
      <w:tr w:rsidR="00000000">
        <w:trPr>
          <w:divId w:val="1717968130"/>
        </w:trPr>
        <w:tc>
          <w:tcPr>
            <w:tcW w:w="50" w:type="pct"/>
            <w:vAlign w:val="center"/>
            <w:hideMark/>
          </w:tcPr>
          <w:p w:rsidR="00000000" w:rsidRDefault="00905244">
            <w:pPr>
              <w:jc w:val="center"/>
              <w:rPr>
                <w:rFonts w:eastAsia="Times New Roman"/>
              </w:rPr>
            </w:pPr>
          </w:p>
        </w:tc>
        <w:tc>
          <w:tcPr>
            <w:tcW w:w="3634"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8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8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717968130"/>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December 26, 2020</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December 28, 2019</w:t>
            </w:r>
          </w:p>
        </w:tc>
      </w:tr>
      <w:tr w:rsidR="00000000">
        <w:trPr>
          <w:divId w:val="1717968130"/>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r>
      <w:tr w:rsidR="00000000">
        <w:trPr>
          <w:divId w:val="1717968130"/>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Current assets:</w:t>
            </w:r>
          </w:p>
        </w:tc>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r>
      <w:tr w:rsidR="00000000">
        <w:trPr>
          <w:divId w:val="1717968130"/>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1,341,756 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84,241 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1,783,270 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1,602,781 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133,659 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100,865 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Pr>
        <w:tc>
          <w:tcPr>
            <w:tcW w:w="0" w:type="auto"/>
            <w:gridSpan w:val="3"/>
            <w:vAlign w:val="center"/>
            <w:hideMark/>
          </w:tcPr>
          <w:p w:rsidR="00000000" w:rsidRDefault="00905244">
            <w:pPr>
              <w:jc w:val="right"/>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717968130"/>
        </w:trPr>
        <w:tc>
          <w:tcPr>
            <w:tcW w:w="0" w:type="auto"/>
            <w:gridSpan w:val="3"/>
            <w:shd w:val="clear" w:color="auto" w:fill="FFFFFF"/>
            <w:tcMar>
              <w:top w:w="30" w:type="dxa"/>
              <w:left w:w="605"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3,258,685 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1,787,887 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Height w:val="100"/>
        </w:trPr>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717968130"/>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Property and equipment, net</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1,248,960 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1,163,956 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Operating lease right-of-use assets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2,423,881 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2,188,802 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Goodwill and other intangible assets                                                                </w:t>
            </w: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55,520 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124,492 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31,586 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30,484 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24,131 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Pr>
        <w:tc>
          <w:tcPr>
            <w:tcW w:w="0" w:type="auto"/>
            <w:gridSpan w:val="3"/>
            <w:shd w:val="clear" w:color="auto" w:fill="CCEEFF"/>
            <w:tcMar>
              <w:top w:w="30" w:type="dxa"/>
              <w:left w:w="605"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7,049,116 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5,289,268 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Height w:val="100"/>
        </w:trPr>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717968130"/>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LIABILITIES AND STOCKHOLDERS’ EQUITY</w:t>
            </w: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r>
      <w:tr w:rsidR="00000000">
        <w:trPr>
          <w:divId w:val="1717968130"/>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Current liabilities:</w:t>
            </w:r>
          </w:p>
        </w:tc>
        <w:tc>
          <w:tcPr>
            <w:tcW w:w="0" w:type="auto"/>
            <w:gridSpan w:val="3"/>
            <w:shd w:val="clear" w:color="auto" w:fill="FFFF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r>
      <w:tr w:rsidR="00000000">
        <w:trPr>
          <w:divId w:val="1717968130"/>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Accounts payable</w:t>
            </w: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976,096 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643,036 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Accrued employee compensation</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119,701 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39,755 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Other accrued expenses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324,813 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247,690 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Current portion of long-term debt</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30,000 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Current portion of finance lease liabilities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4,554 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4,036 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Current portion of operating lease liabilities</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298,696 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277,099 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Income taxes payable</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19,938 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5,984 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Pr>
        <w:tc>
          <w:tcPr>
            <w:tcW w:w="0" w:type="auto"/>
            <w:gridSpan w:val="3"/>
            <w:vAlign w:val="center"/>
            <w:hideMark/>
          </w:tcPr>
          <w:p w:rsidR="00000000" w:rsidRDefault="00905244">
            <w:pPr>
              <w:jc w:val="right"/>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717968130"/>
        </w:trPr>
        <w:tc>
          <w:tcPr>
            <w:tcW w:w="0" w:type="auto"/>
            <w:gridSpan w:val="3"/>
            <w:shd w:val="clear" w:color="auto" w:fill="FFFFFF"/>
            <w:tcMar>
              <w:top w:w="30" w:type="dxa"/>
              <w:left w:w="605"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1,743,798 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1,247,600 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Height w:val="100"/>
        </w:trPr>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717968130"/>
        </w:trPr>
        <w:tc>
          <w:tcPr>
            <w:tcW w:w="0" w:type="auto"/>
            <w:gridSpan w:val="3"/>
            <w:shd w:val="clear" w:color="auto" w:fill="FFFFFF"/>
            <w:tcMar>
              <w:top w:w="30" w:type="dxa"/>
              <w:left w:w="20" w:type="dxa"/>
              <w:bottom w:w="30" w:type="dxa"/>
              <w:right w:w="20" w:type="dxa"/>
            </w:tcMar>
            <w:vAlign w:val="center"/>
            <w:hideMark/>
          </w:tcPr>
          <w:p w:rsidR="00000000" w:rsidRDefault="00905244">
            <w:pPr>
              <w:rPr>
                <w:rFonts w:eastAsia="Times New Roman"/>
              </w:rPr>
            </w:pPr>
            <w:r>
              <w:rPr>
                <w:rFonts w:eastAsia="Times New Roman"/>
                <w:color w:val="000000"/>
                <w:sz w:val="20"/>
                <w:szCs w:val="20"/>
              </w:rPr>
              <w:t>Long-term debt</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984,324 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366,480 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Finance lease liabilities, less current portion</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33,096 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30,389 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Operating lease liabilities, less current portion</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2,220,904 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2,001,162 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153 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Other long-term liabilities</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143,154 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76,361 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Pr>
        <w:tc>
          <w:tcPr>
            <w:tcW w:w="0" w:type="auto"/>
            <w:gridSpan w:val="3"/>
            <w:shd w:val="clear" w:color="auto" w:fill="CCEEFF"/>
            <w:tcMar>
              <w:top w:w="30" w:type="dxa"/>
              <w:left w:w="605"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5,125,276 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3,722,145 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Height w:val="100"/>
        </w:trPr>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717968130"/>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Stockholders’ equity:</w:t>
            </w: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r>
      <w:tr w:rsidR="00000000">
        <w:trPr>
          <w:divId w:val="1717968130"/>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Preferred stock</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Pr>
        <w:tc>
          <w:tcPr>
            <w:tcW w:w="0" w:type="auto"/>
            <w:gridSpan w:val="3"/>
            <w:shd w:val="clear" w:color="auto" w:fill="CCEEFF"/>
            <w:tcMar>
              <w:top w:w="30" w:type="dxa"/>
              <w:left w:w="20" w:type="dxa"/>
              <w:bottom w:w="30" w:type="dxa"/>
              <w:right w:w="20" w:type="dxa"/>
            </w:tcMar>
            <w:vAlign w:val="bottom"/>
            <w:hideMark/>
          </w:tcPr>
          <w:p w:rsidR="00000000" w:rsidRDefault="00905244">
            <w:pPr>
              <w:ind w:hanging="180"/>
              <w:divId w:val="436753146"/>
              <w:rPr>
                <w:rFonts w:eastAsia="Times New Roman"/>
              </w:rPr>
            </w:pPr>
            <w:r>
              <w:rPr>
                <w:rFonts w:eastAsia="Times New Roman"/>
                <w:color w:val="000000"/>
                <w:sz w:val="20"/>
                <w:szCs w:val="20"/>
              </w:rPr>
              <w:t>Common stock</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1,401 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1,389 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1,095,500 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966,698 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Pr>
        <w:tc>
          <w:tcPr>
            <w:tcW w:w="0" w:type="auto"/>
            <w:gridSpan w:val="3"/>
            <w:shd w:val="clear" w:color="auto" w:fill="CCEEFF"/>
            <w:tcMar>
              <w:top w:w="30" w:type="dxa"/>
              <w:left w:w="14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Treasury stock</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(3,356,953)</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(3,013,996)</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Accumulated other comprehensive (loss)/income</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(3,243)</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199 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Retained earnings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4,187,135 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3,612,833 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Pr>
        <w:tc>
          <w:tcPr>
            <w:tcW w:w="0" w:type="auto"/>
            <w:gridSpan w:val="3"/>
            <w:shd w:val="clear" w:color="auto" w:fill="FFFFFF"/>
            <w:tcMar>
              <w:top w:w="30" w:type="dxa"/>
              <w:left w:w="605"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1,923,840 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1,567,123 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17968130"/>
        </w:trPr>
        <w:tc>
          <w:tcPr>
            <w:tcW w:w="0" w:type="auto"/>
            <w:gridSpan w:val="3"/>
            <w:shd w:val="clear" w:color="auto" w:fill="CCEEFF"/>
            <w:tcMar>
              <w:top w:w="30" w:type="dxa"/>
              <w:left w:w="605"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 liabilities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7,049,116 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5,289,268 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ind w:hanging="1260"/>
        <w:divId w:val="1834181616"/>
        <w:rPr>
          <w:rFonts w:eastAsia="Times New Roman"/>
        </w:rPr>
      </w:pPr>
      <w:r>
        <w:rPr>
          <w:rFonts w:eastAsia="Times New Roman"/>
          <w:b/>
          <w:bCs/>
          <w:color w:val="000000"/>
          <w:sz w:val="16"/>
          <w:szCs w:val="16"/>
        </w:rPr>
        <w:t>Preferred Stock (shares in thousands):</w:t>
      </w:r>
      <w:r>
        <w:rPr>
          <w:rFonts w:eastAsia="Times New Roman"/>
          <w:color w:val="000000"/>
          <w:sz w:val="16"/>
          <w:szCs w:val="16"/>
        </w:rPr>
        <w:t xml:space="preserve"> $1.00 par value; 40 </w:t>
      </w:r>
      <w:r>
        <w:rPr>
          <w:rFonts w:eastAsia="Times New Roman"/>
          <w:color w:val="000000"/>
          <w:sz w:val="16"/>
          <w:szCs w:val="16"/>
        </w:rPr>
        <w:t>shares authorized; no shares were issued or outstanding during any period presented.</w:t>
      </w:r>
    </w:p>
    <w:p w:rsidR="00000000" w:rsidRDefault="00905244">
      <w:pPr>
        <w:ind w:hanging="1260"/>
        <w:divId w:val="573466921"/>
        <w:rPr>
          <w:rFonts w:eastAsia="Times New Roman"/>
        </w:rPr>
      </w:pPr>
      <w:r>
        <w:rPr>
          <w:rFonts w:eastAsia="Times New Roman"/>
          <w:b/>
          <w:bCs/>
          <w:color w:val="000000"/>
          <w:sz w:val="16"/>
          <w:szCs w:val="16"/>
        </w:rPr>
        <w:t>Common Stock (shares in thousands):</w:t>
      </w:r>
      <w:r>
        <w:rPr>
          <w:rFonts w:eastAsia="Times New Roman"/>
          <w:color w:val="000000"/>
          <w:sz w:val="16"/>
          <w:szCs w:val="16"/>
        </w:rPr>
        <w:t xml:space="preserve"> $0.008 par value; 400,000 shares authorized at all periods presented. 175,128 and 173,608 shares issued; 116,246 and 118,165 </w:t>
      </w:r>
      <w:r>
        <w:rPr>
          <w:rFonts w:eastAsia="Times New Roman"/>
          <w:color w:val="000000"/>
          <w:sz w:val="16"/>
          <w:szCs w:val="16"/>
        </w:rPr>
        <w:t>shares outstanding at December 26, 2020 and December 28, 2019, respectively.</w:t>
      </w:r>
    </w:p>
    <w:p w:rsidR="00000000" w:rsidRDefault="00905244">
      <w:pPr>
        <w:ind w:hanging="1260"/>
        <w:divId w:val="1815760040"/>
        <w:rPr>
          <w:rFonts w:eastAsia="Times New Roman"/>
        </w:rPr>
      </w:pPr>
      <w:r>
        <w:rPr>
          <w:rFonts w:eastAsia="Times New Roman"/>
          <w:b/>
          <w:bCs/>
          <w:color w:val="000000"/>
          <w:sz w:val="16"/>
          <w:szCs w:val="16"/>
        </w:rPr>
        <w:t xml:space="preserve">Treasury Stock (at cost, shares in thousands): </w:t>
      </w:r>
      <w:r>
        <w:rPr>
          <w:rFonts w:eastAsia="Times New Roman"/>
          <w:color w:val="000000"/>
          <w:sz w:val="16"/>
          <w:szCs w:val="16"/>
        </w:rPr>
        <w:t>58,882 and 55,443 shares at December 26, 2020 and December 28, 2019, respectively.</w:t>
      </w:r>
    </w:p>
    <w:p w:rsidR="00000000" w:rsidRDefault="00905244">
      <w:pPr>
        <w:ind w:hanging="1260"/>
        <w:divId w:val="1533691815"/>
        <w:rPr>
          <w:rFonts w:eastAsia="Times New Roman"/>
        </w:rPr>
      </w:pPr>
    </w:p>
    <w:p w:rsidR="00000000" w:rsidRDefault="00905244">
      <w:pPr>
        <w:jc w:val="center"/>
        <w:rPr>
          <w:rFonts w:eastAsia="Times New Roman"/>
        </w:rPr>
      </w:pPr>
      <w:r>
        <w:rPr>
          <w:rFonts w:eastAsia="Times New Roman"/>
          <w:color w:val="000000"/>
          <w:sz w:val="20"/>
          <w:szCs w:val="20"/>
        </w:rPr>
        <w:t xml:space="preserve">The accompanying notes are an integral part of </w:t>
      </w:r>
      <w:r>
        <w:rPr>
          <w:rFonts w:eastAsia="Times New Roman"/>
          <w:color w:val="000000"/>
          <w:sz w:val="20"/>
          <w:szCs w:val="20"/>
        </w:rPr>
        <w:t>these Consolidated Financial Statements.</w:t>
      </w:r>
    </w:p>
    <w:p w:rsidR="00000000" w:rsidRDefault="00905244">
      <w:pPr>
        <w:jc w:val="center"/>
        <w:divId w:val="1783917735"/>
        <w:rPr>
          <w:rFonts w:eastAsia="Times New Roman"/>
        </w:rPr>
      </w:pPr>
      <w:r>
        <w:rPr>
          <w:rFonts w:eastAsia="Times New Roman"/>
          <w:color w:val="000000"/>
          <w:sz w:val="20"/>
          <w:szCs w:val="20"/>
        </w:rPr>
        <w:t>53</w:t>
      </w:r>
    </w:p>
    <w:p w:rsidR="00000000" w:rsidRDefault="00905244">
      <w:pPr>
        <w:rPr>
          <w:rFonts w:eastAsia="Times New Roman"/>
        </w:rPr>
      </w:pPr>
      <w:r>
        <w:rPr>
          <w:rFonts w:eastAsia="Times New Roman"/>
        </w:rPr>
        <w:pict>
          <v:rect id="_x0000_i1082" style="width:0;height:1.5pt" o:hralign="center" o:hrstd="t" o:hr="t" fillcolor="#a0a0a0" stroked="f"/>
        </w:pict>
      </w:r>
    </w:p>
    <w:p w:rsidR="00000000" w:rsidRDefault="00905244">
      <w:pPr>
        <w:divId w:val="1721857013"/>
        <w:rPr>
          <w:rFonts w:eastAsia="Times New Roman"/>
        </w:rPr>
      </w:pPr>
      <w:hyperlink w:anchor="i137f04c25e1e4da3b6d1f469d06f3319_7" w:history="1">
        <w:r>
          <w:rPr>
            <w:rStyle w:val="a3"/>
            <w:rFonts w:eastAsia="Times New Roman"/>
            <w:sz w:val="18"/>
            <w:szCs w:val="18"/>
          </w:rPr>
          <w:t>Index</w:t>
        </w:r>
      </w:hyperlink>
    </w:p>
    <w:p w:rsidR="00000000" w:rsidRDefault="00905244">
      <w:pPr>
        <w:jc w:val="center"/>
        <w:rPr>
          <w:rFonts w:eastAsia="Times New Roman"/>
        </w:rPr>
      </w:pPr>
      <w:r>
        <w:rPr>
          <w:rFonts w:eastAsia="Times New Roman"/>
          <w:b/>
          <w:bCs/>
          <w:color w:val="000000"/>
          <w:sz w:val="20"/>
          <w:szCs w:val="20"/>
        </w:rPr>
        <w:t>TRACTOR SUPPLY COMPANY</w:t>
      </w:r>
    </w:p>
    <w:p w:rsidR="00000000" w:rsidRDefault="00905244">
      <w:pPr>
        <w:jc w:val="center"/>
        <w:rPr>
          <w:rFonts w:eastAsia="Times New Roman"/>
        </w:rPr>
      </w:pPr>
      <w:r>
        <w:rPr>
          <w:rFonts w:eastAsia="Times New Roman"/>
          <w:b/>
          <w:bCs/>
          <w:color w:val="000000"/>
          <w:sz w:val="20"/>
          <w:szCs w:val="20"/>
        </w:rPr>
        <w:t>CONSOLIDATED STATEMENTS OF STOCKHOLDERS’ EQUITY</w:t>
      </w:r>
    </w:p>
    <w:p w:rsidR="00000000" w:rsidRDefault="00905244">
      <w:pPr>
        <w:jc w:val="center"/>
        <w:rPr>
          <w:rFonts w:eastAsia="Times New Roman"/>
        </w:rPr>
      </w:pPr>
      <w:r>
        <w:rPr>
          <w:rFonts w:eastAsia="Times New Roman"/>
          <w:b/>
          <w:bCs/>
          <w:color w:val="000000"/>
          <w:sz w:val="20"/>
          <w:szCs w:val="20"/>
        </w:rPr>
        <w:t>(in thousands)</w:t>
      </w:r>
    </w:p>
    <w:tbl>
      <w:tblPr>
        <w:tblW w:w="4985" w:type="pct"/>
        <w:tblCellMar>
          <w:top w:w="15" w:type="dxa"/>
          <w:left w:w="15" w:type="dxa"/>
          <w:bottom w:w="15" w:type="dxa"/>
          <w:right w:w="15" w:type="dxa"/>
        </w:tblCellMar>
        <w:tblLook w:val="04A0" w:firstRow="1" w:lastRow="0" w:firstColumn="1" w:lastColumn="0" w:noHBand="0" w:noVBand="1"/>
      </w:tblPr>
      <w:tblGrid>
        <w:gridCol w:w="39"/>
        <w:gridCol w:w="1582"/>
        <w:gridCol w:w="36"/>
        <w:gridCol w:w="85"/>
        <w:gridCol w:w="565"/>
        <w:gridCol w:w="36"/>
        <w:gridCol w:w="36"/>
        <w:gridCol w:w="36"/>
        <w:gridCol w:w="36"/>
        <w:gridCol w:w="111"/>
        <w:gridCol w:w="515"/>
        <w:gridCol w:w="37"/>
        <w:gridCol w:w="36"/>
        <w:gridCol w:w="36"/>
        <w:gridCol w:w="36"/>
        <w:gridCol w:w="110"/>
        <w:gridCol w:w="765"/>
        <w:gridCol w:w="36"/>
        <w:gridCol w:w="36"/>
        <w:gridCol w:w="36"/>
        <w:gridCol w:w="36"/>
        <w:gridCol w:w="110"/>
        <w:gridCol w:w="840"/>
        <w:gridCol w:w="36"/>
        <w:gridCol w:w="36"/>
        <w:gridCol w:w="36"/>
        <w:gridCol w:w="36"/>
        <w:gridCol w:w="110"/>
        <w:gridCol w:w="525"/>
        <w:gridCol w:w="36"/>
        <w:gridCol w:w="36"/>
        <w:gridCol w:w="36"/>
        <w:gridCol w:w="36"/>
        <w:gridCol w:w="110"/>
        <w:gridCol w:w="765"/>
        <w:gridCol w:w="36"/>
        <w:gridCol w:w="36"/>
        <w:gridCol w:w="36"/>
        <w:gridCol w:w="36"/>
        <w:gridCol w:w="111"/>
        <w:gridCol w:w="1001"/>
        <w:gridCol w:w="36"/>
      </w:tblGrid>
      <w:tr w:rsidR="00000000">
        <w:trPr>
          <w:divId w:val="1749573120"/>
        </w:trPr>
        <w:tc>
          <w:tcPr>
            <w:tcW w:w="50" w:type="pct"/>
            <w:vAlign w:val="center"/>
            <w:hideMark/>
          </w:tcPr>
          <w:p w:rsidR="00000000" w:rsidRDefault="00905244">
            <w:pPr>
              <w:jc w:val="center"/>
              <w:rPr>
                <w:rFonts w:eastAsia="Times New Roman"/>
              </w:rPr>
            </w:pPr>
          </w:p>
        </w:tc>
        <w:tc>
          <w:tcPr>
            <w:tcW w:w="135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333"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333"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3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3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7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14"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53"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749573120"/>
          <w:trHeight w:val="48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18"/>
                <w:szCs w:val="18"/>
              </w:rPr>
              <w:t>Common Stock</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18"/>
                <w:szCs w:val="18"/>
              </w:rPr>
              <w:t>Additional</w:t>
            </w:r>
          </w:p>
          <w:p w:rsidR="00000000" w:rsidRDefault="00905244">
            <w:pPr>
              <w:jc w:val="center"/>
              <w:rPr>
                <w:rFonts w:eastAsia="Times New Roman"/>
              </w:rPr>
            </w:pPr>
            <w:r>
              <w:rPr>
                <w:rFonts w:eastAsia="Times New Roman"/>
                <w:b/>
                <w:bCs/>
                <w:color w:val="000000"/>
                <w:sz w:val="18"/>
                <w:szCs w:val="18"/>
              </w:rPr>
              <w:t>Paid-in</w:t>
            </w:r>
          </w:p>
          <w:p w:rsidR="00000000" w:rsidRDefault="00905244">
            <w:pPr>
              <w:jc w:val="center"/>
              <w:rPr>
                <w:rFonts w:eastAsia="Times New Roman"/>
              </w:rPr>
            </w:pPr>
            <w:r>
              <w:rPr>
                <w:rFonts w:eastAsia="Times New Roman"/>
                <w:b/>
                <w:bCs/>
                <w:color w:val="000000"/>
                <w:sz w:val="18"/>
                <w:szCs w:val="18"/>
              </w:rPr>
              <w:t>Capital</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18"/>
                <w:szCs w:val="18"/>
              </w:rPr>
              <w:t>Treasury</w:t>
            </w:r>
          </w:p>
          <w:p w:rsidR="00000000" w:rsidRDefault="00905244">
            <w:pPr>
              <w:jc w:val="center"/>
              <w:rPr>
                <w:rFonts w:eastAsia="Times New Roman"/>
              </w:rPr>
            </w:pPr>
            <w:r>
              <w:rPr>
                <w:rFonts w:eastAsia="Times New Roman"/>
                <w:b/>
                <w:bCs/>
                <w:color w:val="000000"/>
                <w:sz w:val="18"/>
                <w:szCs w:val="18"/>
              </w:rPr>
              <w:t>Stock</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18"/>
                <w:szCs w:val="18"/>
              </w:rPr>
              <w:t>Accum. Other Comp. Income</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18"/>
                <w:szCs w:val="18"/>
              </w:rPr>
              <w:t>Retained</w:t>
            </w:r>
          </w:p>
          <w:p w:rsidR="00000000" w:rsidRDefault="00905244">
            <w:pPr>
              <w:jc w:val="center"/>
              <w:rPr>
                <w:rFonts w:eastAsia="Times New Roman"/>
              </w:rPr>
            </w:pPr>
            <w:r>
              <w:rPr>
                <w:rFonts w:eastAsia="Times New Roman"/>
                <w:b/>
                <w:bCs/>
                <w:color w:val="000000"/>
                <w:sz w:val="18"/>
                <w:szCs w:val="18"/>
              </w:rPr>
              <w:t>Earnings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18"/>
                <w:szCs w:val="18"/>
              </w:rPr>
              <w:t>Total</w:t>
            </w:r>
          </w:p>
          <w:p w:rsidR="00000000" w:rsidRDefault="00905244">
            <w:pPr>
              <w:jc w:val="center"/>
              <w:rPr>
                <w:rFonts w:eastAsia="Times New Roman"/>
              </w:rPr>
            </w:pPr>
            <w:r>
              <w:rPr>
                <w:rFonts w:eastAsia="Times New Roman"/>
                <w:b/>
                <w:bCs/>
                <w:color w:val="000000"/>
                <w:sz w:val="18"/>
                <w:szCs w:val="18"/>
              </w:rPr>
              <w:t>Stockholders’</w:t>
            </w:r>
          </w:p>
          <w:p w:rsidR="00000000" w:rsidRDefault="00905244">
            <w:pPr>
              <w:jc w:val="center"/>
              <w:rPr>
                <w:rFonts w:eastAsia="Times New Roman"/>
              </w:rPr>
            </w:pPr>
            <w:r>
              <w:rPr>
                <w:rFonts w:eastAsia="Times New Roman"/>
                <w:b/>
                <w:bCs/>
                <w:color w:val="000000"/>
                <w:sz w:val="18"/>
                <w:szCs w:val="18"/>
              </w:rPr>
              <w:t>Equity</w:t>
            </w:r>
          </w:p>
        </w:tc>
      </w:tr>
      <w:tr w:rsidR="00000000">
        <w:trPr>
          <w:divId w:val="1749573120"/>
          <w:trHeight w:val="280"/>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18"/>
                <w:szCs w:val="18"/>
              </w:rPr>
              <w:t>Dollars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vMerge/>
            <w:vAlign w:val="center"/>
            <w:hideMark/>
          </w:tcPr>
          <w:p w:rsidR="00000000" w:rsidRDefault="00905244">
            <w:pP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vMerge/>
            <w:vAlign w:val="center"/>
            <w:hideMark/>
          </w:tcPr>
          <w:p w:rsidR="00000000" w:rsidRDefault="00905244">
            <w:pP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vMerge/>
            <w:vAlign w:val="center"/>
            <w:hideMark/>
          </w:tcPr>
          <w:p w:rsidR="00000000" w:rsidRDefault="00905244">
            <w:pP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vMerge/>
            <w:vAlign w:val="center"/>
            <w:hideMark/>
          </w:tcPr>
          <w:p w:rsidR="00000000" w:rsidRDefault="00905244">
            <w:pP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vMerge/>
            <w:vAlign w:val="center"/>
            <w:hideMark/>
          </w:tcPr>
          <w:p w:rsidR="00000000" w:rsidRDefault="00905244">
            <w:pPr>
              <w:rPr>
                <w:rFonts w:eastAsia="Times New Roman"/>
              </w:rPr>
            </w:pPr>
          </w:p>
        </w:tc>
      </w:tr>
      <w:tr w:rsidR="00905244">
        <w:trPr>
          <w:divId w:val="1749573120"/>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December 30, 2017</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125,303 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1,363 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716,228 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(2,130,901)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3,358 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2,828,625 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1,418,673 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49573120"/>
          <w:trHeight w:val="60"/>
        </w:trPr>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749573120"/>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1,512 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79,631 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79,643 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49573120"/>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Share-based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28,921 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28,921 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49573120"/>
        </w:trPr>
        <w:tc>
          <w:tcPr>
            <w:tcW w:w="0" w:type="auto"/>
            <w:gridSpan w:val="3"/>
            <w:vAlign w:val="center"/>
            <w:hideMark/>
          </w:tcPr>
          <w:p w:rsidR="00000000" w:rsidRDefault="00905244">
            <w:pPr>
              <w:jc w:val="right"/>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749573120"/>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Repurchase of shares to satisfy tax obligations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(1,367)</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(1,367)</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49573120"/>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Repurchase of common stock</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(4,987)</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(349,776)</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(349,776)</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49573120"/>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Cash dividends paid to stockholders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(147,087)</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(147,087)</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49573120"/>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456 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456 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49573120"/>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532,357 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532,357 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49573120"/>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December 29, 2018</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121,828 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1,375 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823,413 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(2,480,677)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3,814 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3,213,895 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1,561,820 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49573120"/>
          <w:trHeight w:val="100"/>
        </w:trPr>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749573120"/>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1,721 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14 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115,967 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115,981 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49573120"/>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Share-based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31,136 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31,136 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49573120"/>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Repurchase of shares to satisfy tax obligations</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(3,818)</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(3,818)</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49573120"/>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Repurchase of common stock</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(5,384)</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(533,319)</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(533,319)</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49573120"/>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Cash dividends paid to stockholders</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(162,699)</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(162,699)</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49573120"/>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(4,332)</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(4,332)</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49573120"/>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562,354 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562,354 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49573120"/>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Cumulative adjustment as a result of ASU 2017-12 adoption</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717 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(717)</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49573120"/>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December 28, 2019</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118,165 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1,389 </w:t>
            </w:r>
          </w:p>
        </w:tc>
        <w:tc>
          <w:tcPr>
            <w:tcW w:w="0" w:type="auto"/>
            <w:tcBorders>
              <w:top w:val="single" w:sz="8" w:space="0" w:color="000000"/>
            </w:tcBorders>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966,698 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(3,013,996)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3,612,833 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1,567,123 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49573120"/>
          <w:trHeight w:val="120"/>
        </w:trPr>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749573120"/>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Common stock issuance under stock award plans &amp; ESPP</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1,520 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12 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99,328 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99,340 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49573120"/>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Share-based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37,273 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37,273 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49573120"/>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Repurchase of shares to satisfy tax obligations</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(7,799)</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(7,799)</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49573120"/>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Repurchase of common stock</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(3,439)</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(342,957)</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(342,957)</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49573120"/>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Cash dividends paid to stockholders</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(174,656)</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(174,656)</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49573120"/>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(3,442)</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(3,442)</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49573120"/>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18"/>
                <w:szCs w:val="18"/>
              </w:rPr>
              <w:t>Net income</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748,958 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748,958 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905244">
        <w:trPr>
          <w:divId w:val="1749573120"/>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December 26, 2020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116,246 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1,401 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1,095,500 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(3,356,953)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(3,243)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4,187,135 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18"/>
                <w:szCs w:val="18"/>
              </w:rPr>
              <w:t>1,923,840 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divId w:val="1120105568"/>
        <w:rPr>
          <w:rFonts w:eastAsia="Times New Roman"/>
        </w:rPr>
      </w:pPr>
    </w:p>
    <w:p w:rsidR="00000000" w:rsidRDefault="00905244">
      <w:pPr>
        <w:jc w:val="center"/>
        <w:rPr>
          <w:rFonts w:eastAsia="Times New Roman"/>
        </w:rPr>
      </w:pPr>
      <w:r>
        <w:rPr>
          <w:rFonts w:eastAsia="Times New Roman"/>
          <w:color w:val="000000"/>
          <w:sz w:val="20"/>
          <w:szCs w:val="20"/>
        </w:rPr>
        <w:t>The accompanying notes are an integral part of these Conso</w:t>
      </w:r>
      <w:r>
        <w:rPr>
          <w:rFonts w:eastAsia="Times New Roman"/>
          <w:color w:val="000000"/>
          <w:sz w:val="20"/>
          <w:szCs w:val="20"/>
        </w:rPr>
        <w:t>lidated Financial Statements.</w:t>
      </w:r>
    </w:p>
    <w:p w:rsidR="00000000" w:rsidRDefault="00905244">
      <w:pPr>
        <w:jc w:val="center"/>
        <w:divId w:val="1145394084"/>
        <w:rPr>
          <w:rFonts w:eastAsia="Times New Roman"/>
        </w:rPr>
      </w:pPr>
      <w:r>
        <w:rPr>
          <w:rFonts w:eastAsia="Times New Roman"/>
          <w:color w:val="000000"/>
          <w:sz w:val="20"/>
          <w:szCs w:val="20"/>
        </w:rPr>
        <w:t>54</w:t>
      </w:r>
    </w:p>
    <w:p w:rsidR="00000000" w:rsidRDefault="00905244">
      <w:pPr>
        <w:rPr>
          <w:rFonts w:eastAsia="Times New Roman"/>
        </w:rPr>
      </w:pPr>
      <w:r>
        <w:rPr>
          <w:rFonts w:eastAsia="Times New Roman"/>
        </w:rPr>
        <w:pict>
          <v:rect id="_x0000_i1083" style="width:0;height:1.5pt" o:hralign="center" o:hrstd="t" o:hr="t" fillcolor="#a0a0a0" stroked="f"/>
        </w:pict>
      </w:r>
    </w:p>
    <w:p w:rsidR="00000000" w:rsidRDefault="00905244">
      <w:pPr>
        <w:divId w:val="901059034"/>
        <w:rPr>
          <w:rFonts w:eastAsia="Times New Roman"/>
        </w:rPr>
      </w:pPr>
      <w:hyperlink w:anchor="i137f04c25e1e4da3b6d1f469d06f3319_7" w:history="1">
        <w:r>
          <w:rPr>
            <w:rStyle w:val="a3"/>
            <w:rFonts w:eastAsia="Times New Roman"/>
            <w:sz w:val="18"/>
            <w:szCs w:val="18"/>
          </w:rPr>
          <w:t>Index</w:t>
        </w:r>
      </w:hyperlink>
    </w:p>
    <w:p w:rsidR="00000000" w:rsidRDefault="00905244">
      <w:pPr>
        <w:jc w:val="center"/>
        <w:rPr>
          <w:rFonts w:eastAsia="Times New Roman"/>
        </w:rPr>
      </w:pPr>
      <w:r>
        <w:rPr>
          <w:rFonts w:eastAsia="Times New Roman"/>
          <w:b/>
          <w:bCs/>
          <w:color w:val="000000"/>
          <w:sz w:val="20"/>
          <w:szCs w:val="20"/>
        </w:rPr>
        <w:t>TRACTOR SUPPLY COMPANY</w:t>
      </w:r>
    </w:p>
    <w:p w:rsidR="00000000" w:rsidRDefault="00905244">
      <w:pPr>
        <w:jc w:val="center"/>
        <w:rPr>
          <w:rFonts w:eastAsia="Times New Roman"/>
        </w:rPr>
      </w:pPr>
      <w:r>
        <w:rPr>
          <w:rFonts w:eastAsia="Times New Roman"/>
          <w:b/>
          <w:bCs/>
          <w:color w:val="000000"/>
          <w:sz w:val="20"/>
          <w:szCs w:val="20"/>
        </w:rPr>
        <w:t>CONSOLIDATED STATEMENTS OF CASH FLOWS</w:t>
      </w:r>
    </w:p>
    <w:p w:rsidR="00000000" w:rsidRDefault="00905244">
      <w:pPr>
        <w:jc w:val="center"/>
        <w:rPr>
          <w:rFonts w:eastAsia="Times New Roman"/>
        </w:rPr>
      </w:pPr>
      <w:r>
        <w:rPr>
          <w:rFonts w:eastAsia="Times New Roman"/>
          <w:b/>
          <w:bCs/>
          <w:color w:val="000000"/>
          <w:sz w:val="20"/>
          <w:szCs w:val="20"/>
        </w:rPr>
        <w:t>(in thousands)</w:t>
      </w:r>
    </w:p>
    <w:tbl>
      <w:tblPr>
        <w:tblW w:w="5000" w:type="pct"/>
        <w:tblCellMar>
          <w:top w:w="15" w:type="dxa"/>
          <w:left w:w="15" w:type="dxa"/>
          <w:bottom w:w="15" w:type="dxa"/>
          <w:right w:w="15" w:type="dxa"/>
        </w:tblCellMar>
        <w:tblLook w:val="04A0" w:firstRow="1" w:lastRow="0" w:firstColumn="1" w:lastColumn="0" w:noHBand="0" w:noVBand="1"/>
      </w:tblPr>
      <w:tblGrid>
        <w:gridCol w:w="69"/>
        <w:gridCol w:w="4916"/>
        <w:gridCol w:w="42"/>
        <w:gridCol w:w="120"/>
        <w:gridCol w:w="850"/>
        <w:gridCol w:w="36"/>
        <w:gridCol w:w="36"/>
        <w:gridCol w:w="36"/>
        <w:gridCol w:w="36"/>
        <w:gridCol w:w="122"/>
        <w:gridCol w:w="871"/>
        <w:gridCol w:w="36"/>
        <w:gridCol w:w="36"/>
        <w:gridCol w:w="36"/>
        <w:gridCol w:w="36"/>
        <w:gridCol w:w="121"/>
        <w:gridCol w:w="871"/>
        <w:gridCol w:w="36"/>
      </w:tblGrid>
      <w:tr w:rsidR="00000000">
        <w:trPr>
          <w:divId w:val="612517129"/>
        </w:trPr>
        <w:tc>
          <w:tcPr>
            <w:tcW w:w="50" w:type="pct"/>
            <w:vAlign w:val="center"/>
            <w:hideMark/>
          </w:tcPr>
          <w:p w:rsidR="00000000" w:rsidRDefault="00905244">
            <w:pPr>
              <w:jc w:val="center"/>
              <w:rPr>
                <w:rFonts w:eastAsia="Times New Roman"/>
              </w:rPr>
            </w:pPr>
          </w:p>
        </w:tc>
        <w:tc>
          <w:tcPr>
            <w:tcW w:w="311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2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2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3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612517129"/>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w:t>
            </w:r>
          </w:p>
        </w:tc>
      </w:tr>
      <w:tr w:rsidR="00000000">
        <w:trPr>
          <w:divId w:val="612517129"/>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2018</w:t>
            </w:r>
          </w:p>
        </w:tc>
      </w:tr>
      <w:tr w:rsidR="00000000">
        <w:trPr>
          <w:divId w:val="612517129"/>
        </w:trPr>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18"/>
                <w:szCs w:val="18"/>
              </w:rPr>
              <w:t>(52 weeks)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18"/>
                <w:szCs w:val="18"/>
              </w:rPr>
              <w:t>(52 weeks)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18"/>
                <w:szCs w:val="18"/>
              </w:rPr>
              <w:t>(52 weeks)</w:t>
            </w:r>
          </w:p>
        </w:tc>
      </w:tr>
      <w:tr w:rsidR="00000000">
        <w:trPr>
          <w:divId w:val="612517129"/>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r>
      <w:tr w:rsidR="00000000">
        <w:trPr>
          <w:divId w:val="612517129"/>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748,958 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562,354 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532,357 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612517129"/>
        </w:trPr>
        <w:tc>
          <w:tcPr>
            <w:tcW w:w="0" w:type="auto"/>
            <w:gridSpan w:val="3"/>
            <w:shd w:val="clear" w:color="auto" w:fill="FFFFFF"/>
            <w:tcMar>
              <w:top w:w="30" w:type="dxa"/>
              <w:left w:w="245" w:type="dxa"/>
              <w:bottom w:w="30" w:type="dxa"/>
              <w:right w:w="20" w:type="dxa"/>
            </w:tcMar>
            <w:vAlign w:val="bottom"/>
            <w:hideMark/>
          </w:tcPr>
          <w:p w:rsidR="00000000" w:rsidRDefault="00905244">
            <w:pPr>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217,124 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195,978 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177,351 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shd w:val="clear" w:color="auto" w:fill="CCEEFF"/>
            <w:tcMar>
              <w:top w:w="30" w:type="dxa"/>
              <w:left w:w="245" w:type="dxa"/>
              <w:bottom w:w="30" w:type="dxa"/>
              <w:right w:w="20" w:type="dxa"/>
            </w:tcMar>
            <w:vAlign w:val="bottom"/>
            <w:hideMark/>
          </w:tcPr>
          <w:p w:rsidR="00000000" w:rsidRDefault="00905244">
            <w:pPr>
              <w:rPr>
                <w:rFonts w:eastAsia="Times New Roman"/>
              </w:rPr>
            </w:pPr>
            <w:r>
              <w:rPr>
                <w:rFonts w:eastAsia="Times New Roman"/>
                <w:color w:val="000000"/>
                <w:sz w:val="20"/>
                <w:szCs w:val="20"/>
              </w:rPr>
              <w:t>Impairment of goodwill and other intangible assets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68,973 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shd w:val="clear" w:color="auto" w:fill="FFFFFF"/>
            <w:tcMar>
              <w:top w:w="30" w:type="dxa"/>
              <w:left w:w="245" w:type="dxa"/>
              <w:bottom w:w="30" w:type="dxa"/>
              <w:right w:w="20" w:type="dxa"/>
            </w:tcMar>
            <w:vAlign w:val="bottom"/>
            <w:hideMark/>
          </w:tcPr>
          <w:p w:rsidR="00000000" w:rsidRDefault="00905244">
            <w:pPr>
              <w:rPr>
                <w:rFonts w:eastAsia="Times New Roman"/>
              </w:rPr>
            </w:pPr>
            <w:r>
              <w:rPr>
                <w:rFonts w:eastAsia="Times New Roman"/>
                <w:color w:val="000000"/>
                <w:sz w:val="20"/>
                <w:szCs w:val="20"/>
              </w:rPr>
              <w:t>Impairment of other long-lived assets</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5,078 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shd w:val="clear" w:color="auto" w:fill="CCEEFF"/>
            <w:tcMar>
              <w:top w:w="30" w:type="dxa"/>
              <w:left w:w="245" w:type="dxa"/>
              <w:bottom w:w="30" w:type="dxa"/>
              <w:right w:w="20" w:type="dxa"/>
            </w:tcMar>
            <w:vAlign w:val="bottom"/>
            <w:hideMark/>
          </w:tcPr>
          <w:p w:rsidR="00000000" w:rsidRDefault="00905244">
            <w:pPr>
              <w:rPr>
                <w:rFonts w:eastAsia="Times New Roman"/>
              </w:rPr>
            </w:pPr>
            <w:r>
              <w:rPr>
                <w:rFonts w:eastAsia="Times New Roman"/>
                <w:color w:val="000000"/>
                <w:sz w:val="20"/>
                <w:szCs w:val="20"/>
              </w:rPr>
              <w:t>Gain on disposition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(1,157)</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(297)</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(567)</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shd w:val="clear" w:color="auto" w:fill="FFFFFF"/>
            <w:tcMar>
              <w:top w:w="30" w:type="dxa"/>
              <w:left w:w="245" w:type="dxa"/>
              <w:bottom w:w="30" w:type="dxa"/>
              <w:right w:w="20" w:type="dxa"/>
            </w:tcMar>
            <w:vAlign w:val="bottom"/>
            <w:hideMark/>
          </w:tcPr>
          <w:p w:rsidR="00000000" w:rsidRDefault="00905244">
            <w:pPr>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37,273 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31,136 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28,921 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shd w:val="clear" w:color="auto" w:fill="CCEEFF"/>
            <w:tcMar>
              <w:top w:w="30" w:type="dxa"/>
              <w:left w:w="245" w:type="dxa"/>
              <w:bottom w:w="30" w:type="dxa"/>
              <w:right w:w="20" w:type="dxa"/>
            </w:tcMar>
            <w:vAlign w:val="bottom"/>
            <w:hideMark/>
          </w:tcPr>
          <w:p w:rsidR="00000000" w:rsidRDefault="00905244">
            <w:pPr>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(31,739)</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6,760 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11,887 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shd w:val="clear" w:color="auto" w:fill="FFFFFF"/>
            <w:tcMar>
              <w:top w:w="30" w:type="dxa"/>
              <w:left w:w="245" w:type="dxa"/>
              <w:bottom w:w="30" w:type="dxa"/>
              <w:right w:w="20" w:type="dxa"/>
            </w:tcMar>
            <w:vAlign w:val="bottom"/>
            <w:hideMark/>
          </w:tcPr>
          <w:p w:rsidR="00000000" w:rsidRDefault="00905244">
            <w:pPr>
              <w:rPr>
                <w:rFonts w:eastAsia="Times New Roman"/>
              </w:rPr>
            </w:pPr>
            <w:r>
              <w:rPr>
                <w:rFonts w:eastAsia="Times New Roman"/>
                <w:color w:val="000000"/>
                <w:sz w:val="20"/>
                <w:szCs w:val="20"/>
              </w:rPr>
              <w:t>Change in assets and liabilities:</w:t>
            </w:r>
          </w:p>
        </w:tc>
        <w:tc>
          <w:tcPr>
            <w:tcW w:w="0" w:type="auto"/>
            <w:gridSpan w:val="3"/>
            <w:shd w:val="clear" w:color="auto" w:fill="FFFF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r>
      <w:tr w:rsidR="00000000">
        <w:trPr>
          <w:divId w:val="612517129"/>
        </w:trPr>
        <w:tc>
          <w:tcPr>
            <w:tcW w:w="0" w:type="auto"/>
            <w:gridSpan w:val="3"/>
            <w:shd w:val="clear" w:color="auto" w:fill="CCEEFF"/>
            <w:tcMar>
              <w:top w:w="30" w:type="dxa"/>
              <w:left w:w="740" w:type="dxa"/>
              <w:bottom w:w="30" w:type="dxa"/>
              <w:right w:w="20" w:type="dxa"/>
            </w:tcMar>
            <w:vAlign w:val="bottom"/>
            <w:hideMark/>
          </w:tcPr>
          <w:p w:rsidR="00000000" w:rsidRDefault="00905244">
            <w:pPr>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(180,489)</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(13,239)</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(136,334)</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shd w:val="clear" w:color="auto" w:fill="FFFFFF"/>
            <w:tcMar>
              <w:top w:w="30" w:type="dxa"/>
              <w:left w:w="740" w:type="dxa"/>
              <w:bottom w:w="30" w:type="dxa"/>
              <w:right w:w="20" w:type="dxa"/>
            </w:tcMar>
            <w:vAlign w:val="bottom"/>
            <w:hideMark/>
          </w:tcPr>
          <w:p w:rsidR="00000000" w:rsidRDefault="00905244">
            <w:pPr>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(32,794)</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13,582 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(26,195)</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shd w:val="clear" w:color="auto" w:fill="CCEEFF"/>
            <w:tcMar>
              <w:top w:w="30" w:type="dxa"/>
              <w:left w:w="740" w:type="dxa"/>
              <w:bottom w:w="30" w:type="dxa"/>
              <w:right w:w="20" w:type="dxa"/>
            </w:tcMar>
            <w:vAlign w:val="bottom"/>
            <w:hideMark/>
          </w:tcPr>
          <w:p w:rsidR="00000000" w:rsidRDefault="00905244">
            <w:pPr>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333,060 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23,055 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43,413 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shd w:val="clear" w:color="auto" w:fill="FFFFFF"/>
            <w:tcMar>
              <w:top w:w="30" w:type="dxa"/>
              <w:left w:w="740" w:type="dxa"/>
              <w:bottom w:w="30" w:type="dxa"/>
              <w:right w:w="20" w:type="dxa"/>
            </w:tcMar>
            <w:vAlign w:val="bottom"/>
            <w:hideMark/>
          </w:tcPr>
          <w:p w:rsidR="00000000" w:rsidRDefault="00905244">
            <w:pPr>
              <w:rPr>
                <w:rFonts w:eastAsia="Times New Roman"/>
              </w:rPr>
            </w:pPr>
            <w:r>
              <w:rPr>
                <w:rFonts w:eastAsia="Times New Roman"/>
                <w:color w:val="000000"/>
                <w:sz w:val="20"/>
                <w:szCs w:val="20"/>
              </w:rPr>
              <w:t>Accrued employee compensation</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79,946 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(14,291)</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22,373 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shd w:val="clear" w:color="auto" w:fill="CCEEFF"/>
            <w:tcMar>
              <w:top w:w="30" w:type="dxa"/>
              <w:left w:w="740" w:type="dxa"/>
              <w:bottom w:w="30" w:type="dxa"/>
              <w:right w:w="20" w:type="dxa"/>
            </w:tcMar>
            <w:vAlign w:val="bottom"/>
            <w:hideMark/>
          </w:tcPr>
          <w:p w:rsidR="00000000" w:rsidRDefault="00905244">
            <w:pPr>
              <w:rPr>
                <w:rFonts w:eastAsia="Times New Roman"/>
              </w:rPr>
            </w:pPr>
            <w:r>
              <w:rPr>
                <w:rFonts w:eastAsia="Times New Roman"/>
                <w:color w:val="000000"/>
                <w:sz w:val="20"/>
                <w:szCs w:val="20"/>
              </w:rPr>
              <w:t>Other accrued expenses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72,405 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10,351 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36,406 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shd w:val="clear" w:color="auto" w:fill="FFFFFF"/>
            <w:tcMar>
              <w:top w:w="30" w:type="dxa"/>
              <w:left w:w="740" w:type="dxa"/>
              <w:bottom w:w="30" w:type="dxa"/>
              <w:right w:w="20" w:type="dxa"/>
            </w:tcMar>
            <w:vAlign w:val="bottom"/>
            <w:hideMark/>
          </w:tcPr>
          <w:p w:rsidR="00000000" w:rsidRDefault="00905244">
            <w:pPr>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13,954 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8,327 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(8,355)</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shd w:val="clear" w:color="auto" w:fill="CCEEFF"/>
            <w:tcMar>
              <w:top w:w="30" w:type="dxa"/>
              <w:left w:w="740" w:type="dxa"/>
              <w:bottom w:w="30" w:type="dxa"/>
              <w:right w:w="20" w:type="dxa"/>
            </w:tcMar>
            <w:vAlign w:val="bottom"/>
            <w:hideMark/>
          </w:tcPr>
          <w:p w:rsidR="00000000" w:rsidRDefault="00905244">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63,923 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(12,000)</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13,137 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vAlign w:val="center"/>
            <w:hideMark/>
          </w:tcPr>
          <w:p w:rsidR="00000000" w:rsidRDefault="00905244">
            <w:pPr>
              <w:jc w:val="right"/>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612517129"/>
        </w:trPr>
        <w:tc>
          <w:tcPr>
            <w:tcW w:w="0" w:type="auto"/>
            <w:gridSpan w:val="3"/>
            <w:shd w:val="clear" w:color="auto" w:fill="FFFFFF"/>
            <w:tcMar>
              <w:top w:w="30" w:type="dxa"/>
              <w:left w:w="74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1,394,515 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811,716 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694,394 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vAlign w:val="center"/>
            <w:hideMark/>
          </w:tcPr>
          <w:p w:rsidR="00000000" w:rsidRDefault="00905244">
            <w:pPr>
              <w:jc w:val="right"/>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612517129"/>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Cash flows from investing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r>
      <w:tr w:rsidR="00000000">
        <w:trPr>
          <w:divId w:val="612517129"/>
        </w:trPr>
        <w:tc>
          <w:tcPr>
            <w:tcW w:w="0" w:type="auto"/>
            <w:gridSpan w:val="3"/>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Capital expenditures</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(294,002)</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(217,450)</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(278,530)</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Proceeds from sale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1,792 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2,489 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2,216 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vAlign w:val="center"/>
            <w:hideMark/>
          </w:tcPr>
          <w:p w:rsidR="00000000" w:rsidRDefault="00905244">
            <w:pPr>
              <w:jc w:val="right"/>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612517129"/>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612517129"/>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612517129"/>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612517129"/>
        </w:trPr>
        <w:tc>
          <w:tcPr>
            <w:tcW w:w="0" w:type="auto"/>
            <w:gridSpan w:val="3"/>
            <w:shd w:val="clear" w:color="auto" w:fill="FFFFFF"/>
            <w:tcMar>
              <w:top w:w="30" w:type="dxa"/>
              <w:left w:w="74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(292,210)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(214,961)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(276,314)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vAlign w:val="center"/>
            <w:hideMark/>
          </w:tcPr>
          <w:p w:rsidR="00000000" w:rsidRDefault="00905244">
            <w:pPr>
              <w:jc w:val="right"/>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612517129"/>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r>
      <w:tr w:rsidR="00000000">
        <w:trPr>
          <w:divId w:val="612517129"/>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Borrowings under debt facilities</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2,009,000 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1,002,000 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1,193,500 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Repayments under debt facilities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(1,406,500)</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(1,013,250)</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(1,212,250)</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Debt discounts and issuance costs</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(17,048)</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(346)</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Principal payments under finance lease liabilities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(4,170)</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(3,708)</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(3,246)</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Repurchase of shares to satisfy tax obligations</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(7,799)</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(3,818)</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(1,367)</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Repurchase of common stock</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(342,957)</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(533,319)</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(349,776)</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Net proceeds from 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99,340 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115,981 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79,643 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Cash dividends paid to stockholders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(174,656)</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(162,699)</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(147,087)</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shd w:val="clear" w:color="auto" w:fill="FFFFFF"/>
            <w:tcMar>
              <w:top w:w="30" w:type="dxa"/>
              <w:left w:w="74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Net cash provided by/(used in)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155,210 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(598,813)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(440,929)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vAlign w:val="center"/>
            <w:hideMark/>
          </w:tcPr>
          <w:p w:rsidR="00000000" w:rsidRDefault="00905244">
            <w:pPr>
              <w:jc w:val="right"/>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612517129"/>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Net change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1,257,515 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(2,058)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(22,849)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vAlign w:val="center"/>
            <w:hideMark/>
          </w:tcPr>
          <w:p w:rsidR="00000000" w:rsidRDefault="00905244">
            <w:pPr>
              <w:jc w:val="right"/>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612517129"/>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Cash and cash equivalents at beginning of year</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84,241 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86,299 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109,148 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vAlign w:val="center"/>
            <w:hideMark/>
          </w:tcPr>
          <w:p w:rsidR="00000000" w:rsidRDefault="00905244">
            <w:pPr>
              <w:jc w:val="right"/>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612517129"/>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Cash and cash equivalents at end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1,341,756 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84,241 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86,299 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Height w:val="100"/>
        </w:trPr>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612517129"/>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Supplemental disclosures of cash flow information:</w:t>
            </w: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r>
      <w:tr w:rsidR="00000000">
        <w:trPr>
          <w:divId w:val="612517129"/>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Cash paid during the year for:</w:t>
            </w: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r>
      <w:tr w:rsidR="00000000">
        <w:trPr>
          <w:divId w:val="612517129"/>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Interest                                                                        </w:t>
            </w: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24,540 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19,146 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18,069 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Income taxes</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235,319 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144,377 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146,918 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Height w:val="100"/>
        </w:trPr>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612517129"/>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Supplemental disclosures of non-cash activities:</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612517129"/>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Non-cash accruals for construction in progress</w:t>
            </w: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12,642 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7,924 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3,001 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Increase of operating lease assets and liabilities from new or modified leases</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524,141 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365,233 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Increase of finance lease assets and liabilities from new or modified leases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7,395 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5,217 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12517129"/>
        </w:trPr>
        <w:tc>
          <w:tcPr>
            <w:tcW w:w="0" w:type="auto"/>
            <w:gridSpan w:val="3"/>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Operating lease assets and liabilities recognized upon adoption of ASC 842</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2,084,880 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jc w:val="center"/>
        <w:rPr>
          <w:rFonts w:eastAsia="Times New Roman"/>
        </w:rPr>
      </w:pPr>
    </w:p>
    <w:p w:rsidR="00000000" w:rsidRDefault="00905244">
      <w:pPr>
        <w:jc w:val="center"/>
        <w:rPr>
          <w:rFonts w:eastAsia="Times New Roman"/>
        </w:rPr>
      </w:pPr>
      <w:r>
        <w:rPr>
          <w:rFonts w:eastAsia="Times New Roman"/>
          <w:color w:val="000000"/>
          <w:sz w:val="20"/>
          <w:szCs w:val="20"/>
        </w:rPr>
        <w:t>The accompanying notes are an integral part of these Consolidated Financial Statements.</w:t>
      </w:r>
    </w:p>
    <w:p w:rsidR="00000000" w:rsidRDefault="00905244">
      <w:pPr>
        <w:jc w:val="center"/>
        <w:divId w:val="1975058505"/>
        <w:rPr>
          <w:rFonts w:eastAsia="Times New Roman"/>
        </w:rPr>
      </w:pPr>
      <w:r>
        <w:rPr>
          <w:rFonts w:eastAsia="Times New Roman"/>
          <w:color w:val="000000"/>
          <w:sz w:val="20"/>
          <w:szCs w:val="20"/>
        </w:rPr>
        <w:t>55</w:t>
      </w:r>
    </w:p>
    <w:p w:rsidR="00000000" w:rsidRDefault="00905244">
      <w:pPr>
        <w:rPr>
          <w:rFonts w:eastAsia="Times New Roman"/>
        </w:rPr>
      </w:pPr>
      <w:r>
        <w:rPr>
          <w:rFonts w:eastAsia="Times New Roman"/>
        </w:rPr>
        <w:pict>
          <v:rect id="_x0000_i1084" style="width:0;height:1.5pt" o:hralign="center" o:hrstd="t" o:hr="t" fillcolor="#a0a0a0" stroked="f"/>
        </w:pict>
      </w:r>
    </w:p>
    <w:p w:rsidR="00000000" w:rsidRDefault="00905244">
      <w:pPr>
        <w:divId w:val="1058625193"/>
        <w:rPr>
          <w:rFonts w:eastAsia="Times New Roman"/>
        </w:rPr>
      </w:pPr>
      <w:hyperlink w:anchor="i137f04c25e1e4da3b6d1f469d06f3319_7" w:history="1">
        <w:r>
          <w:rPr>
            <w:rStyle w:val="a3"/>
            <w:rFonts w:eastAsia="Times New Roman"/>
            <w:sz w:val="18"/>
            <w:szCs w:val="18"/>
          </w:rPr>
          <w:t>Index</w:t>
        </w:r>
      </w:hyperlink>
    </w:p>
    <w:p w:rsidR="00000000" w:rsidRDefault="00905244">
      <w:pPr>
        <w:jc w:val="center"/>
        <w:rPr>
          <w:rFonts w:eastAsia="Times New Roman"/>
        </w:rPr>
      </w:pPr>
      <w:r>
        <w:rPr>
          <w:rFonts w:eastAsia="Times New Roman"/>
          <w:b/>
          <w:bCs/>
          <w:color w:val="000000"/>
          <w:sz w:val="20"/>
          <w:szCs w:val="20"/>
        </w:rPr>
        <w:t>TRACTOR SUPPLY COMPANY</w:t>
      </w:r>
    </w:p>
    <w:p w:rsidR="00000000" w:rsidRDefault="00905244">
      <w:pPr>
        <w:jc w:val="center"/>
        <w:rPr>
          <w:rFonts w:eastAsia="Times New Roman"/>
        </w:rPr>
      </w:pPr>
      <w:r>
        <w:rPr>
          <w:rFonts w:eastAsia="Times New Roman"/>
          <w:b/>
          <w:bCs/>
          <w:color w:val="000000"/>
          <w:sz w:val="20"/>
          <w:szCs w:val="20"/>
        </w:rPr>
        <w:t>NOTES TO CONSOLIDATED FINANCIAL STATEMENTS</w:t>
      </w:r>
    </w:p>
    <w:p w:rsidR="00000000" w:rsidRDefault="00905244">
      <w:pPr>
        <w:jc w:val="center"/>
        <w:rPr>
          <w:rFonts w:eastAsia="Times New Roman"/>
        </w:rPr>
      </w:pPr>
    </w:p>
    <w:p w:rsidR="00000000" w:rsidRDefault="00905244">
      <w:pPr>
        <w:divId w:val="1687251477"/>
        <w:rPr>
          <w:rFonts w:eastAsia="Times New Roman"/>
        </w:rPr>
      </w:pPr>
    </w:p>
    <w:p w:rsidR="00000000" w:rsidRDefault="00905244">
      <w:pPr>
        <w:divId w:val="1033657364"/>
        <w:rPr>
          <w:rFonts w:eastAsia="Times New Roman"/>
        </w:rPr>
      </w:pPr>
      <w:r>
        <w:rPr>
          <w:rFonts w:eastAsia="Times New Roman"/>
          <w:b/>
          <w:bCs/>
          <w:color w:val="000000"/>
          <w:sz w:val="20"/>
          <w:szCs w:val="20"/>
        </w:rPr>
        <w:t>Note 1 – Significant Accounting Policies:</w:t>
      </w:r>
    </w:p>
    <w:p w:rsidR="00000000" w:rsidRDefault="00905244">
      <w:pPr>
        <w:divId w:val="82996884"/>
        <w:rPr>
          <w:rFonts w:eastAsia="Times New Roman"/>
        </w:rPr>
      </w:pPr>
    </w:p>
    <w:p w:rsidR="00000000" w:rsidRDefault="00905244">
      <w:pPr>
        <w:jc w:val="both"/>
        <w:rPr>
          <w:rFonts w:eastAsia="Times New Roman"/>
        </w:rPr>
      </w:pPr>
      <w:r>
        <w:rPr>
          <w:rFonts w:eastAsia="Times New Roman"/>
          <w:b/>
          <w:bCs/>
          <w:i/>
          <w:iCs/>
          <w:color w:val="000000"/>
          <w:sz w:val="20"/>
          <w:szCs w:val="20"/>
        </w:rPr>
        <w:t>Nature of Business</w:t>
      </w:r>
    </w:p>
    <w:p w:rsidR="00000000" w:rsidRDefault="00905244">
      <w:pPr>
        <w:divId w:val="1340153621"/>
        <w:rPr>
          <w:rFonts w:eastAsia="Times New Roman"/>
        </w:rPr>
      </w:pPr>
    </w:p>
    <w:p w:rsidR="00000000" w:rsidRDefault="00905244">
      <w:pPr>
        <w:jc w:val="both"/>
        <w:rPr>
          <w:rFonts w:eastAsia="Times New Roman"/>
        </w:rPr>
      </w:pPr>
      <w:r>
        <w:rPr>
          <w:rFonts w:eastAsia="Times New Roman"/>
          <w:color w:val="000000"/>
          <w:sz w:val="20"/>
          <w:szCs w:val="20"/>
        </w:rPr>
        <w:t>Founded in 1938, Tractor Supply Company (the “Company” or “we” or “our” or “us”) is the largest rural lifestyle retailer in the United States (“U.S.”).  The Company is focused on supplying the needs of recreational farmers, ranchers, and all those who enjo</w:t>
      </w:r>
      <w:r>
        <w:rPr>
          <w:rFonts w:eastAsia="Times New Roman"/>
          <w:color w:val="000000"/>
          <w:sz w:val="20"/>
          <w:szCs w:val="20"/>
        </w:rPr>
        <w:t>y living the rural lifestyle (which we refer to as the “</w:t>
      </w:r>
      <w:r>
        <w:rPr>
          <w:rFonts w:eastAsia="Times New Roman"/>
          <w:i/>
          <w:iCs/>
          <w:color w:val="000000"/>
          <w:sz w:val="20"/>
          <w:szCs w:val="20"/>
        </w:rPr>
        <w:t>Out Here</w:t>
      </w:r>
      <w:r>
        <w:rPr>
          <w:rFonts w:eastAsia="Times New Roman"/>
          <w:color w:val="000000"/>
          <w:sz w:val="20"/>
          <w:szCs w:val="20"/>
        </w:rPr>
        <w:t>” lifestyle), as well as tradesmen and small businesses.  Stores are located primarily in towns outlying major metropolitan markets and in rural communities. The Company also owns and operates</w:t>
      </w:r>
      <w:r>
        <w:rPr>
          <w:rFonts w:eastAsia="Times New Roman"/>
          <w:color w:val="000000"/>
          <w:sz w:val="20"/>
          <w:szCs w:val="20"/>
        </w:rPr>
        <w:t xml:space="preserve"> Petsense, LLC (“Petsense”), a small-box pet specialty supply retailer focused on meeting the needs of pet owners, primarily in small and mid-sized communities, and offering a variety of pet products and services.  At December 26, 2020, the Company operate</w:t>
      </w:r>
      <w:r>
        <w:rPr>
          <w:rFonts w:eastAsia="Times New Roman"/>
          <w:color w:val="000000"/>
          <w:sz w:val="20"/>
          <w:szCs w:val="20"/>
        </w:rPr>
        <w:t xml:space="preserve">d a total of 2,105 retail stores in 49 states (1,923 Tractor Supply and Del’s retail stores and 182 Petsense retail stores) and also offered an expanded assortment of products through the Tractor Supply Company mobile application and online at </w:t>
      </w:r>
      <w:r>
        <w:rPr>
          <w:rFonts w:eastAsia="Times New Roman"/>
          <w:i/>
          <w:iCs/>
          <w:color w:val="000000"/>
          <w:sz w:val="20"/>
          <w:szCs w:val="20"/>
          <w:u w:val="single"/>
        </w:rPr>
        <w:t>TractorSuppl</w:t>
      </w:r>
      <w:r>
        <w:rPr>
          <w:rFonts w:eastAsia="Times New Roman"/>
          <w:i/>
          <w:iCs/>
          <w:color w:val="000000"/>
          <w:sz w:val="20"/>
          <w:szCs w:val="20"/>
          <w:u w:val="single"/>
        </w:rPr>
        <w:t>y.com</w:t>
      </w:r>
      <w:r>
        <w:rPr>
          <w:rFonts w:eastAsia="Times New Roman"/>
          <w:color w:val="000000"/>
          <w:sz w:val="20"/>
          <w:szCs w:val="20"/>
        </w:rPr>
        <w:t xml:space="preserve"> and </w:t>
      </w:r>
      <w:r>
        <w:rPr>
          <w:rFonts w:eastAsia="Times New Roman"/>
          <w:i/>
          <w:iCs/>
          <w:color w:val="000000"/>
          <w:sz w:val="20"/>
          <w:szCs w:val="20"/>
          <w:u w:val="single"/>
        </w:rPr>
        <w:t>Petsense.com</w:t>
      </w:r>
      <w:r>
        <w:rPr>
          <w:rFonts w:eastAsia="Times New Roman"/>
          <w:color w:val="000000"/>
          <w:sz w:val="20"/>
          <w:szCs w:val="20"/>
        </w:rPr>
        <w:t>.</w:t>
      </w:r>
    </w:p>
    <w:p w:rsidR="00000000" w:rsidRDefault="00905244">
      <w:pPr>
        <w:jc w:val="both"/>
        <w:rPr>
          <w:rFonts w:eastAsia="Times New Roman"/>
        </w:rPr>
      </w:pPr>
    </w:p>
    <w:p w:rsidR="00000000" w:rsidRDefault="00905244">
      <w:pPr>
        <w:jc w:val="both"/>
        <w:rPr>
          <w:rFonts w:eastAsia="Times New Roman"/>
        </w:rPr>
      </w:pPr>
      <w:r>
        <w:rPr>
          <w:rFonts w:eastAsia="Times New Roman"/>
          <w:b/>
          <w:bCs/>
          <w:i/>
          <w:iCs/>
          <w:color w:val="000000"/>
          <w:sz w:val="20"/>
          <w:szCs w:val="20"/>
        </w:rPr>
        <w:t>Basis of Presentation</w:t>
      </w:r>
    </w:p>
    <w:p w:rsidR="00000000" w:rsidRDefault="00905244">
      <w:pPr>
        <w:divId w:val="1776516166"/>
        <w:rPr>
          <w:rFonts w:eastAsia="Times New Roman"/>
        </w:rPr>
      </w:pPr>
    </w:p>
    <w:p w:rsidR="00000000" w:rsidRDefault="00905244">
      <w:pPr>
        <w:jc w:val="both"/>
        <w:rPr>
          <w:rFonts w:eastAsia="Times New Roman"/>
        </w:rPr>
      </w:pPr>
      <w:r>
        <w:rPr>
          <w:rFonts w:eastAsia="Times New Roman"/>
          <w:color w:val="000000"/>
          <w:sz w:val="20"/>
          <w:szCs w:val="20"/>
        </w:rPr>
        <w:t>In the first quarter of fiscal 2019, the Company adopted new lease accounting guidance under the Financial Accounting Standards Board Accounting Standards Codification Topic 842, Leases. Adoption of the new lease accounting guidance had a material impact t</w:t>
      </w:r>
      <w:r>
        <w:rPr>
          <w:rFonts w:eastAsia="Times New Roman"/>
          <w:color w:val="000000"/>
          <w:sz w:val="20"/>
          <w:szCs w:val="20"/>
        </w:rPr>
        <w:t>o our Consolidated Balance Sheets and related disclosures and resulted in the recording of additional right-of-use assets and lease liabilities of approximately $2.08 billion as of the date of adoption. This guidance was applied using the optional transiti</w:t>
      </w:r>
      <w:r>
        <w:rPr>
          <w:rFonts w:eastAsia="Times New Roman"/>
          <w:color w:val="000000"/>
          <w:sz w:val="20"/>
          <w:szCs w:val="20"/>
        </w:rPr>
        <w:t xml:space="preserve">on method which allowed the Company to not recast comparative financial information but rather recognize a cumulative-effect adjustment to retained earnings as of the effective date in the period of adoption. No adjustment to retained earnings was made as </w:t>
      </w:r>
      <w:r>
        <w:rPr>
          <w:rFonts w:eastAsia="Times New Roman"/>
          <w:color w:val="000000"/>
          <w:sz w:val="20"/>
          <w:szCs w:val="20"/>
        </w:rPr>
        <w:t xml:space="preserve">a result of the adoption of this guidance. The standard did not materially impact our Consolidated Statements of Income, Comprehensive Income, Stockholders’ Equity, or Cash Flows.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In the first quarter of fiscal 2019, the Company adopted Accounting Stand</w:t>
      </w:r>
      <w:r>
        <w:rPr>
          <w:rFonts w:eastAsia="Times New Roman"/>
          <w:color w:val="000000"/>
          <w:sz w:val="20"/>
          <w:szCs w:val="20"/>
        </w:rPr>
        <w:t>ards Update 2017-12, “Derivatives and Hedging (Topic 815): Targeted Improvements to Accounting for Hedging Activities,” using the modified retrospective transition method. This method allows for a cumulative effect adjustment to retained earnings, as of th</w:t>
      </w:r>
      <w:r>
        <w:rPr>
          <w:rFonts w:eastAsia="Times New Roman"/>
          <w:color w:val="000000"/>
          <w:sz w:val="20"/>
          <w:szCs w:val="20"/>
        </w:rPr>
        <w:t>e effective date in the period of adoption, for previously recorded amounts of hedge ineffectiveness. Upon adoption of the guidance, we recognized a cumulative-effect adjustment of $0.7 million from retained earnings to accumulated other comprehensive inco</w:t>
      </w:r>
      <w:r>
        <w:rPr>
          <w:rFonts w:eastAsia="Times New Roman"/>
          <w:color w:val="000000"/>
          <w:sz w:val="20"/>
          <w:szCs w:val="20"/>
        </w:rPr>
        <w:t xml:space="preserve">me. The adoption of this guidance did not have a material impact on our Consolidated Financial Statements and related disclosures. </w:t>
      </w:r>
    </w:p>
    <w:p w:rsidR="00000000" w:rsidRDefault="00905244">
      <w:pPr>
        <w:jc w:val="both"/>
        <w:rPr>
          <w:rFonts w:eastAsia="Times New Roman"/>
        </w:rPr>
      </w:pPr>
    </w:p>
    <w:p w:rsidR="00000000" w:rsidRDefault="00905244">
      <w:pPr>
        <w:jc w:val="both"/>
        <w:rPr>
          <w:rFonts w:eastAsia="Times New Roman"/>
        </w:rPr>
      </w:pPr>
      <w:r>
        <w:rPr>
          <w:rFonts w:eastAsia="Times New Roman"/>
          <w:b/>
          <w:bCs/>
          <w:i/>
          <w:iCs/>
          <w:color w:val="000000"/>
          <w:sz w:val="20"/>
          <w:szCs w:val="20"/>
        </w:rPr>
        <w:t>COVID-19 Pandemic</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COVID-19 pandemic has created significant public health concerns as well as economic disruption, u</w:t>
      </w:r>
      <w:r>
        <w:rPr>
          <w:rFonts w:eastAsia="Times New Roman"/>
          <w:color w:val="000000"/>
          <w:sz w:val="20"/>
          <w:szCs w:val="20"/>
        </w:rPr>
        <w:t>ncertainty, and</w:t>
      </w:r>
    </w:p>
    <w:p w:rsidR="00000000" w:rsidRDefault="00905244">
      <w:pPr>
        <w:jc w:val="both"/>
        <w:rPr>
          <w:rFonts w:eastAsia="Times New Roman"/>
        </w:rPr>
      </w:pPr>
      <w:r>
        <w:rPr>
          <w:rFonts w:eastAsia="Times New Roman"/>
          <w:color w:val="000000"/>
          <w:sz w:val="20"/>
          <w:szCs w:val="20"/>
        </w:rPr>
        <w:t>volatility which may negatively affect our business operations. As a result, as the pandemic persists and/or if it worsens, our accounting estimates and assumptions could be impacted in subsequent periods, and it is reasonably possible such</w:t>
      </w:r>
      <w:r>
        <w:rPr>
          <w:rFonts w:eastAsia="Times New Roman"/>
          <w:color w:val="000000"/>
          <w:sz w:val="20"/>
          <w:szCs w:val="20"/>
        </w:rPr>
        <w:t xml:space="preserve"> changes could be significant (although the potential effects cannot be estimated at this time).</w:t>
      </w:r>
    </w:p>
    <w:p w:rsidR="00000000" w:rsidRDefault="00905244">
      <w:pPr>
        <w:jc w:val="both"/>
        <w:rPr>
          <w:rFonts w:eastAsia="Times New Roman"/>
        </w:rPr>
      </w:pPr>
    </w:p>
    <w:p w:rsidR="00000000" w:rsidRDefault="00905244">
      <w:pPr>
        <w:jc w:val="both"/>
        <w:rPr>
          <w:rFonts w:eastAsia="Times New Roman"/>
        </w:rPr>
      </w:pPr>
      <w:r>
        <w:rPr>
          <w:rFonts w:eastAsia="Times New Roman"/>
          <w:b/>
          <w:bCs/>
          <w:i/>
          <w:iCs/>
          <w:color w:val="000000"/>
          <w:sz w:val="20"/>
          <w:szCs w:val="20"/>
        </w:rPr>
        <w:t>Fiscal Year</w:t>
      </w:r>
    </w:p>
    <w:p w:rsidR="00000000" w:rsidRDefault="00905244">
      <w:pPr>
        <w:divId w:val="596794173"/>
        <w:rPr>
          <w:rFonts w:eastAsia="Times New Roman"/>
        </w:rPr>
      </w:pPr>
    </w:p>
    <w:p w:rsidR="00000000" w:rsidRDefault="00905244">
      <w:pPr>
        <w:jc w:val="both"/>
        <w:rPr>
          <w:rFonts w:eastAsia="Times New Roman"/>
        </w:rPr>
      </w:pPr>
      <w:r>
        <w:rPr>
          <w:rFonts w:eastAsia="Times New Roman"/>
          <w:color w:val="000000"/>
          <w:sz w:val="20"/>
          <w:szCs w:val="20"/>
        </w:rPr>
        <w:t>The Company’s fiscal year includes 52 or 53 weeks and ends on the last Saturday of the calendar year.  The fiscal years ended December 26, 2020</w:t>
      </w:r>
      <w:r>
        <w:rPr>
          <w:rFonts w:eastAsia="Times New Roman"/>
          <w:color w:val="000000"/>
          <w:sz w:val="20"/>
          <w:szCs w:val="20"/>
        </w:rPr>
        <w:t>, December 28, 2019, and December 29, 2018, all consisted of 52 weeks.</w:t>
      </w:r>
    </w:p>
    <w:p w:rsidR="00000000" w:rsidRDefault="00905244">
      <w:pPr>
        <w:divId w:val="1208180938"/>
        <w:rPr>
          <w:rFonts w:eastAsia="Times New Roman"/>
        </w:rPr>
      </w:pPr>
    </w:p>
    <w:p w:rsidR="00000000" w:rsidRDefault="00905244">
      <w:pPr>
        <w:jc w:val="both"/>
        <w:rPr>
          <w:rFonts w:eastAsia="Times New Roman"/>
        </w:rPr>
      </w:pPr>
      <w:r>
        <w:rPr>
          <w:rFonts w:eastAsia="Times New Roman"/>
          <w:b/>
          <w:bCs/>
          <w:i/>
          <w:iCs/>
          <w:color w:val="000000"/>
          <w:sz w:val="20"/>
          <w:szCs w:val="20"/>
        </w:rPr>
        <w:t>Principles of Consolidation</w:t>
      </w:r>
    </w:p>
    <w:p w:rsidR="00000000" w:rsidRDefault="00905244">
      <w:pPr>
        <w:divId w:val="1385790958"/>
        <w:rPr>
          <w:rFonts w:eastAsia="Times New Roman"/>
        </w:rPr>
      </w:pPr>
    </w:p>
    <w:p w:rsidR="00000000" w:rsidRDefault="00905244">
      <w:pPr>
        <w:jc w:val="both"/>
        <w:rPr>
          <w:rFonts w:eastAsia="Times New Roman"/>
        </w:rPr>
      </w:pPr>
      <w:r>
        <w:rPr>
          <w:rFonts w:eastAsia="Times New Roman"/>
          <w:color w:val="000000"/>
          <w:sz w:val="20"/>
          <w:szCs w:val="20"/>
        </w:rPr>
        <w:t>The accompanying Consolidated Financial Statements include the accounts of the Company and its subsidiaries.  All intercompany accounts and transactions have been eliminated.</w:t>
      </w:r>
    </w:p>
    <w:p w:rsidR="00000000" w:rsidRDefault="00905244">
      <w:pPr>
        <w:jc w:val="both"/>
        <w:rPr>
          <w:rFonts w:eastAsia="Times New Roman"/>
        </w:rPr>
      </w:pPr>
    </w:p>
    <w:p w:rsidR="00000000" w:rsidRDefault="00905244">
      <w:pPr>
        <w:jc w:val="center"/>
        <w:divId w:val="884369347"/>
        <w:rPr>
          <w:rFonts w:eastAsia="Times New Roman"/>
        </w:rPr>
      </w:pPr>
      <w:r>
        <w:rPr>
          <w:rFonts w:eastAsia="Times New Roman"/>
          <w:color w:val="000000"/>
          <w:sz w:val="20"/>
          <w:szCs w:val="20"/>
        </w:rPr>
        <w:t>56</w:t>
      </w:r>
    </w:p>
    <w:p w:rsidR="00000000" w:rsidRDefault="00905244">
      <w:pPr>
        <w:rPr>
          <w:rFonts w:eastAsia="Times New Roman"/>
        </w:rPr>
      </w:pPr>
      <w:r>
        <w:rPr>
          <w:rFonts w:eastAsia="Times New Roman"/>
        </w:rPr>
        <w:pict>
          <v:rect id="_x0000_i1085" style="width:0;height:1.5pt" o:hralign="center" o:hrstd="t" o:hr="t" fillcolor="#a0a0a0" stroked="f"/>
        </w:pict>
      </w:r>
    </w:p>
    <w:p w:rsidR="00000000" w:rsidRDefault="00905244">
      <w:pPr>
        <w:divId w:val="1351838809"/>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b/>
          <w:bCs/>
          <w:i/>
          <w:iCs/>
          <w:color w:val="000000"/>
          <w:sz w:val="20"/>
          <w:szCs w:val="20"/>
        </w:rPr>
        <w:t>Management Estimates</w:t>
      </w:r>
    </w:p>
    <w:p w:rsidR="00000000" w:rsidRDefault="00905244">
      <w:pPr>
        <w:divId w:val="461971304"/>
        <w:rPr>
          <w:rFonts w:eastAsia="Times New Roman"/>
        </w:rPr>
      </w:pPr>
    </w:p>
    <w:p w:rsidR="00000000" w:rsidRDefault="00905244">
      <w:pPr>
        <w:jc w:val="both"/>
        <w:rPr>
          <w:rFonts w:eastAsia="Times New Roman"/>
        </w:rPr>
      </w:pPr>
      <w:r>
        <w:rPr>
          <w:rFonts w:eastAsia="Times New Roman"/>
          <w:color w:val="000000"/>
          <w:sz w:val="20"/>
          <w:szCs w:val="20"/>
        </w:rPr>
        <w:t>The preparation of Consolidated Financial Statements in conformity with accounting principles generally accepted in the United States (“U.S. GAAP”) inherently requires estimates and assumptions by management o</w:t>
      </w:r>
      <w:r>
        <w:rPr>
          <w:rFonts w:eastAsia="Times New Roman"/>
          <w:color w:val="000000"/>
          <w:sz w:val="20"/>
          <w:szCs w:val="20"/>
        </w:rPr>
        <w:t>f the Company that affect the reported amounts of assets and liabilities, revenues and expenses and related disclosures.  Actual results could differ from those estimates.</w:t>
      </w:r>
    </w:p>
    <w:p w:rsidR="00000000" w:rsidRDefault="00905244">
      <w:pPr>
        <w:divId w:val="1644969159"/>
        <w:rPr>
          <w:rFonts w:eastAsia="Times New Roman"/>
        </w:rPr>
      </w:pPr>
    </w:p>
    <w:p w:rsidR="00000000" w:rsidRDefault="00905244">
      <w:pPr>
        <w:divId w:val="655456487"/>
        <w:rPr>
          <w:rFonts w:eastAsia="Times New Roman"/>
        </w:rPr>
      </w:pPr>
      <w:r>
        <w:rPr>
          <w:rFonts w:eastAsia="Times New Roman"/>
          <w:color w:val="000000"/>
          <w:sz w:val="20"/>
          <w:szCs w:val="20"/>
        </w:rPr>
        <w:t>Significant estimates and assumptions by management primarily impact the following</w:t>
      </w:r>
      <w:r>
        <w:rPr>
          <w:rFonts w:eastAsia="Times New Roman"/>
          <w:color w:val="000000"/>
          <w:sz w:val="20"/>
          <w:szCs w:val="20"/>
        </w:rPr>
        <w:t xml:space="preserve"> key financial statement areas:</w:t>
      </w:r>
    </w:p>
    <w:p w:rsidR="00000000" w:rsidRDefault="00905244">
      <w:pPr>
        <w:divId w:val="1795904568"/>
        <w:rPr>
          <w:rFonts w:eastAsia="Times New Roman"/>
        </w:rPr>
      </w:pPr>
    </w:p>
    <w:p w:rsidR="00000000" w:rsidRDefault="00905244">
      <w:pPr>
        <w:jc w:val="both"/>
        <w:rPr>
          <w:rFonts w:eastAsia="Times New Roman"/>
        </w:rPr>
      </w:pPr>
      <w:r>
        <w:rPr>
          <w:rFonts w:eastAsia="Times New Roman"/>
          <w:i/>
          <w:iCs/>
          <w:color w:val="000000"/>
          <w:sz w:val="20"/>
          <w:szCs w:val="20"/>
        </w:rPr>
        <w:t>Inventory Valuation</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u w:val="single"/>
        </w:rPr>
        <w:t>Inventory Impairment Risk</w:t>
      </w:r>
    </w:p>
    <w:p w:rsidR="00000000" w:rsidRDefault="00905244">
      <w:pPr>
        <w:jc w:val="both"/>
        <w:rPr>
          <w:rFonts w:eastAsia="Times New Roman"/>
        </w:rPr>
      </w:pPr>
      <w:r>
        <w:rPr>
          <w:rFonts w:eastAsia="Times New Roman"/>
          <w:color w:val="000000"/>
          <w:sz w:val="20"/>
          <w:szCs w:val="20"/>
        </w:rPr>
        <w:t>The Company identifies potentially excess and slow-moving inventory by evaluating turn rates, historical and expected future sales trends, age of merchandise, overall invento</w:t>
      </w:r>
      <w:r>
        <w:rPr>
          <w:rFonts w:eastAsia="Times New Roman"/>
          <w:color w:val="000000"/>
          <w:sz w:val="20"/>
          <w:szCs w:val="20"/>
        </w:rPr>
        <w:t xml:space="preserve">ry levels, current cost of inventory, and other benchmarks.  The Company has established an inventory valuation reserve to recognize the estimated impairment in value (i.e., an inability to realize the full carrying value) based on the Company’s aggregate </w:t>
      </w:r>
      <w:r>
        <w:rPr>
          <w:rFonts w:eastAsia="Times New Roman"/>
          <w:color w:val="000000"/>
          <w:sz w:val="20"/>
          <w:szCs w:val="20"/>
        </w:rPr>
        <w:t>assessment of these valuation indicators under prevailing market conditions and current merchandising strategies. The Company does not believe its merchandise inventories are subject to significant risk of obsolescence in the near term.  However, changes i</w:t>
      </w:r>
      <w:r>
        <w:rPr>
          <w:rFonts w:eastAsia="Times New Roman"/>
          <w:color w:val="000000"/>
          <w:sz w:val="20"/>
          <w:szCs w:val="20"/>
        </w:rPr>
        <w:t>n market conditions or consumer purchasing patterns could result in the need for additional reserves.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u w:val="single"/>
        </w:rPr>
        <w:t>Shrinkage</w:t>
      </w:r>
    </w:p>
    <w:p w:rsidR="00000000" w:rsidRDefault="00905244">
      <w:pPr>
        <w:jc w:val="both"/>
        <w:rPr>
          <w:rFonts w:eastAsia="Times New Roman"/>
        </w:rPr>
      </w:pPr>
      <w:r>
        <w:rPr>
          <w:rFonts w:eastAsia="Times New Roman"/>
          <w:color w:val="000000"/>
          <w:sz w:val="20"/>
          <w:szCs w:val="20"/>
        </w:rPr>
        <w:t>The Company typically performs physical inventories at least once a year for each store that has been open more than 12 months, and the Compan</w:t>
      </w:r>
      <w:r>
        <w:rPr>
          <w:rFonts w:eastAsia="Times New Roman"/>
          <w:color w:val="000000"/>
          <w:sz w:val="20"/>
          <w:szCs w:val="20"/>
        </w:rPr>
        <w:t>y has established a reserve for estimating inventory shrinkage between physical inventory counts.  The reserve is established by assessing the chain-wide average shrinkage experience rate, applied to the related periods’ sales volumes.  Such assessments ar</w:t>
      </w:r>
      <w:r>
        <w:rPr>
          <w:rFonts w:eastAsia="Times New Roman"/>
          <w:color w:val="000000"/>
          <w:sz w:val="20"/>
          <w:szCs w:val="20"/>
        </w:rPr>
        <w:t>e updated on a regular basis for the most recent individual store experiences.  The estimated store inventory shrink rate is based on historical experience.  The Company believes historical rates are a reasonably accurate reflection of future trends.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Whi</w:t>
      </w:r>
      <w:r>
        <w:rPr>
          <w:rFonts w:eastAsia="Times New Roman"/>
          <w:color w:val="000000"/>
          <w:sz w:val="20"/>
          <w:szCs w:val="20"/>
        </w:rPr>
        <w:t>le the Company continued to operate as an essential retailer during fiscal 2020, the COVID-19 pandemic had a direct impact on its ability to complete all originally planned store physical inventories. The plan was complicated by state and local mandates su</w:t>
      </w:r>
      <w:r>
        <w:rPr>
          <w:rFonts w:eastAsia="Times New Roman"/>
          <w:color w:val="000000"/>
          <w:sz w:val="20"/>
          <w:szCs w:val="20"/>
        </w:rPr>
        <w:t>ch as shelter at home restrictions and social distancing requirements. The decision to revise the Company’s inventory schedule was based on these mandates as well as consideration of the health and safety of team members, customers and vendor partners whic</w:t>
      </w:r>
      <w:r>
        <w:rPr>
          <w:rFonts w:eastAsia="Times New Roman"/>
          <w:color w:val="000000"/>
          <w:sz w:val="20"/>
          <w:szCs w:val="20"/>
        </w:rPr>
        <w:t>h are crucial to the Company’s business operations.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Company assessed the risks associated with the stores not inventoried and concluded there is no material risk of misstatement to the financial statements for the stores not inventoried and further c</w:t>
      </w:r>
      <w:r>
        <w:rPr>
          <w:rFonts w:eastAsia="Times New Roman"/>
          <w:color w:val="000000"/>
          <w:sz w:val="20"/>
          <w:szCs w:val="20"/>
        </w:rPr>
        <w:t>oncluded that effective compensating controls are in place to ensure completeness and accuracy of reported inventory balances and estimated shrink losses.</w:t>
      </w:r>
    </w:p>
    <w:p w:rsidR="00000000" w:rsidRDefault="00905244">
      <w:pPr>
        <w:jc w:val="both"/>
        <w:rPr>
          <w:rFonts w:eastAsia="Times New Roman"/>
        </w:rPr>
      </w:pPr>
    </w:p>
    <w:p w:rsidR="00000000" w:rsidRDefault="00905244">
      <w:pPr>
        <w:ind w:firstLine="360"/>
        <w:divId w:val="2122265499"/>
        <w:rPr>
          <w:rFonts w:eastAsia="Times New Roman"/>
        </w:rPr>
      </w:pPr>
      <w:r>
        <w:rPr>
          <w:rFonts w:eastAsia="Times New Roman"/>
          <w:color w:val="000000"/>
          <w:sz w:val="20"/>
          <w:szCs w:val="20"/>
          <w:u w:val="single"/>
        </w:rPr>
        <w:t>Vendor Funding</w:t>
      </w:r>
    </w:p>
    <w:p w:rsidR="00000000" w:rsidRDefault="00905244">
      <w:pPr>
        <w:jc w:val="both"/>
        <w:rPr>
          <w:rFonts w:eastAsia="Times New Roman"/>
        </w:rPr>
      </w:pPr>
      <w:r>
        <w:rPr>
          <w:rFonts w:eastAsia="Times New Roman"/>
          <w:color w:val="000000"/>
          <w:sz w:val="20"/>
          <w:szCs w:val="20"/>
        </w:rPr>
        <w:t>The Company receives funding from substantially all of its significant merchandise vendors, in support of its business initiatives, through a variety of programs and arrangements, including guaranteed vendor support funds (“vendor support”) and volume-base</w:t>
      </w:r>
      <w:r>
        <w:rPr>
          <w:rFonts w:eastAsia="Times New Roman"/>
          <w:color w:val="000000"/>
          <w:sz w:val="20"/>
          <w:szCs w:val="20"/>
        </w:rPr>
        <w:t>d rebate funds (“volume rebates”).  The amounts received are subject to terms of vendor agreements, most of which are “evergreen,” reflecting the on-going relationship with our significant merchandise vendors. Certain of the Company’s agreements, primarily</w:t>
      </w:r>
      <w:r>
        <w:rPr>
          <w:rFonts w:eastAsia="Times New Roman"/>
          <w:color w:val="000000"/>
          <w:sz w:val="20"/>
          <w:szCs w:val="20"/>
        </w:rPr>
        <w:t xml:space="preserve"> volume rebates, are renegotiated annually, based on expected annual purchases of the vendor’s product.  Vendor funding is initially deferred as a reduction of the purchase price of inventory, and then recognized as a reduction of cost of merchandise sold </w:t>
      </w:r>
      <w:r>
        <w:rPr>
          <w:rFonts w:eastAsia="Times New Roman"/>
          <w:color w:val="000000"/>
          <w:sz w:val="20"/>
          <w:szCs w:val="20"/>
        </w:rPr>
        <w:t>as the related inventory is sold.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During interim periods, the amount of vendor support and volume rebates are estimated based upon initial commitments and anticipated purchase levels with applicable vendors.  The estimated purchase volume (and related </w:t>
      </w:r>
      <w:r>
        <w:rPr>
          <w:rFonts w:eastAsia="Times New Roman"/>
          <w:color w:val="000000"/>
          <w:sz w:val="20"/>
          <w:szCs w:val="20"/>
        </w:rPr>
        <w:t>vendor funding) is based on the Company’s current knowledge of inventory levels, sales trends and expected customer demand, as well as planned new store openings and relocations.  Although the Company believes it can reasonably estimate purchase volume and</w:t>
      </w:r>
      <w:r>
        <w:rPr>
          <w:rFonts w:eastAsia="Times New Roman"/>
          <w:color w:val="000000"/>
          <w:sz w:val="20"/>
          <w:szCs w:val="20"/>
        </w:rPr>
        <w:t xml:space="preserve"> related volume rebates at interim periods, it is possible that actual year-end results could be different from previously estimated amounts.</w:t>
      </w:r>
    </w:p>
    <w:p w:rsidR="00000000" w:rsidRDefault="00905244">
      <w:pPr>
        <w:jc w:val="both"/>
        <w:rPr>
          <w:rFonts w:eastAsia="Times New Roman"/>
        </w:rPr>
      </w:pPr>
    </w:p>
    <w:p w:rsidR="00000000" w:rsidRDefault="00905244">
      <w:pPr>
        <w:ind w:firstLine="360"/>
        <w:divId w:val="1332561290"/>
        <w:rPr>
          <w:rFonts w:eastAsia="Times New Roman"/>
        </w:rPr>
      </w:pPr>
      <w:r>
        <w:rPr>
          <w:rFonts w:eastAsia="Times New Roman"/>
          <w:color w:val="000000"/>
          <w:sz w:val="20"/>
          <w:szCs w:val="20"/>
          <w:u w:val="single"/>
        </w:rPr>
        <w:t>Freight</w:t>
      </w:r>
    </w:p>
    <w:p w:rsidR="00000000" w:rsidRDefault="00905244">
      <w:pPr>
        <w:jc w:val="both"/>
        <w:rPr>
          <w:rFonts w:eastAsia="Times New Roman"/>
        </w:rPr>
      </w:pPr>
      <w:r>
        <w:rPr>
          <w:rFonts w:eastAsia="Times New Roman"/>
          <w:color w:val="000000"/>
          <w:sz w:val="20"/>
          <w:szCs w:val="20"/>
        </w:rPr>
        <w:t xml:space="preserve">The Company incurs various types of transportation and delivery costs in connection with inventory purchases and distribution.  Such costs are included as a component of the overall cost of inventories (on an aggregate basis) and recognized as a component </w:t>
      </w:r>
      <w:r>
        <w:rPr>
          <w:rFonts w:eastAsia="Times New Roman"/>
          <w:color w:val="000000"/>
          <w:sz w:val="20"/>
          <w:szCs w:val="20"/>
        </w:rPr>
        <w:t>of cost of merchandise sold as the related inventory is sold.</w:t>
      </w:r>
    </w:p>
    <w:p w:rsidR="00000000" w:rsidRDefault="00905244">
      <w:pPr>
        <w:jc w:val="center"/>
        <w:divId w:val="1743719413"/>
        <w:rPr>
          <w:rFonts w:eastAsia="Times New Roman"/>
        </w:rPr>
      </w:pPr>
      <w:r>
        <w:rPr>
          <w:rFonts w:eastAsia="Times New Roman"/>
          <w:color w:val="000000"/>
          <w:sz w:val="20"/>
          <w:szCs w:val="20"/>
        </w:rPr>
        <w:t>57</w:t>
      </w:r>
    </w:p>
    <w:p w:rsidR="00000000" w:rsidRDefault="00905244">
      <w:pPr>
        <w:rPr>
          <w:rFonts w:eastAsia="Times New Roman"/>
        </w:rPr>
      </w:pPr>
      <w:r>
        <w:rPr>
          <w:rFonts w:eastAsia="Times New Roman"/>
        </w:rPr>
        <w:pict>
          <v:rect id="_x0000_i1086" style="width:0;height:1.5pt" o:hralign="center" o:hrstd="t" o:hr="t" fillcolor="#a0a0a0" stroked="f"/>
        </w:pict>
      </w:r>
    </w:p>
    <w:p w:rsidR="00000000" w:rsidRDefault="00905244">
      <w:pPr>
        <w:divId w:val="1370104224"/>
        <w:rPr>
          <w:rFonts w:eastAsia="Times New Roman"/>
        </w:rPr>
      </w:pPr>
      <w:hyperlink w:anchor="i137f04c25e1e4da3b6d1f469d06f3319_7" w:history="1">
        <w:r>
          <w:rPr>
            <w:rStyle w:val="a3"/>
            <w:rFonts w:eastAsia="Times New Roman"/>
            <w:sz w:val="18"/>
            <w:szCs w:val="18"/>
          </w:rPr>
          <w:t>Index</w:t>
        </w:r>
      </w:hyperlink>
    </w:p>
    <w:p w:rsidR="00000000" w:rsidRDefault="00905244">
      <w:pPr>
        <w:divId w:val="2008946662"/>
        <w:rPr>
          <w:rFonts w:eastAsia="Times New Roman"/>
        </w:rPr>
      </w:pPr>
    </w:p>
    <w:p w:rsidR="00000000" w:rsidRDefault="00905244">
      <w:pPr>
        <w:ind w:firstLine="360"/>
        <w:jc w:val="both"/>
        <w:rPr>
          <w:rFonts w:eastAsia="Times New Roman"/>
        </w:rPr>
      </w:pPr>
      <w:r>
        <w:rPr>
          <w:rFonts w:eastAsia="Times New Roman"/>
          <w:i/>
          <w:iCs/>
          <w:color w:val="000000"/>
          <w:sz w:val="20"/>
          <w:szCs w:val="20"/>
        </w:rPr>
        <w:t>Self-Insurance Reserves</w:t>
      </w:r>
    </w:p>
    <w:p w:rsidR="00000000" w:rsidRDefault="00905244">
      <w:pPr>
        <w:ind w:firstLine="360"/>
        <w:jc w:val="both"/>
        <w:rPr>
          <w:rFonts w:eastAsia="Times New Roman"/>
        </w:rPr>
      </w:pPr>
    </w:p>
    <w:p w:rsidR="00000000" w:rsidRDefault="00905244">
      <w:pPr>
        <w:jc w:val="both"/>
        <w:rPr>
          <w:rFonts w:eastAsia="Times New Roman"/>
        </w:rPr>
      </w:pPr>
      <w:r>
        <w:rPr>
          <w:rFonts w:eastAsia="Times New Roman"/>
          <w:color w:val="000000"/>
          <w:sz w:val="20"/>
          <w:szCs w:val="20"/>
        </w:rPr>
        <w:t>The Company self-insures a significant portion of its workers’</w:t>
      </w:r>
      <w:r>
        <w:rPr>
          <w:rFonts w:eastAsia="Times New Roman"/>
          <w:color w:val="000000"/>
          <w:sz w:val="20"/>
          <w:szCs w:val="20"/>
        </w:rPr>
        <w:t xml:space="preserve"> compensation and general liability (including product liability) insurance plans.  The Company has stop-loss insurance policies to protect it from individual losses over specified dollar values. Our deductible or self-insured retention, as applicable, for</w:t>
      </w:r>
      <w:r>
        <w:rPr>
          <w:rFonts w:eastAsia="Times New Roman"/>
          <w:color w:val="000000"/>
          <w:sz w:val="20"/>
          <w:szCs w:val="20"/>
        </w:rPr>
        <w:t xml:space="preserve"> each claim involving workers’ compensation insurance and general liability insurance is limited to $500,000 and our Texas Work Injury Policy is limited to $500,000. Further, we maintain a commercially reasonable umbrella/excess policy that covers liabilit</w:t>
      </w:r>
      <w:r>
        <w:rPr>
          <w:rFonts w:eastAsia="Times New Roman"/>
          <w:color w:val="000000"/>
          <w:sz w:val="20"/>
          <w:szCs w:val="20"/>
        </w:rPr>
        <w:t>ies in excess of the primary insurance policy limits.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full extent of certain workers’ compensation and general liability claims may not become fully determined for several years. Therefore, the Company estimates potential obligations based upon histo</w:t>
      </w:r>
      <w:r>
        <w:rPr>
          <w:rFonts w:eastAsia="Times New Roman"/>
          <w:color w:val="000000"/>
          <w:sz w:val="20"/>
          <w:szCs w:val="20"/>
        </w:rPr>
        <w:t>rical claims experience, loss development factors, severity factors, and other actuarial assumptions. Although the Company believes the reserves established for these obligations are reasonably estimated, any significant change in the number of claims or c</w:t>
      </w:r>
      <w:r>
        <w:rPr>
          <w:rFonts w:eastAsia="Times New Roman"/>
          <w:color w:val="000000"/>
          <w:sz w:val="20"/>
          <w:szCs w:val="20"/>
        </w:rPr>
        <w:t>osts associated with claims made under these plans could have a material effect on the Company’s financial results.  At December 26, 2020, the Company had net insurance reserves for workers' compensation and general liability plans of $75.5 million compare</w:t>
      </w:r>
      <w:r>
        <w:rPr>
          <w:rFonts w:eastAsia="Times New Roman"/>
          <w:color w:val="000000"/>
          <w:sz w:val="20"/>
          <w:szCs w:val="20"/>
        </w:rPr>
        <w:t>d to $64.6 million at December 28, 2019. </w:t>
      </w:r>
    </w:p>
    <w:p w:rsidR="00000000" w:rsidRDefault="00905244">
      <w:pPr>
        <w:ind w:firstLine="360"/>
        <w:jc w:val="both"/>
        <w:rPr>
          <w:rFonts w:eastAsia="Times New Roman"/>
        </w:rPr>
      </w:pPr>
      <w:r>
        <w:rPr>
          <w:rFonts w:eastAsia="Times New Roman"/>
          <w:i/>
          <w:iCs/>
          <w:color w:val="000000"/>
          <w:sz w:val="20"/>
          <w:szCs w:val="20"/>
        </w:rPr>
        <w:t>Impairment of Long-Lived Assets</w:t>
      </w:r>
    </w:p>
    <w:p w:rsidR="00000000" w:rsidRDefault="00905244">
      <w:pPr>
        <w:ind w:firstLine="360"/>
        <w:jc w:val="both"/>
        <w:rPr>
          <w:rFonts w:eastAsia="Times New Roman"/>
        </w:rPr>
      </w:pPr>
    </w:p>
    <w:p w:rsidR="00000000" w:rsidRDefault="00905244">
      <w:pPr>
        <w:jc w:val="both"/>
        <w:rPr>
          <w:rFonts w:eastAsia="Times New Roman"/>
        </w:rPr>
      </w:pPr>
      <w:r>
        <w:rPr>
          <w:rFonts w:eastAsia="Times New Roman"/>
          <w:color w:val="000000"/>
          <w:sz w:val="20"/>
          <w:szCs w:val="20"/>
        </w:rPr>
        <w:t>Long-lived assets, including lease assets, are evaluated for impairment whenever events or changes in circumstances indicate that the carrying value may not be recoverable.</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When </w:t>
      </w:r>
      <w:r>
        <w:rPr>
          <w:rFonts w:eastAsia="Times New Roman"/>
          <w:color w:val="000000"/>
          <w:sz w:val="20"/>
          <w:szCs w:val="20"/>
        </w:rPr>
        <w:t>evaluating long-lived assets for potential impairment, the Company first compares the carrying value of the asset or asset group to its estimated undiscounted future cash flows. The evaluation for long-lived assets is performed at the lowest level of ident</w:t>
      </w:r>
      <w:r>
        <w:rPr>
          <w:rFonts w:eastAsia="Times New Roman"/>
          <w:color w:val="000000"/>
          <w:sz w:val="20"/>
          <w:szCs w:val="20"/>
        </w:rPr>
        <w:t>ifiable cash flows, which is generally the individual store level.  The significant assumptions used to determine estimated undiscounted cash flows include cash inflows and outflows directly resulting from the use of those assets in operations, including m</w:t>
      </w:r>
      <w:r>
        <w:rPr>
          <w:rFonts w:eastAsia="Times New Roman"/>
          <w:color w:val="000000"/>
          <w:sz w:val="20"/>
          <w:szCs w:val="20"/>
        </w:rPr>
        <w:t>argin on net sales, payroll and related items, occupancy costs, insurance allocations and other costs to operate a store.  If the estimated future cash flows are less than the carrying value of the related asset, the Company calculates an impairment loss. </w:t>
      </w:r>
      <w:r>
        <w:rPr>
          <w:rFonts w:eastAsia="Times New Roman"/>
          <w:color w:val="000000"/>
          <w:sz w:val="20"/>
          <w:szCs w:val="20"/>
        </w:rPr>
        <w:t> The impairment loss calculation compares the carrying value of the related asset or asset group to its estimated fair value, which may be based on an estimated future cash flow model, market valuation, or other valuation technique, as appropriate. The Com</w:t>
      </w:r>
      <w:r>
        <w:rPr>
          <w:rFonts w:eastAsia="Times New Roman"/>
          <w:color w:val="000000"/>
          <w:sz w:val="20"/>
          <w:szCs w:val="20"/>
        </w:rPr>
        <w:t>pany recognizes an impairment loss if the amount of the asset’s carrying value exceeds the asset’s estimated fair value. If the Company recognizes an impairment loss, the adjusted carrying amount of the asset becomes its new cost basis. For a depreciable l</w:t>
      </w:r>
      <w:r>
        <w:rPr>
          <w:rFonts w:eastAsia="Times New Roman"/>
          <w:color w:val="000000"/>
          <w:sz w:val="20"/>
          <w:szCs w:val="20"/>
        </w:rPr>
        <w:t>ong-lived asset, the new cost basis will be depreciated (amortized) over the remaining estimated useful life of that asset.</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In fiscal 2020 we recognized approximately $5.1 million of impairment related to long-lived assets for Petsense stores. However, n</w:t>
      </w:r>
      <w:r>
        <w:rPr>
          <w:rFonts w:eastAsia="Times New Roman"/>
          <w:color w:val="000000"/>
          <w:sz w:val="20"/>
          <w:szCs w:val="20"/>
        </w:rPr>
        <w:t>o significant impairment charges were recognized in fiscal 2019 or 2018.  Impairment charges, if recognized, are included in selling, general and administrative (“SG&amp;A”) expenses in the Consolidated Statements of Income.</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Impairment of Indefinite-Lived In</w:t>
      </w:r>
      <w:r>
        <w:rPr>
          <w:rFonts w:eastAsia="Times New Roman"/>
          <w:i/>
          <w:iCs/>
          <w:color w:val="000000"/>
          <w:sz w:val="20"/>
          <w:szCs w:val="20"/>
        </w:rPr>
        <w:t>tangible Assets</w:t>
      </w:r>
    </w:p>
    <w:p w:rsidR="00000000" w:rsidRDefault="00905244">
      <w:pPr>
        <w:jc w:val="both"/>
        <w:rPr>
          <w:rFonts w:eastAsia="Times New Roman"/>
        </w:rPr>
      </w:pPr>
    </w:p>
    <w:p w:rsidR="00000000" w:rsidRDefault="00905244">
      <w:pPr>
        <w:divId w:val="1880125446"/>
        <w:rPr>
          <w:rFonts w:eastAsia="Times New Roman"/>
        </w:rPr>
      </w:pPr>
      <w:r>
        <w:rPr>
          <w:rFonts w:eastAsia="Times New Roman"/>
          <w:color w:val="000000"/>
          <w:sz w:val="20"/>
          <w:szCs w:val="20"/>
        </w:rPr>
        <w:t>Goodwill and other indefinite-lived intangible assets are evaluated for impairment annually, or whenever events or changes in circumstances indicate that the carrying value may not be recoverable. Our annual impairment evaluation is condu</w:t>
      </w:r>
      <w:r>
        <w:rPr>
          <w:rFonts w:eastAsia="Times New Roman"/>
          <w:color w:val="000000"/>
          <w:sz w:val="20"/>
          <w:szCs w:val="20"/>
        </w:rPr>
        <w:t>cted in our fourth fiscal quarter.</w:t>
      </w:r>
    </w:p>
    <w:p w:rsidR="00000000" w:rsidRDefault="00905244">
      <w:pPr>
        <w:jc w:val="both"/>
        <w:rPr>
          <w:rFonts w:eastAsia="Times New Roman"/>
        </w:rPr>
      </w:pPr>
      <w:r>
        <w:rPr>
          <w:rFonts w:eastAsia="Times New Roman"/>
          <w:color w:val="000000"/>
          <w:sz w:val="20"/>
          <w:szCs w:val="20"/>
        </w:rPr>
        <w:t>In accordance with the accounting standards, an entity has the option first to assess qualitative factors to determine whether events and circumstances indicate that it is more likely than not that goodwill or an indefini</w:t>
      </w:r>
      <w:r>
        <w:rPr>
          <w:rFonts w:eastAsia="Times New Roman"/>
          <w:color w:val="000000"/>
          <w:sz w:val="20"/>
          <w:szCs w:val="20"/>
        </w:rPr>
        <w:t>te-lived intangible asset is impaired. If after such assessment an entity concludes that the asset is not impaired, then the entity is not required to take further action. However, if an entity concludes otherwise, then it is required to determine the fair</w:t>
      </w:r>
      <w:r>
        <w:rPr>
          <w:rFonts w:eastAsia="Times New Roman"/>
          <w:color w:val="000000"/>
          <w:sz w:val="20"/>
          <w:szCs w:val="20"/>
        </w:rPr>
        <w:t xml:space="preserve"> value of the asset using a quantitative impairment test, and if impaired, the associated assets must be written down to fair value.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quantitative impairment test for goodwill compares the fair value of a reporting unit with the carrying value of its</w:t>
      </w:r>
      <w:r>
        <w:rPr>
          <w:rFonts w:eastAsia="Times New Roman"/>
          <w:color w:val="000000"/>
          <w:sz w:val="20"/>
          <w:szCs w:val="20"/>
        </w:rPr>
        <w:t xml:space="preserve"> net assets, including goodwill.  If the fair value of the reporting unit is less than the carrying value of the reporting unit, an impairment charge would be recorded to the Company’s operations, for the amount in which the carrying amount exceeds the rep</w:t>
      </w:r>
      <w:r>
        <w:rPr>
          <w:rFonts w:eastAsia="Times New Roman"/>
          <w:color w:val="000000"/>
          <w:sz w:val="20"/>
          <w:szCs w:val="20"/>
        </w:rPr>
        <w:t>orting unit’s fair value. We determine fair values for each reporting unit using the market approach, when available and appropriate, the income approach, or a combination of both. The income approach involves forecasting projected financial information (s</w:t>
      </w:r>
      <w:r>
        <w:rPr>
          <w:rFonts w:eastAsia="Times New Roman"/>
          <w:color w:val="000000"/>
          <w:sz w:val="20"/>
          <w:szCs w:val="20"/>
        </w:rPr>
        <w:t xml:space="preserve">uch as revenue growth rates, profit margins, tax rates, and capital expenditures) and selecting a </w:t>
      </w:r>
    </w:p>
    <w:p w:rsidR="00000000" w:rsidRDefault="00905244">
      <w:pPr>
        <w:jc w:val="center"/>
        <w:divId w:val="903226366"/>
        <w:rPr>
          <w:rFonts w:eastAsia="Times New Roman"/>
        </w:rPr>
      </w:pPr>
      <w:r>
        <w:rPr>
          <w:rFonts w:eastAsia="Times New Roman"/>
          <w:color w:val="000000"/>
          <w:sz w:val="20"/>
          <w:szCs w:val="20"/>
        </w:rPr>
        <w:t>58</w:t>
      </w:r>
    </w:p>
    <w:p w:rsidR="00000000" w:rsidRDefault="00905244">
      <w:pPr>
        <w:rPr>
          <w:rFonts w:eastAsia="Times New Roman"/>
        </w:rPr>
      </w:pPr>
      <w:r>
        <w:rPr>
          <w:rFonts w:eastAsia="Times New Roman"/>
        </w:rPr>
        <w:pict>
          <v:rect id="_x0000_i1087" style="width:0;height:1.5pt" o:hralign="center" o:hrstd="t" o:hr="t" fillcolor="#a0a0a0" stroked="f"/>
        </w:pict>
      </w:r>
    </w:p>
    <w:p w:rsidR="00000000" w:rsidRDefault="00905244">
      <w:pPr>
        <w:divId w:val="1583565127"/>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discount rate that reflects the risk inherent in estimated future cash flows. Under the market approach, the fair value is based on observed market data. If</w:t>
      </w:r>
      <w:r>
        <w:rPr>
          <w:rFonts w:eastAsia="Times New Roman"/>
          <w:color w:val="000000"/>
          <w:sz w:val="20"/>
          <w:szCs w:val="20"/>
        </w:rPr>
        <w:t xml:space="preserve"> multiple valuation methodologies are used, the results are weighted appropriately.</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The quantitative impairment test for other indefinite-lived intangible assets involves comparing the carrying amount of the asset to the sum of the discounted cash flows </w:t>
      </w:r>
      <w:r>
        <w:rPr>
          <w:rFonts w:eastAsia="Times New Roman"/>
          <w:color w:val="000000"/>
          <w:sz w:val="20"/>
          <w:szCs w:val="20"/>
        </w:rPr>
        <w:t xml:space="preserve">expected to be generated by the asset. If the implied fair value of the indefinite-lived intangible asset is less than the carrying value, an impairment charge would be recorded to the Company’s operations.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As described in further detail in Note 3 to th</w:t>
      </w:r>
      <w:r>
        <w:rPr>
          <w:rFonts w:eastAsia="Times New Roman"/>
          <w:color w:val="000000"/>
          <w:sz w:val="20"/>
          <w:szCs w:val="20"/>
        </w:rPr>
        <w:t>e Consolidated Financial Statements, in fiscal 2020 we recognized goodwill impairment of approximately $60.8 million and tradename asset impairment of approximately $8.2 million related to Petsense. No impairment charges were recognized in fiscal 2019 or 2</w:t>
      </w:r>
      <w:r>
        <w:rPr>
          <w:rFonts w:eastAsia="Times New Roman"/>
          <w:color w:val="000000"/>
          <w:sz w:val="20"/>
          <w:szCs w:val="20"/>
        </w:rPr>
        <w:t>018.  Impairment charges, if recognized, are included as a separate line item within SG&amp;A expenses in the Consolidated Statements of Income.</w:t>
      </w:r>
    </w:p>
    <w:p w:rsidR="00000000" w:rsidRDefault="00905244">
      <w:pPr>
        <w:divId w:val="14114516"/>
        <w:rPr>
          <w:rFonts w:eastAsia="Times New Roman"/>
        </w:rPr>
      </w:pPr>
    </w:p>
    <w:p w:rsidR="00000000" w:rsidRDefault="00905244">
      <w:pPr>
        <w:jc w:val="both"/>
        <w:rPr>
          <w:rFonts w:eastAsia="Times New Roman"/>
        </w:rPr>
      </w:pPr>
      <w:r>
        <w:rPr>
          <w:rFonts w:eastAsia="Times New Roman"/>
          <w:b/>
          <w:bCs/>
          <w:i/>
          <w:iCs/>
          <w:color w:val="000000"/>
          <w:sz w:val="20"/>
          <w:szCs w:val="20"/>
        </w:rPr>
        <w:t>Revenue Recognition and Sales Returns</w:t>
      </w:r>
    </w:p>
    <w:p w:rsidR="00000000" w:rsidRDefault="00905244">
      <w:pPr>
        <w:divId w:val="394279378"/>
        <w:rPr>
          <w:rFonts w:eastAsia="Times New Roman"/>
        </w:rPr>
      </w:pPr>
    </w:p>
    <w:p w:rsidR="00000000" w:rsidRDefault="00905244">
      <w:pPr>
        <w:jc w:val="both"/>
        <w:rPr>
          <w:rFonts w:eastAsia="Times New Roman"/>
        </w:rPr>
      </w:pPr>
      <w:r>
        <w:rPr>
          <w:rFonts w:eastAsia="Times New Roman"/>
          <w:color w:val="000000"/>
          <w:sz w:val="20"/>
          <w:szCs w:val="20"/>
        </w:rPr>
        <w:t>The Company recognizes revenue at the time the customer takes possession of merchandise.  If the Company receives payment before completion of its customer obligations (as per the Company’s special order and layaway programs), the revenue is deferred until</w:t>
      </w:r>
      <w:r>
        <w:rPr>
          <w:rFonts w:eastAsia="Times New Roman"/>
          <w:color w:val="000000"/>
          <w:sz w:val="20"/>
          <w:szCs w:val="20"/>
        </w:rPr>
        <w:t xml:space="preserve"> the customer takes possession of the merchandise and the sale is complete.</w:t>
      </w:r>
    </w:p>
    <w:p w:rsidR="00000000" w:rsidRDefault="00905244">
      <w:pPr>
        <w:divId w:val="1347900576"/>
        <w:rPr>
          <w:rFonts w:eastAsia="Times New Roman"/>
        </w:rPr>
      </w:pPr>
    </w:p>
    <w:p w:rsidR="00000000" w:rsidRDefault="00905244">
      <w:pPr>
        <w:jc w:val="both"/>
        <w:rPr>
          <w:rFonts w:eastAsia="Times New Roman"/>
        </w:rPr>
      </w:pPr>
      <w:r>
        <w:rPr>
          <w:rFonts w:eastAsia="Times New Roman"/>
          <w:color w:val="000000"/>
          <w:sz w:val="20"/>
          <w:szCs w:val="20"/>
        </w:rPr>
        <w:t>The Company is required to collect certain taxes and fees from customers on behalf of government agencies and remit such collections to the applicable governmental agency on a pe</w:t>
      </w:r>
      <w:r>
        <w:rPr>
          <w:rFonts w:eastAsia="Times New Roman"/>
          <w:color w:val="000000"/>
          <w:sz w:val="20"/>
          <w:szCs w:val="20"/>
        </w:rPr>
        <w:t>riodic basis.  These taxes and fees are collected from customers at the time of purchase but are not included in net sales.  The Company records a liability upon collection from the customer and relieves the liability when payments are remitted to the appl</w:t>
      </w:r>
      <w:r>
        <w:rPr>
          <w:rFonts w:eastAsia="Times New Roman"/>
          <w:color w:val="000000"/>
          <w:sz w:val="20"/>
          <w:szCs w:val="20"/>
        </w:rPr>
        <w:t>icable governmental agency.</w:t>
      </w:r>
    </w:p>
    <w:p w:rsidR="00000000" w:rsidRDefault="00905244">
      <w:pPr>
        <w:divId w:val="477839614"/>
        <w:rPr>
          <w:rFonts w:eastAsia="Times New Roman"/>
        </w:rPr>
      </w:pPr>
    </w:p>
    <w:p w:rsidR="00000000" w:rsidRDefault="00905244">
      <w:pPr>
        <w:jc w:val="both"/>
        <w:rPr>
          <w:rFonts w:eastAsia="Times New Roman"/>
        </w:rPr>
      </w:pPr>
      <w:r>
        <w:rPr>
          <w:rFonts w:eastAsia="Times New Roman"/>
          <w:color w:val="000000"/>
          <w:sz w:val="20"/>
          <w:szCs w:val="20"/>
        </w:rPr>
        <w:t>The Company estimates a liability for sales returns based on a rolling average of historical return trends, and the Company believes that its estimate for sales returns is an accurate reflection of future returns associated wi</w:t>
      </w:r>
      <w:r>
        <w:rPr>
          <w:rFonts w:eastAsia="Times New Roman"/>
          <w:color w:val="000000"/>
          <w:sz w:val="20"/>
          <w:szCs w:val="20"/>
        </w:rPr>
        <w:t>th past sales.  However, as with any estimate, refund activity may vary from estimated amounts.  The Company had a liability for sales returns of $14.2 million and $11.9 million as of December 26, 2020 and December 28, 2019, respectively.</w:t>
      </w:r>
    </w:p>
    <w:p w:rsidR="00000000" w:rsidRDefault="00905244">
      <w:pPr>
        <w:divId w:val="2067145486"/>
        <w:rPr>
          <w:rFonts w:eastAsia="Times New Roman"/>
        </w:rPr>
      </w:pPr>
    </w:p>
    <w:p w:rsidR="00000000" w:rsidRDefault="00905244">
      <w:pPr>
        <w:jc w:val="both"/>
        <w:rPr>
          <w:rFonts w:eastAsia="Times New Roman"/>
        </w:rPr>
      </w:pPr>
      <w:r>
        <w:rPr>
          <w:rFonts w:eastAsia="Times New Roman"/>
          <w:color w:val="000000"/>
          <w:sz w:val="20"/>
          <w:szCs w:val="20"/>
        </w:rPr>
        <w:t>The Company rec</w:t>
      </w:r>
      <w:r>
        <w:rPr>
          <w:rFonts w:eastAsia="Times New Roman"/>
          <w:color w:val="000000"/>
          <w:sz w:val="20"/>
          <w:szCs w:val="20"/>
        </w:rPr>
        <w:t>ognizes revenue when a gift card or merchandise return card is redeemed by the customer and recognizes income when the likelihood of the gift card or merchandise return card being redeemed by the customer is remote (referred to as “breakage”).  The gift ca</w:t>
      </w:r>
      <w:r>
        <w:rPr>
          <w:rFonts w:eastAsia="Times New Roman"/>
          <w:color w:val="000000"/>
          <w:sz w:val="20"/>
          <w:szCs w:val="20"/>
        </w:rPr>
        <w:t>rds and merchandise return card breakage rate is based upon historical redemption patterns and income is recognized for unredeemed gift cards and merchandise return cards in proportion to those historical redemption patterns.  The Company recognized breaka</w:t>
      </w:r>
      <w:r>
        <w:rPr>
          <w:rFonts w:eastAsia="Times New Roman"/>
          <w:color w:val="000000"/>
          <w:sz w:val="20"/>
          <w:szCs w:val="20"/>
        </w:rPr>
        <w:t>ge income of $3.6 million, $3.0 million, and $2.6 million in fiscal 2020, 2019, and 2018, respectively.</w:t>
      </w:r>
    </w:p>
    <w:p w:rsidR="00000000" w:rsidRDefault="00905244">
      <w:pPr>
        <w:divId w:val="1345745699"/>
        <w:rPr>
          <w:rFonts w:eastAsia="Times New Roman"/>
        </w:rPr>
      </w:pPr>
    </w:p>
    <w:p w:rsidR="00000000" w:rsidRDefault="00905244">
      <w:pPr>
        <w:jc w:val="both"/>
        <w:rPr>
          <w:rFonts w:eastAsia="Times New Roman"/>
        </w:rPr>
      </w:pPr>
      <w:r>
        <w:rPr>
          <w:rFonts w:eastAsia="Times New Roman"/>
          <w:b/>
          <w:bCs/>
          <w:i/>
          <w:iCs/>
          <w:color w:val="000000"/>
          <w:sz w:val="20"/>
          <w:szCs w:val="20"/>
        </w:rPr>
        <w:t>Cost of Merchandise Sold</w:t>
      </w:r>
    </w:p>
    <w:p w:rsidR="00000000" w:rsidRDefault="00905244">
      <w:pPr>
        <w:divId w:val="1011683737"/>
        <w:rPr>
          <w:rFonts w:eastAsia="Times New Roman"/>
        </w:rPr>
      </w:pPr>
    </w:p>
    <w:p w:rsidR="00000000" w:rsidRDefault="00905244">
      <w:pPr>
        <w:jc w:val="both"/>
        <w:rPr>
          <w:rFonts w:eastAsia="Times New Roman"/>
        </w:rPr>
      </w:pPr>
      <w:r>
        <w:rPr>
          <w:rFonts w:eastAsia="Times New Roman"/>
          <w:color w:val="000000"/>
          <w:sz w:val="20"/>
          <w:szCs w:val="20"/>
        </w:rPr>
        <w:t>Cost of merchandise sold includes the total cost of products sold; freight and duty expenses associated with moving merchan</w:t>
      </w:r>
      <w:r>
        <w:rPr>
          <w:rFonts w:eastAsia="Times New Roman"/>
          <w:color w:val="000000"/>
          <w:sz w:val="20"/>
          <w:szCs w:val="20"/>
        </w:rPr>
        <w:t>dise inventories from vendors to distribution facilities, from distribution facilities to retail stores, from one distribution facility to another, and directly to our customers; tariffs on imported products; vendor support; damaged, junked or defective pr</w:t>
      </w:r>
      <w:r>
        <w:rPr>
          <w:rFonts w:eastAsia="Times New Roman"/>
          <w:color w:val="000000"/>
          <w:sz w:val="20"/>
          <w:szCs w:val="20"/>
        </w:rPr>
        <w:t>oduct; cash discounts from payments to merchandise vendors; and adjustments for shrinkage (physical inventory losses), lower of cost or net realizable value, slow moving product, and excess inventory quantities.</w:t>
      </w:r>
    </w:p>
    <w:p w:rsidR="00000000" w:rsidRDefault="00905244">
      <w:pPr>
        <w:jc w:val="both"/>
        <w:rPr>
          <w:rFonts w:eastAsia="Times New Roman"/>
        </w:rPr>
      </w:pPr>
    </w:p>
    <w:p w:rsidR="00000000" w:rsidRDefault="00905244">
      <w:pPr>
        <w:jc w:val="both"/>
        <w:rPr>
          <w:rFonts w:eastAsia="Times New Roman"/>
        </w:rPr>
      </w:pPr>
      <w:r>
        <w:rPr>
          <w:rFonts w:eastAsia="Times New Roman"/>
          <w:b/>
          <w:bCs/>
          <w:i/>
          <w:iCs/>
          <w:color w:val="000000"/>
          <w:sz w:val="20"/>
          <w:szCs w:val="20"/>
        </w:rPr>
        <w:t>Selling, General and Administrative Expens</w:t>
      </w:r>
      <w:r>
        <w:rPr>
          <w:rFonts w:eastAsia="Times New Roman"/>
          <w:b/>
          <w:bCs/>
          <w:i/>
          <w:iCs/>
          <w:color w:val="000000"/>
          <w:sz w:val="20"/>
          <w:szCs w:val="20"/>
        </w:rPr>
        <w:t>es</w:t>
      </w:r>
    </w:p>
    <w:p w:rsidR="00000000" w:rsidRDefault="00905244">
      <w:pPr>
        <w:divId w:val="485784101"/>
        <w:rPr>
          <w:rFonts w:eastAsia="Times New Roman"/>
        </w:rPr>
      </w:pPr>
    </w:p>
    <w:p w:rsidR="00000000" w:rsidRDefault="00905244">
      <w:pPr>
        <w:jc w:val="both"/>
        <w:rPr>
          <w:rFonts w:eastAsia="Times New Roman"/>
        </w:rPr>
      </w:pPr>
      <w:r>
        <w:rPr>
          <w:rFonts w:eastAsia="Times New Roman"/>
          <w:color w:val="000000"/>
          <w:sz w:val="20"/>
          <w:szCs w:val="20"/>
        </w:rPr>
        <w:t>SG&amp;A expenses include payroll and benefit costs for retail, distribution facility, and corporate employees; share-based compensation expenses; occupancy costs of retail, distribution, and corporate facilities; advertising; tender costs, including bank</w:t>
      </w:r>
      <w:r>
        <w:rPr>
          <w:rFonts w:eastAsia="Times New Roman"/>
          <w:color w:val="000000"/>
          <w:sz w:val="20"/>
          <w:szCs w:val="20"/>
        </w:rPr>
        <w:t xml:space="preserve"> charges and costs associated with credit and debit card interchange fees; outside service fees; and other administrative costs, such as computer maintenance, supplies, travel, and lodging.</w:t>
      </w:r>
    </w:p>
    <w:p w:rsidR="00000000" w:rsidRDefault="00905244">
      <w:pPr>
        <w:divId w:val="373508493"/>
        <w:rPr>
          <w:rFonts w:eastAsia="Times New Roman"/>
        </w:rPr>
      </w:pPr>
    </w:p>
    <w:p w:rsidR="00000000" w:rsidRDefault="00905244">
      <w:pPr>
        <w:jc w:val="both"/>
        <w:rPr>
          <w:rFonts w:eastAsia="Times New Roman"/>
        </w:rPr>
      </w:pPr>
      <w:r>
        <w:rPr>
          <w:rFonts w:eastAsia="Times New Roman"/>
          <w:b/>
          <w:bCs/>
          <w:i/>
          <w:iCs/>
          <w:color w:val="000000"/>
          <w:sz w:val="20"/>
          <w:szCs w:val="20"/>
        </w:rPr>
        <w:t>Advertising Costs</w:t>
      </w:r>
    </w:p>
    <w:p w:rsidR="00000000" w:rsidRDefault="00905244">
      <w:pPr>
        <w:divId w:val="909273983"/>
        <w:rPr>
          <w:rFonts w:eastAsia="Times New Roman"/>
        </w:rPr>
      </w:pPr>
    </w:p>
    <w:p w:rsidR="00000000" w:rsidRDefault="00905244">
      <w:pPr>
        <w:jc w:val="both"/>
        <w:rPr>
          <w:rFonts w:eastAsia="Times New Roman"/>
        </w:rPr>
      </w:pPr>
      <w:r>
        <w:rPr>
          <w:rFonts w:eastAsia="Times New Roman"/>
          <w:color w:val="000000"/>
          <w:sz w:val="20"/>
          <w:szCs w:val="20"/>
        </w:rPr>
        <w:t>Advertising costs consist of expenses incurred in connection with digital and social media offerings, television, newspaper circulars, and customer-targeted direct e-mail and direct mail, as well as limited events through radio and other media channels.  C</w:t>
      </w:r>
      <w:r>
        <w:rPr>
          <w:rFonts w:eastAsia="Times New Roman"/>
          <w:color w:val="000000"/>
          <w:sz w:val="20"/>
          <w:szCs w:val="20"/>
        </w:rPr>
        <w:t xml:space="preserve">osts are expensed when incurred with the exception of television advertising and circular and direct mail promotions, which are expensed upon first showing.  Advertising expenses were approximately $100.9 million, $86.6 million, </w:t>
      </w:r>
    </w:p>
    <w:p w:rsidR="00000000" w:rsidRDefault="00905244">
      <w:pPr>
        <w:jc w:val="center"/>
        <w:divId w:val="235168225"/>
        <w:rPr>
          <w:rFonts w:eastAsia="Times New Roman"/>
        </w:rPr>
      </w:pPr>
      <w:r>
        <w:rPr>
          <w:rFonts w:eastAsia="Times New Roman"/>
          <w:color w:val="000000"/>
          <w:sz w:val="20"/>
          <w:szCs w:val="20"/>
        </w:rPr>
        <w:t>59</w:t>
      </w:r>
    </w:p>
    <w:p w:rsidR="00000000" w:rsidRDefault="00905244">
      <w:pPr>
        <w:rPr>
          <w:rFonts w:eastAsia="Times New Roman"/>
        </w:rPr>
      </w:pPr>
      <w:r>
        <w:rPr>
          <w:rFonts w:eastAsia="Times New Roman"/>
        </w:rPr>
        <w:pict>
          <v:rect id="_x0000_i1088" style="width:0;height:1.5pt" o:hralign="center" o:hrstd="t" o:hr="t" fillcolor="#a0a0a0" stroked="f"/>
        </w:pict>
      </w:r>
    </w:p>
    <w:p w:rsidR="00000000" w:rsidRDefault="00905244">
      <w:pPr>
        <w:divId w:val="881600813"/>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and $83.4 million for fiscal 2020, 2019, and 2018, respectively.  Prepaid advertising costs were approximately $1.6 million and $0.6 million as of December 26, 2020, and December</w:t>
      </w:r>
      <w:r>
        <w:rPr>
          <w:rFonts w:eastAsia="Times New Roman"/>
          <w:color w:val="000000"/>
          <w:sz w:val="20"/>
          <w:szCs w:val="20"/>
        </w:rPr>
        <w:t> 28, 2019, respectively.</w:t>
      </w:r>
    </w:p>
    <w:p w:rsidR="00000000" w:rsidRDefault="00905244">
      <w:pPr>
        <w:divId w:val="947463713"/>
        <w:rPr>
          <w:rFonts w:eastAsia="Times New Roman"/>
        </w:rPr>
      </w:pPr>
    </w:p>
    <w:p w:rsidR="00000000" w:rsidRDefault="00905244">
      <w:pPr>
        <w:divId w:val="1118061171"/>
        <w:rPr>
          <w:rFonts w:eastAsia="Times New Roman"/>
        </w:rPr>
      </w:pPr>
      <w:r>
        <w:rPr>
          <w:rFonts w:eastAsia="Times New Roman"/>
          <w:b/>
          <w:bCs/>
          <w:i/>
          <w:iCs/>
          <w:color w:val="000000"/>
          <w:sz w:val="20"/>
          <w:szCs w:val="20"/>
        </w:rPr>
        <w:t>Warehousing and Distribution Facility Costs</w:t>
      </w:r>
    </w:p>
    <w:p w:rsidR="00000000" w:rsidRDefault="00905244">
      <w:pPr>
        <w:divId w:val="1126240296"/>
        <w:rPr>
          <w:rFonts w:eastAsia="Times New Roman"/>
        </w:rPr>
      </w:pPr>
    </w:p>
    <w:p w:rsidR="00000000" w:rsidRDefault="00905244">
      <w:pPr>
        <w:jc w:val="both"/>
        <w:rPr>
          <w:rFonts w:eastAsia="Times New Roman"/>
        </w:rPr>
      </w:pPr>
      <w:r>
        <w:rPr>
          <w:rFonts w:eastAsia="Times New Roman"/>
          <w:color w:val="000000"/>
          <w:sz w:val="20"/>
          <w:szCs w:val="20"/>
        </w:rPr>
        <w:t>Costs incurred at the Company’s distribution facilities for receiving, warehousing, and preparing product for delivery are expensed as incurred and are included in SG&amp;A expenses in th</w:t>
      </w:r>
      <w:r>
        <w:rPr>
          <w:rFonts w:eastAsia="Times New Roman"/>
          <w:color w:val="000000"/>
          <w:sz w:val="20"/>
          <w:szCs w:val="20"/>
        </w:rPr>
        <w:t>e Consolidated Statements of Income.  Because the Company does not include these costs in cost of sales, the Company’s gross margin may not be comparable to other retailers that include these costs in the calculation of gross margin.  Distribution facility</w:t>
      </w:r>
      <w:r>
        <w:rPr>
          <w:rFonts w:eastAsia="Times New Roman"/>
          <w:color w:val="000000"/>
          <w:sz w:val="20"/>
          <w:szCs w:val="20"/>
        </w:rPr>
        <w:t xml:space="preserve"> costs including depreciation were approximately $292.6 million, $231.5 million, and $209.7 million for fiscal 2020, 2019, and 2018, respectively.</w:t>
      </w:r>
    </w:p>
    <w:p w:rsidR="00000000" w:rsidRDefault="00905244">
      <w:pPr>
        <w:jc w:val="both"/>
        <w:rPr>
          <w:rFonts w:eastAsia="Times New Roman"/>
        </w:rPr>
      </w:pPr>
    </w:p>
    <w:p w:rsidR="00000000" w:rsidRDefault="00905244">
      <w:pPr>
        <w:jc w:val="both"/>
        <w:rPr>
          <w:rFonts w:eastAsia="Times New Roman"/>
        </w:rPr>
      </w:pPr>
      <w:r>
        <w:rPr>
          <w:rFonts w:eastAsia="Times New Roman"/>
          <w:b/>
          <w:bCs/>
          <w:i/>
          <w:iCs/>
          <w:color w:val="000000"/>
          <w:sz w:val="20"/>
          <w:szCs w:val="20"/>
        </w:rPr>
        <w:t>Pre-Opening Costs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Non-capital expenditures incurred in connection with opening new stores, primarily payr</w:t>
      </w:r>
      <w:r>
        <w:rPr>
          <w:rFonts w:eastAsia="Times New Roman"/>
          <w:color w:val="000000"/>
          <w:sz w:val="20"/>
          <w:szCs w:val="20"/>
        </w:rPr>
        <w:t>oll and rent, are expensed as incurred.  Pre-opening costs were approximately $8.6 million, $8.1 million, and $8.5 million for fiscal 2020, 2019, and 2018, respectively.</w:t>
      </w:r>
    </w:p>
    <w:p w:rsidR="00000000" w:rsidRDefault="00905244">
      <w:pPr>
        <w:jc w:val="both"/>
        <w:rPr>
          <w:rFonts w:eastAsia="Times New Roman"/>
        </w:rPr>
      </w:pPr>
    </w:p>
    <w:p w:rsidR="00000000" w:rsidRDefault="00905244">
      <w:pPr>
        <w:jc w:val="both"/>
        <w:rPr>
          <w:rFonts w:eastAsia="Times New Roman"/>
        </w:rPr>
      </w:pPr>
      <w:r>
        <w:rPr>
          <w:rFonts w:eastAsia="Times New Roman"/>
          <w:b/>
          <w:bCs/>
          <w:i/>
          <w:iCs/>
          <w:color w:val="000000"/>
          <w:sz w:val="20"/>
          <w:szCs w:val="20"/>
        </w:rPr>
        <w:t>Share-Based Compensation</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Company has share-based compensation plans covering c</w:t>
      </w:r>
      <w:r>
        <w:rPr>
          <w:rFonts w:eastAsia="Times New Roman"/>
          <w:color w:val="000000"/>
          <w:sz w:val="20"/>
          <w:szCs w:val="20"/>
        </w:rPr>
        <w:t>ertain members of management and non-employee directors, which include non-qualified stock options, restricted stock units, and performance-based restricted share units. In addition, the Company offers an Employee Stock Purchase Plan (“ESPP”) to most emplo</w:t>
      </w:r>
      <w:r>
        <w:rPr>
          <w:rFonts w:eastAsia="Times New Roman"/>
          <w:color w:val="000000"/>
          <w:sz w:val="20"/>
          <w:szCs w:val="20"/>
        </w:rPr>
        <w:t>yees that work at least 20 hours per week.</w:t>
      </w:r>
    </w:p>
    <w:p w:rsidR="00000000" w:rsidRDefault="00905244">
      <w:pPr>
        <w:divId w:val="1815414226"/>
        <w:rPr>
          <w:rFonts w:eastAsia="Times New Roman"/>
        </w:rPr>
      </w:pPr>
    </w:p>
    <w:p w:rsidR="00000000" w:rsidRDefault="00905244">
      <w:pPr>
        <w:jc w:val="both"/>
        <w:rPr>
          <w:rFonts w:eastAsia="Times New Roman"/>
        </w:rPr>
      </w:pPr>
      <w:r>
        <w:rPr>
          <w:rFonts w:eastAsia="Times New Roman"/>
          <w:color w:val="000000"/>
          <w:sz w:val="20"/>
          <w:szCs w:val="20"/>
        </w:rPr>
        <w:t xml:space="preserve">The Company estimates the fair value of its stock option awards at the date of grant utilizing a </w:t>
      </w:r>
      <w:r>
        <w:rPr>
          <w:rFonts w:eastAsia="Times New Roman"/>
          <w:i/>
          <w:iCs/>
          <w:color w:val="000000"/>
          <w:sz w:val="20"/>
          <w:szCs w:val="20"/>
        </w:rPr>
        <w:t>Black-Scholes</w:t>
      </w:r>
      <w:r>
        <w:rPr>
          <w:rFonts w:eastAsia="Times New Roman"/>
          <w:color w:val="000000"/>
          <w:sz w:val="20"/>
          <w:szCs w:val="20"/>
        </w:rPr>
        <w:t xml:space="preserve"> option pricing model. The </w:t>
      </w:r>
      <w:r>
        <w:rPr>
          <w:rFonts w:eastAsia="Times New Roman"/>
          <w:i/>
          <w:iCs/>
          <w:color w:val="000000"/>
          <w:sz w:val="20"/>
          <w:szCs w:val="20"/>
        </w:rPr>
        <w:t>Black-Scholes</w:t>
      </w:r>
      <w:r>
        <w:rPr>
          <w:rFonts w:eastAsia="Times New Roman"/>
          <w:color w:val="000000"/>
          <w:sz w:val="20"/>
          <w:szCs w:val="20"/>
        </w:rPr>
        <w:t xml:space="preserve"> option valuation model was developed for use in estimating t</w:t>
      </w:r>
      <w:r>
        <w:rPr>
          <w:rFonts w:eastAsia="Times New Roman"/>
          <w:color w:val="000000"/>
          <w:sz w:val="20"/>
          <w:szCs w:val="20"/>
        </w:rPr>
        <w:t xml:space="preserve">he fair value of short-term traded options that have no vesting restrictions and are fully transferable. However, key assumptions used in the </w:t>
      </w:r>
      <w:r>
        <w:rPr>
          <w:rFonts w:eastAsia="Times New Roman"/>
          <w:i/>
          <w:iCs/>
          <w:color w:val="000000"/>
          <w:sz w:val="20"/>
          <w:szCs w:val="20"/>
        </w:rPr>
        <w:t>Black-Scholes</w:t>
      </w:r>
      <w:r>
        <w:rPr>
          <w:rFonts w:eastAsia="Times New Roman"/>
          <w:color w:val="000000"/>
          <w:sz w:val="20"/>
          <w:szCs w:val="20"/>
        </w:rPr>
        <w:t xml:space="preserve"> model are adjusted to incorporate the unique characteristics of the Company’s stock option awards. O</w:t>
      </w:r>
      <w:r>
        <w:rPr>
          <w:rFonts w:eastAsia="Times New Roman"/>
          <w:color w:val="000000"/>
          <w:sz w:val="20"/>
          <w:szCs w:val="20"/>
        </w:rPr>
        <w:t>ption pricing models and generally accepted valuation techniques require management to make subjective assumptions including expected stock price volatility, expected dividend yield, risk-free interest rate, and expected term. The Company relies on histori</w:t>
      </w:r>
      <w:r>
        <w:rPr>
          <w:rFonts w:eastAsia="Times New Roman"/>
          <w:color w:val="000000"/>
          <w:sz w:val="20"/>
          <w:szCs w:val="20"/>
        </w:rPr>
        <w:t>cal volatility trends to estimate future volatility assumptions.  The risk-free interest rates used were actual U.S. Treasury Constant Maturity rates for bonds matching the expected term of the option on the date of grant. The expected term of the option o</w:t>
      </w:r>
      <w:r>
        <w:rPr>
          <w:rFonts w:eastAsia="Times New Roman"/>
          <w:color w:val="000000"/>
          <w:sz w:val="20"/>
          <w:szCs w:val="20"/>
        </w:rPr>
        <w:t>n the date of grant was estimated based on the Company’s historical experience for similar options.</w:t>
      </w:r>
    </w:p>
    <w:p w:rsidR="00000000" w:rsidRDefault="00905244">
      <w:pPr>
        <w:divId w:val="1105081326"/>
        <w:rPr>
          <w:rFonts w:eastAsia="Times New Roman"/>
        </w:rPr>
      </w:pPr>
    </w:p>
    <w:p w:rsidR="00000000" w:rsidRDefault="00905244">
      <w:pPr>
        <w:jc w:val="both"/>
        <w:rPr>
          <w:rFonts w:eastAsia="Times New Roman"/>
        </w:rPr>
      </w:pPr>
      <w:r>
        <w:rPr>
          <w:rFonts w:eastAsia="Times New Roman"/>
          <w:color w:val="000000"/>
          <w:sz w:val="20"/>
          <w:szCs w:val="20"/>
        </w:rPr>
        <w:t xml:space="preserve">In addition to the key assumptions used in the </w:t>
      </w:r>
      <w:r>
        <w:rPr>
          <w:rFonts w:eastAsia="Times New Roman"/>
          <w:i/>
          <w:iCs/>
          <w:color w:val="000000"/>
          <w:sz w:val="20"/>
          <w:szCs w:val="20"/>
        </w:rPr>
        <w:t>Black-Scholes</w:t>
      </w:r>
      <w:r>
        <w:rPr>
          <w:rFonts w:eastAsia="Times New Roman"/>
          <w:color w:val="000000"/>
          <w:sz w:val="20"/>
          <w:szCs w:val="20"/>
        </w:rPr>
        <w:t xml:space="preserve"> model, the estimated forfeiture rate at the time of valuation (which is based on historical e</w:t>
      </w:r>
      <w:r>
        <w:rPr>
          <w:rFonts w:eastAsia="Times New Roman"/>
          <w:color w:val="000000"/>
          <w:sz w:val="20"/>
          <w:szCs w:val="20"/>
        </w:rPr>
        <w:t>xperience for similar options) is a critical assumption, as it reduces expense ratably over the vesting period. The Company adjusts this estimate periodically, based on the extent to which actual forfeitures differ, or are expected to differ, from the prev</w:t>
      </w:r>
      <w:r>
        <w:rPr>
          <w:rFonts w:eastAsia="Times New Roman"/>
          <w:color w:val="000000"/>
          <w:sz w:val="20"/>
          <w:szCs w:val="20"/>
        </w:rPr>
        <w:t>ious estimate.</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The fair value of the Company’s restricted stock units and performance-based restricted share units is the closing stock price of the Company’s common stock the day preceding the grant date, discounted for the expected dividend yield over </w:t>
      </w:r>
      <w:r>
        <w:rPr>
          <w:rFonts w:eastAsia="Times New Roman"/>
          <w:color w:val="000000"/>
          <w:sz w:val="20"/>
          <w:szCs w:val="20"/>
        </w:rPr>
        <w:t>the term of the award.</w:t>
      </w:r>
    </w:p>
    <w:p w:rsidR="00000000" w:rsidRDefault="00905244">
      <w:pPr>
        <w:divId w:val="1146321168"/>
        <w:rPr>
          <w:rFonts w:eastAsia="Times New Roman"/>
        </w:rPr>
      </w:pPr>
    </w:p>
    <w:p w:rsidR="00000000" w:rsidRDefault="00905244">
      <w:pPr>
        <w:jc w:val="both"/>
        <w:rPr>
          <w:rFonts w:eastAsia="Times New Roman"/>
        </w:rPr>
      </w:pPr>
      <w:r>
        <w:rPr>
          <w:rFonts w:eastAsia="Times New Roman"/>
          <w:color w:val="000000"/>
          <w:sz w:val="20"/>
          <w:szCs w:val="20"/>
        </w:rPr>
        <w:t xml:space="preserve">The Company believes its estimates are reasonable in the context of historical experience.  Future results will depend on, among other matters, levels of share-based compensation granted in the future, actual forfeiture rates, and </w:t>
      </w:r>
      <w:r>
        <w:rPr>
          <w:rFonts w:eastAsia="Times New Roman"/>
          <w:color w:val="000000"/>
          <w:sz w:val="20"/>
          <w:szCs w:val="20"/>
        </w:rPr>
        <w:t>the timing of option exercises.</w:t>
      </w:r>
    </w:p>
    <w:p w:rsidR="00000000" w:rsidRDefault="00905244">
      <w:pPr>
        <w:divId w:val="2103380902"/>
        <w:rPr>
          <w:rFonts w:eastAsia="Times New Roman"/>
        </w:rPr>
      </w:pPr>
    </w:p>
    <w:p w:rsidR="00000000" w:rsidRDefault="00905244">
      <w:pPr>
        <w:jc w:val="both"/>
        <w:rPr>
          <w:rFonts w:eastAsia="Times New Roman"/>
        </w:rPr>
      </w:pPr>
      <w:r>
        <w:rPr>
          <w:rFonts w:eastAsia="Times New Roman"/>
          <w:b/>
          <w:bCs/>
          <w:i/>
          <w:iCs/>
          <w:color w:val="000000"/>
          <w:sz w:val="20"/>
          <w:szCs w:val="20"/>
        </w:rPr>
        <w:t>Depreciation and Amortization</w:t>
      </w:r>
    </w:p>
    <w:p w:rsidR="00000000" w:rsidRDefault="00905244">
      <w:pPr>
        <w:divId w:val="1487740531"/>
        <w:rPr>
          <w:rFonts w:eastAsia="Times New Roman"/>
        </w:rPr>
      </w:pPr>
    </w:p>
    <w:p w:rsidR="00000000" w:rsidRDefault="00905244">
      <w:pPr>
        <w:jc w:val="both"/>
        <w:rPr>
          <w:rFonts w:eastAsia="Times New Roman"/>
        </w:rPr>
      </w:pPr>
      <w:r>
        <w:rPr>
          <w:rFonts w:eastAsia="Times New Roman"/>
          <w:color w:val="000000"/>
          <w:sz w:val="20"/>
          <w:szCs w:val="20"/>
        </w:rPr>
        <w:t>Depreciation includes expenses related to all retail, distribution facility, and corporate assets.  Amortization includes expenses related to definite-lived intangible assets.</w:t>
      </w:r>
    </w:p>
    <w:p w:rsidR="00000000" w:rsidRDefault="00905244">
      <w:pPr>
        <w:jc w:val="both"/>
        <w:rPr>
          <w:rFonts w:eastAsia="Times New Roman"/>
        </w:rPr>
      </w:pPr>
    </w:p>
    <w:p w:rsidR="00000000" w:rsidRDefault="00905244">
      <w:pPr>
        <w:jc w:val="center"/>
        <w:divId w:val="1033313358"/>
        <w:rPr>
          <w:rFonts w:eastAsia="Times New Roman"/>
        </w:rPr>
      </w:pPr>
      <w:r>
        <w:rPr>
          <w:rFonts w:eastAsia="Times New Roman"/>
          <w:color w:val="000000"/>
          <w:sz w:val="20"/>
          <w:szCs w:val="20"/>
        </w:rPr>
        <w:t>60</w:t>
      </w:r>
    </w:p>
    <w:p w:rsidR="00000000" w:rsidRDefault="00905244">
      <w:pPr>
        <w:rPr>
          <w:rFonts w:eastAsia="Times New Roman"/>
        </w:rPr>
      </w:pPr>
      <w:r>
        <w:rPr>
          <w:rFonts w:eastAsia="Times New Roman"/>
        </w:rPr>
        <w:pict>
          <v:rect id="_x0000_i1089" style="width:0;height:1.5pt" o:hralign="center" o:hrstd="t" o:hr="t" fillcolor="#a0a0a0" stroked="f"/>
        </w:pict>
      </w:r>
    </w:p>
    <w:p w:rsidR="00000000" w:rsidRDefault="00905244">
      <w:pPr>
        <w:divId w:val="1268808914"/>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b/>
          <w:bCs/>
          <w:i/>
          <w:iCs/>
          <w:color w:val="000000"/>
          <w:sz w:val="20"/>
          <w:szCs w:val="20"/>
        </w:rPr>
        <w:t>Income Taxes</w:t>
      </w:r>
    </w:p>
    <w:p w:rsidR="00000000" w:rsidRDefault="00905244">
      <w:pPr>
        <w:divId w:val="1342779031"/>
        <w:rPr>
          <w:rFonts w:eastAsia="Times New Roman"/>
        </w:rPr>
      </w:pPr>
    </w:p>
    <w:p w:rsidR="00000000" w:rsidRDefault="00905244">
      <w:pPr>
        <w:jc w:val="both"/>
        <w:rPr>
          <w:rFonts w:eastAsia="Times New Roman"/>
        </w:rPr>
      </w:pPr>
      <w:r>
        <w:rPr>
          <w:rFonts w:eastAsia="Times New Roman"/>
          <w:color w:val="000000"/>
          <w:sz w:val="20"/>
          <w:szCs w:val="20"/>
        </w:rPr>
        <w:t xml:space="preserve">The Company uses the asset and liability method to account for income taxes whereby deferred tax assets and liabilities are determined based </w:t>
      </w:r>
      <w:r>
        <w:rPr>
          <w:rFonts w:eastAsia="Times New Roman"/>
          <w:color w:val="000000"/>
          <w:sz w:val="20"/>
          <w:szCs w:val="20"/>
        </w:rPr>
        <w:t>on differences between the financial carrying amounts of assets and liabilities and their tax bases. Deferred tax assets and liabilities are measured using the enacted tax rates and laws that are anticipated to be in effect when temporary differences rever</w:t>
      </w:r>
      <w:r>
        <w:rPr>
          <w:rFonts w:eastAsia="Times New Roman"/>
          <w:color w:val="000000"/>
          <w:sz w:val="20"/>
          <w:szCs w:val="20"/>
        </w:rPr>
        <w:t xml:space="preserve">se or are settled.  The effect of a tax rate change is recognized in the period in which the law is enacted in the provision for income taxes.  The Company records a valuation allowance when it is more likely than not that a deferred tax asset will not be </w:t>
      </w:r>
      <w:r>
        <w:rPr>
          <w:rFonts w:eastAsia="Times New Roman"/>
          <w:color w:val="000000"/>
          <w:sz w:val="20"/>
          <w:szCs w:val="20"/>
        </w:rPr>
        <w:t>realized.</w:t>
      </w:r>
    </w:p>
    <w:p w:rsidR="00000000" w:rsidRDefault="00905244">
      <w:pPr>
        <w:jc w:val="both"/>
        <w:rPr>
          <w:rFonts w:eastAsia="Times New Roman"/>
        </w:rPr>
      </w:pPr>
    </w:p>
    <w:p w:rsidR="00000000" w:rsidRDefault="00905244">
      <w:pPr>
        <w:jc w:val="both"/>
        <w:rPr>
          <w:rFonts w:eastAsia="Times New Roman"/>
        </w:rPr>
      </w:pPr>
      <w:r>
        <w:rPr>
          <w:rFonts w:eastAsia="Times New Roman"/>
          <w:b/>
          <w:bCs/>
          <w:i/>
          <w:iCs/>
          <w:color w:val="000000"/>
          <w:sz w:val="20"/>
          <w:szCs w:val="20"/>
        </w:rPr>
        <w:t>Tax Contingencies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Company’s income tax returns are periodically audited by U.S. federal and state tax authorities. These audits include questions regarding tax filing positions, including the timing and amount of deductions and the alloca</w:t>
      </w:r>
      <w:r>
        <w:rPr>
          <w:rFonts w:eastAsia="Times New Roman"/>
          <w:color w:val="000000"/>
          <w:sz w:val="20"/>
          <w:szCs w:val="20"/>
        </w:rPr>
        <w:t>tion of income among various tax jurisdictions. At any time, multiple tax years are subject to audit by the various tax authorities. In evaluating the exposures associated with the Company’s various tax filing positions, the Company records a liability for</w:t>
      </w:r>
      <w:r>
        <w:rPr>
          <w:rFonts w:eastAsia="Times New Roman"/>
          <w:color w:val="000000"/>
          <w:sz w:val="20"/>
          <w:szCs w:val="20"/>
        </w:rPr>
        <w:t xml:space="preserve"> uncertain tax positions taken or expected to be taken in a tax return.  A number of years may elapse before a particular matter, for which the Company has established a reserve, is audited and fully resolved or clarified.  The Company recognizes the effec</w:t>
      </w:r>
      <w:r>
        <w:rPr>
          <w:rFonts w:eastAsia="Times New Roman"/>
          <w:color w:val="000000"/>
          <w:sz w:val="20"/>
          <w:szCs w:val="20"/>
        </w:rPr>
        <w:t>t of income tax positions only if those positions are more likely than not of being sustained.  Recognized income tax positions are measured at the largest amount that is greater than 50% likely of being realized.  Changes in recognition or measurement are</w:t>
      </w:r>
      <w:r>
        <w:rPr>
          <w:rFonts w:eastAsia="Times New Roman"/>
          <w:color w:val="000000"/>
          <w:sz w:val="20"/>
          <w:szCs w:val="20"/>
        </w:rPr>
        <w:t xml:space="preserve"> reflected in the period in which the change in judgment occurs.  The Company adjusts its tax contingencies reserve and income tax provision in the period in which actual results of a settlement with tax authorities differs from the established reserve, th</w:t>
      </w:r>
      <w:r>
        <w:rPr>
          <w:rFonts w:eastAsia="Times New Roman"/>
          <w:color w:val="000000"/>
          <w:sz w:val="20"/>
          <w:szCs w:val="20"/>
        </w:rPr>
        <w:t>e statute of limitations expires for the relevant tax authority to examine the tax position or when more information becomes available.</w:t>
      </w:r>
    </w:p>
    <w:p w:rsidR="00000000" w:rsidRDefault="00905244">
      <w:pPr>
        <w:divId w:val="1991985122"/>
        <w:rPr>
          <w:rFonts w:eastAsia="Times New Roman"/>
        </w:rPr>
      </w:pPr>
    </w:p>
    <w:p w:rsidR="00000000" w:rsidRDefault="00905244">
      <w:pPr>
        <w:jc w:val="both"/>
        <w:rPr>
          <w:rFonts w:eastAsia="Times New Roman"/>
        </w:rPr>
      </w:pPr>
      <w:r>
        <w:rPr>
          <w:rFonts w:eastAsia="Times New Roman"/>
          <w:b/>
          <w:bCs/>
          <w:i/>
          <w:iCs/>
          <w:color w:val="000000"/>
          <w:sz w:val="20"/>
          <w:szCs w:val="20"/>
        </w:rPr>
        <w:t>Sales Tax Audit Reserve</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A portion of the Company’s sales are to tax-exempt customers, predominantly agricultural-bas</w:t>
      </w:r>
      <w:r>
        <w:rPr>
          <w:rFonts w:eastAsia="Times New Roman"/>
          <w:color w:val="000000"/>
          <w:sz w:val="20"/>
          <w:szCs w:val="20"/>
        </w:rPr>
        <w:t>ed.  The Company obtains exemption information as a necessary part of each tax-exempt transaction.  Many of the states in which the Company conducts business will perform audits to verify the Company’s compliance with applicable sales tax laws.  The busine</w:t>
      </w:r>
      <w:r>
        <w:rPr>
          <w:rFonts w:eastAsia="Times New Roman"/>
          <w:color w:val="000000"/>
          <w:sz w:val="20"/>
          <w:szCs w:val="20"/>
        </w:rPr>
        <w:t xml:space="preserve">ss activities of the Company’s customers and the intended use of the unique products sold by the Company create a challenging and complex tax compliance environment.  These circumstances also create some risk that the Company could be challenged as to the </w:t>
      </w:r>
      <w:r>
        <w:rPr>
          <w:rFonts w:eastAsia="Times New Roman"/>
          <w:color w:val="000000"/>
          <w:sz w:val="20"/>
          <w:szCs w:val="20"/>
        </w:rPr>
        <w:t>accuracy of the Company’s sales tax compliance.</w:t>
      </w:r>
    </w:p>
    <w:p w:rsidR="00000000" w:rsidRDefault="00905244">
      <w:pPr>
        <w:divId w:val="1049375378"/>
        <w:rPr>
          <w:rFonts w:eastAsia="Times New Roman"/>
        </w:rPr>
      </w:pPr>
    </w:p>
    <w:p w:rsidR="00000000" w:rsidRDefault="00905244">
      <w:pPr>
        <w:jc w:val="both"/>
        <w:rPr>
          <w:rFonts w:eastAsia="Times New Roman"/>
        </w:rPr>
      </w:pPr>
      <w:r>
        <w:rPr>
          <w:rFonts w:eastAsia="Times New Roman"/>
          <w:color w:val="000000"/>
          <w:sz w:val="20"/>
          <w:szCs w:val="20"/>
        </w:rPr>
        <w:t>The Company reviews past audit experience and assessments with applicable states to continually determine if it has potential exposure for non-compliance.  Any estimated liability is based on an initial ass</w:t>
      </w:r>
      <w:r>
        <w:rPr>
          <w:rFonts w:eastAsia="Times New Roman"/>
          <w:color w:val="000000"/>
          <w:sz w:val="20"/>
          <w:szCs w:val="20"/>
        </w:rPr>
        <w:t>essment of compliance risk and historical experience with each state.  The Company continually reassesses the exposure based on historical audit results, changes in policies, preliminary and final assessments made by state sales tax auditors, and additiona</w:t>
      </w:r>
      <w:r>
        <w:rPr>
          <w:rFonts w:eastAsia="Times New Roman"/>
          <w:color w:val="000000"/>
          <w:sz w:val="20"/>
          <w:szCs w:val="20"/>
        </w:rPr>
        <w:t>l documentation that may be provided to reduce the assessment.  The reserve for these tax audits can fluctuate depending on numerous factors, including the complexity of agricultural-based exemptions, the ambiguity in state tax regulations, the number of o</w:t>
      </w:r>
      <w:r>
        <w:rPr>
          <w:rFonts w:eastAsia="Times New Roman"/>
          <w:color w:val="000000"/>
          <w:sz w:val="20"/>
          <w:szCs w:val="20"/>
        </w:rPr>
        <w:t>ngoing audits, and the length of time required to settle with the state taxing authorities.</w:t>
      </w:r>
    </w:p>
    <w:p w:rsidR="00000000" w:rsidRDefault="00905244">
      <w:pPr>
        <w:jc w:val="both"/>
        <w:rPr>
          <w:rFonts w:eastAsia="Times New Roman"/>
        </w:rPr>
      </w:pPr>
    </w:p>
    <w:p w:rsidR="00000000" w:rsidRDefault="00905244">
      <w:pPr>
        <w:jc w:val="both"/>
        <w:rPr>
          <w:rFonts w:eastAsia="Times New Roman"/>
        </w:rPr>
      </w:pPr>
      <w:r>
        <w:rPr>
          <w:rFonts w:eastAsia="Times New Roman"/>
          <w:b/>
          <w:bCs/>
          <w:i/>
          <w:iCs/>
          <w:color w:val="000000"/>
          <w:sz w:val="20"/>
          <w:szCs w:val="20"/>
        </w:rPr>
        <w:t>Net Income Per Share</w:t>
      </w:r>
    </w:p>
    <w:p w:rsidR="00000000" w:rsidRDefault="00905244">
      <w:pPr>
        <w:divId w:val="733360021"/>
        <w:rPr>
          <w:rFonts w:eastAsia="Times New Roman"/>
        </w:rPr>
      </w:pPr>
    </w:p>
    <w:p w:rsidR="00000000" w:rsidRDefault="00905244">
      <w:pPr>
        <w:jc w:val="both"/>
        <w:rPr>
          <w:rFonts w:eastAsia="Times New Roman"/>
        </w:rPr>
      </w:pPr>
      <w:r>
        <w:rPr>
          <w:rFonts w:eastAsia="Times New Roman"/>
          <w:color w:val="000000"/>
          <w:sz w:val="20"/>
          <w:szCs w:val="20"/>
        </w:rPr>
        <w:t>The Company presents both basic and diluted net income per share on the Consolidated Statements of Income. Basic net income per share is ca</w:t>
      </w:r>
      <w:r>
        <w:rPr>
          <w:rFonts w:eastAsia="Times New Roman"/>
          <w:color w:val="000000"/>
          <w:sz w:val="20"/>
          <w:szCs w:val="20"/>
        </w:rPr>
        <w:t>lculated by dividing net income by the weighted average number of shares outstanding during the period.  Diluted net income per share is calculated by dividing net income by the weighted average diluted shares outstanding during the period. Dilutive shares</w:t>
      </w:r>
      <w:r>
        <w:rPr>
          <w:rFonts w:eastAsia="Times New Roman"/>
          <w:color w:val="000000"/>
          <w:sz w:val="20"/>
          <w:szCs w:val="20"/>
        </w:rPr>
        <w:t xml:space="preserve"> are computed using the treasury stock method for share-based awards. Performance-based restricted share units are included in diluted shares only if the related performance conditions have been considered satisfied as of the end of the reporting period. </w:t>
      </w:r>
    </w:p>
    <w:p w:rsidR="00000000" w:rsidRDefault="00905244">
      <w:pPr>
        <w:jc w:val="both"/>
        <w:rPr>
          <w:rFonts w:eastAsia="Times New Roman"/>
        </w:rPr>
      </w:pPr>
    </w:p>
    <w:p w:rsidR="00000000" w:rsidRDefault="00905244">
      <w:pPr>
        <w:jc w:val="both"/>
        <w:rPr>
          <w:rFonts w:eastAsia="Times New Roman"/>
        </w:rPr>
      </w:pPr>
      <w:r>
        <w:rPr>
          <w:rFonts w:eastAsia="Times New Roman"/>
          <w:b/>
          <w:bCs/>
          <w:i/>
          <w:iCs/>
          <w:color w:val="000000"/>
          <w:sz w:val="20"/>
          <w:szCs w:val="20"/>
        </w:rPr>
        <w:t>Cash and Cash Equivalents</w:t>
      </w:r>
    </w:p>
    <w:p w:rsidR="00000000" w:rsidRDefault="00905244">
      <w:pPr>
        <w:divId w:val="211885256"/>
        <w:rPr>
          <w:rFonts w:eastAsia="Times New Roman"/>
        </w:rPr>
      </w:pPr>
    </w:p>
    <w:p w:rsidR="00000000" w:rsidRDefault="00905244">
      <w:pPr>
        <w:jc w:val="both"/>
        <w:rPr>
          <w:rFonts w:eastAsia="Times New Roman"/>
        </w:rPr>
      </w:pPr>
      <w:r>
        <w:rPr>
          <w:rFonts w:eastAsia="Times New Roman"/>
          <w:color w:val="000000"/>
          <w:sz w:val="20"/>
          <w:szCs w:val="20"/>
        </w:rPr>
        <w:t>Temporary cash investments, with a maturity of three months or less when purchased, are considered to be cash equivalents.  The majority of payments due from banks for customer credit cards are classified as cash and cash equi</w:t>
      </w:r>
      <w:r>
        <w:rPr>
          <w:rFonts w:eastAsia="Times New Roman"/>
          <w:color w:val="000000"/>
          <w:sz w:val="20"/>
          <w:szCs w:val="20"/>
        </w:rPr>
        <w:t>valents, as they generally settle within 24 - 48 hours.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Sales generated through the Company’s private label credit cards are not reflected as accounts receivable.  </w:t>
      </w:r>
      <w:r>
        <w:rPr>
          <w:rFonts w:eastAsia="Times New Roman"/>
          <w:color w:val="000000"/>
          <w:sz w:val="20"/>
          <w:szCs w:val="20"/>
        </w:rPr>
        <w:t xml:space="preserve">Under an agreement with Citi Cards, a division of Citigroup, consumer and business credit is extended directly to customers by Citigroup.  All credit </w:t>
      </w:r>
    </w:p>
    <w:p w:rsidR="00000000" w:rsidRDefault="00905244">
      <w:pPr>
        <w:jc w:val="center"/>
        <w:divId w:val="804662873"/>
        <w:rPr>
          <w:rFonts w:eastAsia="Times New Roman"/>
        </w:rPr>
      </w:pPr>
      <w:r>
        <w:rPr>
          <w:rFonts w:eastAsia="Times New Roman"/>
          <w:color w:val="000000"/>
          <w:sz w:val="20"/>
          <w:szCs w:val="20"/>
        </w:rPr>
        <w:t>61</w:t>
      </w:r>
    </w:p>
    <w:p w:rsidR="00000000" w:rsidRDefault="00905244">
      <w:pPr>
        <w:rPr>
          <w:rFonts w:eastAsia="Times New Roman"/>
        </w:rPr>
      </w:pPr>
      <w:r>
        <w:rPr>
          <w:rFonts w:eastAsia="Times New Roman"/>
        </w:rPr>
        <w:pict>
          <v:rect id="_x0000_i1090" style="width:0;height:1.5pt" o:hralign="center" o:hrstd="t" o:hr="t" fillcolor="#a0a0a0" stroked="f"/>
        </w:pict>
      </w:r>
    </w:p>
    <w:p w:rsidR="00000000" w:rsidRDefault="00905244">
      <w:pPr>
        <w:divId w:val="710351224"/>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pr</w:t>
      </w:r>
      <w:r>
        <w:rPr>
          <w:rFonts w:eastAsia="Times New Roman"/>
          <w:color w:val="000000"/>
          <w:sz w:val="20"/>
          <w:szCs w:val="20"/>
        </w:rPr>
        <w:t>ogram and related services are performed and controlled directly by Citigroup.  Payments due from Citigroup are classified as cash and cash equivalents as they generally settle within 24 - 48 hours.</w:t>
      </w:r>
    </w:p>
    <w:p w:rsidR="00000000" w:rsidRDefault="00905244">
      <w:pPr>
        <w:divId w:val="1730416415"/>
        <w:rPr>
          <w:rFonts w:eastAsia="Times New Roman"/>
        </w:rPr>
      </w:pPr>
    </w:p>
    <w:p w:rsidR="00000000" w:rsidRDefault="00905244">
      <w:pPr>
        <w:jc w:val="both"/>
        <w:rPr>
          <w:rFonts w:eastAsia="Times New Roman"/>
        </w:rPr>
      </w:pPr>
      <w:r>
        <w:rPr>
          <w:rFonts w:eastAsia="Times New Roman"/>
          <w:b/>
          <w:bCs/>
          <w:i/>
          <w:iCs/>
          <w:color w:val="000000"/>
          <w:sz w:val="20"/>
          <w:szCs w:val="20"/>
        </w:rPr>
        <w:t>Fair Value of Financial Instruments</w:t>
      </w:r>
    </w:p>
    <w:p w:rsidR="00000000" w:rsidRDefault="00905244">
      <w:pPr>
        <w:divId w:val="389505366"/>
        <w:rPr>
          <w:rFonts w:eastAsia="Times New Roman"/>
        </w:rPr>
      </w:pPr>
    </w:p>
    <w:p w:rsidR="00000000" w:rsidRDefault="00905244">
      <w:pPr>
        <w:jc w:val="both"/>
        <w:rPr>
          <w:rFonts w:eastAsia="Times New Roman"/>
        </w:rPr>
      </w:pPr>
      <w:r>
        <w:rPr>
          <w:rFonts w:eastAsia="Times New Roman"/>
          <w:color w:val="000000"/>
          <w:sz w:val="20"/>
          <w:szCs w:val="20"/>
        </w:rPr>
        <w:t>Fair value is def</w:t>
      </w:r>
      <w:r>
        <w:rPr>
          <w:rFonts w:eastAsia="Times New Roman"/>
          <w:color w:val="000000"/>
          <w:sz w:val="20"/>
          <w:szCs w:val="20"/>
        </w:rPr>
        <w:t>ined as the price that would be received to sell an asset or paid to transfer a liability (an exit price) in an orderly transaction between market participants on the measurement date. The Company uses a three-tier fair value hierarchy, which prioritizes t</w:t>
      </w:r>
      <w:r>
        <w:rPr>
          <w:rFonts w:eastAsia="Times New Roman"/>
          <w:color w:val="000000"/>
          <w:sz w:val="20"/>
          <w:szCs w:val="20"/>
        </w:rPr>
        <w:t>he inputs used in measuring fair value.  These tiers include: Level 1, defined as observable inputs such as quoted prices in active markets; Level 2, defined as inputs other than quoted prices in active markets that are either directly or indirectly observ</w:t>
      </w:r>
      <w:r>
        <w:rPr>
          <w:rFonts w:eastAsia="Times New Roman"/>
          <w:color w:val="000000"/>
          <w:sz w:val="20"/>
          <w:szCs w:val="20"/>
        </w:rPr>
        <w:t>able; and Level 3, defined as unobservable inputs in which little or no market data exists, therefore requiring an entity to develop its own assumptions.</w:t>
      </w:r>
    </w:p>
    <w:p w:rsidR="00000000" w:rsidRDefault="00905244">
      <w:pPr>
        <w:divId w:val="1257863962"/>
        <w:rPr>
          <w:rFonts w:eastAsia="Times New Roman"/>
        </w:rPr>
      </w:pPr>
    </w:p>
    <w:p w:rsidR="00000000" w:rsidRDefault="00905244">
      <w:pPr>
        <w:jc w:val="both"/>
        <w:rPr>
          <w:rFonts w:eastAsia="Times New Roman"/>
        </w:rPr>
      </w:pPr>
      <w:r>
        <w:rPr>
          <w:rFonts w:eastAsia="Times New Roman"/>
          <w:color w:val="000000"/>
          <w:sz w:val="20"/>
          <w:szCs w:val="20"/>
        </w:rPr>
        <w:t>The Company’s financial instruments consist of cash and cash equivalents, short-term receivables, tr</w:t>
      </w:r>
      <w:r>
        <w:rPr>
          <w:rFonts w:eastAsia="Times New Roman"/>
          <w:color w:val="000000"/>
          <w:sz w:val="20"/>
          <w:szCs w:val="20"/>
        </w:rPr>
        <w:t>ade payables, debt instruments, and interest rate swaps. Due to their short-term nature, the carrying values of cash and cash equivalents, short-term receivables, and trade payables approximate current fair value at each balance sheet date. The Company had</w:t>
      </w:r>
      <w:r>
        <w:rPr>
          <w:rFonts w:eastAsia="Times New Roman"/>
          <w:color w:val="000000"/>
          <w:sz w:val="20"/>
          <w:szCs w:val="20"/>
        </w:rPr>
        <w:t xml:space="preserve"> $1.0 billion and $397.5 million in borrowings under our debt facilities (as discussed in Note 4) as of December 26, 2020 and December 28, 2019, respectively. Based on current market interest rates (Level 2 inputs), the carrying value of our borrowings und</w:t>
      </w:r>
      <w:r>
        <w:rPr>
          <w:rFonts w:eastAsia="Times New Roman"/>
          <w:color w:val="000000"/>
          <w:sz w:val="20"/>
          <w:szCs w:val="20"/>
        </w:rPr>
        <w:t>er our debt facilities approximates fair value for each period reported. The fair value of the Company’s interest rate swaps is determined based on the present value of expected future cash flows using forward rate curves (a Level 2 input). As described in</w:t>
      </w:r>
      <w:r>
        <w:rPr>
          <w:rFonts w:eastAsia="Times New Roman"/>
          <w:color w:val="000000"/>
          <w:sz w:val="20"/>
          <w:szCs w:val="20"/>
        </w:rPr>
        <w:t xml:space="preserve"> further detail in Note 5, the fair value of the interest rate swaps, excluding accrued interest, was a net liability of $4.4 million and a net asset of $0.3 million as of December 26, 2020 and December 28, 2019, respectively. </w:t>
      </w:r>
    </w:p>
    <w:p w:rsidR="00000000" w:rsidRDefault="00905244">
      <w:pPr>
        <w:jc w:val="both"/>
        <w:rPr>
          <w:rFonts w:eastAsia="Times New Roman"/>
        </w:rPr>
      </w:pPr>
    </w:p>
    <w:p w:rsidR="00000000" w:rsidRDefault="00905244">
      <w:pPr>
        <w:jc w:val="both"/>
        <w:rPr>
          <w:rFonts w:eastAsia="Times New Roman"/>
        </w:rPr>
      </w:pPr>
      <w:r>
        <w:rPr>
          <w:rFonts w:eastAsia="Times New Roman"/>
          <w:b/>
          <w:bCs/>
          <w:i/>
          <w:iCs/>
          <w:color w:val="000000"/>
          <w:sz w:val="20"/>
          <w:szCs w:val="20"/>
        </w:rPr>
        <w:t>Derivative Financial Instr</w:t>
      </w:r>
      <w:r>
        <w:rPr>
          <w:rFonts w:eastAsia="Times New Roman"/>
          <w:b/>
          <w:bCs/>
          <w:i/>
          <w:iCs/>
          <w:color w:val="000000"/>
          <w:sz w:val="20"/>
          <w:szCs w:val="20"/>
        </w:rPr>
        <w:t>uments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Company accounts for derivative financial instruments in accordance with applicable accounting standards for such instruments and hedging activities, which require that all derivatives are recorded on the balance sheet at fair value. The accou</w:t>
      </w:r>
      <w:r>
        <w:rPr>
          <w:rFonts w:eastAsia="Times New Roman"/>
          <w:color w:val="000000"/>
          <w:sz w:val="20"/>
          <w:szCs w:val="20"/>
        </w:rPr>
        <w:t>nting for changes in the fair value of derivatives depends on the intended use of the derivative, whether the Company has elected to designate a derivative in a hedging relationship and apply hedge accounting and whether the hedging relationship has satisf</w:t>
      </w:r>
      <w:r>
        <w:rPr>
          <w:rFonts w:eastAsia="Times New Roman"/>
          <w:color w:val="000000"/>
          <w:sz w:val="20"/>
          <w:szCs w:val="20"/>
        </w:rPr>
        <w:t xml:space="preserve">ied the criteria necessary to apply hedge accounting.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Derivatives designated and qualifying as a hedge of the exposure to changes in the fair value of an asset, liability, or firm commitment attributable to a particular risk are considered fair value he</w:t>
      </w:r>
      <w:r>
        <w:rPr>
          <w:rFonts w:eastAsia="Times New Roman"/>
          <w:color w:val="000000"/>
          <w:sz w:val="20"/>
          <w:szCs w:val="20"/>
        </w:rPr>
        <w:t>dges. Derivatives designated and qualifying as a hedge of the exposure to variability in expected future cash flows, or other types of forecasted transactions, are considered cash flow hedges. Hedge accounting generally provides for the matching of the tim</w:t>
      </w:r>
      <w:r>
        <w:rPr>
          <w:rFonts w:eastAsia="Times New Roman"/>
          <w:color w:val="000000"/>
          <w:sz w:val="20"/>
          <w:szCs w:val="20"/>
        </w:rPr>
        <w:t xml:space="preserve">ing of gain or loss recognition on the hedging instrument with the recognition of the changes in the fair value of the hedged asset or liability that are attributable to the hedged risk in a fair value hedge or the earnings effect of the hedged forecasted </w:t>
      </w:r>
      <w:r>
        <w:rPr>
          <w:rFonts w:eastAsia="Times New Roman"/>
          <w:color w:val="000000"/>
          <w:sz w:val="20"/>
          <w:szCs w:val="20"/>
        </w:rPr>
        <w:t>transactions in a cash flow hedge. The Company may enter into derivative contracts that are intended to economically hedge a certain portion of its risk, even though hedge accounting does not apply or the Company elects not to apply the hedge accounting st</w:t>
      </w:r>
      <w:r>
        <w:rPr>
          <w:rFonts w:eastAsia="Times New Roman"/>
          <w:color w:val="000000"/>
          <w:sz w:val="20"/>
          <w:szCs w:val="20"/>
        </w:rPr>
        <w:t xml:space="preserve">andards. </w:t>
      </w:r>
    </w:p>
    <w:p w:rsidR="00000000" w:rsidRDefault="00905244">
      <w:pPr>
        <w:jc w:val="both"/>
        <w:rPr>
          <w:rFonts w:eastAsia="Times New Roman"/>
        </w:rPr>
      </w:pPr>
    </w:p>
    <w:p w:rsidR="00000000" w:rsidRDefault="00905244">
      <w:pPr>
        <w:jc w:val="both"/>
        <w:rPr>
          <w:rFonts w:eastAsia="Times New Roman"/>
        </w:rPr>
      </w:pPr>
      <w:r>
        <w:rPr>
          <w:rFonts w:eastAsia="Times New Roman"/>
          <w:b/>
          <w:bCs/>
          <w:i/>
          <w:iCs/>
          <w:color w:val="000000"/>
          <w:sz w:val="20"/>
          <w:szCs w:val="20"/>
        </w:rPr>
        <w:t>Inventories</w:t>
      </w:r>
    </w:p>
    <w:p w:rsidR="00000000" w:rsidRDefault="00905244">
      <w:pPr>
        <w:divId w:val="1386490881"/>
        <w:rPr>
          <w:rFonts w:eastAsia="Times New Roman"/>
        </w:rPr>
      </w:pPr>
    </w:p>
    <w:p w:rsidR="00000000" w:rsidRDefault="00905244">
      <w:pPr>
        <w:jc w:val="both"/>
        <w:rPr>
          <w:rFonts w:eastAsia="Times New Roman"/>
        </w:rPr>
      </w:pPr>
      <w:r>
        <w:rPr>
          <w:rFonts w:eastAsia="Times New Roman"/>
          <w:color w:val="000000"/>
          <w:sz w:val="20"/>
          <w:szCs w:val="20"/>
        </w:rPr>
        <w:t>Inventories are stated at the lower of cost, as determined by the average cost method, or net realizable value.  Inventory cost consists of the direct cost of merchandise including freight, duties, and tariffs.  Inventories are ne</w:t>
      </w:r>
      <w:r>
        <w:rPr>
          <w:rFonts w:eastAsia="Times New Roman"/>
          <w:color w:val="000000"/>
          <w:sz w:val="20"/>
          <w:szCs w:val="20"/>
        </w:rPr>
        <w:t>t of shrinkage, obsolescence, other valuations, and vendor allowances.</w:t>
      </w:r>
    </w:p>
    <w:p w:rsidR="00000000" w:rsidRDefault="00905244">
      <w:pPr>
        <w:jc w:val="both"/>
        <w:rPr>
          <w:rFonts w:eastAsia="Times New Roman"/>
        </w:rPr>
      </w:pPr>
    </w:p>
    <w:p w:rsidR="00000000" w:rsidRDefault="00905244">
      <w:pPr>
        <w:jc w:val="center"/>
        <w:divId w:val="883559089"/>
        <w:rPr>
          <w:rFonts w:eastAsia="Times New Roman"/>
        </w:rPr>
      </w:pPr>
      <w:r>
        <w:rPr>
          <w:rFonts w:eastAsia="Times New Roman"/>
          <w:color w:val="000000"/>
          <w:sz w:val="20"/>
          <w:szCs w:val="20"/>
        </w:rPr>
        <w:t>62</w:t>
      </w:r>
    </w:p>
    <w:p w:rsidR="00000000" w:rsidRDefault="00905244">
      <w:pPr>
        <w:rPr>
          <w:rFonts w:eastAsia="Times New Roman"/>
        </w:rPr>
      </w:pPr>
      <w:r>
        <w:rPr>
          <w:rFonts w:eastAsia="Times New Roman"/>
        </w:rPr>
        <w:pict>
          <v:rect id="_x0000_i1091" style="width:0;height:1.5pt" o:hralign="center" o:hrstd="t" o:hr="t" fillcolor="#a0a0a0" stroked="f"/>
        </w:pict>
      </w:r>
    </w:p>
    <w:p w:rsidR="00000000" w:rsidRDefault="00905244">
      <w:pPr>
        <w:divId w:val="1214079489"/>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b/>
          <w:bCs/>
          <w:i/>
          <w:iCs/>
          <w:color w:val="000000"/>
          <w:sz w:val="20"/>
          <w:szCs w:val="20"/>
        </w:rPr>
        <w:t>Property and Equipment</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Property and equipment are initially recorded at cost.  Depreciation is recorded using the straight-line method over the estimated useful lives of the assets.  Improvements to leased premises are amortized using the straight-line method over the remaining </w:t>
      </w:r>
      <w:r>
        <w:rPr>
          <w:rFonts w:eastAsia="Times New Roman"/>
          <w:color w:val="000000"/>
          <w:sz w:val="20"/>
          <w:szCs w:val="20"/>
        </w:rPr>
        <w:t>term of the lease or the useful life of the improvement, whichever is less. The following table summarizes the Company's property and equipment balances and includes the estimated useful lives which are generally applied (in thousands, except estimated use</w:t>
      </w:r>
      <w:r>
        <w:rPr>
          <w:rFonts w:eastAsia="Times New Roman"/>
          <w:color w:val="000000"/>
          <w:sz w:val="20"/>
          <w:szCs w:val="20"/>
        </w:rPr>
        <w:t>ful lives):</w:t>
      </w:r>
    </w:p>
    <w:tbl>
      <w:tblPr>
        <w:tblW w:w="5000" w:type="pct"/>
        <w:tblCellMar>
          <w:top w:w="15" w:type="dxa"/>
          <w:left w:w="15" w:type="dxa"/>
          <w:bottom w:w="15" w:type="dxa"/>
          <w:right w:w="15" w:type="dxa"/>
        </w:tblCellMar>
        <w:tblLook w:val="04A0" w:firstRow="1" w:lastRow="0" w:firstColumn="1" w:lastColumn="0" w:noHBand="0" w:noVBand="1"/>
      </w:tblPr>
      <w:tblGrid>
        <w:gridCol w:w="38"/>
        <w:gridCol w:w="4092"/>
        <w:gridCol w:w="36"/>
        <w:gridCol w:w="52"/>
        <w:gridCol w:w="1162"/>
        <w:gridCol w:w="36"/>
        <w:gridCol w:w="36"/>
        <w:gridCol w:w="36"/>
        <w:gridCol w:w="36"/>
        <w:gridCol w:w="120"/>
        <w:gridCol w:w="1181"/>
        <w:gridCol w:w="36"/>
        <w:gridCol w:w="36"/>
        <w:gridCol w:w="36"/>
        <w:gridCol w:w="36"/>
        <w:gridCol w:w="120"/>
        <w:gridCol w:w="1181"/>
        <w:gridCol w:w="36"/>
      </w:tblGrid>
      <w:tr w:rsidR="00000000">
        <w:trPr>
          <w:divId w:val="429815561"/>
        </w:trPr>
        <w:tc>
          <w:tcPr>
            <w:tcW w:w="50" w:type="pct"/>
            <w:vAlign w:val="center"/>
            <w:hideMark/>
          </w:tcPr>
          <w:p w:rsidR="00000000" w:rsidRDefault="00905244">
            <w:pPr>
              <w:jc w:val="both"/>
              <w:rPr>
                <w:rFonts w:eastAsia="Times New Roman"/>
              </w:rPr>
            </w:pPr>
          </w:p>
        </w:tc>
        <w:tc>
          <w:tcPr>
            <w:tcW w:w="249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74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1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74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1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74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429815561"/>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18"/>
                <w:szCs w:val="18"/>
              </w:rPr>
              <w:t>Estimated Useful Lives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December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December 28,</w:t>
            </w:r>
            <w:r>
              <w:rPr>
                <w:rFonts w:eastAsia="Times New Roman"/>
                <w:b/>
                <w:bCs/>
                <w:color w:val="000000"/>
                <w:sz w:val="20"/>
                <w:szCs w:val="20"/>
              </w:rPr>
              <w:br/>
              <w:t>2019</w:t>
            </w:r>
          </w:p>
        </w:tc>
      </w:tr>
      <w:tr w:rsidR="00000000">
        <w:trPr>
          <w:divId w:val="429815561"/>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Land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100,138 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100,343 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29815561"/>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Buildings and improvements</w:t>
            </w: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1 – 35 years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1,319,559 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1,242,544 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29815561"/>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Furniture, fixtures and equipment</w:t>
            </w:r>
          </w:p>
        </w:tc>
        <w:tc>
          <w:tcPr>
            <w:tcW w:w="0" w:type="auto"/>
            <w:gridSpan w:val="3"/>
            <w:shd w:val="clear" w:color="auto" w:fill="CCEEFF"/>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5 – 10 years</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773,178 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729,272 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29815561"/>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Computer software and hardware</w:t>
            </w: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2 – 7 years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563,509 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440,222 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29815561"/>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Construction in progress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73,950 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39,110 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29815561"/>
        </w:trPr>
        <w:tc>
          <w:tcPr>
            <w:tcW w:w="0" w:type="auto"/>
            <w:gridSpan w:val="3"/>
            <w:tcMar>
              <w:top w:w="30" w:type="dxa"/>
              <w:left w:w="140" w:type="dxa"/>
              <w:bottom w:w="30" w:type="dxa"/>
              <w:right w:w="20" w:type="dxa"/>
            </w:tcMar>
            <w:vAlign w:val="bottom"/>
            <w:hideMark/>
          </w:tcPr>
          <w:p w:rsidR="00000000" w:rsidRDefault="00905244">
            <w:pPr>
              <w:rPr>
                <w:rFonts w:eastAsia="Times New Roman"/>
              </w:rPr>
            </w:pPr>
            <w:r>
              <w:rPr>
                <w:rFonts w:eastAsia="Times New Roman"/>
                <w:color w:val="000000"/>
                <w:sz w:val="20"/>
                <w:szCs w:val="20"/>
              </w:rPr>
              <w:t>Property and equipment, gross</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2,830,334 </w:t>
            </w:r>
          </w:p>
        </w:tc>
        <w:tc>
          <w:tcPr>
            <w:tcW w:w="0" w:type="auto"/>
            <w:tcBorders>
              <w:top w:val="single" w:sz="8" w:space="0" w:color="000000"/>
            </w:tcBorders>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2,551,491 </w:t>
            </w:r>
          </w:p>
        </w:tc>
        <w:tc>
          <w:tcPr>
            <w:tcW w:w="0" w:type="auto"/>
            <w:tcBorders>
              <w:top w:val="single" w:sz="8" w:space="0" w:color="000000"/>
            </w:tcBorders>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29815561"/>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Accumulated 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(1,581,374)</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(1,387,535)</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29815561"/>
        </w:trPr>
        <w:tc>
          <w:tcPr>
            <w:tcW w:w="0" w:type="auto"/>
            <w:gridSpan w:val="3"/>
            <w:tcMar>
              <w:top w:w="30" w:type="dxa"/>
              <w:left w:w="140" w:type="dxa"/>
              <w:bottom w:w="30" w:type="dxa"/>
              <w:right w:w="20" w:type="dxa"/>
            </w:tcMar>
            <w:vAlign w:val="bottom"/>
            <w:hideMark/>
          </w:tcPr>
          <w:p w:rsidR="00000000" w:rsidRDefault="00905244">
            <w:pPr>
              <w:rPr>
                <w:rFonts w:eastAsia="Times New Roman"/>
              </w:rPr>
            </w:pPr>
            <w:r>
              <w:rPr>
                <w:rFonts w:eastAsia="Times New Roman"/>
                <w:color w:val="000000"/>
                <w:sz w:val="20"/>
                <w:szCs w:val="20"/>
              </w:rPr>
              <w:t>Property and equipment, net</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1,248,960 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1,163,956 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The Company entered into agreements with various governmental entities in the states of Kentucky, Georgia, and Tennessee to implement tax abatement plans related to its distribution center in Franklin, Kentucky (Simpson County), its distribution center in </w:t>
      </w:r>
      <w:r>
        <w:rPr>
          <w:rFonts w:eastAsia="Times New Roman"/>
          <w:color w:val="000000"/>
          <w:sz w:val="20"/>
          <w:szCs w:val="20"/>
        </w:rPr>
        <w:t>Macon, Georgia (Bibb County), and its Store Support Center in Brentwood, Tennessee (Williamson County).  The tax abatement plans provide for reduction of real property taxes for specified time frames by legally transferring title to its real property in ex</w:t>
      </w:r>
      <w:r>
        <w:rPr>
          <w:rFonts w:eastAsia="Times New Roman"/>
          <w:color w:val="000000"/>
          <w:sz w:val="20"/>
          <w:szCs w:val="20"/>
        </w:rPr>
        <w:t xml:space="preserve">change for industrial revenue bonds. This property was then leased back to the Company. No cash was exchanged.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lease payments are equal to the amount of the payments on the bonds.  The tax abatement period extends through the term of the lease, whic</w:t>
      </w:r>
      <w:r>
        <w:rPr>
          <w:rFonts w:eastAsia="Times New Roman"/>
          <w:color w:val="000000"/>
          <w:sz w:val="20"/>
          <w:szCs w:val="20"/>
        </w:rPr>
        <w:t>h coincides with the maturity date of the bonds. At any time, the Company has the option to purchase the real property by paying off the bonds, plus $1.  The terms and amounts authorized and drawn under each industrial revenue bond agreement are outlined a</w:t>
      </w:r>
      <w:r>
        <w:rPr>
          <w:rFonts w:eastAsia="Times New Roman"/>
          <w:color w:val="000000"/>
          <w:sz w:val="20"/>
          <w:szCs w:val="20"/>
        </w:rPr>
        <w:t>s follows, as of December 26, 2020:</w:t>
      </w:r>
    </w:p>
    <w:tbl>
      <w:tblPr>
        <w:tblW w:w="4978" w:type="pct"/>
        <w:tblCellMar>
          <w:top w:w="15" w:type="dxa"/>
          <w:left w:w="15" w:type="dxa"/>
          <w:bottom w:w="15" w:type="dxa"/>
          <w:right w:w="15" w:type="dxa"/>
        </w:tblCellMar>
        <w:tblLook w:val="04A0" w:firstRow="1" w:lastRow="0" w:firstColumn="1" w:lastColumn="0" w:noHBand="0" w:noVBand="1"/>
      </w:tblPr>
      <w:tblGrid>
        <w:gridCol w:w="57"/>
        <w:gridCol w:w="4001"/>
        <w:gridCol w:w="36"/>
        <w:gridCol w:w="36"/>
        <w:gridCol w:w="36"/>
        <w:gridCol w:w="36"/>
        <w:gridCol w:w="38"/>
        <w:gridCol w:w="1208"/>
        <w:gridCol w:w="36"/>
        <w:gridCol w:w="36"/>
        <w:gridCol w:w="36"/>
        <w:gridCol w:w="36"/>
        <w:gridCol w:w="57"/>
        <w:gridCol w:w="1191"/>
        <w:gridCol w:w="36"/>
        <w:gridCol w:w="36"/>
        <w:gridCol w:w="36"/>
        <w:gridCol w:w="36"/>
        <w:gridCol w:w="45"/>
        <w:gridCol w:w="1204"/>
        <w:gridCol w:w="36"/>
      </w:tblGrid>
      <w:tr w:rsidR="00000000">
        <w:trPr>
          <w:divId w:val="93092536"/>
        </w:trPr>
        <w:tc>
          <w:tcPr>
            <w:tcW w:w="50" w:type="pct"/>
            <w:vAlign w:val="center"/>
            <w:hideMark/>
          </w:tcPr>
          <w:p w:rsidR="00000000" w:rsidRDefault="00905244">
            <w:pPr>
              <w:jc w:val="both"/>
              <w:rPr>
                <w:rFonts w:eastAsia="Times New Roman"/>
              </w:rPr>
            </w:pPr>
          </w:p>
        </w:tc>
        <w:tc>
          <w:tcPr>
            <w:tcW w:w="2433"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74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74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74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93092536"/>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18"/>
                <w:szCs w:val="18"/>
              </w:rPr>
              <w:t>Bond Term</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18"/>
                <w:szCs w:val="18"/>
              </w:rPr>
              <w:t>Bond Authorized Amount</w:t>
            </w:r>
          </w:p>
          <w:p w:rsidR="00000000" w:rsidRDefault="00905244">
            <w:pPr>
              <w:jc w:val="center"/>
              <w:rPr>
                <w:rFonts w:eastAsia="Times New Roman"/>
              </w:rPr>
            </w:pPr>
            <w:r>
              <w:rPr>
                <w:rFonts w:eastAsia="Times New Roman"/>
                <w:b/>
                <w:bCs/>
                <w:color w:val="000000"/>
                <w:sz w:val="18"/>
                <w:szCs w:val="18"/>
              </w:rPr>
              <w:t>(in millions)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18"/>
                <w:szCs w:val="18"/>
              </w:rPr>
              <w:t>Amount Drawn</w:t>
            </w:r>
          </w:p>
          <w:p w:rsidR="00000000" w:rsidRDefault="00905244">
            <w:pPr>
              <w:jc w:val="center"/>
              <w:rPr>
                <w:rFonts w:eastAsia="Times New Roman"/>
              </w:rPr>
            </w:pPr>
            <w:r>
              <w:rPr>
                <w:rFonts w:eastAsia="Times New Roman"/>
                <w:b/>
                <w:bCs/>
                <w:color w:val="000000"/>
                <w:sz w:val="18"/>
                <w:szCs w:val="18"/>
              </w:rPr>
              <w:t>(in millions)</w:t>
            </w:r>
          </w:p>
        </w:tc>
      </w:tr>
      <w:tr w:rsidR="00000000">
        <w:trPr>
          <w:divId w:val="93092536"/>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Franklin, Kentucky Distribution Center</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30 years</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$54.0</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$51.8</w:t>
            </w:r>
          </w:p>
        </w:tc>
      </w:tr>
      <w:tr w:rsidR="00000000">
        <w:trPr>
          <w:divId w:val="93092536"/>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Macon, Georgia Distribution Center</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15 years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$58.0</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$56.1</w:t>
            </w:r>
          </w:p>
        </w:tc>
      </w:tr>
      <w:tr w:rsidR="00000000">
        <w:trPr>
          <w:divId w:val="93092536"/>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Brentwood, Tennessee Store Support Center</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10 years</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$78.0</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$75.3</w:t>
            </w:r>
          </w:p>
        </w:tc>
      </w:tr>
    </w:tbl>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Due to the form of these transactions, the Company has not recorded the bonds or the lease obligation associated with the sale lease-back transaction. The original cost of the Company’s property and equipment is recorded on the balance sheet and is being d</w:t>
      </w:r>
      <w:r>
        <w:rPr>
          <w:rFonts w:eastAsia="Times New Roman"/>
          <w:color w:val="000000"/>
          <w:sz w:val="20"/>
          <w:szCs w:val="20"/>
        </w:rPr>
        <w:t>epreciated over its estimated useful life.</w:t>
      </w:r>
    </w:p>
    <w:p w:rsidR="00000000" w:rsidRDefault="00905244">
      <w:pPr>
        <w:divId w:val="198130001"/>
        <w:rPr>
          <w:rFonts w:eastAsia="Times New Roman"/>
        </w:rPr>
      </w:pPr>
    </w:p>
    <w:p w:rsidR="00000000" w:rsidRDefault="00905244">
      <w:pPr>
        <w:jc w:val="both"/>
        <w:rPr>
          <w:rFonts w:eastAsia="Times New Roman"/>
        </w:rPr>
      </w:pPr>
      <w:r>
        <w:rPr>
          <w:rFonts w:eastAsia="Times New Roman"/>
          <w:b/>
          <w:bCs/>
          <w:i/>
          <w:iCs/>
          <w:color w:val="000000"/>
          <w:sz w:val="20"/>
          <w:szCs w:val="20"/>
        </w:rPr>
        <w:t>Capitalized Software Costs</w:t>
      </w:r>
    </w:p>
    <w:p w:rsidR="00000000" w:rsidRDefault="00905244">
      <w:pPr>
        <w:divId w:val="50345421"/>
        <w:rPr>
          <w:rFonts w:eastAsia="Times New Roman"/>
        </w:rPr>
      </w:pPr>
    </w:p>
    <w:p w:rsidR="00000000" w:rsidRDefault="00905244">
      <w:pPr>
        <w:jc w:val="both"/>
        <w:rPr>
          <w:rFonts w:eastAsia="Times New Roman"/>
        </w:rPr>
      </w:pPr>
      <w:r>
        <w:rPr>
          <w:rFonts w:eastAsia="Times New Roman"/>
          <w:color w:val="000000"/>
          <w:sz w:val="20"/>
          <w:szCs w:val="20"/>
        </w:rPr>
        <w:t>The Company capitalizes certain costs related to the acquisition and development of software and amortizes these costs using the straight-line method over the estimated useful life o</w:t>
      </w:r>
      <w:r>
        <w:rPr>
          <w:rFonts w:eastAsia="Times New Roman"/>
          <w:color w:val="000000"/>
          <w:sz w:val="20"/>
          <w:szCs w:val="20"/>
        </w:rPr>
        <w:t xml:space="preserve">f the software, which is two to seven years.  Computer software consists of software developed for internal-use and third-party software purchased for internal-use.  A subsequent addition, modification or upgrade to internal-use software is capitalized to </w:t>
      </w:r>
      <w:r>
        <w:rPr>
          <w:rFonts w:eastAsia="Times New Roman"/>
          <w:color w:val="000000"/>
          <w:sz w:val="20"/>
          <w:szCs w:val="20"/>
        </w:rPr>
        <w:t>the extent that it enhances the software’s functionality or extends its useful life.  These costs are included in property and equipment in the accompanying Consolidated Balance Sheets.  Certain software costs not meeting the criteria for capitalization ar</w:t>
      </w:r>
      <w:r>
        <w:rPr>
          <w:rFonts w:eastAsia="Times New Roman"/>
          <w:color w:val="000000"/>
          <w:sz w:val="20"/>
          <w:szCs w:val="20"/>
        </w:rPr>
        <w:t>e expensed as incurred.</w:t>
      </w:r>
    </w:p>
    <w:p w:rsidR="00000000" w:rsidRDefault="00905244">
      <w:pPr>
        <w:jc w:val="both"/>
        <w:rPr>
          <w:rFonts w:eastAsia="Times New Roman"/>
        </w:rPr>
      </w:pPr>
    </w:p>
    <w:p w:rsidR="00000000" w:rsidRDefault="00905244">
      <w:pPr>
        <w:jc w:val="both"/>
        <w:rPr>
          <w:rFonts w:eastAsia="Times New Roman"/>
        </w:rPr>
      </w:pPr>
      <w:r>
        <w:rPr>
          <w:rFonts w:eastAsia="Times New Roman"/>
          <w:b/>
          <w:bCs/>
          <w:i/>
          <w:iCs/>
          <w:color w:val="000000"/>
          <w:sz w:val="20"/>
          <w:szCs w:val="20"/>
        </w:rPr>
        <w:t>Store Closing Costs</w:t>
      </w:r>
    </w:p>
    <w:p w:rsidR="00000000" w:rsidRDefault="00905244">
      <w:pPr>
        <w:divId w:val="160124296"/>
        <w:rPr>
          <w:rFonts w:eastAsia="Times New Roman"/>
        </w:rPr>
      </w:pPr>
    </w:p>
    <w:p w:rsidR="00000000" w:rsidRDefault="00905244">
      <w:pPr>
        <w:jc w:val="both"/>
        <w:rPr>
          <w:rFonts w:eastAsia="Times New Roman"/>
        </w:rPr>
      </w:pPr>
      <w:r>
        <w:rPr>
          <w:rFonts w:eastAsia="Times New Roman"/>
          <w:color w:val="000000"/>
          <w:sz w:val="20"/>
          <w:szCs w:val="20"/>
        </w:rPr>
        <w:t xml:space="preserve">The Company regularly evaluates the performance of its stores and periodically closes those stores that are underperforming.  The Company records a liability for costs associated with an exit or disposal activity when the liability is incurred, usually in </w:t>
      </w:r>
      <w:r>
        <w:rPr>
          <w:rFonts w:eastAsia="Times New Roman"/>
          <w:color w:val="000000"/>
          <w:sz w:val="20"/>
          <w:szCs w:val="20"/>
        </w:rPr>
        <w:t>the period the store closes.  Store closing costs were not significant to the results of operations for any of the fiscal years presented.</w:t>
      </w:r>
    </w:p>
    <w:p w:rsidR="00000000" w:rsidRDefault="00905244">
      <w:pPr>
        <w:jc w:val="center"/>
        <w:divId w:val="129784320"/>
        <w:rPr>
          <w:rFonts w:eastAsia="Times New Roman"/>
        </w:rPr>
      </w:pPr>
      <w:r>
        <w:rPr>
          <w:rFonts w:eastAsia="Times New Roman"/>
          <w:color w:val="000000"/>
          <w:sz w:val="20"/>
          <w:szCs w:val="20"/>
        </w:rPr>
        <w:t>63</w:t>
      </w:r>
    </w:p>
    <w:p w:rsidR="00000000" w:rsidRDefault="00905244">
      <w:pPr>
        <w:rPr>
          <w:rFonts w:eastAsia="Times New Roman"/>
        </w:rPr>
      </w:pPr>
      <w:r>
        <w:rPr>
          <w:rFonts w:eastAsia="Times New Roman"/>
        </w:rPr>
        <w:pict>
          <v:rect id="_x0000_i1092" style="width:0;height:1.5pt" o:hralign="center" o:hrstd="t" o:hr="t" fillcolor="#a0a0a0" stroked="f"/>
        </w:pict>
      </w:r>
    </w:p>
    <w:p w:rsidR="00000000" w:rsidRDefault="00905244">
      <w:pPr>
        <w:divId w:val="652175517"/>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p>
    <w:p w:rsidR="00000000" w:rsidRDefault="00905244">
      <w:pPr>
        <w:jc w:val="both"/>
        <w:rPr>
          <w:rFonts w:eastAsia="Times New Roman"/>
        </w:rPr>
      </w:pPr>
      <w:r>
        <w:rPr>
          <w:rFonts w:eastAsia="Times New Roman"/>
          <w:b/>
          <w:bCs/>
          <w:i/>
          <w:iCs/>
          <w:color w:val="000000"/>
          <w:sz w:val="20"/>
          <w:szCs w:val="20"/>
        </w:rPr>
        <w:t>Leases</w:t>
      </w:r>
    </w:p>
    <w:p w:rsidR="00000000" w:rsidRDefault="00905244">
      <w:pPr>
        <w:divId w:val="989552509"/>
        <w:rPr>
          <w:rFonts w:eastAsia="Times New Roman"/>
        </w:rPr>
      </w:pPr>
    </w:p>
    <w:p w:rsidR="00000000" w:rsidRDefault="00905244">
      <w:pPr>
        <w:jc w:val="both"/>
        <w:rPr>
          <w:rFonts w:eastAsia="Times New Roman"/>
        </w:rPr>
      </w:pPr>
      <w:r>
        <w:rPr>
          <w:rFonts w:eastAsia="Times New Roman"/>
          <w:color w:val="212529"/>
          <w:sz w:val="20"/>
          <w:szCs w:val="20"/>
        </w:rPr>
        <w:t>Ope</w:t>
      </w:r>
      <w:r>
        <w:rPr>
          <w:rFonts w:eastAsia="Times New Roman"/>
          <w:color w:val="212529"/>
          <w:sz w:val="20"/>
          <w:szCs w:val="20"/>
        </w:rPr>
        <w:t>rating lease assets and liabilities are recognized at the lease commencement date. Operating lease liabilities represent the present value of lease payments not yet paid. Operating lease assets represent our right to use an underlying asset and are based u</w:t>
      </w:r>
      <w:r>
        <w:rPr>
          <w:rFonts w:eastAsia="Times New Roman"/>
          <w:color w:val="212529"/>
          <w:sz w:val="20"/>
          <w:szCs w:val="20"/>
        </w:rPr>
        <w:t>pon the operating lease liabilities adjusted for prepayments or accrued lease payments, initial direct costs, lease incentives, and impairment, if any, of operating lease assets. To determine the present value of lease payments not yet paid, we estimate in</w:t>
      </w:r>
      <w:r>
        <w:rPr>
          <w:rFonts w:eastAsia="Times New Roman"/>
          <w:color w:val="212529"/>
          <w:sz w:val="20"/>
          <w:szCs w:val="20"/>
        </w:rPr>
        <w:t xml:space="preserve">cremental borrowing rates corresponding to the reasonably certain lease term. </w:t>
      </w:r>
      <w:r>
        <w:rPr>
          <w:rFonts w:eastAsia="Times New Roman"/>
          <w:color w:val="000000"/>
          <w:sz w:val="20"/>
          <w:szCs w:val="20"/>
        </w:rPr>
        <w:t>As substantially all of our leases do not provide an implicit rate, we estimate our collateralized incremental borrowing rate based upon a Company specific credit rating and yiel</w:t>
      </w:r>
      <w:r>
        <w:rPr>
          <w:rFonts w:eastAsia="Times New Roman"/>
          <w:color w:val="000000"/>
          <w:sz w:val="20"/>
          <w:szCs w:val="20"/>
        </w:rPr>
        <w:t>d curve analysis at commencement or modification date in determining the present value of lease payments.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Assets under finance leases are amortized in accordance with the Company’s normal depreciation policy for owned assets or over the lease term, if sh</w:t>
      </w:r>
      <w:r>
        <w:rPr>
          <w:rFonts w:eastAsia="Times New Roman"/>
          <w:color w:val="000000"/>
          <w:sz w:val="20"/>
          <w:szCs w:val="20"/>
        </w:rPr>
        <w:t>orter, and the related charge to operations is included in depreciation expense in the Consolidated Statements of Income.</w:t>
      </w:r>
    </w:p>
    <w:p w:rsidR="00000000" w:rsidRDefault="00905244">
      <w:pPr>
        <w:divId w:val="1888756063"/>
        <w:rPr>
          <w:rFonts w:eastAsia="Times New Roman"/>
        </w:rPr>
      </w:pPr>
    </w:p>
    <w:p w:rsidR="00000000" w:rsidRDefault="00905244">
      <w:pPr>
        <w:jc w:val="both"/>
        <w:rPr>
          <w:rFonts w:eastAsia="Times New Roman"/>
        </w:rPr>
      </w:pPr>
      <w:r>
        <w:rPr>
          <w:rFonts w:eastAsia="Times New Roman"/>
          <w:b/>
          <w:bCs/>
          <w:color w:val="000000"/>
          <w:sz w:val="20"/>
          <w:szCs w:val="20"/>
        </w:rPr>
        <w:t>Note 2 – Share-Based Compensation:</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Share-based compensation includes stock options, restricted stock units, performance-based rest</w:t>
      </w:r>
      <w:r>
        <w:rPr>
          <w:rFonts w:eastAsia="Times New Roman"/>
          <w:color w:val="000000"/>
          <w:sz w:val="20"/>
          <w:szCs w:val="20"/>
        </w:rPr>
        <w:t>ricted share units, and certain transactions under the Company’s ESPP.  Share-based compensation expense is recognized based on the grant date fair value of all stock options, restricted stock units, and performance-based restricted share units. Share base</w:t>
      </w:r>
      <w:r>
        <w:rPr>
          <w:rFonts w:eastAsia="Times New Roman"/>
          <w:color w:val="000000"/>
          <w:sz w:val="20"/>
          <w:szCs w:val="20"/>
        </w:rPr>
        <w:t>d compensation expense is also recognized for the value of the 15% discount on shares purchased by employees as a part of the ESPP.  The discount under the ESPP represents the difference between the purchase date market value and the employee’s purchase pr</w:t>
      </w:r>
      <w:r>
        <w:rPr>
          <w:rFonts w:eastAsia="Times New Roman"/>
          <w:color w:val="000000"/>
          <w:sz w:val="20"/>
          <w:szCs w:val="20"/>
        </w:rPr>
        <w:t>ice.</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There were no significant modifications to the Company's share-based compensation plans since the adoption of the 2018 Omnibus Incentive Plan (the “2018 Plan”) on May 10, 2018, which replaced the 2009 Stock Incentive Plan. Following the adoption of </w:t>
      </w:r>
      <w:r>
        <w:rPr>
          <w:rFonts w:eastAsia="Times New Roman"/>
          <w:color w:val="000000"/>
          <w:sz w:val="20"/>
          <w:szCs w:val="20"/>
        </w:rPr>
        <w:t>the 2018 Plan, no further grants may be made under the 2009 Stock Incentive Plan.</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Under our share-based compensation plans, awards may be granted to officers, non-employee directors, other employees, and independent contractors. The per share exercise price of options granted shall not be less than the fair market value of the stock on </w:t>
      </w:r>
      <w:r>
        <w:rPr>
          <w:rFonts w:eastAsia="Times New Roman"/>
          <w:color w:val="000000"/>
          <w:sz w:val="20"/>
          <w:szCs w:val="20"/>
        </w:rPr>
        <w:t>the date of grant and such awards will expire no later than ten years from the date of grant. Vesting of awards commences at various anniversary dates following the dates of each grant and certain awards will vest only upon established performance conditio</w:t>
      </w:r>
      <w:r>
        <w:rPr>
          <w:rFonts w:eastAsia="Times New Roman"/>
          <w:color w:val="000000"/>
          <w:sz w:val="20"/>
          <w:szCs w:val="20"/>
        </w:rPr>
        <w:t>ns being met. At December 26, 2020, the Company had approximately 10.6 million shares available for future equity awards under the Company’s 2018 Plan.</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Share-based compensation expense, including changes in expense for modifications, if any, of awards, w</w:t>
      </w:r>
      <w:r>
        <w:rPr>
          <w:rFonts w:eastAsia="Times New Roman"/>
          <w:color w:val="000000"/>
          <w:sz w:val="20"/>
          <w:szCs w:val="20"/>
        </w:rPr>
        <w:t xml:space="preserve">as $37.3 million, $31.1 million, and $28.9 million for fiscal 2020, 2019, and 2018, respectively. </w:t>
      </w:r>
    </w:p>
    <w:p w:rsidR="00000000" w:rsidRDefault="00905244">
      <w:pPr>
        <w:divId w:val="1481732448"/>
        <w:rPr>
          <w:rFonts w:eastAsia="Times New Roman"/>
        </w:rPr>
      </w:pPr>
    </w:p>
    <w:p w:rsidR="00000000" w:rsidRDefault="00905244">
      <w:pPr>
        <w:jc w:val="both"/>
        <w:rPr>
          <w:rFonts w:eastAsia="Times New Roman"/>
        </w:rPr>
      </w:pPr>
      <w:r>
        <w:rPr>
          <w:rFonts w:eastAsia="Times New Roman"/>
          <w:i/>
          <w:iCs/>
          <w:color w:val="000000"/>
          <w:sz w:val="20"/>
          <w:szCs w:val="20"/>
        </w:rPr>
        <w:t>Stock Options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The fair value is separately estimated for each option grant.  The fair value of each option is recognized as compensation expense ratably </w:t>
      </w:r>
      <w:r>
        <w:rPr>
          <w:rFonts w:eastAsia="Times New Roman"/>
          <w:color w:val="000000"/>
          <w:sz w:val="20"/>
          <w:szCs w:val="20"/>
        </w:rPr>
        <w:t xml:space="preserve">over the vesting period.  The Company has estimated the fair value of all stock option awards as of the date of the grant by applying a </w:t>
      </w:r>
      <w:r>
        <w:rPr>
          <w:rFonts w:eastAsia="Times New Roman"/>
          <w:i/>
          <w:iCs/>
          <w:color w:val="000000"/>
          <w:sz w:val="20"/>
          <w:szCs w:val="20"/>
        </w:rPr>
        <w:t>Black-Scholes</w:t>
      </w:r>
      <w:r>
        <w:rPr>
          <w:rFonts w:eastAsia="Times New Roman"/>
          <w:color w:val="000000"/>
          <w:sz w:val="20"/>
          <w:szCs w:val="20"/>
        </w:rPr>
        <w:t xml:space="preserve"> pricing valuation model.  The application of this valuation model involves assumptions that are judgmental</w:t>
      </w:r>
      <w:r>
        <w:rPr>
          <w:rFonts w:eastAsia="Times New Roman"/>
          <w:color w:val="000000"/>
          <w:sz w:val="20"/>
          <w:szCs w:val="20"/>
        </w:rPr>
        <w:t xml:space="preserve"> and highly sensitive in the determination of compensation expense.  The ranges of key assumptions used in determining the fair value of options granted during fiscal 2020, 2019, and 2018, as well as a summary of the methodology applied to develop each ass</w:t>
      </w:r>
      <w:r>
        <w:rPr>
          <w:rFonts w:eastAsia="Times New Roman"/>
          <w:color w:val="000000"/>
          <w:sz w:val="20"/>
          <w:szCs w:val="20"/>
        </w:rPr>
        <w:t>umption, are as follows:</w:t>
      </w:r>
    </w:p>
    <w:tbl>
      <w:tblPr>
        <w:tblW w:w="4985" w:type="pct"/>
        <w:tblCellMar>
          <w:top w:w="15" w:type="dxa"/>
          <w:left w:w="15" w:type="dxa"/>
          <w:bottom w:w="15" w:type="dxa"/>
          <w:right w:w="15" w:type="dxa"/>
        </w:tblCellMar>
        <w:tblLook w:val="04A0" w:firstRow="1" w:lastRow="0" w:firstColumn="1" w:lastColumn="0" w:noHBand="0" w:noVBand="1"/>
      </w:tblPr>
      <w:tblGrid>
        <w:gridCol w:w="37"/>
        <w:gridCol w:w="4678"/>
        <w:gridCol w:w="36"/>
        <w:gridCol w:w="37"/>
        <w:gridCol w:w="984"/>
        <w:gridCol w:w="187"/>
        <w:gridCol w:w="36"/>
        <w:gridCol w:w="36"/>
        <w:gridCol w:w="36"/>
        <w:gridCol w:w="37"/>
        <w:gridCol w:w="829"/>
        <w:gridCol w:w="187"/>
        <w:gridCol w:w="36"/>
        <w:gridCol w:w="36"/>
        <w:gridCol w:w="36"/>
        <w:gridCol w:w="37"/>
        <w:gridCol w:w="829"/>
        <w:gridCol w:w="187"/>
      </w:tblGrid>
      <w:tr w:rsidR="00000000">
        <w:trPr>
          <w:divId w:val="674573042"/>
        </w:trPr>
        <w:tc>
          <w:tcPr>
            <w:tcW w:w="50" w:type="pct"/>
            <w:vAlign w:val="center"/>
            <w:hideMark/>
          </w:tcPr>
          <w:p w:rsidR="00000000" w:rsidRDefault="00905244">
            <w:pPr>
              <w:jc w:val="both"/>
              <w:rPr>
                <w:rFonts w:eastAsia="Times New Roman"/>
              </w:rPr>
            </w:pPr>
          </w:p>
        </w:tc>
        <w:tc>
          <w:tcPr>
            <w:tcW w:w="287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64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674573042"/>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w:t>
            </w:r>
          </w:p>
        </w:tc>
      </w:tr>
      <w:tr w:rsidR="00000000">
        <w:trPr>
          <w:divId w:val="674573042"/>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2018</w:t>
            </w:r>
          </w:p>
        </w:tc>
      </w:tr>
      <w:tr w:rsidR="00000000">
        <w:trPr>
          <w:divId w:val="674573042"/>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Expected price volatility</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26.7 - 30.0%</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26.4 - 27.6%</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26.4 - 27.0%</w:t>
            </w:r>
          </w:p>
        </w:tc>
      </w:tr>
      <w:tr w:rsidR="00000000">
        <w:trPr>
          <w:divId w:val="674573042"/>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Risk-free interest rate</w:t>
            </w: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0.2 - 1.3%</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1.6 - 2.5%</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2.5 - 3.0%</w:t>
            </w:r>
          </w:p>
        </w:tc>
      </w:tr>
      <w:tr w:rsidR="00000000">
        <w:trPr>
          <w:divId w:val="674573042"/>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Weighted average expected term (in years)</w:t>
            </w: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4.3</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4.5</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4.5</w:t>
            </w:r>
          </w:p>
        </w:tc>
      </w:tr>
      <w:tr w:rsidR="00000000">
        <w:trPr>
          <w:divId w:val="674573042"/>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Forfeiture rate</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7.0 </w:t>
            </w:r>
          </w:p>
        </w:tc>
        <w:tc>
          <w:tcPr>
            <w:tcW w:w="0" w:type="auto"/>
            <w:tcMar>
              <w:top w:w="30" w:type="dxa"/>
              <w:left w:w="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7.3 </w:t>
            </w:r>
          </w:p>
        </w:tc>
        <w:tc>
          <w:tcPr>
            <w:tcW w:w="0" w:type="auto"/>
            <w:tcMar>
              <w:top w:w="30" w:type="dxa"/>
              <w:left w:w="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7.3 </w:t>
            </w:r>
          </w:p>
        </w:tc>
        <w:tc>
          <w:tcPr>
            <w:tcW w:w="0" w:type="auto"/>
            <w:tcMar>
              <w:top w:w="30" w:type="dxa"/>
              <w:left w:w="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t>
            </w:r>
          </w:p>
        </w:tc>
      </w:tr>
      <w:tr w:rsidR="00000000">
        <w:trPr>
          <w:divId w:val="674573042"/>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Dividend yield</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t>
            </w:r>
          </w:p>
        </w:tc>
      </w:tr>
    </w:tbl>
    <w:p w:rsidR="00000000" w:rsidRDefault="00905244">
      <w:pPr>
        <w:divId w:val="179441643"/>
        <w:rPr>
          <w:rFonts w:eastAsia="Times New Roman"/>
        </w:rPr>
      </w:pPr>
    </w:p>
    <w:p w:rsidR="00000000" w:rsidRDefault="00905244">
      <w:pPr>
        <w:jc w:val="both"/>
        <w:rPr>
          <w:rFonts w:eastAsia="Times New Roman"/>
        </w:rPr>
      </w:pPr>
      <w:r>
        <w:rPr>
          <w:rFonts w:eastAsia="Times New Roman"/>
          <w:i/>
          <w:iCs/>
          <w:color w:val="000000"/>
          <w:sz w:val="20"/>
          <w:szCs w:val="20"/>
        </w:rPr>
        <w:t>Expected Price Volatility</w:t>
      </w:r>
      <w:r>
        <w:rPr>
          <w:rFonts w:eastAsia="Times New Roman"/>
          <w:color w:val="000000"/>
          <w:sz w:val="20"/>
          <w:szCs w:val="20"/>
        </w:rPr>
        <w:t xml:space="preserve"> — </w:t>
      </w:r>
      <w:r>
        <w:rPr>
          <w:rFonts w:eastAsia="Times New Roman"/>
          <w:color w:val="000000"/>
          <w:sz w:val="20"/>
          <w:szCs w:val="20"/>
        </w:rPr>
        <w:t>This is a measure of the amount by which a price has fluctuated or is expected to fluctuate. The Company applies a historical volatility rate. To calculate historical changes in market value, the Company uses daily market value changes from the date of gra</w:t>
      </w:r>
      <w:r>
        <w:rPr>
          <w:rFonts w:eastAsia="Times New Roman"/>
          <w:color w:val="000000"/>
          <w:sz w:val="20"/>
          <w:szCs w:val="20"/>
        </w:rPr>
        <w:t>nt over a past period generally representative of the expected life of the options to determine volatility.  The Company believes the use of historical price volatility provides an appropriate indicator of future volatility. An increase in the expected vol</w:t>
      </w:r>
      <w:r>
        <w:rPr>
          <w:rFonts w:eastAsia="Times New Roman"/>
          <w:color w:val="000000"/>
          <w:sz w:val="20"/>
          <w:szCs w:val="20"/>
        </w:rPr>
        <w:t>atility will increase compensation expense.</w:t>
      </w:r>
    </w:p>
    <w:p w:rsidR="00000000" w:rsidRDefault="00905244">
      <w:pPr>
        <w:jc w:val="center"/>
        <w:divId w:val="951282319"/>
        <w:rPr>
          <w:rFonts w:eastAsia="Times New Roman"/>
        </w:rPr>
      </w:pPr>
      <w:r>
        <w:rPr>
          <w:rFonts w:eastAsia="Times New Roman"/>
          <w:color w:val="000000"/>
          <w:sz w:val="20"/>
          <w:szCs w:val="20"/>
        </w:rPr>
        <w:t>64</w:t>
      </w:r>
    </w:p>
    <w:p w:rsidR="00000000" w:rsidRDefault="00905244">
      <w:pPr>
        <w:rPr>
          <w:rFonts w:eastAsia="Times New Roman"/>
        </w:rPr>
      </w:pPr>
      <w:r>
        <w:rPr>
          <w:rFonts w:eastAsia="Times New Roman"/>
        </w:rPr>
        <w:pict>
          <v:rect id="_x0000_i1093" style="width:0;height:1.5pt" o:hralign="center" o:hrstd="t" o:hr="t" fillcolor="#a0a0a0" stroked="f"/>
        </w:pict>
      </w:r>
    </w:p>
    <w:p w:rsidR="00000000" w:rsidRDefault="00905244">
      <w:pPr>
        <w:divId w:val="1836216936"/>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Risk-Free Interest Rate</w:t>
      </w:r>
      <w:r>
        <w:rPr>
          <w:rFonts w:eastAsia="Times New Roman"/>
          <w:color w:val="000000"/>
          <w:sz w:val="20"/>
          <w:szCs w:val="20"/>
        </w:rPr>
        <w:t xml:space="preserve"> — This is the U.S. Treasury Constant Maturity rate over a term equal to the expected term of the option. An increase in the risk-f</w:t>
      </w:r>
      <w:r>
        <w:rPr>
          <w:rFonts w:eastAsia="Times New Roman"/>
          <w:color w:val="000000"/>
          <w:sz w:val="20"/>
          <w:szCs w:val="20"/>
        </w:rPr>
        <w:t>ree interest rate will increase compensation expense.</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 xml:space="preserve">Weighted Average Expected Term </w:t>
      </w:r>
      <w:r>
        <w:rPr>
          <w:rFonts w:eastAsia="Times New Roman"/>
          <w:color w:val="000000"/>
          <w:sz w:val="20"/>
          <w:szCs w:val="20"/>
        </w:rPr>
        <w:t>— This is the period of time over which the options granted are expected to remain outstanding and is based on historical experience. Options granted generally have a ma</w:t>
      </w:r>
      <w:r>
        <w:rPr>
          <w:rFonts w:eastAsia="Times New Roman"/>
          <w:color w:val="000000"/>
          <w:sz w:val="20"/>
          <w:szCs w:val="20"/>
        </w:rPr>
        <w:t>ximum term of ten years. An increase in the expected term will increase compensation expense.</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 xml:space="preserve">Forfeiture Rate </w:t>
      </w:r>
      <w:r>
        <w:rPr>
          <w:rFonts w:eastAsia="Times New Roman"/>
          <w:color w:val="000000"/>
          <w:sz w:val="20"/>
          <w:szCs w:val="20"/>
        </w:rPr>
        <w:t xml:space="preserve">— This is the estimated percentage of options granted that are expected to be forfeited or canceled before becoming fully vested. This estimate </w:t>
      </w:r>
      <w:r>
        <w:rPr>
          <w:rFonts w:eastAsia="Times New Roman"/>
          <w:color w:val="000000"/>
          <w:sz w:val="20"/>
          <w:szCs w:val="20"/>
        </w:rPr>
        <w:t>is based on historical experience. An increase in the forfeiture rate will decrease compensation expense.</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Dividend Yield</w:t>
      </w:r>
      <w:r>
        <w:rPr>
          <w:rFonts w:eastAsia="Times New Roman"/>
          <w:color w:val="000000"/>
          <w:sz w:val="20"/>
          <w:szCs w:val="20"/>
        </w:rPr>
        <w:t xml:space="preserve"> — This is the estimated dividend yield for the weighted average expected term of the option granted. An increase in the dividend yiel</w:t>
      </w:r>
      <w:r>
        <w:rPr>
          <w:rFonts w:eastAsia="Times New Roman"/>
          <w:color w:val="000000"/>
          <w:sz w:val="20"/>
          <w:szCs w:val="20"/>
        </w:rPr>
        <w:t>d will decrease compensation expense.</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Company issues shares for options when exercised. A summary of stock option activity is as follows:</w:t>
      </w:r>
    </w:p>
    <w:tbl>
      <w:tblPr>
        <w:tblW w:w="4985" w:type="pct"/>
        <w:tblCellMar>
          <w:top w:w="15" w:type="dxa"/>
          <w:left w:w="15" w:type="dxa"/>
          <w:bottom w:w="15" w:type="dxa"/>
          <w:right w:w="15" w:type="dxa"/>
        </w:tblCellMar>
        <w:tblLook w:val="04A0" w:firstRow="1" w:lastRow="0" w:firstColumn="1" w:lastColumn="0" w:noHBand="0" w:noVBand="1"/>
      </w:tblPr>
      <w:tblGrid>
        <w:gridCol w:w="38"/>
        <w:gridCol w:w="2676"/>
        <w:gridCol w:w="37"/>
        <w:gridCol w:w="36"/>
        <w:gridCol w:w="36"/>
        <w:gridCol w:w="36"/>
        <w:gridCol w:w="86"/>
        <w:gridCol w:w="868"/>
        <w:gridCol w:w="36"/>
        <w:gridCol w:w="36"/>
        <w:gridCol w:w="36"/>
        <w:gridCol w:w="36"/>
        <w:gridCol w:w="121"/>
        <w:gridCol w:w="778"/>
        <w:gridCol w:w="36"/>
        <w:gridCol w:w="36"/>
        <w:gridCol w:w="36"/>
        <w:gridCol w:w="36"/>
        <w:gridCol w:w="121"/>
        <w:gridCol w:w="779"/>
        <w:gridCol w:w="36"/>
        <w:gridCol w:w="36"/>
        <w:gridCol w:w="36"/>
        <w:gridCol w:w="36"/>
        <w:gridCol w:w="96"/>
        <w:gridCol w:w="969"/>
        <w:gridCol w:w="36"/>
        <w:gridCol w:w="36"/>
        <w:gridCol w:w="36"/>
        <w:gridCol w:w="36"/>
        <w:gridCol w:w="121"/>
        <w:gridCol w:w="871"/>
        <w:gridCol w:w="36"/>
      </w:tblGrid>
      <w:tr w:rsidR="00000000">
        <w:trPr>
          <w:divId w:val="1232689746"/>
        </w:trPr>
        <w:tc>
          <w:tcPr>
            <w:tcW w:w="50" w:type="pct"/>
            <w:vAlign w:val="center"/>
            <w:hideMark/>
          </w:tcPr>
          <w:p w:rsidR="00000000" w:rsidRDefault="00905244">
            <w:pPr>
              <w:jc w:val="both"/>
              <w:rPr>
                <w:rFonts w:eastAsia="Times New Roman"/>
              </w:rPr>
            </w:pPr>
          </w:p>
        </w:tc>
        <w:tc>
          <w:tcPr>
            <w:tcW w:w="185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0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0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0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0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232689746"/>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Stock Option Activity</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Options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Weighted</w:t>
            </w:r>
          </w:p>
          <w:p w:rsidR="00000000" w:rsidRDefault="00905244">
            <w:pPr>
              <w:jc w:val="center"/>
              <w:rPr>
                <w:rFonts w:eastAsia="Times New Roman"/>
              </w:rPr>
            </w:pPr>
            <w:r>
              <w:rPr>
                <w:rFonts w:eastAsia="Times New Roman"/>
                <w:b/>
                <w:bCs/>
                <w:color w:val="000000"/>
                <w:sz w:val="20"/>
                <w:szCs w:val="20"/>
              </w:rPr>
              <w:t>Average Exercise</w:t>
            </w:r>
          </w:p>
          <w:p w:rsidR="00000000" w:rsidRDefault="00905244">
            <w:pPr>
              <w:jc w:val="center"/>
              <w:rPr>
                <w:rFonts w:eastAsia="Times New Roman"/>
              </w:rPr>
            </w:pPr>
            <w:r>
              <w:rPr>
                <w:rFonts w:eastAsia="Times New Roman"/>
                <w:b/>
                <w:bCs/>
                <w:color w:val="000000"/>
                <w:sz w:val="20"/>
                <w:szCs w:val="20"/>
              </w:rPr>
              <w:t>Price</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Weighted Average Fair Value</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Weighted Average</w:t>
            </w:r>
          </w:p>
          <w:p w:rsidR="00000000" w:rsidRDefault="00905244">
            <w:pPr>
              <w:jc w:val="center"/>
              <w:rPr>
                <w:rFonts w:eastAsia="Times New Roman"/>
              </w:rPr>
            </w:pPr>
            <w:r>
              <w:rPr>
                <w:rFonts w:eastAsia="Times New Roman"/>
                <w:b/>
                <w:bCs/>
                <w:color w:val="000000"/>
                <w:sz w:val="20"/>
                <w:szCs w:val="20"/>
              </w:rPr>
              <w:t>Remaining</w:t>
            </w:r>
          </w:p>
          <w:p w:rsidR="00000000" w:rsidRDefault="00905244">
            <w:pPr>
              <w:jc w:val="center"/>
              <w:rPr>
                <w:rFonts w:eastAsia="Times New Roman"/>
              </w:rPr>
            </w:pPr>
            <w:r>
              <w:rPr>
                <w:rFonts w:eastAsia="Times New Roman"/>
                <w:b/>
                <w:bCs/>
                <w:color w:val="000000"/>
                <w:sz w:val="20"/>
                <w:szCs w:val="20"/>
              </w:rPr>
              <w:t>Contractual Term</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Aggregate Intrinsic Value</w:t>
            </w:r>
          </w:p>
          <w:p w:rsidR="00000000" w:rsidRDefault="00905244">
            <w:pPr>
              <w:jc w:val="center"/>
              <w:rPr>
                <w:rFonts w:eastAsia="Times New Roman"/>
              </w:rPr>
            </w:pPr>
            <w:r>
              <w:rPr>
                <w:rFonts w:eastAsia="Times New Roman"/>
                <w:b/>
                <w:bCs/>
                <w:color w:val="000000"/>
                <w:sz w:val="20"/>
                <w:szCs w:val="20"/>
              </w:rPr>
              <w:t>(</w:t>
            </w:r>
            <w:r>
              <w:rPr>
                <w:rFonts w:eastAsia="Times New Roman"/>
                <w:b/>
                <w:bCs/>
                <w:i/>
                <w:iCs/>
                <w:color w:val="000000"/>
                <w:sz w:val="20"/>
                <w:szCs w:val="20"/>
              </w:rPr>
              <w:t>in thousands)</w:t>
            </w:r>
          </w:p>
        </w:tc>
      </w:tr>
      <w:tr w:rsidR="00000000">
        <w:trPr>
          <w:divId w:val="1232689746"/>
        </w:trPr>
        <w:tc>
          <w:tcPr>
            <w:tcW w:w="0" w:type="auto"/>
            <w:gridSpan w:val="3"/>
            <w:vAlign w:val="center"/>
            <w:hideMark/>
          </w:tcPr>
          <w:p w:rsidR="00000000" w:rsidRDefault="00905244">
            <w:pPr>
              <w:jc w:val="center"/>
              <w:rPr>
                <w:rFonts w:eastAsia="Times New Roman"/>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232689746"/>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232689746"/>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232689746"/>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232689746"/>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232689746"/>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232689746"/>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232689746"/>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232689746"/>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232689746"/>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23268974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Outstanding at December 28, 2019</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2,817,519 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75.34 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6.8</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47,834 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232689746"/>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Granted</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443,967 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94.62 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19.97 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232689746"/>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Exercised</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(1,269,533)</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74.17 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232689746"/>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Canceled</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(59,543)</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78.93 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232689746"/>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Outstanding at December 26, 2020</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1,932,410 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80.44 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5.8</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128,411 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232689746"/>
          <w:trHeight w:val="280"/>
        </w:trPr>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232689746"/>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Exercisable at December 26, 2020</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tcBorders>
              <w:bottom w:val="double" w:sz="6"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1,199,968 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75.21 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4.1</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86,005 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aggregate intrinsic values in the table above represent the total difference between the Company’s closing stock price at each year-end and the o</w:t>
      </w:r>
      <w:r>
        <w:rPr>
          <w:rFonts w:eastAsia="Times New Roman"/>
          <w:color w:val="000000"/>
          <w:sz w:val="20"/>
          <w:szCs w:val="20"/>
        </w:rPr>
        <w:t>ption exercise price, multiplied by the number of in-the-money options at each year-end. As of December 26, 2020, total unrecognized compensation expense related to non-vested stock options was approximately $8.5 million with a weighted average expense rec</w:t>
      </w:r>
      <w:r>
        <w:rPr>
          <w:rFonts w:eastAsia="Times New Roman"/>
          <w:color w:val="000000"/>
          <w:sz w:val="20"/>
          <w:szCs w:val="20"/>
        </w:rPr>
        <w:t>ognition period of 1.8 years.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There were no material modifications to options in fiscal 2020, 2019, or 2018. </w:t>
      </w:r>
    </w:p>
    <w:p w:rsidR="00000000" w:rsidRDefault="00905244">
      <w:pPr>
        <w:jc w:val="both"/>
        <w:rPr>
          <w:rFonts w:eastAsia="Times New Roman"/>
        </w:rPr>
      </w:pPr>
    </w:p>
    <w:p w:rsidR="00000000" w:rsidRDefault="00905244">
      <w:pPr>
        <w:divId w:val="426855232"/>
        <w:rPr>
          <w:rFonts w:eastAsia="Times New Roman"/>
        </w:rPr>
      </w:pPr>
      <w:r>
        <w:rPr>
          <w:rFonts w:eastAsia="Times New Roman"/>
          <w:color w:val="000000"/>
          <w:sz w:val="20"/>
          <w:szCs w:val="20"/>
        </w:rPr>
        <w:t>Other information relative to options activity during fiscal 2020, 2019, and 2018 is as follows (in thousands):</w:t>
      </w:r>
    </w:p>
    <w:tbl>
      <w:tblPr>
        <w:tblW w:w="4978" w:type="pct"/>
        <w:tblCellMar>
          <w:top w:w="15" w:type="dxa"/>
          <w:left w:w="15" w:type="dxa"/>
          <w:bottom w:w="15" w:type="dxa"/>
          <w:right w:w="15" w:type="dxa"/>
        </w:tblCellMar>
        <w:tblLook w:val="04A0" w:firstRow="1" w:lastRow="0" w:firstColumn="1" w:lastColumn="0" w:noHBand="0" w:noVBand="1"/>
      </w:tblPr>
      <w:tblGrid>
        <w:gridCol w:w="38"/>
        <w:gridCol w:w="4801"/>
        <w:gridCol w:w="37"/>
        <w:gridCol w:w="120"/>
        <w:gridCol w:w="929"/>
        <w:gridCol w:w="36"/>
        <w:gridCol w:w="36"/>
        <w:gridCol w:w="36"/>
        <w:gridCol w:w="36"/>
        <w:gridCol w:w="120"/>
        <w:gridCol w:w="890"/>
        <w:gridCol w:w="36"/>
        <w:gridCol w:w="36"/>
        <w:gridCol w:w="36"/>
        <w:gridCol w:w="36"/>
        <w:gridCol w:w="120"/>
        <w:gridCol w:w="890"/>
        <w:gridCol w:w="36"/>
      </w:tblGrid>
      <w:tr w:rsidR="00000000">
        <w:trPr>
          <w:divId w:val="1073309799"/>
        </w:trPr>
        <w:tc>
          <w:tcPr>
            <w:tcW w:w="50" w:type="pct"/>
            <w:vAlign w:val="center"/>
            <w:hideMark/>
          </w:tcPr>
          <w:p w:rsidR="00000000" w:rsidRDefault="00905244">
            <w:pPr>
              <w:rPr>
                <w:rFonts w:eastAsia="Times New Roman"/>
              </w:rPr>
            </w:pPr>
          </w:p>
        </w:tc>
        <w:tc>
          <w:tcPr>
            <w:tcW w:w="2933"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073309799"/>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w:t>
            </w:r>
          </w:p>
        </w:tc>
      </w:tr>
      <w:tr w:rsidR="00000000">
        <w:trPr>
          <w:divId w:val="1073309799"/>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2018</w:t>
            </w:r>
          </w:p>
        </w:tc>
      </w:tr>
      <w:tr w:rsidR="00000000">
        <w:trPr>
          <w:divId w:val="1073309799"/>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 fair value of stock options vested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12,546 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16,060 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18,247 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073309799"/>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 intrinsic value of stock options exercised</w:t>
            </w: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64,395 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45,101 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43,476 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jc w:val="center"/>
        <w:divId w:val="1307272721"/>
        <w:rPr>
          <w:rFonts w:eastAsia="Times New Roman"/>
        </w:rPr>
      </w:pPr>
      <w:r>
        <w:rPr>
          <w:rFonts w:eastAsia="Times New Roman"/>
          <w:color w:val="000000"/>
          <w:sz w:val="20"/>
          <w:szCs w:val="20"/>
        </w:rPr>
        <w:t>65</w:t>
      </w:r>
    </w:p>
    <w:p w:rsidR="00000000" w:rsidRDefault="00905244">
      <w:pPr>
        <w:rPr>
          <w:rFonts w:eastAsia="Times New Roman"/>
        </w:rPr>
      </w:pPr>
      <w:r>
        <w:rPr>
          <w:rFonts w:eastAsia="Times New Roman"/>
        </w:rPr>
        <w:pict>
          <v:rect id="_x0000_i1094" style="width:0;height:1.5pt" o:hralign="center" o:hrstd="t" o:hr="t" fillcolor="#a0a0a0" stroked="f"/>
        </w:pict>
      </w:r>
    </w:p>
    <w:p w:rsidR="00000000" w:rsidRDefault="00905244">
      <w:pPr>
        <w:divId w:val="798112965"/>
        <w:rPr>
          <w:rFonts w:eastAsia="Times New Roman"/>
        </w:rPr>
      </w:pPr>
      <w:hyperlink w:anchor="i137f04c25e1e4da3b6d1f469d06f3319_7" w:history="1">
        <w:r>
          <w:rPr>
            <w:rStyle w:val="a3"/>
            <w:rFonts w:eastAsia="Times New Roman"/>
            <w:sz w:val="18"/>
            <w:szCs w:val="18"/>
          </w:rPr>
          <w:t>Index</w:t>
        </w:r>
      </w:hyperlink>
    </w:p>
    <w:p w:rsidR="00000000" w:rsidRDefault="00905244">
      <w:pPr>
        <w:divId w:val="111635829"/>
        <w:rPr>
          <w:rFonts w:eastAsia="Times New Roman"/>
        </w:rPr>
      </w:pPr>
    </w:p>
    <w:p w:rsidR="00000000" w:rsidRDefault="00905244">
      <w:pPr>
        <w:divId w:val="1503466981"/>
        <w:rPr>
          <w:rFonts w:eastAsia="Times New Roman"/>
        </w:rPr>
      </w:pPr>
      <w:r>
        <w:rPr>
          <w:rFonts w:eastAsia="Times New Roman"/>
          <w:i/>
          <w:iCs/>
          <w:color w:val="000000"/>
          <w:sz w:val="20"/>
          <w:szCs w:val="20"/>
        </w:rPr>
        <w:t>Restricted Stock Units</w:t>
      </w:r>
    </w:p>
    <w:p w:rsidR="00000000" w:rsidRDefault="00905244">
      <w:pPr>
        <w:divId w:val="11879542"/>
        <w:rPr>
          <w:rFonts w:eastAsia="Times New Roman"/>
        </w:rPr>
      </w:pPr>
    </w:p>
    <w:p w:rsidR="00000000" w:rsidRDefault="00905244">
      <w:pPr>
        <w:jc w:val="both"/>
        <w:rPr>
          <w:rFonts w:eastAsia="Times New Roman"/>
        </w:rPr>
      </w:pPr>
      <w:r>
        <w:rPr>
          <w:rFonts w:eastAsia="Times New Roman"/>
          <w:color w:val="000000"/>
          <w:sz w:val="20"/>
          <w:szCs w:val="20"/>
        </w:rPr>
        <w:t>The Company issues shares for restricted stock units once vesting occurs and related restrictions lapse.  The fair value of the restricted stock units is the closing price of the Company’s common stock the day preceding the grant date, discounted for the e</w:t>
      </w:r>
      <w:r>
        <w:rPr>
          <w:rFonts w:eastAsia="Times New Roman"/>
          <w:color w:val="000000"/>
          <w:sz w:val="20"/>
          <w:szCs w:val="20"/>
        </w:rPr>
        <w:t>xpected dividend yield over the term of the award. The units generally vest over a</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-year term; some plan participants have elected to defer receipt of shares of common stock upon vesting of restricted stock units, and as a result, those shares </w:t>
      </w:r>
      <w:r>
        <w:rPr>
          <w:rFonts w:eastAsia="Times New Roman"/>
          <w:color w:val="000000"/>
          <w:sz w:val="20"/>
          <w:szCs w:val="20"/>
        </w:rPr>
        <w:t>are not issued until a later date. A summary of restricted stock unit activity is presented below:</w:t>
      </w:r>
    </w:p>
    <w:tbl>
      <w:tblPr>
        <w:tblW w:w="4978" w:type="pct"/>
        <w:tblCellMar>
          <w:top w:w="15" w:type="dxa"/>
          <w:left w:w="15" w:type="dxa"/>
          <w:bottom w:w="15" w:type="dxa"/>
          <w:right w:w="15" w:type="dxa"/>
        </w:tblCellMar>
        <w:tblLook w:val="04A0" w:firstRow="1" w:lastRow="0" w:firstColumn="1" w:lastColumn="0" w:noHBand="0" w:noVBand="1"/>
      </w:tblPr>
      <w:tblGrid>
        <w:gridCol w:w="49"/>
        <w:gridCol w:w="4115"/>
        <w:gridCol w:w="36"/>
        <w:gridCol w:w="36"/>
        <w:gridCol w:w="36"/>
        <w:gridCol w:w="36"/>
        <w:gridCol w:w="39"/>
        <w:gridCol w:w="1816"/>
        <w:gridCol w:w="36"/>
        <w:gridCol w:w="36"/>
        <w:gridCol w:w="36"/>
        <w:gridCol w:w="36"/>
        <w:gridCol w:w="121"/>
        <w:gridCol w:w="1805"/>
        <w:gridCol w:w="36"/>
      </w:tblGrid>
      <w:tr w:rsidR="00000000">
        <w:trPr>
          <w:divId w:val="1821311356"/>
        </w:trPr>
        <w:tc>
          <w:tcPr>
            <w:tcW w:w="50" w:type="pct"/>
            <w:vAlign w:val="center"/>
            <w:hideMark/>
          </w:tcPr>
          <w:p w:rsidR="00000000" w:rsidRDefault="00905244">
            <w:pPr>
              <w:jc w:val="both"/>
              <w:rPr>
                <w:rFonts w:eastAsia="Times New Roman"/>
              </w:rPr>
            </w:pPr>
          </w:p>
        </w:tc>
        <w:tc>
          <w:tcPr>
            <w:tcW w:w="250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112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112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821311356"/>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Restricted Stock Unit Activity</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Restricted Stock Units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Weighted Average Grant Date Fair Value</w:t>
            </w:r>
          </w:p>
        </w:tc>
      </w:tr>
      <w:tr w:rsidR="00000000">
        <w:trPr>
          <w:divId w:val="1821311356"/>
        </w:trPr>
        <w:tc>
          <w:tcPr>
            <w:tcW w:w="0" w:type="auto"/>
            <w:gridSpan w:val="3"/>
            <w:vAlign w:val="center"/>
            <w:hideMark/>
          </w:tcPr>
          <w:p w:rsidR="00000000" w:rsidRDefault="00905244">
            <w:pPr>
              <w:jc w:val="center"/>
              <w:rPr>
                <w:rFonts w:eastAsia="Times New Roman"/>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821311356"/>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821311356"/>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821311356"/>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821311356"/>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821311356"/>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821311356"/>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821311356"/>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821311356"/>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821311356"/>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182131135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Restricted at December 28, 2019</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543,406 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73.55 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821311356"/>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Granted</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322,485 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96.41 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821311356"/>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Vested</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(238,987)</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75.05 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821311356"/>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Forfeited</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(31,259)</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80.90 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821311356"/>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Restricted at December 26, 2020</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595,645 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85.27 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divId w:val="1861316151"/>
        <w:rPr>
          <w:rFonts w:eastAsia="Times New Roman"/>
        </w:rPr>
      </w:pPr>
    </w:p>
    <w:p w:rsidR="00000000" w:rsidRDefault="00905244">
      <w:pPr>
        <w:divId w:val="1283880055"/>
        <w:rPr>
          <w:rFonts w:eastAsia="Times New Roman"/>
        </w:rPr>
      </w:pPr>
      <w:r>
        <w:rPr>
          <w:rFonts w:eastAsia="Times New Roman"/>
          <w:color w:val="000000"/>
          <w:sz w:val="20"/>
          <w:szCs w:val="20"/>
        </w:rPr>
        <w:t>Other information relative to restricted stock unit activity during fiscal 2020, 2019, and 2018 is as follows (in thousands):</w:t>
      </w:r>
    </w:p>
    <w:tbl>
      <w:tblPr>
        <w:tblW w:w="4985" w:type="pct"/>
        <w:tblCellMar>
          <w:top w:w="15" w:type="dxa"/>
          <w:left w:w="15" w:type="dxa"/>
          <w:bottom w:w="15" w:type="dxa"/>
          <w:right w:w="15" w:type="dxa"/>
        </w:tblCellMar>
        <w:tblLook w:val="04A0" w:firstRow="1" w:lastRow="0" w:firstColumn="1" w:lastColumn="0" w:noHBand="0" w:noVBand="1"/>
      </w:tblPr>
      <w:tblGrid>
        <w:gridCol w:w="37"/>
        <w:gridCol w:w="4814"/>
        <w:gridCol w:w="36"/>
        <w:gridCol w:w="120"/>
        <w:gridCol w:w="930"/>
        <w:gridCol w:w="36"/>
        <w:gridCol w:w="36"/>
        <w:gridCol w:w="36"/>
        <w:gridCol w:w="36"/>
        <w:gridCol w:w="120"/>
        <w:gridCol w:w="890"/>
        <w:gridCol w:w="36"/>
        <w:gridCol w:w="36"/>
        <w:gridCol w:w="36"/>
        <w:gridCol w:w="36"/>
        <w:gridCol w:w="120"/>
        <w:gridCol w:w="890"/>
        <w:gridCol w:w="36"/>
      </w:tblGrid>
      <w:tr w:rsidR="00000000">
        <w:trPr>
          <w:divId w:val="1462188654"/>
        </w:trPr>
        <w:tc>
          <w:tcPr>
            <w:tcW w:w="50" w:type="pct"/>
            <w:vAlign w:val="center"/>
            <w:hideMark/>
          </w:tcPr>
          <w:p w:rsidR="00000000" w:rsidRDefault="00905244">
            <w:pPr>
              <w:rPr>
                <w:rFonts w:eastAsia="Times New Roman"/>
              </w:rPr>
            </w:pPr>
          </w:p>
        </w:tc>
        <w:tc>
          <w:tcPr>
            <w:tcW w:w="293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462188654"/>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w:t>
            </w:r>
          </w:p>
        </w:tc>
      </w:tr>
      <w:tr w:rsidR="00000000">
        <w:trPr>
          <w:divId w:val="1462188654"/>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2018</w:t>
            </w:r>
          </w:p>
        </w:tc>
      </w:tr>
      <w:tr w:rsidR="00000000">
        <w:trPr>
          <w:divId w:val="1462188654"/>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 grant date fair value of restricted stock units vested and issued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17,935 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8,301 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5,325 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462188654"/>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 intrinsic value of restricted stock units vested and issued</w:t>
            </w: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23,011 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10,623 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5,364 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divId w:val="931428034"/>
        <w:rPr>
          <w:rFonts w:eastAsia="Times New Roman"/>
        </w:rPr>
      </w:pPr>
    </w:p>
    <w:p w:rsidR="00000000" w:rsidRDefault="00905244">
      <w:pPr>
        <w:jc w:val="both"/>
        <w:rPr>
          <w:rFonts w:eastAsia="Times New Roman"/>
        </w:rPr>
      </w:pPr>
      <w:r>
        <w:rPr>
          <w:rFonts w:eastAsia="Times New Roman"/>
          <w:color w:val="000000"/>
          <w:sz w:val="20"/>
          <w:szCs w:val="20"/>
        </w:rPr>
        <w:t xml:space="preserve">There were no material modifications to restricted stock units in fiscal 2020, 2019, or 2018. </w:t>
      </w:r>
    </w:p>
    <w:p w:rsidR="00000000" w:rsidRDefault="00905244">
      <w:pPr>
        <w:divId w:val="195697771"/>
        <w:rPr>
          <w:rFonts w:eastAsia="Times New Roman"/>
        </w:rPr>
      </w:pPr>
    </w:p>
    <w:p w:rsidR="00000000" w:rsidRDefault="00905244">
      <w:pPr>
        <w:jc w:val="both"/>
        <w:rPr>
          <w:rFonts w:eastAsia="Times New Roman"/>
        </w:rPr>
      </w:pPr>
      <w:r>
        <w:rPr>
          <w:rFonts w:eastAsia="Times New Roman"/>
          <w:color w:val="000000"/>
          <w:sz w:val="20"/>
          <w:szCs w:val="20"/>
        </w:rPr>
        <w:t>As of December </w:t>
      </w:r>
      <w:r>
        <w:rPr>
          <w:rFonts w:eastAsia="Times New Roman"/>
          <w:color w:val="000000"/>
          <w:sz w:val="20"/>
          <w:szCs w:val="20"/>
        </w:rPr>
        <w:t>26, 2020, total unrecognized compensation expense related to non-vested restricted stock units was approximately $28.2 million with a weighted average expense recognition period of 1.9 years.</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Performance-Based Restricted Share Units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 issue performanc</w:t>
      </w:r>
      <w:r>
        <w:rPr>
          <w:rFonts w:eastAsia="Times New Roman"/>
          <w:color w:val="000000"/>
          <w:sz w:val="20"/>
          <w:szCs w:val="20"/>
        </w:rPr>
        <w:t>e-based restricted share units to senior executives that represent shares potentially issuable in the future, subject to the achievement of specified performance goals.  The performance metrics for the units are growth in net sales and growth in earnings p</w:t>
      </w:r>
      <w:r>
        <w:rPr>
          <w:rFonts w:eastAsia="Times New Roman"/>
          <w:color w:val="000000"/>
          <w:sz w:val="20"/>
          <w:szCs w:val="20"/>
        </w:rPr>
        <w:t>er diluted share over a specified performance period. Issuance is based upon the level of achievement of the relative performance targets. The fair value of the performance-based restricted share units is the closing price of the Company’s common stock the</w:t>
      </w:r>
      <w:r>
        <w:rPr>
          <w:rFonts w:eastAsia="Times New Roman"/>
          <w:color w:val="000000"/>
          <w:sz w:val="20"/>
          <w:szCs w:val="20"/>
        </w:rPr>
        <w:t xml:space="preserve"> day preceding the grant date, discounted for the expected dividend yield over the term of the awards. A summary of performance-based restricted share unit activity is presented below:</w:t>
      </w:r>
    </w:p>
    <w:tbl>
      <w:tblPr>
        <w:tblW w:w="4963" w:type="pct"/>
        <w:jc w:val="center"/>
        <w:tblCellMar>
          <w:top w:w="15" w:type="dxa"/>
          <w:left w:w="15" w:type="dxa"/>
          <w:bottom w:w="15" w:type="dxa"/>
          <w:right w:w="15" w:type="dxa"/>
        </w:tblCellMar>
        <w:tblLook w:val="04A0" w:firstRow="1" w:lastRow="0" w:firstColumn="1" w:lastColumn="0" w:noHBand="0" w:noVBand="1"/>
      </w:tblPr>
      <w:tblGrid>
        <w:gridCol w:w="48"/>
        <w:gridCol w:w="4092"/>
        <w:gridCol w:w="36"/>
        <w:gridCol w:w="36"/>
        <w:gridCol w:w="36"/>
        <w:gridCol w:w="36"/>
        <w:gridCol w:w="52"/>
        <w:gridCol w:w="1802"/>
        <w:gridCol w:w="36"/>
        <w:gridCol w:w="36"/>
        <w:gridCol w:w="36"/>
        <w:gridCol w:w="36"/>
        <w:gridCol w:w="121"/>
        <w:gridCol w:w="1806"/>
        <w:gridCol w:w="36"/>
      </w:tblGrid>
      <w:tr w:rsidR="00000000">
        <w:trPr>
          <w:divId w:val="544830933"/>
          <w:jc w:val="center"/>
        </w:trPr>
        <w:tc>
          <w:tcPr>
            <w:tcW w:w="50" w:type="pct"/>
            <w:vAlign w:val="center"/>
            <w:hideMark/>
          </w:tcPr>
          <w:p w:rsidR="00000000" w:rsidRDefault="00905244">
            <w:pPr>
              <w:jc w:val="both"/>
              <w:rPr>
                <w:rFonts w:eastAsia="Times New Roman"/>
              </w:rPr>
            </w:pPr>
          </w:p>
        </w:tc>
        <w:tc>
          <w:tcPr>
            <w:tcW w:w="250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113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113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544830933"/>
          <w:jc w:val="center"/>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Performance-Based Restricted Share Unit Activity</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Performance-Based Restricted Share Units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Weighted Average Grant Date Fair Value</w:t>
            </w:r>
          </w:p>
        </w:tc>
      </w:tr>
      <w:tr w:rsidR="00000000">
        <w:trPr>
          <w:divId w:val="544830933"/>
          <w:jc w:val="center"/>
        </w:trPr>
        <w:tc>
          <w:tcPr>
            <w:tcW w:w="0" w:type="auto"/>
            <w:gridSpan w:val="3"/>
            <w:vAlign w:val="center"/>
            <w:hideMark/>
          </w:tcPr>
          <w:p w:rsidR="00000000" w:rsidRDefault="00905244">
            <w:pPr>
              <w:jc w:val="center"/>
              <w:rPr>
                <w:rFonts w:eastAsia="Times New Roman"/>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544830933"/>
          <w:jc w:val="center"/>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544830933"/>
          <w:jc w:val="center"/>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544830933"/>
          <w:jc w:val="center"/>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544830933"/>
          <w:jc w:val="center"/>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544830933"/>
          <w:jc w:val="center"/>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544830933"/>
          <w:jc w:val="center"/>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544830933"/>
          <w:jc w:val="center"/>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544830933"/>
          <w:jc w:val="center"/>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544830933"/>
          <w:jc w:val="center"/>
        </w:trPr>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544830933"/>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Restricted at December 28, 2019</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93,461 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75.97 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544830933"/>
          <w:jc w:val="center"/>
        </w:trPr>
        <w:tc>
          <w:tcPr>
            <w:tcW w:w="0" w:type="auto"/>
            <w:gridSpan w:val="3"/>
            <w:shd w:val="clear" w:color="auto" w:fill="FFFFFF"/>
            <w:tcMar>
              <w:top w:w="30" w:type="dxa"/>
              <w:left w:w="20" w:type="dxa"/>
              <w:bottom w:w="30" w:type="dxa"/>
              <w:right w:w="20" w:type="dxa"/>
            </w:tcMar>
            <w:vAlign w:val="bottom"/>
            <w:hideMark/>
          </w:tcPr>
          <w:p w:rsidR="00000000" w:rsidRDefault="00905244">
            <w:pPr>
              <w:divId w:val="1141772424"/>
              <w:rPr>
                <w:rFonts w:eastAsia="Times New Roman"/>
              </w:rPr>
            </w:pPr>
            <w:r>
              <w:rPr>
                <w:rFonts w:eastAsia="Times New Roman"/>
                <w:color w:val="000000"/>
                <w:sz w:val="20"/>
                <w:szCs w:val="20"/>
              </w:rPr>
              <w:t>Granted</w:t>
            </w:r>
            <w:r>
              <w:rPr>
                <w:rFonts w:eastAsia="Times New Roman"/>
                <w:color w:val="000000"/>
                <w:sz w:val="20"/>
                <w:szCs w:val="20"/>
              </w:rPr>
              <w:t xml:space="preserve"> </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83,368 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88.76 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544830933"/>
          <w:jc w:val="center"/>
        </w:trPr>
        <w:tc>
          <w:tcPr>
            <w:tcW w:w="0" w:type="auto"/>
            <w:gridSpan w:val="3"/>
            <w:vAlign w:val="center"/>
            <w:hideMark/>
          </w:tcPr>
          <w:p w:rsidR="00000000" w:rsidRDefault="00905244">
            <w:pPr>
              <w:jc w:val="right"/>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544830933"/>
          <w:jc w:val="center"/>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Vested</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(29,710)</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63.77 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544830933"/>
          <w:jc w:val="center"/>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Forfeited</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(3,851)</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74.91 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544830933"/>
          <w:jc w:val="center"/>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Restricted at December 26, 2020</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143,268 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87.94 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ind w:hanging="180"/>
        <w:jc w:val="both"/>
        <w:rPr>
          <w:rFonts w:eastAsia="Times New Roman"/>
        </w:rPr>
      </w:pPr>
      <w:r>
        <w:rPr>
          <w:rFonts w:eastAsia="Times New Roman"/>
          <w:color w:val="000000"/>
          <w:sz w:val="9"/>
          <w:szCs w:val="9"/>
        </w:rPr>
        <w:t>(a</w:t>
      </w:r>
      <w:r>
        <w:rPr>
          <w:rFonts w:eastAsia="Times New Roman"/>
          <w:color w:val="000000"/>
          <w:sz w:val="9"/>
          <w:szCs w:val="9"/>
        </w:rPr>
        <w:t>)</w:t>
      </w:r>
      <w:r>
        <w:rPr>
          <w:rFonts w:eastAsia="Times New Roman"/>
          <w:color w:val="000000"/>
          <w:sz w:val="14"/>
          <w:szCs w:val="14"/>
        </w:rPr>
        <w:t>Assumes 100% target level achievement of the relative performance targets. The actual number of shares that will be issued, which may be higher or lower than the target, will be determined by the level of achievement of the relative performance targets.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Other information relative to performance-based restricted stock unit activity during fiscal 2020 is as follows (in thousands):</w:t>
      </w:r>
    </w:p>
    <w:tbl>
      <w:tblPr>
        <w:tblW w:w="5000" w:type="pct"/>
        <w:tblCellMar>
          <w:top w:w="15" w:type="dxa"/>
          <w:left w:w="15" w:type="dxa"/>
          <w:bottom w:w="15" w:type="dxa"/>
          <w:right w:w="15" w:type="dxa"/>
        </w:tblCellMar>
        <w:tblLook w:val="04A0" w:firstRow="1" w:lastRow="0" w:firstColumn="1" w:lastColumn="0" w:noHBand="0" w:noVBand="1"/>
      </w:tblPr>
      <w:tblGrid>
        <w:gridCol w:w="37"/>
        <w:gridCol w:w="4839"/>
        <w:gridCol w:w="36"/>
        <w:gridCol w:w="120"/>
        <w:gridCol w:w="929"/>
        <w:gridCol w:w="36"/>
        <w:gridCol w:w="36"/>
        <w:gridCol w:w="36"/>
        <w:gridCol w:w="36"/>
        <w:gridCol w:w="120"/>
        <w:gridCol w:w="890"/>
        <w:gridCol w:w="36"/>
        <w:gridCol w:w="36"/>
        <w:gridCol w:w="36"/>
        <w:gridCol w:w="36"/>
        <w:gridCol w:w="121"/>
        <w:gridCol w:w="890"/>
        <w:gridCol w:w="36"/>
      </w:tblGrid>
      <w:tr w:rsidR="00000000">
        <w:trPr>
          <w:divId w:val="384455426"/>
        </w:trPr>
        <w:tc>
          <w:tcPr>
            <w:tcW w:w="50" w:type="pct"/>
            <w:vAlign w:val="center"/>
            <w:hideMark/>
          </w:tcPr>
          <w:p w:rsidR="00000000" w:rsidRDefault="00905244">
            <w:pPr>
              <w:jc w:val="both"/>
              <w:rPr>
                <w:rFonts w:eastAsia="Times New Roman"/>
              </w:rPr>
            </w:pPr>
          </w:p>
        </w:tc>
        <w:tc>
          <w:tcPr>
            <w:tcW w:w="294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8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8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8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384455426"/>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w:t>
            </w:r>
          </w:p>
        </w:tc>
      </w:tr>
      <w:tr w:rsidR="00000000">
        <w:trPr>
          <w:divId w:val="384455426"/>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2018</w:t>
            </w:r>
          </w:p>
        </w:tc>
      </w:tr>
      <w:tr w:rsidR="00000000">
        <w:trPr>
          <w:divId w:val="384455426"/>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 grant date fair value of performance-based restricted stock units vested and issued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1,895 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2,035 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384455426"/>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 intrinsic value of performance-based restricted stock units vested and issued</w:t>
            </w: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2,826 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2,666 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divId w:val="95175271"/>
        <w:rPr>
          <w:rFonts w:eastAsia="Times New Roman"/>
        </w:rPr>
      </w:pPr>
    </w:p>
    <w:p w:rsidR="00000000" w:rsidRDefault="00905244">
      <w:pPr>
        <w:jc w:val="center"/>
        <w:divId w:val="2105956675"/>
        <w:rPr>
          <w:rFonts w:eastAsia="Times New Roman"/>
        </w:rPr>
      </w:pPr>
      <w:r>
        <w:rPr>
          <w:rFonts w:eastAsia="Times New Roman"/>
          <w:color w:val="000000"/>
          <w:sz w:val="20"/>
          <w:szCs w:val="20"/>
        </w:rPr>
        <w:t>66</w:t>
      </w:r>
    </w:p>
    <w:p w:rsidR="00000000" w:rsidRDefault="00905244">
      <w:pPr>
        <w:rPr>
          <w:rFonts w:eastAsia="Times New Roman"/>
        </w:rPr>
      </w:pPr>
      <w:r>
        <w:rPr>
          <w:rFonts w:eastAsia="Times New Roman"/>
        </w:rPr>
        <w:pict>
          <v:rect id="_x0000_i1095" style="width:0;height:1.5pt" o:hralign="center" o:hrstd="t" o:hr="t" fillcolor="#a0a0a0" stroked="f"/>
        </w:pict>
      </w:r>
    </w:p>
    <w:p w:rsidR="00000000" w:rsidRDefault="00905244">
      <w:pPr>
        <w:divId w:val="1073771968"/>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 xml:space="preserve">There were no material modifications to performance-based restricted share units in fiscal 2020, 2019, or 2018.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As of December 26, 2020, total unrecogniz</w:t>
      </w:r>
      <w:r>
        <w:rPr>
          <w:rFonts w:eastAsia="Times New Roman"/>
          <w:color w:val="000000"/>
          <w:sz w:val="20"/>
          <w:szCs w:val="20"/>
        </w:rPr>
        <w:t>ed compensation expense related to non-vested performance-based restricted share units was approximately $8.5 million with a weighted average expense recognition period of 1.5 years.</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Shares Withheld to Satisfy Tax Withholding Requirements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For the major</w:t>
      </w:r>
      <w:r>
        <w:rPr>
          <w:rFonts w:eastAsia="Times New Roman"/>
          <w:color w:val="000000"/>
          <w:sz w:val="20"/>
          <w:szCs w:val="20"/>
        </w:rPr>
        <w:t>ity of restricted stock units and performance-based restricted share units granted, the number of shares issued on the date these stock awards vest is net of shares withheld by the Company to satisfy the minimum statutory tax withholding requirements, whic</w:t>
      </w:r>
      <w:r>
        <w:rPr>
          <w:rFonts w:eastAsia="Times New Roman"/>
          <w:color w:val="000000"/>
          <w:sz w:val="20"/>
          <w:szCs w:val="20"/>
        </w:rPr>
        <w:t>h the Company pays on behalf of its employees.  The Company issued 186,751, 103,124, and 53,714 shares as a result of vested restricted stock units and performance-based restricted share units during fiscal 2020, 2019, and 2018, respectively.  Although sha</w:t>
      </w:r>
      <w:r>
        <w:rPr>
          <w:rFonts w:eastAsia="Times New Roman"/>
          <w:color w:val="000000"/>
          <w:sz w:val="20"/>
          <w:szCs w:val="20"/>
        </w:rPr>
        <w:t>res withheld are not issued, they are treated similar to common stock repurchases as they reduce the number of shares that would have been issued upon vesting.  The amounts are net of 81,946, 41,786, and 17,131 shares withheld to satisfy $7.8 million, $3.8</w:t>
      </w:r>
      <w:r>
        <w:rPr>
          <w:rFonts w:eastAsia="Times New Roman"/>
          <w:color w:val="000000"/>
          <w:sz w:val="20"/>
          <w:szCs w:val="20"/>
        </w:rPr>
        <w:t> million, and $1.4 million of employees’ tax obligations during fiscal 2020, 2019, and 2018, respectively.</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Employee Stock Purchase Plan</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The ESPP provides Company employees the opportunity to purchase, through payroll deductions, shares of common stock </w:t>
      </w:r>
      <w:r>
        <w:rPr>
          <w:rFonts w:eastAsia="Times New Roman"/>
          <w:color w:val="000000"/>
          <w:sz w:val="20"/>
          <w:szCs w:val="20"/>
        </w:rPr>
        <w:t>at a 15% discount.  Pursuant to the terms of the ESPP, the Company issued 63,704, 61,678, and 77,458 shares of common stock during fiscal 2020, 2019, and 2018, respectively.  The total cost related to the ESPP, including the compensation expense calculatio</w:t>
      </w:r>
      <w:r>
        <w:rPr>
          <w:rFonts w:eastAsia="Times New Roman"/>
          <w:color w:val="000000"/>
          <w:sz w:val="20"/>
          <w:szCs w:val="20"/>
        </w:rPr>
        <w:t>ns, was approximately $1.4 million, $1.1 million, and $1.1 million in fiscal 2020, 2019, and 2018, respectively.  There is a maximum of 16.0 million shares of common stock that are reserved under the ESPP. At December 26, 2020, there were approximately 11.</w:t>
      </w:r>
      <w:r>
        <w:rPr>
          <w:rFonts w:eastAsia="Times New Roman"/>
          <w:color w:val="000000"/>
          <w:sz w:val="20"/>
          <w:szCs w:val="20"/>
        </w:rPr>
        <w:t>8 million remaining shares of common stock reserved for future issuance under the ESPP.</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Note 3 – Goodwill and Other Intangible Assets:</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Goodwill</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changes in the carrying amount of goodwill by reporting unit for the years ended December 26, 2020 and December 28, 2019 are as follows (in thousands):</w:t>
      </w:r>
    </w:p>
    <w:p w:rsidR="00000000" w:rsidRDefault="00905244">
      <w:pPr>
        <w:jc w:val="both"/>
        <w:rPr>
          <w:rFonts w:eastAsia="Times New Roman"/>
        </w:rPr>
      </w:pPr>
    </w:p>
    <w:tbl>
      <w:tblPr>
        <w:tblW w:w="4839" w:type="pct"/>
        <w:tblCellMar>
          <w:top w:w="15" w:type="dxa"/>
          <w:left w:w="15" w:type="dxa"/>
          <w:bottom w:w="15" w:type="dxa"/>
          <w:right w:w="15" w:type="dxa"/>
        </w:tblCellMar>
        <w:tblLook w:val="04A0" w:firstRow="1" w:lastRow="0" w:firstColumn="1" w:lastColumn="0" w:noHBand="0" w:noVBand="1"/>
      </w:tblPr>
      <w:tblGrid>
        <w:gridCol w:w="40"/>
        <w:gridCol w:w="1639"/>
        <w:gridCol w:w="37"/>
        <w:gridCol w:w="120"/>
        <w:gridCol w:w="649"/>
        <w:gridCol w:w="36"/>
        <w:gridCol w:w="36"/>
        <w:gridCol w:w="36"/>
        <w:gridCol w:w="36"/>
        <w:gridCol w:w="121"/>
        <w:gridCol w:w="686"/>
        <w:gridCol w:w="36"/>
        <w:gridCol w:w="36"/>
        <w:gridCol w:w="36"/>
        <w:gridCol w:w="36"/>
        <w:gridCol w:w="121"/>
        <w:gridCol w:w="1067"/>
        <w:gridCol w:w="36"/>
        <w:gridCol w:w="36"/>
        <w:gridCol w:w="36"/>
        <w:gridCol w:w="36"/>
        <w:gridCol w:w="120"/>
        <w:gridCol w:w="616"/>
        <w:gridCol w:w="36"/>
        <w:gridCol w:w="36"/>
        <w:gridCol w:w="36"/>
        <w:gridCol w:w="36"/>
        <w:gridCol w:w="121"/>
        <w:gridCol w:w="686"/>
        <w:gridCol w:w="36"/>
        <w:gridCol w:w="36"/>
        <w:gridCol w:w="36"/>
        <w:gridCol w:w="36"/>
        <w:gridCol w:w="121"/>
        <w:gridCol w:w="1067"/>
        <w:gridCol w:w="36"/>
        <w:gridCol w:w="36"/>
        <w:gridCol w:w="36"/>
      </w:tblGrid>
      <w:tr w:rsidR="00000000">
        <w:trPr>
          <w:divId w:val="101268253"/>
        </w:trPr>
        <w:tc>
          <w:tcPr>
            <w:tcW w:w="50" w:type="pct"/>
            <w:vAlign w:val="center"/>
            <w:hideMark/>
          </w:tcPr>
          <w:p w:rsidR="00000000" w:rsidRDefault="00905244">
            <w:pPr>
              <w:jc w:val="both"/>
              <w:rPr>
                <w:rFonts w:eastAsia="Times New Roman"/>
              </w:rPr>
            </w:pPr>
          </w:p>
        </w:tc>
        <w:tc>
          <w:tcPr>
            <w:tcW w:w="117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9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9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60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103"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9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9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60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101268253"/>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 2020</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 2019</w:t>
            </w:r>
          </w:p>
        </w:tc>
        <w:tc>
          <w:tcPr>
            <w:tcW w:w="0" w:type="auto"/>
            <w:vAlign w:val="center"/>
            <w:hideMark/>
          </w:tcPr>
          <w:p w:rsidR="00000000" w:rsidRDefault="00905244">
            <w:pPr>
              <w:jc w:val="center"/>
              <w:rPr>
                <w:rFonts w:eastAsia="Times New Roman"/>
              </w:rPr>
            </w:pPr>
          </w:p>
        </w:tc>
        <w:tc>
          <w:tcPr>
            <w:tcW w:w="0" w:type="auto"/>
            <w:vAlign w:val="center"/>
            <w:hideMark/>
          </w:tcPr>
          <w:p w:rsidR="00000000" w:rsidRDefault="00905244">
            <w:pPr>
              <w:rPr>
                <w:rFonts w:eastAsia="Times New Roman"/>
                <w:sz w:val="20"/>
                <w:szCs w:val="20"/>
              </w:rPr>
            </w:pPr>
          </w:p>
        </w:tc>
      </w:tr>
      <w:tr w:rsidR="00000000">
        <w:trPr>
          <w:divId w:val="101268253"/>
        </w:trPr>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Tractor Supply</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Petsense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Consolidated</w:t>
            </w:r>
          </w:p>
        </w:tc>
        <w:tc>
          <w:tcPr>
            <w:tcW w:w="0" w:type="auto"/>
            <w:gridSpan w:val="3"/>
            <w:shd w:val="clear" w:color="auto" w:fill="FFFF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Tractor Supply</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Petsense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Consolidated</w:t>
            </w:r>
          </w:p>
        </w:tc>
        <w:tc>
          <w:tcPr>
            <w:tcW w:w="0" w:type="auto"/>
            <w:vAlign w:val="center"/>
            <w:hideMark/>
          </w:tcPr>
          <w:p w:rsidR="00000000" w:rsidRDefault="00905244">
            <w:pPr>
              <w:jc w:val="center"/>
              <w:rPr>
                <w:rFonts w:eastAsia="Times New Roman"/>
              </w:rPr>
            </w:pPr>
          </w:p>
        </w:tc>
        <w:tc>
          <w:tcPr>
            <w:tcW w:w="0" w:type="auto"/>
            <w:vAlign w:val="center"/>
            <w:hideMark/>
          </w:tcPr>
          <w:p w:rsidR="00000000" w:rsidRDefault="00905244">
            <w:pPr>
              <w:rPr>
                <w:rFonts w:eastAsia="Times New Roman"/>
                <w:sz w:val="20"/>
                <w:szCs w:val="20"/>
              </w:rPr>
            </w:pPr>
          </w:p>
        </w:tc>
      </w:tr>
      <w:tr w:rsidR="00000000">
        <w:trPr>
          <w:divId w:val="101268253"/>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Balance, beginning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10,258 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82,934 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93,192 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10,258 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82,934 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93,192 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101268253"/>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Impairment expense</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(60,773)</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(60,773)</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101268253"/>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Balance, end of year</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10,258 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22,161 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32,419 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10,258 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82,934 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93,192 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bl>
    <w:p w:rsidR="00000000" w:rsidRDefault="00905244">
      <w:pPr>
        <w:divId w:val="1453553286"/>
        <w:rPr>
          <w:rFonts w:eastAsia="Times New Roman"/>
        </w:rPr>
      </w:pPr>
    </w:p>
    <w:p w:rsidR="00000000" w:rsidRDefault="00905244">
      <w:pPr>
        <w:jc w:val="both"/>
        <w:rPr>
          <w:rFonts w:eastAsia="Times New Roman"/>
        </w:rPr>
      </w:pPr>
      <w:r>
        <w:rPr>
          <w:rFonts w:eastAsia="Times New Roman"/>
          <w:color w:val="000000"/>
          <w:sz w:val="20"/>
          <w:szCs w:val="20"/>
        </w:rPr>
        <w:t>Goodwill is allocated to each identified reporting unit, which is defined as an operating segment or one level below the operating segment. Goodwill is not amortized, but is eval</w:t>
      </w:r>
      <w:r>
        <w:rPr>
          <w:rFonts w:eastAsia="Times New Roman"/>
          <w:color w:val="000000"/>
          <w:sz w:val="20"/>
          <w:szCs w:val="20"/>
        </w:rPr>
        <w:t>uated for impairment annually and whenever events or changes in circumstances indicate the carrying value of goodwill may not be recoverable. Our annual impairment evaluation is conducted in our fourth fiscal quarter.</w:t>
      </w:r>
      <w:r>
        <w:rPr>
          <w:rFonts w:ascii="Calibri" w:eastAsia="Times New Roman" w:hAnsi="Calibri" w:cs="Calibri"/>
          <w:color w:val="000000"/>
        </w:rPr>
        <w:t xml:space="preserve">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In the fourth quarter of fiscal 202</w:t>
      </w:r>
      <w:r>
        <w:rPr>
          <w:rFonts w:eastAsia="Times New Roman"/>
          <w:color w:val="000000"/>
          <w:sz w:val="20"/>
          <w:szCs w:val="20"/>
        </w:rPr>
        <w:t>0, the Company identified qualitative indicators of impairment as a result of a strategic reassessment of the Petsense business, including an evaluation of current operations and its future growth outlook due to changing consumer trends within certain iden</w:t>
      </w:r>
      <w:r>
        <w:rPr>
          <w:rFonts w:eastAsia="Times New Roman"/>
          <w:color w:val="000000"/>
          <w:sz w:val="20"/>
          <w:szCs w:val="20"/>
        </w:rPr>
        <w:t xml:space="preserve">tified growth markets, which resulted in a decision to reduce the number of new store openings planned over the long term. The carrying value of goodwill for the Petsense reporting unit is indicative of the expected growth and development of the business. </w:t>
      </w:r>
      <w:r>
        <w:rPr>
          <w:rFonts w:eastAsia="Times New Roman"/>
          <w:color w:val="000000"/>
          <w:sz w:val="20"/>
          <w:szCs w:val="20"/>
        </w:rPr>
        <w:t xml:space="preserve">The aforementioned decision to reduce the long-term growth outlook resulted in a downward adjustment of the future financial forecasts for the Petsense business which indicated that impairment of the goodwill asset was a more-likely-than-not outcome.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We</w:t>
      </w:r>
      <w:r>
        <w:rPr>
          <w:rFonts w:eastAsia="Times New Roman"/>
          <w:color w:val="000000"/>
          <w:sz w:val="20"/>
          <w:szCs w:val="20"/>
        </w:rPr>
        <w:t xml:space="preserve"> conducted a quantitative impairment analysis of the Petsense reporting unit using the income approach. The determination of fair value under the income approach requires management to make subjective judgments involving, among other items, forecasts of pr</w:t>
      </w:r>
      <w:r>
        <w:rPr>
          <w:rFonts w:eastAsia="Times New Roman"/>
          <w:color w:val="000000"/>
          <w:sz w:val="20"/>
          <w:szCs w:val="20"/>
        </w:rPr>
        <w:t>ojected financial information (such as revenue growth rates, profit margins, tax rates, and capital expenditures) and selection of a discount rate that reflects the risk inherent in estimated future cash flows. These are unobservable inputs classified as L</w:t>
      </w:r>
      <w:r>
        <w:rPr>
          <w:rFonts w:eastAsia="Times New Roman"/>
          <w:color w:val="000000"/>
          <w:sz w:val="20"/>
          <w:szCs w:val="20"/>
        </w:rPr>
        <w:t xml:space="preserve">evel 3 inputs under the fair value hierarchy. If actual results are not consistent with our estimates and </w:t>
      </w:r>
    </w:p>
    <w:p w:rsidR="00000000" w:rsidRDefault="00905244">
      <w:pPr>
        <w:jc w:val="center"/>
        <w:divId w:val="800731047"/>
        <w:rPr>
          <w:rFonts w:eastAsia="Times New Roman"/>
        </w:rPr>
      </w:pPr>
      <w:r>
        <w:rPr>
          <w:rFonts w:eastAsia="Times New Roman"/>
          <w:color w:val="000000"/>
          <w:sz w:val="20"/>
          <w:szCs w:val="20"/>
        </w:rPr>
        <w:t>67</w:t>
      </w:r>
    </w:p>
    <w:p w:rsidR="00000000" w:rsidRDefault="00905244">
      <w:pPr>
        <w:rPr>
          <w:rFonts w:eastAsia="Times New Roman"/>
        </w:rPr>
      </w:pPr>
      <w:r>
        <w:rPr>
          <w:rFonts w:eastAsia="Times New Roman"/>
        </w:rPr>
        <w:pict>
          <v:rect id="_x0000_i1096" style="width:0;height:1.5pt" o:hralign="center" o:hrstd="t" o:hr="t" fillcolor="#a0a0a0" stroked="f"/>
        </w:pict>
      </w:r>
    </w:p>
    <w:p w:rsidR="00000000" w:rsidRDefault="00905244">
      <w:pPr>
        <w:divId w:val="2127652293"/>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assumptions used in estimating future cash flows and asset fair values, we may be exposed to additional impairment losses in a future period. As a result of the quantitative impairment analysis of the Petsense reporting unit, it was determined that the car</w:t>
      </w:r>
      <w:r>
        <w:rPr>
          <w:rFonts w:eastAsia="Times New Roman"/>
          <w:color w:val="000000"/>
          <w:sz w:val="20"/>
          <w:szCs w:val="20"/>
        </w:rPr>
        <w:t xml:space="preserve">rying value exceeded the fair value, resulting in a pre-tax impairment loss of approximately$60.8 million in fiscal 2020.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In the fourth quarter of fiscal 2020, the Company also completed its annual impairment testing of goodwill for the Tractor Supply r</w:t>
      </w:r>
      <w:r>
        <w:rPr>
          <w:rFonts w:eastAsia="Times New Roman"/>
          <w:color w:val="000000"/>
          <w:sz w:val="20"/>
          <w:szCs w:val="20"/>
        </w:rPr>
        <w:t>eporting unit and no impairment was identified. The Company determined that the fair value of the reporting unit (including goodwill) was significantly in excess of the carrying value of the reporting unit.</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Other Intangible Assets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Company had appro</w:t>
      </w:r>
      <w:r>
        <w:rPr>
          <w:rFonts w:eastAsia="Times New Roman"/>
          <w:color w:val="000000"/>
          <w:sz w:val="20"/>
          <w:szCs w:val="20"/>
        </w:rPr>
        <w:t>ximately $23.1 million and $31.3 million of intangible assets other than goodwill at December 26, 2020 and December 28, 2019, respectively. The intangible asset balance in both periods represents the carrying value of the Petsense tradename, which is not s</w:t>
      </w:r>
      <w:r>
        <w:rPr>
          <w:rFonts w:eastAsia="Times New Roman"/>
          <w:color w:val="000000"/>
          <w:sz w:val="20"/>
          <w:szCs w:val="20"/>
        </w:rPr>
        <w:t>ubject to amortization as it has an indefinite useful life on the basis that it is expected to contribute cash flows beyond the foreseeable horizon. The tradename asset is evaluated for impairment annually and whenever events or changes in circumstances in</w:t>
      </w:r>
      <w:r>
        <w:rPr>
          <w:rFonts w:eastAsia="Times New Roman"/>
          <w:color w:val="000000"/>
          <w:sz w:val="20"/>
          <w:szCs w:val="20"/>
        </w:rPr>
        <w:t>dicate the carrying value of the asset may not be recoverable. Our annual impairment evaluation is conducted in our fourth fiscal quarter.</w:t>
      </w:r>
      <w:r>
        <w:rPr>
          <w:rFonts w:ascii="Calibri" w:eastAsia="Times New Roman" w:hAnsi="Calibri" w:cs="Calibri"/>
          <w:color w:val="000000"/>
        </w:rPr>
        <w:t xml:space="preserve"> </w:t>
      </w:r>
    </w:p>
    <w:p w:rsidR="00000000" w:rsidRDefault="00905244">
      <w:pPr>
        <w:jc w:val="both"/>
        <w:rPr>
          <w:rFonts w:eastAsia="Times New Roman"/>
        </w:rPr>
      </w:pPr>
      <w:r>
        <w:rPr>
          <w:rFonts w:eastAsia="Times New Roman"/>
          <w:color w:val="000000"/>
          <w:sz w:val="20"/>
          <w:szCs w:val="20"/>
        </w:rPr>
        <w:t>The aforementioned decision to reduce the long-term growth outlook for Petsense resulted in a downward adjustment of</w:t>
      </w:r>
      <w:r>
        <w:rPr>
          <w:rFonts w:eastAsia="Times New Roman"/>
          <w:color w:val="000000"/>
          <w:sz w:val="20"/>
          <w:szCs w:val="20"/>
        </w:rPr>
        <w:t xml:space="preserve"> its future financial forecasts which indicated that impairment of the tradename asset was a more-likely-than-not outcome. We conducted a quantitative impairment analysis in the fourth quarter of fiscal 2020 using the relief-from-royalty method. The determ</w:t>
      </w:r>
      <w:r>
        <w:rPr>
          <w:rFonts w:eastAsia="Times New Roman"/>
          <w:color w:val="000000"/>
          <w:sz w:val="20"/>
          <w:szCs w:val="20"/>
        </w:rPr>
        <w:t>ination of fair value requires management to make subjective judgments involving forecasts of projected revenue growth rates, royalty rates, and tax rates, as well as the selection of a discount rate that reflects the risk inherent in estimated future cash</w:t>
      </w:r>
      <w:r>
        <w:rPr>
          <w:rFonts w:eastAsia="Times New Roman"/>
          <w:color w:val="000000"/>
          <w:sz w:val="20"/>
          <w:szCs w:val="20"/>
        </w:rPr>
        <w:t xml:space="preserve"> flows. These are unobservable inputs classified as Level 3 inputs under the fair value hierarchy. If actual results are not consistent with our estimates and assumptions used in estimating future cash flows and asset fair values, we may be exposed to addi</w:t>
      </w:r>
      <w:r>
        <w:rPr>
          <w:rFonts w:eastAsia="Times New Roman"/>
          <w:color w:val="000000"/>
          <w:sz w:val="20"/>
          <w:szCs w:val="20"/>
        </w:rPr>
        <w:t>tional impairment losses in a future period. As a result of the quantitative impairment analysis, it was determined that the carrying value of the Petsense tradename was in excess of the fair value,</w:t>
      </w:r>
      <w:r>
        <w:rPr>
          <w:rFonts w:eastAsia="Times New Roman"/>
          <w:color w:val="000000"/>
        </w:rPr>
        <w:t xml:space="preserve"> </w:t>
      </w:r>
      <w:r>
        <w:rPr>
          <w:rFonts w:eastAsia="Times New Roman"/>
          <w:color w:val="000000"/>
          <w:sz w:val="20"/>
          <w:szCs w:val="20"/>
        </w:rPr>
        <w:t>resulting in a pre-tax impairment loss of approximately $8.2 million in fiscal 2020.</w:t>
      </w:r>
      <w:r>
        <w:rPr>
          <w:rFonts w:eastAsia="Times New Roman"/>
          <w:color w:val="000000"/>
        </w:rPr>
        <w:t xml:space="preserve"> </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Note 4 – Debt:</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following table summarizes the Company’s outstanding debt as of the dates indicated (in millions):</w:t>
      </w:r>
    </w:p>
    <w:tbl>
      <w:tblPr>
        <w:tblW w:w="4992" w:type="pct"/>
        <w:tblCellMar>
          <w:top w:w="15" w:type="dxa"/>
          <w:left w:w="15" w:type="dxa"/>
          <w:bottom w:w="15" w:type="dxa"/>
          <w:right w:w="15" w:type="dxa"/>
        </w:tblCellMar>
        <w:tblLook w:val="04A0" w:firstRow="1" w:lastRow="0" w:firstColumn="1" w:lastColumn="0" w:noHBand="0" w:noVBand="1"/>
      </w:tblPr>
      <w:tblGrid>
        <w:gridCol w:w="40"/>
        <w:gridCol w:w="5555"/>
        <w:gridCol w:w="39"/>
        <w:gridCol w:w="36"/>
        <w:gridCol w:w="36"/>
        <w:gridCol w:w="36"/>
        <w:gridCol w:w="121"/>
        <w:gridCol w:w="1028"/>
        <w:gridCol w:w="36"/>
        <w:gridCol w:w="36"/>
        <w:gridCol w:w="36"/>
        <w:gridCol w:w="36"/>
        <w:gridCol w:w="121"/>
        <w:gridCol w:w="1029"/>
        <w:gridCol w:w="36"/>
        <w:gridCol w:w="36"/>
        <w:gridCol w:w="36"/>
      </w:tblGrid>
      <w:tr w:rsidR="00000000">
        <w:trPr>
          <w:divId w:val="675376825"/>
        </w:trPr>
        <w:tc>
          <w:tcPr>
            <w:tcW w:w="50" w:type="pct"/>
            <w:vAlign w:val="center"/>
            <w:hideMark/>
          </w:tcPr>
          <w:p w:rsidR="00000000" w:rsidRDefault="00905244">
            <w:pPr>
              <w:jc w:val="both"/>
              <w:rPr>
                <w:rFonts w:eastAsia="Times New Roman"/>
              </w:rPr>
            </w:pPr>
          </w:p>
        </w:tc>
        <w:tc>
          <w:tcPr>
            <w:tcW w:w="340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67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67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675376825"/>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December 26,</w:t>
            </w:r>
            <w:r>
              <w:rPr>
                <w:rFonts w:eastAsia="Times New Roman"/>
                <w:b/>
                <w:bCs/>
                <w:color w:val="000000"/>
                <w:sz w:val="20"/>
                <w:szCs w:val="20"/>
              </w:rPr>
              <w:br/>
              <w:t>2020</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December 28,</w:t>
            </w:r>
            <w:r>
              <w:rPr>
                <w:rFonts w:eastAsia="Times New Roman"/>
                <w:b/>
                <w:bCs/>
                <w:color w:val="000000"/>
                <w:sz w:val="20"/>
                <w:szCs w:val="20"/>
              </w:rPr>
              <w:br/>
              <w:t>2019</w:t>
            </w:r>
          </w:p>
        </w:tc>
        <w:tc>
          <w:tcPr>
            <w:tcW w:w="0" w:type="auto"/>
            <w:vAlign w:val="center"/>
            <w:hideMark/>
          </w:tcPr>
          <w:p w:rsidR="00000000" w:rsidRDefault="00905244">
            <w:pPr>
              <w:jc w:val="center"/>
              <w:rPr>
                <w:rFonts w:eastAsia="Times New Roman"/>
              </w:rPr>
            </w:pPr>
          </w:p>
        </w:tc>
        <w:tc>
          <w:tcPr>
            <w:tcW w:w="0" w:type="auto"/>
            <w:vAlign w:val="center"/>
            <w:hideMark/>
          </w:tcPr>
          <w:p w:rsidR="00000000" w:rsidRDefault="00905244">
            <w:pPr>
              <w:rPr>
                <w:rFonts w:eastAsia="Times New Roman"/>
                <w:sz w:val="20"/>
                <w:szCs w:val="20"/>
              </w:rPr>
            </w:pPr>
          </w:p>
        </w:tc>
      </w:tr>
      <w:tr w:rsidR="00000000">
        <w:trPr>
          <w:divId w:val="675376825"/>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1.75% Senior Notes due 2030</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675376825"/>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3.70% Senior Notes due 2029</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675376825"/>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Senior Credit Facility:</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675376825"/>
        </w:trPr>
        <w:tc>
          <w:tcPr>
            <w:tcW w:w="0" w:type="auto"/>
            <w:gridSpan w:val="3"/>
            <w:tcMar>
              <w:top w:w="30" w:type="dxa"/>
              <w:left w:w="245" w:type="dxa"/>
              <w:bottom w:w="30" w:type="dxa"/>
              <w:right w:w="20" w:type="dxa"/>
            </w:tcMar>
            <w:vAlign w:val="bottom"/>
            <w:hideMark/>
          </w:tcPr>
          <w:p w:rsidR="00000000" w:rsidRDefault="00905244">
            <w:pPr>
              <w:rPr>
                <w:rFonts w:eastAsia="Times New Roman"/>
              </w:rPr>
            </w:pPr>
            <w:r>
              <w:rPr>
                <w:rFonts w:eastAsia="Times New Roman"/>
                <w:color w:val="000000"/>
                <w:sz w:val="20"/>
                <w:szCs w:val="20"/>
              </w:rPr>
              <w:t>February 2016 Term Loan</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145.0 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675376825"/>
        </w:trPr>
        <w:tc>
          <w:tcPr>
            <w:tcW w:w="0" w:type="auto"/>
            <w:gridSpan w:val="3"/>
            <w:shd w:val="clear" w:color="auto" w:fill="CCEEFF"/>
            <w:tcMar>
              <w:top w:w="30" w:type="dxa"/>
              <w:left w:w="245" w:type="dxa"/>
              <w:bottom w:w="30" w:type="dxa"/>
              <w:right w:w="20" w:type="dxa"/>
            </w:tcMar>
            <w:vAlign w:val="bottom"/>
            <w:hideMark/>
          </w:tcPr>
          <w:p w:rsidR="00000000" w:rsidRDefault="00905244">
            <w:pPr>
              <w:rPr>
                <w:rFonts w:eastAsia="Times New Roman"/>
              </w:rPr>
            </w:pPr>
            <w:r>
              <w:rPr>
                <w:rFonts w:eastAsia="Times New Roman"/>
                <w:color w:val="000000"/>
                <w:sz w:val="20"/>
                <w:szCs w:val="20"/>
              </w:rPr>
              <w:t>June 2017 Term Loan</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87.5 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675376825"/>
        </w:trPr>
        <w:tc>
          <w:tcPr>
            <w:tcW w:w="0" w:type="auto"/>
            <w:gridSpan w:val="3"/>
            <w:shd w:val="clear" w:color="auto" w:fill="FFFFFF"/>
            <w:tcMar>
              <w:top w:w="30" w:type="dxa"/>
              <w:left w:w="245" w:type="dxa"/>
              <w:bottom w:w="30" w:type="dxa"/>
              <w:right w:w="20" w:type="dxa"/>
            </w:tcMar>
            <w:vAlign w:val="bottom"/>
            <w:hideMark/>
          </w:tcPr>
          <w:p w:rsidR="00000000" w:rsidRDefault="00905244">
            <w:pPr>
              <w:rPr>
                <w:rFonts w:eastAsia="Times New Roman"/>
              </w:rPr>
            </w:pPr>
            <w:r>
              <w:rPr>
                <w:rFonts w:eastAsia="Times New Roman"/>
                <w:color w:val="000000"/>
                <w:sz w:val="20"/>
                <w:szCs w:val="20"/>
              </w:rPr>
              <w:t>November 2020 Term Loan</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200.0 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675376825"/>
        </w:trPr>
        <w:tc>
          <w:tcPr>
            <w:tcW w:w="0" w:type="auto"/>
            <w:gridSpan w:val="3"/>
            <w:shd w:val="clear" w:color="auto" w:fill="CCEEFF"/>
            <w:tcMar>
              <w:top w:w="30" w:type="dxa"/>
              <w:left w:w="245" w:type="dxa"/>
              <w:bottom w:w="30" w:type="dxa"/>
              <w:right w:w="20" w:type="dxa"/>
            </w:tcMar>
            <w:vAlign w:val="bottom"/>
            <w:hideMark/>
          </w:tcPr>
          <w:p w:rsidR="00000000" w:rsidRDefault="00905244">
            <w:pPr>
              <w:rPr>
                <w:rFonts w:eastAsia="Times New Roman"/>
              </w:rPr>
            </w:pPr>
            <w:r>
              <w:rPr>
                <w:rFonts w:eastAsia="Times New Roman"/>
                <w:color w:val="000000"/>
                <w:sz w:val="20"/>
                <w:szCs w:val="20"/>
              </w:rPr>
              <w:t>Revolving credit loans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15.0 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675376825"/>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 outstanding borrowings</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397.5 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675376825"/>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Less: unamortized debt discounts and issuance costs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(15.7)</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675376825"/>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Total debt</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984.3 </w:t>
            </w:r>
          </w:p>
        </w:tc>
        <w:tc>
          <w:tcPr>
            <w:tcW w:w="0" w:type="auto"/>
            <w:tcBorders>
              <w:top w:val="single" w:sz="8" w:space="0" w:color="000000"/>
            </w:tcBorders>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396.5 </w:t>
            </w:r>
          </w:p>
        </w:tc>
        <w:tc>
          <w:tcPr>
            <w:tcW w:w="0" w:type="auto"/>
            <w:tcBorders>
              <w:top w:val="single" w:sz="8" w:space="0" w:color="000000"/>
            </w:tcBorders>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675376825"/>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Less: current portion of long-term debt</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(30.0)</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675376825"/>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984.3 </w:t>
            </w:r>
          </w:p>
        </w:tc>
        <w:tc>
          <w:tcPr>
            <w:tcW w:w="0" w:type="auto"/>
            <w:tcBorders>
              <w:top w:val="single" w:sz="8" w:space="0" w:color="000000"/>
            </w:tcBorders>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366.5 </w:t>
            </w:r>
          </w:p>
        </w:tc>
        <w:tc>
          <w:tcPr>
            <w:tcW w:w="0" w:type="auto"/>
            <w:tcBorders>
              <w:top w:val="single" w:sz="8" w:space="0" w:color="000000"/>
            </w:tcBorders>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675376825"/>
          <w:trHeight w:val="160"/>
        </w:trPr>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c>
          <w:tcPr>
            <w:tcW w:w="0" w:type="auto"/>
            <w:vAlign w:val="center"/>
            <w:hideMark/>
          </w:tcPr>
          <w:p w:rsidR="00000000" w:rsidRDefault="00905244">
            <w:pPr>
              <w:rPr>
                <w:rFonts w:eastAsia="Times New Roman"/>
                <w:sz w:val="20"/>
                <w:szCs w:val="20"/>
              </w:rPr>
            </w:pPr>
          </w:p>
        </w:tc>
      </w:tr>
      <w:tr w:rsidR="00000000">
        <w:trPr>
          <w:divId w:val="675376825"/>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Outstanding letters of credit</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48.7 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32.0 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vAlign w:val="center"/>
            <w:hideMark/>
          </w:tcPr>
          <w:p w:rsidR="00000000" w:rsidRDefault="00905244">
            <w:pPr>
              <w:jc w:val="right"/>
              <w:rPr>
                <w:rFonts w:eastAsia="Times New Roman"/>
                <w:sz w:val="20"/>
                <w:szCs w:val="20"/>
              </w:rPr>
            </w:pPr>
          </w:p>
        </w:tc>
        <w:tc>
          <w:tcPr>
            <w:tcW w:w="0" w:type="auto"/>
            <w:vAlign w:val="center"/>
            <w:hideMark/>
          </w:tcPr>
          <w:p w:rsidR="00000000" w:rsidRDefault="00905244">
            <w:pPr>
              <w:rPr>
                <w:rFonts w:eastAsia="Times New Roman"/>
                <w:sz w:val="20"/>
                <w:szCs w:val="20"/>
              </w:rPr>
            </w:pPr>
          </w:p>
        </w:tc>
      </w:tr>
    </w:tbl>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1.75% Senior Notes due 2030</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On October 30, 2020, the Company issued and sold, in a public offering, $650 million in aggregate principal amount of senior unsecured notes due November 1, 2030 </w:t>
      </w:r>
      <w:r>
        <w:rPr>
          <w:rFonts w:eastAsia="Times New Roman"/>
          <w:color w:val="000000"/>
          <w:sz w:val="20"/>
          <w:szCs w:val="20"/>
        </w:rPr>
        <w:t>bearing interest at 1.75% per annum (the “1.75% Senior Notes”). The entire principal amount of the 1.75% Senior Notes is due in full on November 1, 2030. Interest is payable semi-annually in arrears on each November 1 and May 1. The terms of the 1.750% Not</w:t>
      </w:r>
      <w:r>
        <w:rPr>
          <w:rFonts w:eastAsia="Times New Roman"/>
          <w:color w:val="000000"/>
          <w:sz w:val="20"/>
          <w:szCs w:val="20"/>
        </w:rPr>
        <w:t xml:space="preserve">es are governed by an indenture dated as of October 30, 2020 (the “Base </w:t>
      </w:r>
    </w:p>
    <w:p w:rsidR="00000000" w:rsidRDefault="00905244">
      <w:pPr>
        <w:jc w:val="center"/>
        <w:divId w:val="1659074743"/>
        <w:rPr>
          <w:rFonts w:eastAsia="Times New Roman"/>
        </w:rPr>
      </w:pPr>
      <w:r>
        <w:rPr>
          <w:rFonts w:eastAsia="Times New Roman"/>
          <w:color w:val="000000"/>
          <w:sz w:val="20"/>
          <w:szCs w:val="20"/>
        </w:rPr>
        <w:t>68</w:t>
      </w:r>
    </w:p>
    <w:p w:rsidR="00000000" w:rsidRDefault="00905244">
      <w:pPr>
        <w:rPr>
          <w:rFonts w:eastAsia="Times New Roman"/>
        </w:rPr>
      </w:pPr>
      <w:r>
        <w:rPr>
          <w:rFonts w:eastAsia="Times New Roman"/>
        </w:rPr>
        <w:pict>
          <v:rect id="_x0000_i1097" style="width:0;height:1.5pt" o:hralign="center" o:hrstd="t" o:hr="t" fillcolor="#a0a0a0" stroked="f"/>
        </w:pict>
      </w:r>
    </w:p>
    <w:p w:rsidR="00000000" w:rsidRDefault="00905244">
      <w:pPr>
        <w:divId w:val="1115716708"/>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Indenture”</w:t>
      </w:r>
      <w:r>
        <w:rPr>
          <w:rFonts w:eastAsia="Times New Roman"/>
          <w:color w:val="000000"/>
          <w:sz w:val="20"/>
          <w:szCs w:val="20"/>
        </w:rPr>
        <w:t xml:space="preserve">) between the Company and Regions Bank, as trustee, as amended and supplemented by a first supplemental indenture dated as of October 30, 2020 (the “Supplemental Indenture”) between the Company and Regions Bank, as trustee.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1.75% Senior Notes are se</w:t>
      </w:r>
      <w:r>
        <w:rPr>
          <w:rFonts w:eastAsia="Times New Roman"/>
          <w:color w:val="000000"/>
          <w:sz w:val="20"/>
          <w:szCs w:val="20"/>
        </w:rPr>
        <w:t>nior unsecured debt obligations of the Company and will rank equally with the Company’s other senior unsecured liabilities and senior to any future subordinated indebtedness of the Company. The 1.75% Senior Notes are subject to customary covenants restrict</w:t>
      </w:r>
      <w:r>
        <w:rPr>
          <w:rFonts w:eastAsia="Times New Roman"/>
          <w:color w:val="000000"/>
          <w:sz w:val="20"/>
          <w:szCs w:val="20"/>
        </w:rPr>
        <w:t>ing the Company’s ability, subject to certain exceptions, to incur debt secured by liens, to enter into sale and leaseback transactions or to merge or consolidate with another entity or sell substantially all of its assets to another person.</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At any time </w:t>
      </w:r>
      <w:r>
        <w:rPr>
          <w:rFonts w:eastAsia="Times New Roman"/>
          <w:color w:val="000000"/>
          <w:sz w:val="20"/>
          <w:szCs w:val="20"/>
        </w:rPr>
        <w:t>prior to August 1, 2030, the Company will have the right, at its option, to redeem the 1.75% Senior Notes, in whole or in part, at any time and from time to time, by paying the greater of 100% of the principal amount of the 1.75% Senior Notes to be redeeme</w:t>
      </w:r>
      <w:r>
        <w:rPr>
          <w:rFonts w:eastAsia="Times New Roman"/>
          <w:color w:val="000000"/>
          <w:sz w:val="20"/>
          <w:szCs w:val="20"/>
        </w:rPr>
        <w:t>d, or the sum of the present values of the remaining scheduled payments of principal and interest through the par call date, plus, in each case, accrued and unpaid interest to, but not including, the date of redemption. In addition, on or after August 1, 2</w:t>
      </w:r>
      <w:r>
        <w:rPr>
          <w:rFonts w:eastAsia="Times New Roman"/>
          <w:color w:val="000000"/>
          <w:sz w:val="20"/>
          <w:szCs w:val="20"/>
        </w:rPr>
        <w:t>030, the Company will have the right, at its option, to redeem the 1.75% Senior Notes, in whole or in part, at any time and from time to time, at a redemption price equal to 100% of the principal amount of the 1.75% Senior Notes to be redeemed, plus accrue</w:t>
      </w:r>
      <w:r>
        <w:rPr>
          <w:rFonts w:eastAsia="Times New Roman"/>
          <w:color w:val="000000"/>
          <w:sz w:val="20"/>
          <w:szCs w:val="20"/>
        </w:rPr>
        <w:t>d and unpaid interest to, but not including, the date of redemption.</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If a Change of Control Triggering Event (as defined in the Supplemental Indenture) occurs, unless the Company has exercised its right to redeem the 1.75% Senior Notes, holders of the 1.</w:t>
      </w:r>
      <w:r>
        <w:rPr>
          <w:rFonts w:eastAsia="Times New Roman"/>
          <w:color w:val="000000"/>
          <w:sz w:val="20"/>
          <w:szCs w:val="20"/>
        </w:rPr>
        <w:t xml:space="preserve">75% Senior Notes may require the Company to repurchase all or any part of such holder’s 1.75% Senior Notes at a purchase price of 101% of the principal amount, plus accrued and unpaid interest, if any, on such 1.75% Senior Notes to, but not including, the </w:t>
      </w:r>
      <w:r>
        <w:rPr>
          <w:rFonts w:eastAsia="Times New Roman"/>
          <w:color w:val="000000"/>
          <w:sz w:val="20"/>
          <w:szCs w:val="20"/>
        </w:rPr>
        <w:t>purchase date. Upon the occurrence of an event of default with respect to the 1.75% Senior Notes, which includes payment defaults, defaults in the performance of certain covenants, cross defaults, and bankruptcy and insolvency related defaults, the Company</w:t>
      </w:r>
      <w:r>
        <w:rPr>
          <w:rFonts w:eastAsia="Times New Roman"/>
          <w:color w:val="000000"/>
          <w:sz w:val="20"/>
          <w:szCs w:val="20"/>
        </w:rPr>
        <w:t>’s obligations under the 1.75% Senior Notes may be accelerated, in which case the entire principal amount of the 1.75% Senior Notes would be due and payable immediately.</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Senior Note Facility (including 3.70% Senior Notes due 2029)</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On August 14, 2017, t</w:t>
      </w:r>
      <w:r>
        <w:rPr>
          <w:rFonts w:eastAsia="Times New Roman"/>
          <w:color w:val="000000"/>
          <w:sz w:val="20"/>
          <w:szCs w:val="20"/>
        </w:rPr>
        <w:t>he Company entered into a note purchase and private shelf agreement (the “Note Purchase Agreement”), as amended from time to time, pursuant to which the Company agreed to sell, in a private placement, $150 million aggregate principal amount of senior unsec</w:t>
      </w:r>
      <w:r>
        <w:rPr>
          <w:rFonts w:eastAsia="Times New Roman"/>
          <w:color w:val="000000"/>
          <w:sz w:val="20"/>
          <w:szCs w:val="20"/>
        </w:rPr>
        <w:t>ured notes due August 14, 2029 bearing interest at 3.70% per annum (the “3.70% Senior Notes”). The entire principal amount of the 3.70% Senior Notes is due in full on August 14, 2029. Interest is payable semi-annually in arrears on each annual and semi-ann</w:t>
      </w:r>
      <w:r>
        <w:rPr>
          <w:rFonts w:eastAsia="Times New Roman"/>
          <w:color w:val="000000"/>
          <w:sz w:val="20"/>
          <w:szCs w:val="20"/>
        </w:rPr>
        <w:t>ual anniversary of the issuance date. The obligations under the Note Purchase Agreement are unsecured.</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Company may from time to time issue and sell additional senior unsecured notes (the “Shelf Notes”) pursuant to the Note Purchase Agreement, in an a</w:t>
      </w:r>
      <w:r>
        <w:rPr>
          <w:rFonts w:eastAsia="Times New Roman"/>
          <w:color w:val="000000"/>
          <w:sz w:val="20"/>
          <w:szCs w:val="20"/>
        </w:rPr>
        <w:t>ggregate principal amount of up to $300 million minus the aggregate principal amount of all Notes outstanding and issued under the Note Purchase Agreement. The Shelf Notes will have a maturity date of no more than 12 years after the date of original issuan</w:t>
      </w:r>
      <w:r>
        <w:rPr>
          <w:rFonts w:eastAsia="Times New Roman"/>
          <w:color w:val="000000"/>
          <w:sz w:val="20"/>
          <w:szCs w:val="20"/>
        </w:rPr>
        <w:t xml:space="preserve">ce and may be issued through November 4, 2023, unless earlier terminated in accordance with the terms of the Note Purchase Agreement.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Pursuant to the Note Purchase Agreement, the 3.70% Senior Notes and any Shelf Notes (collectively, the "Senior Note Fac</w:t>
      </w:r>
      <w:r>
        <w:rPr>
          <w:rFonts w:eastAsia="Times New Roman"/>
          <w:color w:val="000000"/>
          <w:sz w:val="20"/>
          <w:szCs w:val="20"/>
        </w:rPr>
        <w:t>ility") are redeemable by the Company, in whole at any time or in part from time to time, at 100% of the principal amount of the Senior Note Facility being redeemed, together with accrued and unpaid interest thereon and a make whole amount calculated by di</w:t>
      </w:r>
      <w:r>
        <w:rPr>
          <w:rFonts w:eastAsia="Times New Roman"/>
          <w:color w:val="000000"/>
          <w:sz w:val="20"/>
          <w:szCs w:val="20"/>
        </w:rPr>
        <w:t>scounting all remaining scheduled payments on the Senior Note Facility by the yield on the U.S. Treasury security with a maturity equal to the remaining average life of the Senior Note Facility plus 0.50%.</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Senior Credit Facility</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On February 19, 2016, t</w:t>
      </w:r>
      <w:r>
        <w:rPr>
          <w:rFonts w:eastAsia="Times New Roman"/>
          <w:color w:val="000000"/>
          <w:sz w:val="20"/>
          <w:szCs w:val="20"/>
        </w:rPr>
        <w:t>he Company entered into a senior credit facility, as amended from time to time, and as amended and restated on November 4, 2020 (the “Senior Credit Facility”), which provides borrowing capacity under term loan facilities as well as a revolving credit facil</w:t>
      </w:r>
      <w:r>
        <w:rPr>
          <w:rFonts w:eastAsia="Times New Roman"/>
          <w:color w:val="000000"/>
          <w:sz w:val="20"/>
          <w:szCs w:val="20"/>
        </w:rPr>
        <w:t>ity. There are no compensating balance requirements associated with the Senior Credit Facility.</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Senior Credit Facility contains a $500 million revolving credit facility (the “Revolver”) with a sublimit of $50 million for swingline loans and a sublimi</w:t>
      </w:r>
      <w:r>
        <w:rPr>
          <w:rFonts w:eastAsia="Times New Roman"/>
          <w:color w:val="000000"/>
          <w:sz w:val="20"/>
          <w:szCs w:val="20"/>
        </w:rPr>
        <w:t xml:space="preserve">t of $150 million for letters of credit. This agreement is unsecured and matures on November 4, 2023, which, subject to satisfaction of certain terms and conditions, may be extended at the option of the Company to November 4, 2024 (as may be extended, the </w:t>
      </w:r>
      <w:r>
        <w:rPr>
          <w:rFonts w:eastAsia="Times New Roman"/>
          <w:color w:val="000000"/>
          <w:sz w:val="20"/>
          <w:szCs w:val="20"/>
        </w:rPr>
        <w:t xml:space="preserve">“ Senior Credit Facility Maturity Date”). </w:t>
      </w:r>
    </w:p>
    <w:p w:rsidR="00000000" w:rsidRDefault="00905244">
      <w:pPr>
        <w:jc w:val="both"/>
        <w:rPr>
          <w:rFonts w:eastAsia="Times New Roman"/>
        </w:rPr>
      </w:pPr>
    </w:p>
    <w:p w:rsidR="00000000" w:rsidRDefault="00905244">
      <w:pPr>
        <w:jc w:val="center"/>
        <w:divId w:val="1184980032"/>
        <w:rPr>
          <w:rFonts w:eastAsia="Times New Roman"/>
        </w:rPr>
      </w:pPr>
      <w:r>
        <w:rPr>
          <w:rFonts w:eastAsia="Times New Roman"/>
          <w:color w:val="000000"/>
          <w:sz w:val="20"/>
          <w:szCs w:val="20"/>
        </w:rPr>
        <w:t>69</w:t>
      </w:r>
    </w:p>
    <w:p w:rsidR="00000000" w:rsidRDefault="00905244">
      <w:pPr>
        <w:rPr>
          <w:rFonts w:eastAsia="Times New Roman"/>
        </w:rPr>
      </w:pPr>
      <w:r>
        <w:rPr>
          <w:rFonts w:eastAsia="Times New Roman"/>
        </w:rPr>
        <w:pict>
          <v:rect id="_x0000_i1098" style="width:0;height:1.5pt" o:hralign="center" o:hrstd="t" o:hr="t" fillcolor="#a0a0a0" stroked="f"/>
        </w:pict>
      </w:r>
    </w:p>
    <w:p w:rsidR="00000000" w:rsidRDefault="00905244">
      <w:pPr>
        <w:divId w:val="1835757423"/>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Under the Senior Credit Facility, on November 4, 2020, a $200 million term loan (the “November 2020 Term Loa</w:t>
      </w:r>
      <w:r>
        <w:rPr>
          <w:rFonts w:eastAsia="Times New Roman"/>
          <w:color w:val="000000"/>
          <w:sz w:val="20"/>
          <w:szCs w:val="20"/>
        </w:rPr>
        <w:t xml:space="preserve">n”) was extended to the Company. The November 2020 Term Loan is unsecured and the entire principal amount is due in full on the Senior Credit Facility Maturity Date.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Borrowings under both the Revolver and the November 2020 Term Loan each bear interest either at the bank’s base rate (3.250% at December 26, 2020) plus an additional amount ranging from 0.000% to 0.375% (0.125% at December 26, 2020) or at the London Inter-</w:t>
      </w:r>
      <w:r>
        <w:rPr>
          <w:rFonts w:eastAsia="Times New Roman"/>
          <w:color w:val="000000"/>
          <w:sz w:val="20"/>
          <w:szCs w:val="20"/>
        </w:rPr>
        <w:t>Bank Offer Rate (“LIBOR”) (0.146% at December 26, 2020) plus an additional amount ranging from 0.875% to 1.375% per annum (1.125% at December 26, 2020), adjusted based on the Company's public credit ratings. The Company is also required to pay, quarterly i</w:t>
      </w:r>
      <w:r>
        <w:rPr>
          <w:rFonts w:eastAsia="Times New Roman"/>
          <w:color w:val="000000"/>
          <w:sz w:val="20"/>
          <w:szCs w:val="20"/>
        </w:rPr>
        <w:t xml:space="preserve">n arrears, a commitment fee related to unused capacity on the Revolver ranging from 0.090% to 0.200% per annum (0.125% at December 26, 2020), adjusted based on the Company's public credit ratings.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As further described in Note 5, the Company has entered </w:t>
      </w:r>
      <w:r>
        <w:rPr>
          <w:rFonts w:eastAsia="Times New Roman"/>
          <w:color w:val="000000"/>
          <w:sz w:val="20"/>
          <w:szCs w:val="20"/>
        </w:rPr>
        <w:t xml:space="preserve">into an interest rate swap agreement in order to hedge our exposure to variable rate interest payments associated with the Senior Credit Facility.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On February 19, 2016, the Company entered into a $200 million term loan agreement (the “February 2016 Term</w:t>
      </w:r>
      <w:r>
        <w:rPr>
          <w:rFonts w:eastAsia="Times New Roman"/>
          <w:color w:val="000000"/>
          <w:sz w:val="20"/>
          <w:szCs w:val="20"/>
        </w:rPr>
        <w:t xml:space="preserve"> Loan”). This agreement was repaid in full on November 4, 2020 and is no longer in effect.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On June 15, 2017, the Company entered into a $100 million incremental term loan agreement (the “June 2017 Term Loan”). This agreement was repaid in full on Novemb</w:t>
      </w:r>
      <w:r>
        <w:rPr>
          <w:rFonts w:eastAsia="Times New Roman"/>
          <w:color w:val="000000"/>
          <w:sz w:val="20"/>
          <w:szCs w:val="20"/>
        </w:rPr>
        <w:t xml:space="preserve">er 4, 2020 and is no longer in effect.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On March 12, 2020, the Company entered into a $200 million incremental term loan agreement (the “March 2020 Term Loan”). This agreement was repaid in full on November 4, 2020 and is no longer in effect.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On April</w:t>
      </w:r>
      <w:r>
        <w:rPr>
          <w:rFonts w:eastAsia="Times New Roman"/>
          <w:color w:val="000000"/>
          <w:sz w:val="20"/>
          <w:szCs w:val="20"/>
        </w:rPr>
        <w:t xml:space="preserve"> 22, 2020, the Company entered into a $350 million incremental term loan agreement (the "April 2020 Term Loan"). This agreement was repaid in full on October 30, 2020 and is no longer in effect.</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Covenants and Default Provisions of the Debt Agreements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w:t>
      </w:r>
      <w:r>
        <w:rPr>
          <w:rFonts w:eastAsia="Times New Roman"/>
          <w:color w:val="000000"/>
          <w:sz w:val="20"/>
          <w:szCs w:val="20"/>
        </w:rPr>
        <w:t>he Senior Credit Facility and the Note Purchase Agreement (collectively, the “Debt Agreements”) require quarterly compliance with respect to two material covenants: a fixed charge coverage ratio and a leverage ratio.  Both ratios are calculated on a traili</w:t>
      </w:r>
      <w:r>
        <w:rPr>
          <w:rFonts w:eastAsia="Times New Roman"/>
          <w:color w:val="000000"/>
          <w:sz w:val="20"/>
          <w:szCs w:val="20"/>
        </w:rPr>
        <w:t>ng twelve-month basis at the end of each fiscal quarter. The fixed charge coverage ratio compares earnings before interest, taxes, depreciation, amortization, share-based compensation and rent expense (“consolidated EBITDAR”) to the sum of interest paid an</w:t>
      </w:r>
      <w:r>
        <w:rPr>
          <w:rFonts w:eastAsia="Times New Roman"/>
          <w:color w:val="000000"/>
          <w:sz w:val="20"/>
          <w:szCs w:val="20"/>
        </w:rPr>
        <w:t>d rental expense (excluding any straight-line rent adjustments).  The fixed charge coverage ratio shall be greater than or equal to 2.00 to 1.0 as of the last day of each fiscal quarter. The leverage ratio compares total funded debt to consolidated EBITDAR</w:t>
      </w:r>
      <w:r>
        <w:rPr>
          <w:rFonts w:eastAsia="Times New Roman"/>
          <w:color w:val="000000"/>
          <w:sz w:val="20"/>
          <w:szCs w:val="20"/>
        </w:rPr>
        <w:t>.  The leverage ratio shall be less than or equal to 4.00 to 1.0 as of the last day of each fiscal quarter. The Debt Agreements also contain certain other restrictions regarding additional subsidiary indebtedness, business operations, subsidiary guarantees</w:t>
      </w:r>
      <w:r>
        <w:rPr>
          <w:rFonts w:eastAsia="Times New Roman"/>
          <w:color w:val="000000"/>
          <w:sz w:val="20"/>
          <w:szCs w:val="20"/>
        </w:rPr>
        <w:t>, mergers, consolidations and sales of assets, transactions with subsidiaries or affiliates, and liens.  As of December 26, 2020, the Company was in compliance with all debt covenants.</w:t>
      </w:r>
    </w:p>
    <w:p w:rsidR="00000000" w:rsidRDefault="00905244">
      <w:pPr>
        <w:divId w:val="1252592351"/>
        <w:rPr>
          <w:rFonts w:eastAsia="Times New Roman"/>
        </w:rPr>
      </w:pPr>
    </w:p>
    <w:p w:rsidR="00000000" w:rsidRDefault="00905244">
      <w:pPr>
        <w:jc w:val="both"/>
        <w:rPr>
          <w:rFonts w:eastAsia="Times New Roman"/>
        </w:rPr>
      </w:pPr>
      <w:r>
        <w:rPr>
          <w:rFonts w:eastAsia="Times New Roman"/>
          <w:color w:val="000000"/>
          <w:sz w:val="20"/>
          <w:szCs w:val="20"/>
        </w:rPr>
        <w:t>The Debt Agreements contain customary events of default, including pa</w:t>
      </w:r>
      <w:r>
        <w:rPr>
          <w:rFonts w:eastAsia="Times New Roman"/>
          <w:color w:val="000000"/>
          <w:sz w:val="20"/>
          <w:szCs w:val="20"/>
        </w:rPr>
        <w:t>yment defaults, breaches of representations and warranties, covenant defaults, cross-defaults to other material indebtedness, certain events of bankruptcy and insolvency, material judgments, certain ERISA events and invalidity of loan documents. Upon certa</w:t>
      </w:r>
      <w:r>
        <w:rPr>
          <w:rFonts w:eastAsia="Times New Roman"/>
          <w:color w:val="000000"/>
          <w:sz w:val="20"/>
          <w:szCs w:val="20"/>
        </w:rPr>
        <w:t xml:space="preserve">in changes of control, payment under the Debt Agreements could become due and payable. In addition, under the Note Purchase Agreement, upon an event of default or change of control, the make whole payment described above may become due and payable.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The </w:t>
      </w:r>
      <w:r>
        <w:rPr>
          <w:rFonts w:eastAsia="Times New Roman"/>
          <w:color w:val="000000"/>
          <w:sz w:val="20"/>
          <w:szCs w:val="20"/>
        </w:rPr>
        <w:t>Note Purchase Agreement also requires that, in the event the Company amends its Senior Credit Facility, or any subsequent credit facility of $100 million or greater, such that it contains covenant or default provisions that are not provided in the Note Pur</w:t>
      </w:r>
      <w:r>
        <w:rPr>
          <w:rFonts w:eastAsia="Times New Roman"/>
          <w:color w:val="000000"/>
          <w:sz w:val="20"/>
          <w:szCs w:val="20"/>
        </w:rPr>
        <w:t>chase Agreement or that are similar to those contained in the Note Purchase Agreement but which contain percentages, amounts, formulas or grace periods that are more restrictive than those set forth in the Note Purchase Agreement or are otherwise more bene</w:t>
      </w:r>
      <w:r>
        <w:rPr>
          <w:rFonts w:eastAsia="Times New Roman"/>
          <w:color w:val="000000"/>
          <w:sz w:val="20"/>
          <w:szCs w:val="20"/>
        </w:rPr>
        <w:t>ficial to the lenders thereunder, the Note Purchase Agreement shall be automatically amended to include such additional or amended covenants and/or default provisions.</w:t>
      </w:r>
    </w:p>
    <w:p w:rsidR="00000000" w:rsidRDefault="00905244">
      <w:pPr>
        <w:divId w:val="656148800"/>
        <w:rPr>
          <w:rFonts w:eastAsia="Times New Roman"/>
        </w:rPr>
      </w:pPr>
    </w:p>
    <w:p w:rsidR="00000000" w:rsidRDefault="00905244">
      <w:pPr>
        <w:jc w:val="both"/>
        <w:rPr>
          <w:rFonts w:eastAsia="Times New Roman"/>
        </w:rPr>
      </w:pPr>
      <w:r>
        <w:rPr>
          <w:rFonts w:eastAsia="Times New Roman"/>
          <w:b/>
          <w:bCs/>
          <w:color w:val="000000"/>
          <w:sz w:val="20"/>
          <w:szCs w:val="20"/>
        </w:rPr>
        <w:t>Note 5 – Interest Rate Swaps: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Company entered into an interest rate swap agreeme</w:t>
      </w:r>
      <w:r>
        <w:rPr>
          <w:rFonts w:eastAsia="Times New Roman"/>
          <w:color w:val="000000"/>
          <w:sz w:val="20"/>
          <w:szCs w:val="20"/>
        </w:rPr>
        <w:t xml:space="preserve">nt which became effective on March 18, 2020, with a maturity date of March 18, 2025. The notional amount of this swap agreement is fixed at $200 million.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Company previously had interest rate swap agreements associated with the February 2016 Term Loa</w:t>
      </w:r>
      <w:r>
        <w:rPr>
          <w:rFonts w:eastAsia="Times New Roman"/>
          <w:color w:val="000000"/>
          <w:sz w:val="20"/>
          <w:szCs w:val="20"/>
        </w:rPr>
        <w:t xml:space="preserve">n and the June 2017 Term Loan, each of which was settled in full on November 10, 2020 and is no longer in effect. </w:t>
      </w:r>
    </w:p>
    <w:p w:rsidR="00000000" w:rsidRDefault="00905244">
      <w:pPr>
        <w:jc w:val="center"/>
        <w:divId w:val="1431774072"/>
        <w:rPr>
          <w:rFonts w:eastAsia="Times New Roman"/>
        </w:rPr>
      </w:pPr>
      <w:r>
        <w:rPr>
          <w:rFonts w:eastAsia="Times New Roman"/>
          <w:color w:val="000000"/>
          <w:sz w:val="20"/>
          <w:szCs w:val="20"/>
        </w:rPr>
        <w:t>70</w:t>
      </w:r>
    </w:p>
    <w:p w:rsidR="00000000" w:rsidRDefault="00905244">
      <w:pPr>
        <w:rPr>
          <w:rFonts w:eastAsia="Times New Roman"/>
        </w:rPr>
      </w:pPr>
      <w:r>
        <w:rPr>
          <w:rFonts w:eastAsia="Times New Roman"/>
        </w:rPr>
        <w:pict>
          <v:rect id="_x0000_i1099" style="width:0;height:1.5pt" o:hralign="center" o:hrstd="t" o:hr="t" fillcolor="#a0a0a0" stroked="f"/>
        </w:pict>
      </w:r>
    </w:p>
    <w:p w:rsidR="00000000" w:rsidRDefault="00905244">
      <w:pPr>
        <w:divId w:val="1392465052"/>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Company’s interest rate swap agreements are executed for risk management and are not held for trading purposes. The objective of the interest rate swap agreements is to mitigate interest</w:t>
      </w:r>
      <w:r>
        <w:rPr>
          <w:rFonts w:eastAsia="Times New Roman"/>
          <w:color w:val="000000"/>
          <w:sz w:val="20"/>
          <w:szCs w:val="20"/>
        </w:rPr>
        <w:t xml:space="preserve"> rate risk associated with future changes in interest rates. To accomplish this objective, the interest rate swap agreements are intended to hedge the variable cash flows associated with the variable rate term loan borrowings under the Senior Credit Facili</w:t>
      </w:r>
      <w:r>
        <w:rPr>
          <w:rFonts w:eastAsia="Times New Roman"/>
          <w:color w:val="000000"/>
          <w:sz w:val="20"/>
          <w:szCs w:val="20"/>
        </w:rPr>
        <w:t>ty. The interest rate swap agreements entitle the Company to receive, at specified intervals, a variable rate of interest based on LIBOR in exchange for the payment of a fixed rate of interest throughout the life of the agreement, without exchange of the u</w:t>
      </w:r>
      <w:r>
        <w:rPr>
          <w:rFonts w:eastAsia="Times New Roman"/>
          <w:color w:val="000000"/>
          <w:sz w:val="20"/>
          <w:szCs w:val="20"/>
        </w:rPr>
        <w:t xml:space="preserve">nderlying notional amount.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Company has designated its interest rate swap agreements as cash flow hedges and accounts for the underlying activity in accordance with hedge accounting. The interest rate swaps are presented within the Consolidated Balan</w:t>
      </w:r>
      <w:r>
        <w:rPr>
          <w:rFonts w:eastAsia="Times New Roman"/>
          <w:color w:val="000000"/>
          <w:sz w:val="20"/>
          <w:szCs w:val="20"/>
        </w:rPr>
        <w:t>ce Sheets at fair value. In accordance with hedge accounting, the gains and losses on interest rate swaps that are designated and qualify as cash flow hedges are recorded as a component of Other Comprehensive Income (“OCI”), net of related income taxes, an</w:t>
      </w:r>
      <w:r>
        <w:rPr>
          <w:rFonts w:eastAsia="Times New Roman"/>
          <w:color w:val="000000"/>
          <w:sz w:val="20"/>
          <w:szCs w:val="20"/>
        </w:rPr>
        <w:t>d reclassified into earnings in the same income statement line and period during which the hedged transactions affect earnings.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As of December 26, 2020, amounts to be reclassified from Accumulated Other Comprehensive Income (“AOCI”) into interest during </w:t>
      </w:r>
      <w:r>
        <w:rPr>
          <w:rFonts w:eastAsia="Times New Roman"/>
          <w:color w:val="000000"/>
          <w:sz w:val="20"/>
          <w:szCs w:val="20"/>
        </w:rPr>
        <w:t>the next twelve months are not expected to be material. No significant amounts were excluded from the assessment of cash flow hedge effectiveness as of December 26, 2020.</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assets and liabilities measured at fair value related to the Company’s interest</w:t>
      </w:r>
      <w:r>
        <w:rPr>
          <w:rFonts w:eastAsia="Times New Roman"/>
          <w:color w:val="000000"/>
          <w:sz w:val="20"/>
          <w:szCs w:val="20"/>
        </w:rPr>
        <w:t xml:space="preserve"> rate swaps, excluding accrued interest, were as follows (in thousands):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2529"/>
        <w:gridCol w:w="36"/>
        <w:gridCol w:w="36"/>
        <w:gridCol w:w="36"/>
        <w:gridCol w:w="36"/>
        <w:gridCol w:w="37"/>
        <w:gridCol w:w="3101"/>
        <w:gridCol w:w="36"/>
        <w:gridCol w:w="36"/>
        <w:gridCol w:w="36"/>
        <w:gridCol w:w="36"/>
        <w:gridCol w:w="121"/>
        <w:gridCol w:w="942"/>
        <w:gridCol w:w="36"/>
        <w:gridCol w:w="36"/>
        <w:gridCol w:w="36"/>
        <w:gridCol w:w="36"/>
        <w:gridCol w:w="121"/>
        <w:gridCol w:w="943"/>
        <w:gridCol w:w="36"/>
      </w:tblGrid>
      <w:tr w:rsidR="00000000">
        <w:trPr>
          <w:divId w:val="1778215214"/>
          <w:jc w:val="center"/>
        </w:trPr>
        <w:tc>
          <w:tcPr>
            <w:tcW w:w="50" w:type="pct"/>
            <w:vAlign w:val="center"/>
            <w:hideMark/>
          </w:tcPr>
          <w:p w:rsidR="00000000" w:rsidRDefault="00905244">
            <w:pPr>
              <w:jc w:val="both"/>
              <w:rPr>
                <w:rFonts w:eastAsia="Times New Roman"/>
              </w:rPr>
            </w:pPr>
          </w:p>
        </w:tc>
        <w:tc>
          <w:tcPr>
            <w:tcW w:w="154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1904"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61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61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778215214"/>
          <w:jc w:val="center"/>
        </w:trPr>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Derivatives Designated</w:t>
            </w:r>
            <w:r>
              <w:rPr>
                <w:rFonts w:eastAsia="Times New Roman"/>
                <w:b/>
                <w:bCs/>
                <w:color w:val="000000"/>
                <w:sz w:val="20"/>
                <w:szCs w:val="20"/>
              </w:rPr>
              <w:br/>
              <w:t>as Cash Flow Hedges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Balance Sheet Location</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December 26, 2020</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December 28, 2019</w:t>
            </w:r>
          </w:p>
        </w:tc>
      </w:tr>
      <w:tr w:rsidR="00000000">
        <w:trPr>
          <w:divId w:val="1778215214"/>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Interest rate swaps (short-term portion)</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Other current assets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78215214"/>
          <w:jc w:val="center"/>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Interest rate swaps (long-term portion)</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Other assets</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91 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78215214"/>
          <w:jc w:val="center"/>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Total derivative assets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78215214"/>
          <w:trHeight w:val="280"/>
          <w:jc w:val="center"/>
        </w:trPr>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778215214"/>
          <w:jc w:val="center"/>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Interest rate swaps (short-term portion)</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Other accrued expenses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1,227 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78215214"/>
          <w:jc w:val="center"/>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Interest rate swaps (long-term portion)</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Other long-term liabilities</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3,137 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292 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778215214"/>
          <w:jc w:val="center"/>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Total derivative liabilities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4,364 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offset to the interest rate swap asset or liability is recorded as a component of equity, net of deferred taxes, in AOCI, and will be reclassified into earnings over the term of the underlying debt as interest payments are made. On Nov</w:t>
      </w:r>
      <w:r>
        <w:rPr>
          <w:rFonts w:eastAsia="Times New Roman"/>
          <w:color w:val="000000"/>
          <w:sz w:val="20"/>
          <w:szCs w:val="20"/>
        </w:rPr>
        <w:t>ember 10, 2020, the Company terminated two interest rate swap agreements which resulted in the reclassification of settlement losses from AOCI to the Consolidated Statements of Income as part of interest expense.</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following table summarizes the change</w:t>
      </w:r>
      <w:r>
        <w:rPr>
          <w:rFonts w:eastAsia="Times New Roman"/>
          <w:color w:val="000000"/>
          <w:sz w:val="20"/>
          <w:szCs w:val="20"/>
        </w:rPr>
        <w:t>s in AOCI, net of tax, related to the Company’s interest rate swaps (in thousands):</w:t>
      </w:r>
    </w:p>
    <w:tbl>
      <w:tblPr>
        <w:tblW w:w="4992" w:type="pct"/>
        <w:tblCellMar>
          <w:top w:w="15" w:type="dxa"/>
          <w:left w:w="15" w:type="dxa"/>
          <w:bottom w:w="15" w:type="dxa"/>
          <w:right w:w="15" w:type="dxa"/>
        </w:tblCellMar>
        <w:tblLook w:val="04A0" w:firstRow="1" w:lastRow="0" w:firstColumn="1" w:lastColumn="0" w:noHBand="0" w:noVBand="1"/>
      </w:tblPr>
      <w:tblGrid>
        <w:gridCol w:w="39"/>
        <w:gridCol w:w="5245"/>
        <w:gridCol w:w="38"/>
        <w:gridCol w:w="36"/>
        <w:gridCol w:w="36"/>
        <w:gridCol w:w="36"/>
        <w:gridCol w:w="120"/>
        <w:gridCol w:w="1221"/>
        <w:gridCol w:w="36"/>
        <w:gridCol w:w="36"/>
        <w:gridCol w:w="36"/>
        <w:gridCol w:w="36"/>
        <w:gridCol w:w="120"/>
        <w:gridCol w:w="1222"/>
        <w:gridCol w:w="36"/>
      </w:tblGrid>
      <w:tr w:rsidR="00000000">
        <w:trPr>
          <w:divId w:val="1838955572"/>
        </w:trPr>
        <w:tc>
          <w:tcPr>
            <w:tcW w:w="50" w:type="pct"/>
            <w:vAlign w:val="center"/>
            <w:hideMark/>
          </w:tcPr>
          <w:p w:rsidR="00000000" w:rsidRDefault="00905244">
            <w:pPr>
              <w:jc w:val="both"/>
              <w:rPr>
                <w:rFonts w:eastAsia="Times New Roman"/>
              </w:rPr>
            </w:pPr>
          </w:p>
        </w:tc>
        <w:tc>
          <w:tcPr>
            <w:tcW w:w="318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78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78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838955572"/>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w:t>
            </w:r>
          </w:p>
        </w:tc>
      </w:tr>
      <w:tr w:rsidR="00000000">
        <w:trPr>
          <w:divId w:val="1838955572"/>
        </w:trPr>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2019</w:t>
            </w:r>
          </w:p>
        </w:tc>
      </w:tr>
      <w:tr w:rsidR="00000000">
        <w:trPr>
          <w:divId w:val="1838955572"/>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Beginning fiscal year AOCI balance</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3,814 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838955572"/>
        </w:trPr>
        <w:tc>
          <w:tcPr>
            <w:tcW w:w="0" w:type="auto"/>
            <w:gridSpan w:val="3"/>
            <w:tcMar>
              <w:top w:w="30" w:type="dxa"/>
              <w:left w:w="140" w:type="dxa"/>
              <w:bottom w:w="30" w:type="dxa"/>
              <w:right w:w="20" w:type="dxa"/>
            </w:tcMar>
            <w:vAlign w:val="bottom"/>
            <w:hideMark/>
          </w:tcPr>
          <w:p w:rsidR="00000000" w:rsidRDefault="00905244">
            <w:pPr>
              <w:rPr>
                <w:rFonts w:eastAsia="Times New Roman"/>
              </w:rPr>
            </w:pPr>
            <w:r>
              <w:rPr>
                <w:rFonts w:eastAsia="Times New Roman"/>
                <w:color w:val="000000"/>
                <w:sz w:val="20"/>
                <w:szCs w:val="20"/>
              </w:rPr>
              <w:t>Current fiscal year loss recognized in OCI</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(5,666)</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(4,332)</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838955572"/>
        </w:trPr>
        <w:tc>
          <w:tcPr>
            <w:tcW w:w="0" w:type="auto"/>
            <w:gridSpan w:val="3"/>
            <w:shd w:val="clear" w:color="auto" w:fill="CCEEFF"/>
            <w:tcMar>
              <w:top w:w="30" w:type="dxa"/>
              <w:left w:w="140" w:type="dxa"/>
              <w:bottom w:w="30" w:type="dxa"/>
              <w:right w:w="20" w:type="dxa"/>
            </w:tcMar>
            <w:vAlign w:val="bottom"/>
            <w:hideMark/>
          </w:tcPr>
          <w:p w:rsidR="00000000" w:rsidRDefault="00905244">
            <w:pPr>
              <w:rPr>
                <w:rFonts w:eastAsia="Times New Roman"/>
              </w:rPr>
            </w:pPr>
            <w:r>
              <w:rPr>
                <w:rFonts w:eastAsia="Times New Roman"/>
                <w:color w:val="000000"/>
                <w:sz w:val="20"/>
                <w:szCs w:val="20"/>
              </w:rPr>
              <w:t>Amounts reclassified from AOCI</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2,224 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838955572"/>
        </w:trPr>
        <w:tc>
          <w:tcPr>
            <w:tcW w:w="0" w:type="auto"/>
            <w:gridSpan w:val="3"/>
            <w:tcMar>
              <w:top w:w="30" w:type="dxa"/>
              <w:left w:w="140" w:type="dxa"/>
              <w:bottom w:w="30" w:type="dxa"/>
              <w:right w:w="20" w:type="dxa"/>
            </w:tcMar>
            <w:vAlign w:val="bottom"/>
            <w:hideMark/>
          </w:tcPr>
          <w:p w:rsidR="00000000" w:rsidRDefault="00905244">
            <w:pPr>
              <w:rPr>
                <w:rFonts w:eastAsia="Times New Roman"/>
              </w:rPr>
            </w:pPr>
            <w:r>
              <w:rPr>
                <w:rFonts w:eastAsia="Times New Roman"/>
                <w:color w:val="000000"/>
                <w:sz w:val="20"/>
                <w:szCs w:val="20"/>
              </w:rPr>
              <w:t>Cumulative adjustment as a result of ASU 2017-12 adoption</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717 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838955572"/>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Other comprehensive loss, net of tax</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(3,442)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(3,615)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838955572"/>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Ending fiscal year AOCI balance</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(3,243)</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199 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ind w:hanging="180"/>
        <w:jc w:val="both"/>
        <w:rPr>
          <w:rFonts w:eastAsia="Times New Roman"/>
        </w:rPr>
      </w:pPr>
    </w:p>
    <w:p w:rsidR="00000000" w:rsidRDefault="00905244">
      <w:pPr>
        <w:jc w:val="both"/>
        <w:rPr>
          <w:rFonts w:eastAsia="Times New Roman"/>
        </w:rPr>
      </w:pPr>
      <w:r>
        <w:rPr>
          <w:rFonts w:eastAsia="Times New Roman"/>
          <w:color w:val="000000"/>
          <w:sz w:val="20"/>
          <w:szCs w:val="20"/>
        </w:rPr>
        <w:t>Cash flows related to the interest rate swaps are included in operating activities on the Consolidated Statements of Cash Flows.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following table summarizes the impact of pre-tax gains and losses derived from the Company’s interest rate swaps (in thousands):</w:t>
      </w:r>
    </w:p>
    <w:tbl>
      <w:tblPr>
        <w:tblW w:w="4978" w:type="pct"/>
        <w:tblCellMar>
          <w:top w:w="15" w:type="dxa"/>
          <w:left w:w="15" w:type="dxa"/>
          <w:bottom w:w="15" w:type="dxa"/>
          <w:right w:w="15" w:type="dxa"/>
        </w:tblCellMar>
        <w:tblLook w:val="04A0" w:firstRow="1" w:lastRow="0" w:firstColumn="1" w:lastColumn="0" w:noHBand="0" w:noVBand="1"/>
      </w:tblPr>
      <w:tblGrid>
        <w:gridCol w:w="40"/>
        <w:gridCol w:w="3304"/>
        <w:gridCol w:w="36"/>
        <w:gridCol w:w="36"/>
        <w:gridCol w:w="36"/>
        <w:gridCol w:w="36"/>
        <w:gridCol w:w="56"/>
        <w:gridCol w:w="1673"/>
        <w:gridCol w:w="37"/>
        <w:gridCol w:w="36"/>
        <w:gridCol w:w="36"/>
        <w:gridCol w:w="36"/>
        <w:gridCol w:w="120"/>
        <w:gridCol w:w="741"/>
        <w:gridCol w:w="36"/>
        <w:gridCol w:w="36"/>
        <w:gridCol w:w="36"/>
        <w:gridCol w:w="36"/>
        <w:gridCol w:w="120"/>
        <w:gridCol w:w="741"/>
        <w:gridCol w:w="36"/>
        <w:gridCol w:w="36"/>
        <w:gridCol w:w="36"/>
        <w:gridCol w:w="36"/>
        <w:gridCol w:w="120"/>
        <w:gridCol w:w="741"/>
        <w:gridCol w:w="36"/>
      </w:tblGrid>
      <w:tr w:rsidR="00000000">
        <w:trPr>
          <w:divId w:val="1113288178"/>
        </w:trPr>
        <w:tc>
          <w:tcPr>
            <w:tcW w:w="50" w:type="pct"/>
            <w:vAlign w:val="center"/>
            <w:hideMark/>
          </w:tcPr>
          <w:p w:rsidR="00000000" w:rsidRDefault="00905244">
            <w:pPr>
              <w:jc w:val="both"/>
              <w:rPr>
                <w:rFonts w:eastAsia="Times New Roman"/>
              </w:rPr>
            </w:pPr>
          </w:p>
        </w:tc>
        <w:tc>
          <w:tcPr>
            <w:tcW w:w="202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106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9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9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9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113288178"/>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w:t>
            </w:r>
          </w:p>
        </w:tc>
      </w:tr>
      <w:tr w:rsidR="00000000">
        <w:trPr>
          <w:divId w:val="1113288178"/>
        </w:trPr>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Financial Statement Location</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2018</w:t>
            </w:r>
          </w:p>
        </w:tc>
      </w:tr>
      <w:tr w:rsidR="00000000">
        <w:trPr>
          <w:divId w:val="1113288178"/>
        </w:trPr>
        <w:tc>
          <w:tcPr>
            <w:tcW w:w="0" w:type="auto"/>
            <w:gridSpan w:val="3"/>
            <w:shd w:val="clear" w:color="auto" w:fill="CCEEFF"/>
            <w:tcMar>
              <w:top w:w="30" w:type="dxa"/>
              <w:left w:w="20" w:type="dxa"/>
              <w:bottom w:w="30" w:type="dxa"/>
              <w:right w:w="20" w:type="dxa"/>
            </w:tcMar>
            <w:vAlign w:val="center"/>
            <w:hideMark/>
          </w:tcPr>
          <w:p w:rsidR="00000000" w:rsidRDefault="00905244">
            <w:pPr>
              <w:rPr>
                <w:rFonts w:eastAsia="Times New Roman"/>
              </w:rPr>
            </w:pPr>
            <w:r>
              <w:rPr>
                <w:rFonts w:eastAsia="Times New Roman"/>
                <w:color w:val="000000"/>
                <w:sz w:val="20"/>
                <w:szCs w:val="20"/>
              </w:rPr>
              <w:t xml:space="preserve">Amount of (losses)/gains recognized in OCI </w:t>
            </w:r>
            <w:r>
              <w:rPr>
                <w:rFonts w:eastAsia="Times New Roman"/>
                <w:color w:val="000000"/>
                <w:sz w:val="20"/>
                <w:szCs w:val="20"/>
              </w:rPr>
              <w:br/>
              <w:t>during the period</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905244">
            <w:pPr>
              <w:rPr>
                <w:rFonts w:eastAsia="Times New Roman"/>
              </w:rPr>
            </w:pPr>
            <w:r>
              <w:rPr>
                <w:rFonts w:eastAsia="Times New Roman"/>
                <w:color w:val="000000"/>
                <w:sz w:val="20"/>
                <w:szCs w:val="20"/>
              </w:rPr>
              <w:t>Other comprehensive (loss)/income</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(4,631)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(5,556)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jc w:val="center"/>
        <w:divId w:val="1927222151"/>
        <w:rPr>
          <w:rFonts w:eastAsia="Times New Roman"/>
        </w:rPr>
      </w:pPr>
      <w:r>
        <w:rPr>
          <w:rFonts w:eastAsia="Times New Roman"/>
          <w:color w:val="000000"/>
          <w:sz w:val="20"/>
          <w:szCs w:val="20"/>
        </w:rPr>
        <w:t>71</w:t>
      </w:r>
    </w:p>
    <w:p w:rsidR="00000000" w:rsidRDefault="00905244">
      <w:pPr>
        <w:rPr>
          <w:rFonts w:eastAsia="Times New Roman"/>
        </w:rPr>
      </w:pPr>
      <w:r>
        <w:rPr>
          <w:rFonts w:eastAsia="Times New Roman"/>
        </w:rPr>
        <w:pict>
          <v:rect id="_x0000_i1100" style="width:0;height:1.5pt" o:hralign="center" o:hrstd="t" o:hr="t" fillcolor="#a0a0a0" stroked="f"/>
        </w:pict>
      </w:r>
    </w:p>
    <w:p w:rsidR="00000000" w:rsidRDefault="00905244">
      <w:pPr>
        <w:divId w:val="2066684575"/>
        <w:rPr>
          <w:rFonts w:eastAsia="Times New Roman"/>
        </w:rPr>
      </w:pPr>
      <w:hyperlink w:anchor="i137f04c25e1e4da3b6d1f469d06f3319_7" w:history="1">
        <w:r>
          <w:rPr>
            <w:rStyle w:val="a3"/>
            <w:rFonts w:eastAsia="Times New Roman"/>
            <w:sz w:val="18"/>
            <w:szCs w:val="18"/>
          </w:rPr>
          <w:t>Index</w:t>
        </w:r>
      </w:hyperlink>
    </w:p>
    <w:p w:rsidR="00000000" w:rsidRDefault="00905244">
      <w:pPr>
        <w:jc w:val="center"/>
        <w:rPr>
          <w:rFonts w:eastAsia="Times New Roman"/>
        </w:rPr>
      </w:pPr>
    </w:p>
    <w:p w:rsidR="00000000" w:rsidRDefault="00905244">
      <w:pPr>
        <w:jc w:val="both"/>
        <w:rPr>
          <w:rFonts w:eastAsia="Times New Roman"/>
        </w:rPr>
      </w:pPr>
      <w:r>
        <w:rPr>
          <w:rFonts w:eastAsia="Times New Roman"/>
          <w:color w:val="000000"/>
          <w:sz w:val="20"/>
          <w:szCs w:val="20"/>
        </w:rPr>
        <w:t>The following table summarizes the impact of taxes affecting AOCI as a result of the Company’s interest rate swaps (in thousands):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5876"/>
        <w:gridCol w:w="36"/>
        <w:gridCol w:w="36"/>
        <w:gridCol w:w="36"/>
        <w:gridCol w:w="36"/>
        <w:gridCol w:w="120"/>
        <w:gridCol w:w="907"/>
        <w:gridCol w:w="36"/>
        <w:gridCol w:w="36"/>
        <w:gridCol w:w="36"/>
        <w:gridCol w:w="36"/>
        <w:gridCol w:w="120"/>
        <w:gridCol w:w="908"/>
        <w:gridCol w:w="36"/>
      </w:tblGrid>
      <w:tr w:rsidR="00000000">
        <w:trPr>
          <w:divId w:val="1065176878"/>
          <w:jc w:val="center"/>
        </w:trPr>
        <w:tc>
          <w:tcPr>
            <w:tcW w:w="50" w:type="pct"/>
            <w:vAlign w:val="center"/>
            <w:hideMark/>
          </w:tcPr>
          <w:p w:rsidR="00000000" w:rsidRDefault="00905244">
            <w:pPr>
              <w:jc w:val="both"/>
              <w:rPr>
                <w:rFonts w:eastAsia="Times New Roman"/>
              </w:rPr>
            </w:pPr>
          </w:p>
        </w:tc>
        <w:tc>
          <w:tcPr>
            <w:tcW w:w="356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065176878"/>
          <w:jc w:val="center"/>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w:t>
            </w:r>
          </w:p>
        </w:tc>
      </w:tr>
      <w:tr w:rsidR="00000000">
        <w:trPr>
          <w:divId w:val="1065176878"/>
          <w:jc w:val="center"/>
        </w:trPr>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2019</w:t>
            </w:r>
          </w:p>
        </w:tc>
      </w:tr>
      <w:tr w:rsidR="00000000">
        <w:trPr>
          <w:divId w:val="1065176878"/>
          <w:jc w:val="center"/>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Income tax benefit of interest rate swaps on AOCI</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divId w:val="1045373027"/>
        <w:rPr>
          <w:rFonts w:eastAsia="Times New Roman"/>
        </w:rPr>
      </w:pPr>
    </w:p>
    <w:p w:rsidR="00000000" w:rsidRDefault="00905244">
      <w:pPr>
        <w:divId w:val="200170006"/>
        <w:rPr>
          <w:rFonts w:eastAsia="Times New Roman"/>
        </w:rPr>
      </w:pPr>
      <w:r>
        <w:rPr>
          <w:rFonts w:eastAsia="Times New Roman"/>
          <w:i/>
          <w:iCs/>
          <w:color w:val="000000"/>
          <w:sz w:val="20"/>
          <w:szCs w:val="20"/>
        </w:rPr>
        <w:t>Credit-risk-related contingent features</w:t>
      </w:r>
      <w:r>
        <w:rPr>
          <w:rFonts w:eastAsia="Times New Roman"/>
          <w:b/>
          <w:bCs/>
          <w:color w:val="000000"/>
          <w:sz w:val="20"/>
          <w:szCs w:val="20"/>
        </w:rPr>
        <w:t xml:space="preserve"> </w:t>
      </w:r>
    </w:p>
    <w:p w:rsidR="00000000" w:rsidRDefault="00905244">
      <w:pPr>
        <w:divId w:val="267735670"/>
        <w:rPr>
          <w:rFonts w:eastAsia="Times New Roman"/>
        </w:rPr>
      </w:pPr>
    </w:p>
    <w:p w:rsidR="00000000" w:rsidRDefault="00905244">
      <w:pPr>
        <w:jc w:val="both"/>
        <w:rPr>
          <w:rFonts w:eastAsia="Times New Roman"/>
        </w:rPr>
      </w:pPr>
      <w:r>
        <w:rPr>
          <w:rFonts w:eastAsia="Times New Roman"/>
          <w:color w:val="000000"/>
          <w:sz w:val="20"/>
          <w:szCs w:val="20"/>
        </w:rPr>
        <w:t>In accordance with the underlying interest rate swap agreements, the Company could be declared in default on its interest rate swap obligations if repayment of the underlying indebtedness (i.e., the Company’s term loans) is accelerated by the lender due to</w:t>
      </w:r>
      <w:r>
        <w:rPr>
          <w:rFonts w:eastAsia="Times New Roman"/>
          <w:color w:val="000000"/>
          <w:sz w:val="20"/>
          <w:szCs w:val="20"/>
        </w:rPr>
        <w:t xml:space="preserve"> the Company's default on such indebtedness.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If the Company had breached any of the provisions in the underlying agreements at December 26, 2020, it could have been required to post full collateral or settle its obligations under the Company’s interest </w:t>
      </w:r>
      <w:r>
        <w:rPr>
          <w:rFonts w:eastAsia="Times New Roman"/>
          <w:color w:val="000000"/>
          <w:sz w:val="20"/>
          <w:szCs w:val="20"/>
        </w:rPr>
        <w:t>rate swap agreements. However, as of December 26, 2020, the Company had not breached any of these provisions or posted any collateral related to the underlying interest rate swap agreements.</w:t>
      </w:r>
    </w:p>
    <w:p w:rsidR="00000000" w:rsidRDefault="00905244">
      <w:pPr>
        <w:divId w:val="527069114"/>
        <w:rPr>
          <w:rFonts w:eastAsia="Times New Roman"/>
        </w:rPr>
      </w:pPr>
    </w:p>
    <w:p w:rsidR="00000000" w:rsidRDefault="00905244">
      <w:pPr>
        <w:jc w:val="both"/>
        <w:rPr>
          <w:rFonts w:eastAsia="Times New Roman"/>
        </w:rPr>
      </w:pPr>
      <w:r>
        <w:rPr>
          <w:rFonts w:eastAsia="Times New Roman"/>
          <w:b/>
          <w:bCs/>
          <w:color w:val="000000"/>
          <w:sz w:val="20"/>
          <w:szCs w:val="20"/>
        </w:rPr>
        <w:t>Note 6 – Leases: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Company leases the majority of its retai</w:t>
      </w:r>
      <w:r>
        <w:rPr>
          <w:rFonts w:eastAsia="Times New Roman"/>
          <w:color w:val="000000"/>
          <w:sz w:val="20"/>
          <w:szCs w:val="20"/>
        </w:rPr>
        <w:t>l store locations, two distribution sites, its Merchandise Innovation Center, and certain equipment under various non-cancellable operating leases. The leases have varying terms and expire at various dates through 2038.  Store leases typically have initial</w:t>
      </w:r>
      <w:r>
        <w:rPr>
          <w:rFonts w:eastAsia="Times New Roman"/>
          <w:color w:val="000000"/>
          <w:sz w:val="20"/>
          <w:szCs w:val="20"/>
        </w:rPr>
        <w:t xml:space="preserve"> terms of between 10 and 15 years, with two to four optional renewal periods of five years each.  The exercise of lease renewal options is at our sole discretion. The Company has included lease renewal options in the lease term for calculations of its righ</w:t>
      </w:r>
      <w:r>
        <w:rPr>
          <w:rFonts w:eastAsia="Times New Roman"/>
          <w:color w:val="000000"/>
          <w:sz w:val="20"/>
          <w:szCs w:val="20"/>
        </w:rPr>
        <w:t>t-of-use assets and liabilities when it is reasonably certain that the Company plans to renew these leases. Our lease agreements do not contain any material residual value guarantees or material restrictive covenants.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Company accounts for lease compo</w:t>
      </w:r>
      <w:r>
        <w:rPr>
          <w:rFonts w:eastAsia="Times New Roman"/>
          <w:color w:val="000000"/>
          <w:sz w:val="20"/>
          <w:szCs w:val="20"/>
        </w:rPr>
        <w:t>nents (e.g., fixed payments including rent, real estate taxes, and insurance costs) together with non-lease components (e.g., fixed payment common-area maintenance) as a single component for all classes of underlying assets. Certain lease agreements requir</w:t>
      </w:r>
      <w:r>
        <w:rPr>
          <w:rFonts w:eastAsia="Times New Roman"/>
          <w:color w:val="000000"/>
          <w:sz w:val="20"/>
          <w:szCs w:val="20"/>
        </w:rPr>
        <w:t>e variable payments based upon actual costs of common-area maintenance, real estate taxes, and insurance. Further, certain lease agreements require variable payments based upon store sales above agreed-upon sales levels for the year and others require paym</w:t>
      </w:r>
      <w:r>
        <w:rPr>
          <w:rFonts w:eastAsia="Times New Roman"/>
          <w:color w:val="000000"/>
          <w:sz w:val="20"/>
          <w:szCs w:val="20"/>
        </w:rPr>
        <w:t xml:space="preserve">ents adjusted periodically for inflation. As substantially all of our leases do not provide an implicit rate, we estimate our collateralized incremental borrowing rate based upon a Company specific credit rating and yield curve analysis at commencement or </w:t>
      </w:r>
      <w:r>
        <w:rPr>
          <w:rFonts w:eastAsia="Times New Roman"/>
          <w:color w:val="000000"/>
          <w:sz w:val="20"/>
          <w:szCs w:val="20"/>
        </w:rPr>
        <w:t>modification date in determining the present value of lease payments.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Company has elected not to recognize leases with an original term of one year or less on the balance sheet. Short-term lease cost during the periods presented was immaterial.</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In </w:t>
      </w:r>
      <w:r>
        <w:rPr>
          <w:rFonts w:eastAsia="Times New Roman"/>
          <w:color w:val="000000"/>
          <w:sz w:val="20"/>
          <w:szCs w:val="20"/>
        </w:rPr>
        <w:t>addition to the operating lease right-of-use assets presented on the Consolidated Balance Sheets, assets, net of accumulated amortization, under finance leases of $33.5 million and $30.9 million are recorded within the Property and equipment, net line on t</w:t>
      </w:r>
      <w:r>
        <w:rPr>
          <w:rFonts w:eastAsia="Times New Roman"/>
          <w:color w:val="000000"/>
          <w:sz w:val="20"/>
          <w:szCs w:val="20"/>
        </w:rPr>
        <w:t xml:space="preserve">he Consolidated Balance Sheets as of December 26, 2020 and December 28, 2019, respectively.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following table summarizes the Company’s classification of lease cost (in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50"/>
        <w:gridCol w:w="1951"/>
        <w:gridCol w:w="37"/>
        <w:gridCol w:w="36"/>
        <w:gridCol w:w="36"/>
        <w:gridCol w:w="36"/>
        <w:gridCol w:w="39"/>
        <w:gridCol w:w="3231"/>
        <w:gridCol w:w="38"/>
        <w:gridCol w:w="36"/>
        <w:gridCol w:w="36"/>
        <w:gridCol w:w="36"/>
        <w:gridCol w:w="121"/>
        <w:gridCol w:w="1160"/>
        <w:gridCol w:w="36"/>
        <w:gridCol w:w="36"/>
        <w:gridCol w:w="36"/>
        <w:gridCol w:w="36"/>
        <w:gridCol w:w="121"/>
        <w:gridCol w:w="1162"/>
        <w:gridCol w:w="36"/>
      </w:tblGrid>
      <w:tr w:rsidR="00000000">
        <w:trPr>
          <w:divId w:val="1385565345"/>
          <w:jc w:val="center"/>
        </w:trPr>
        <w:tc>
          <w:tcPr>
            <w:tcW w:w="50" w:type="pct"/>
            <w:vAlign w:val="center"/>
            <w:hideMark/>
          </w:tcPr>
          <w:p w:rsidR="00000000" w:rsidRDefault="00905244">
            <w:pPr>
              <w:jc w:val="both"/>
              <w:rPr>
                <w:rFonts w:eastAsia="Times New Roman"/>
              </w:rPr>
            </w:pPr>
          </w:p>
        </w:tc>
        <w:tc>
          <w:tcPr>
            <w:tcW w:w="120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1984"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74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74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385565345"/>
          <w:jc w:val="center"/>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 Ended</w:t>
            </w:r>
          </w:p>
        </w:tc>
      </w:tr>
      <w:tr w:rsidR="00000000">
        <w:trPr>
          <w:divId w:val="1385565345"/>
          <w:jc w:val="center"/>
        </w:trPr>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Statement of Income Location</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December 26,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December 28, 2019</w:t>
            </w:r>
          </w:p>
        </w:tc>
      </w:tr>
      <w:tr w:rsidR="00000000">
        <w:trPr>
          <w:divId w:val="1385565345"/>
          <w:jc w:val="center"/>
        </w:trPr>
        <w:tc>
          <w:tcPr>
            <w:tcW w:w="0" w:type="auto"/>
            <w:gridSpan w:val="3"/>
            <w:shd w:val="clear" w:color="auto" w:fill="CCEEFF"/>
            <w:tcMar>
              <w:top w:w="30" w:type="dxa"/>
              <w:left w:w="20" w:type="dxa"/>
              <w:bottom w:w="30" w:type="dxa"/>
              <w:right w:w="20" w:type="dxa"/>
            </w:tcMar>
            <w:vAlign w:val="center"/>
            <w:hideMark/>
          </w:tcPr>
          <w:p w:rsidR="00000000" w:rsidRDefault="00905244">
            <w:pPr>
              <w:rPr>
                <w:rFonts w:eastAsia="Times New Roman"/>
              </w:rPr>
            </w:pPr>
            <w:r>
              <w:rPr>
                <w:rFonts w:eastAsia="Times New Roman"/>
                <w:color w:val="000000"/>
                <w:sz w:val="20"/>
                <w:szCs w:val="20"/>
              </w:rPr>
              <w:t>Finance lease cost:</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385565345"/>
          <w:jc w:val="center"/>
        </w:trPr>
        <w:tc>
          <w:tcPr>
            <w:tcW w:w="0" w:type="auto"/>
            <w:gridSpan w:val="3"/>
            <w:tcMar>
              <w:top w:w="30" w:type="dxa"/>
              <w:left w:w="155" w:type="dxa"/>
              <w:bottom w:w="30" w:type="dxa"/>
              <w:right w:w="20" w:type="dxa"/>
            </w:tcMar>
            <w:vAlign w:val="center"/>
            <w:hideMark/>
          </w:tcPr>
          <w:p w:rsidR="00000000" w:rsidRDefault="00905244">
            <w:pPr>
              <w:rPr>
                <w:rFonts w:eastAsia="Times New Roman"/>
              </w:rPr>
            </w:pPr>
            <w:r>
              <w:rPr>
                <w:rFonts w:eastAsia="Times New Roman"/>
                <w:color w:val="000000"/>
                <w:sz w:val="20"/>
                <w:szCs w:val="20"/>
              </w:rPr>
              <w:t>Amortization of lease assets</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vAlign w:val="center"/>
            <w:hideMark/>
          </w:tcPr>
          <w:p w:rsidR="00000000" w:rsidRDefault="00905244">
            <w:pPr>
              <w:rPr>
                <w:rFonts w:eastAsia="Times New Roman"/>
              </w:rPr>
            </w:pPr>
            <w:r>
              <w:rPr>
                <w:rFonts w:eastAsia="Times New Roman"/>
                <w:color w:val="000000"/>
                <w:sz w:val="20"/>
                <w:szCs w:val="20"/>
              </w:rPr>
              <w:t>Depreciation and amortization</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4,765 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4,281 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385565345"/>
          <w:jc w:val="center"/>
        </w:trPr>
        <w:tc>
          <w:tcPr>
            <w:tcW w:w="0" w:type="auto"/>
            <w:gridSpan w:val="3"/>
            <w:shd w:val="clear" w:color="auto" w:fill="CCEEFF"/>
            <w:tcMar>
              <w:top w:w="30" w:type="dxa"/>
              <w:left w:w="155" w:type="dxa"/>
              <w:bottom w:w="30" w:type="dxa"/>
              <w:right w:w="20" w:type="dxa"/>
            </w:tcMar>
            <w:vAlign w:val="center"/>
            <w:hideMark/>
          </w:tcPr>
          <w:p w:rsidR="00000000" w:rsidRDefault="00905244">
            <w:pPr>
              <w:rPr>
                <w:rFonts w:eastAsia="Times New Roman"/>
              </w:rPr>
            </w:pPr>
            <w:r>
              <w:rPr>
                <w:rFonts w:eastAsia="Times New Roman"/>
                <w:color w:val="000000"/>
                <w:sz w:val="20"/>
                <w:szCs w:val="20"/>
              </w:rPr>
              <w:t>Interest on lease liabilities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905244">
            <w:pPr>
              <w:rPr>
                <w:rFonts w:eastAsia="Times New Roman"/>
              </w:rPr>
            </w:pPr>
            <w:r>
              <w:rPr>
                <w:rFonts w:eastAsia="Times New Roman"/>
                <w:color w:val="000000"/>
                <w:sz w:val="20"/>
                <w:szCs w:val="20"/>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1,765 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1,629 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385565345"/>
          <w:jc w:val="center"/>
        </w:trPr>
        <w:tc>
          <w:tcPr>
            <w:tcW w:w="0" w:type="auto"/>
            <w:gridSpan w:val="3"/>
            <w:tcMar>
              <w:top w:w="30" w:type="dxa"/>
              <w:left w:w="20" w:type="dxa"/>
              <w:bottom w:w="30" w:type="dxa"/>
              <w:right w:w="20" w:type="dxa"/>
            </w:tcMar>
            <w:vAlign w:val="center"/>
            <w:hideMark/>
          </w:tcPr>
          <w:p w:rsidR="00000000" w:rsidRDefault="00905244">
            <w:pPr>
              <w:rPr>
                <w:rFonts w:eastAsia="Times New Roman"/>
              </w:rPr>
            </w:pPr>
            <w:r>
              <w:rPr>
                <w:rFonts w:eastAsia="Times New Roman"/>
                <w:color w:val="000000"/>
                <w:sz w:val="20"/>
                <w:szCs w:val="20"/>
              </w:rPr>
              <w:t>Operating lease cost</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vAlign w:val="center"/>
            <w:hideMark/>
          </w:tcPr>
          <w:p w:rsidR="00000000" w:rsidRDefault="00905244">
            <w:pPr>
              <w:rPr>
                <w:rFonts w:eastAsia="Times New Roman"/>
              </w:rPr>
            </w:pPr>
            <w:r>
              <w:rPr>
                <w:rFonts w:eastAsia="Times New Roman"/>
                <w:color w:val="000000"/>
                <w:sz w:val="20"/>
                <w:szCs w:val="20"/>
              </w:rPr>
              <w:t>Selling, general and administrative expenses</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379,318 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353,961 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385565345"/>
          <w:jc w:val="center"/>
        </w:trPr>
        <w:tc>
          <w:tcPr>
            <w:tcW w:w="0" w:type="auto"/>
            <w:gridSpan w:val="3"/>
            <w:shd w:val="clear" w:color="auto" w:fill="CCEEFF"/>
            <w:tcMar>
              <w:top w:w="30" w:type="dxa"/>
              <w:left w:w="20" w:type="dxa"/>
              <w:bottom w:w="30" w:type="dxa"/>
              <w:right w:w="20" w:type="dxa"/>
            </w:tcMar>
            <w:vAlign w:val="center"/>
            <w:hideMark/>
          </w:tcPr>
          <w:p w:rsidR="00000000" w:rsidRDefault="00905244">
            <w:pPr>
              <w:rPr>
                <w:rFonts w:eastAsia="Times New Roman"/>
              </w:rPr>
            </w:pPr>
            <w:r>
              <w:rPr>
                <w:rFonts w:eastAsia="Times New Roman"/>
                <w:color w:val="000000"/>
                <w:sz w:val="20"/>
                <w:szCs w:val="20"/>
              </w:rPr>
              <w:t>Variable lease cost</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905244">
            <w:pPr>
              <w:rPr>
                <w:rFonts w:eastAsia="Times New Roman"/>
              </w:rPr>
            </w:pPr>
            <w:r>
              <w:rPr>
                <w:rFonts w:eastAsia="Times New Roman"/>
                <w:color w:val="000000"/>
                <w:sz w:val="20"/>
                <w:szCs w:val="20"/>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80,154 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73,768 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385565345"/>
          <w:jc w:val="center"/>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Net lease cost</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466,002 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433,639 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jc w:val="center"/>
        <w:divId w:val="1971593379"/>
        <w:rPr>
          <w:rFonts w:eastAsia="Times New Roman"/>
        </w:rPr>
      </w:pPr>
      <w:r>
        <w:rPr>
          <w:rFonts w:eastAsia="Times New Roman"/>
          <w:color w:val="000000"/>
          <w:sz w:val="20"/>
          <w:szCs w:val="20"/>
        </w:rPr>
        <w:t>72</w:t>
      </w:r>
    </w:p>
    <w:p w:rsidR="00000000" w:rsidRDefault="00905244">
      <w:pPr>
        <w:rPr>
          <w:rFonts w:eastAsia="Times New Roman"/>
        </w:rPr>
      </w:pPr>
      <w:r>
        <w:rPr>
          <w:rFonts w:eastAsia="Times New Roman"/>
        </w:rPr>
        <w:pict>
          <v:rect id="_x0000_i1101" style="width:0;height:1.5pt" o:hralign="center" o:hrstd="t" o:hr="t" fillcolor="#a0a0a0" stroked="f"/>
        </w:pict>
      </w:r>
    </w:p>
    <w:p w:rsidR="00000000" w:rsidRDefault="00905244">
      <w:pPr>
        <w:divId w:val="957952871"/>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following table summarizes the future maturities of the Company’s lease liabilities (in thousands):</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5114"/>
        <w:gridCol w:w="37"/>
        <w:gridCol w:w="36"/>
        <w:gridCol w:w="36"/>
        <w:gridCol w:w="36"/>
        <w:gridCol w:w="120"/>
        <w:gridCol w:w="850"/>
        <w:gridCol w:w="36"/>
        <w:gridCol w:w="36"/>
        <w:gridCol w:w="36"/>
        <w:gridCol w:w="36"/>
        <w:gridCol w:w="120"/>
        <w:gridCol w:w="600"/>
        <w:gridCol w:w="36"/>
        <w:gridCol w:w="36"/>
        <w:gridCol w:w="36"/>
        <w:gridCol w:w="36"/>
        <w:gridCol w:w="120"/>
        <w:gridCol w:w="850"/>
        <w:gridCol w:w="36"/>
      </w:tblGrid>
      <w:tr w:rsidR="00000000">
        <w:trPr>
          <w:divId w:val="4792479"/>
          <w:jc w:val="center"/>
        </w:trPr>
        <w:tc>
          <w:tcPr>
            <w:tcW w:w="50" w:type="pct"/>
            <w:vAlign w:val="center"/>
            <w:hideMark/>
          </w:tcPr>
          <w:p w:rsidR="00000000" w:rsidRDefault="00905244">
            <w:pPr>
              <w:jc w:val="both"/>
              <w:rPr>
                <w:rFonts w:eastAsia="Times New Roman"/>
              </w:rPr>
            </w:pPr>
          </w:p>
        </w:tc>
        <w:tc>
          <w:tcPr>
            <w:tcW w:w="320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8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94"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94"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4792479"/>
          <w:jc w:val="center"/>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Operating Leases</w:t>
            </w:r>
            <w:r>
              <w:rPr>
                <w:rFonts w:eastAsia="Times New Roman"/>
                <w:b/>
                <w:bCs/>
                <w:color w:val="000000"/>
                <w:sz w:val="20"/>
                <w:szCs w:val="20"/>
              </w:rPr>
              <w:t xml:space="preserve"> </w:t>
            </w:r>
            <w:r>
              <w:rPr>
                <w:rFonts w:eastAsia="Times New Roman"/>
                <w:b/>
                <w:bCs/>
                <w:color w:val="000000"/>
                <w:sz w:val="13"/>
                <w:szCs w:val="13"/>
              </w:rPr>
              <w:t>(a</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Finance Leases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Total</w:t>
            </w:r>
          </w:p>
        </w:tc>
      </w:tr>
      <w:tr w:rsidR="00000000">
        <w:trPr>
          <w:divId w:val="4792479"/>
          <w:jc w:val="center"/>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2021</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394,576 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6,269 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400,845 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792479"/>
          <w:jc w:val="center"/>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377,051 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5,243 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382,294 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792479"/>
          <w:jc w:val="center"/>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356,641</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4,051</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360,692</w:t>
            </w:r>
          </w:p>
        </w:tc>
      </w:tr>
      <w:tr w:rsidR="00000000">
        <w:trPr>
          <w:divId w:val="4792479"/>
          <w:jc w:val="center"/>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327,663</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4,066</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331,729</w:t>
            </w:r>
          </w:p>
        </w:tc>
      </w:tr>
      <w:tr w:rsidR="00000000">
        <w:trPr>
          <w:divId w:val="4792479"/>
          <w:jc w:val="center"/>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297,827</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3,994</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301,821</w:t>
            </w:r>
          </w:p>
        </w:tc>
      </w:tr>
      <w:tr w:rsidR="00000000">
        <w:trPr>
          <w:divId w:val="4792479"/>
          <w:jc w:val="center"/>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After 2025</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1,285,285</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24,503</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1,309,788</w:t>
            </w:r>
          </w:p>
        </w:tc>
      </w:tr>
      <w:tr w:rsidR="00000000">
        <w:trPr>
          <w:divId w:val="4792479"/>
          <w:jc w:val="center"/>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 lease payments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3,039,043</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48,126</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3,087,169</w:t>
            </w:r>
          </w:p>
        </w:tc>
      </w:tr>
      <w:tr w:rsidR="00000000">
        <w:trPr>
          <w:divId w:val="4792479"/>
          <w:jc w:val="center"/>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Less: Interest</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(519,443)</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(10,476)</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(529,919)</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792479"/>
          <w:jc w:val="center"/>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Present value of lease liabilities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2,519,600 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37,650 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2,557,250 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ind w:hanging="270"/>
        <w:divId w:val="49812120"/>
        <w:rPr>
          <w:rFonts w:eastAsia="Times New Roman"/>
        </w:rPr>
      </w:pPr>
      <w:r>
        <w:rPr>
          <w:rFonts w:eastAsia="Times New Roman"/>
          <w:color w:val="000000"/>
          <w:sz w:val="16"/>
          <w:szCs w:val="16"/>
        </w:rPr>
        <w:t>(a) Operating lease payments exclude $174.1 million of legally binding minimum lease payments for leases signed, but not yet commenced.</w:t>
      </w:r>
    </w:p>
    <w:p w:rsidR="00000000" w:rsidRDefault="00905244">
      <w:pPr>
        <w:ind w:hanging="270"/>
        <w:divId w:val="1421833649"/>
        <w:rPr>
          <w:rFonts w:eastAsia="Times New Roman"/>
        </w:rPr>
      </w:pPr>
    </w:p>
    <w:p w:rsidR="00000000" w:rsidRDefault="00905244">
      <w:pPr>
        <w:ind w:hanging="270"/>
        <w:jc w:val="both"/>
        <w:rPr>
          <w:rFonts w:eastAsia="Times New Roman"/>
        </w:rPr>
      </w:pPr>
      <w:r>
        <w:rPr>
          <w:rFonts w:eastAsia="Times New Roman"/>
          <w:color w:val="000000"/>
          <w:sz w:val="20"/>
          <w:szCs w:val="20"/>
        </w:rPr>
        <w:t>The following table su</w:t>
      </w:r>
      <w:r>
        <w:rPr>
          <w:rFonts w:eastAsia="Times New Roman"/>
          <w:color w:val="000000"/>
          <w:sz w:val="20"/>
          <w:szCs w:val="20"/>
        </w:rPr>
        <w:t>mmarizes the Company’s lease term and discount rate:</w:t>
      </w:r>
    </w:p>
    <w:tbl>
      <w:tblPr>
        <w:tblW w:w="4970" w:type="pct"/>
        <w:jc w:val="center"/>
        <w:tblCellMar>
          <w:top w:w="15" w:type="dxa"/>
          <w:left w:w="15" w:type="dxa"/>
          <w:bottom w:w="15" w:type="dxa"/>
          <w:right w:w="15" w:type="dxa"/>
        </w:tblCellMar>
        <w:tblLook w:val="04A0" w:firstRow="1" w:lastRow="0" w:firstColumn="1" w:lastColumn="0" w:noHBand="0" w:noVBand="1"/>
      </w:tblPr>
      <w:tblGrid>
        <w:gridCol w:w="38"/>
        <w:gridCol w:w="5319"/>
        <w:gridCol w:w="37"/>
        <w:gridCol w:w="36"/>
        <w:gridCol w:w="36"/>
        <w:gridCol w:w="36"/>
        <w:gridCol w:w="57"/>
        <w:gridCol w:w="1079"/>
        <w:gridCol w:w="187"/>
        <w:gridCol w:w="36"/>
        <w:gridCol w:w="36"/>
        <w:gridCol w:w="36"/>
        <w:gridCol w:w="57"/>
        <w:gridCol w:w="1079"/>
        <w:gridCol w:w="187"/>
      </w:tblGrid>
      <w:tr w:rsidR="00000000">
        <w:trPr>
          <w:divId w:val="1712071144"/>
          <w:jc w:val="center"/>
        </w:trPr>
        <w:tc>
          <w:tcPr>
            <w:tcW w:w="50" w:type="pct"/>
            <w:vAlign w:val="center"/>
            <w:hideMark/>
          </w:tcPr>
          <w:p w:rsidR="00000000" w:rsidRDefault="00905244">
            <w:pPr>
              <w:ind w:hanging="270"/>
              <w:jc w:val="both"/>
              <w:rPr>
                <w:rFonts w:eastAsia="Times New Roman"/>
              </w:rPr>
            </w:pPr>
          </w:p>
        </w:tc>
        <w:tc>
          <w:tcPr>
            <w:tcW w:w="326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74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74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712071144"/>
          <w:jc w:val="center"/>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December 26, 2020</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December 28, 2019</w:t>
            </w:r>
          </w:p>
        </w:tc>
      </w:tr>
      <w:tr w:rsidR="00000000">
        <w:trPr>
          <w:divId w:val="1712071144"/>
          <w:jc w:val="center"/>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Weighted-average remaining lease term (years):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712071144"/>
          <w:jc w:val="center"/>
        </w:trPr>
        <w:tc>
          <w:tcPr>
            <w:tcW w:w="0" w:type="auto"/>
            <w:gridSpan w:val="3"/>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Finance leases</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10.0</w:t>
            </w:r>
          </w:p>
        </w:tc>
      </w:tr>
      <w:tr w:rsidR="00000000">
        <w:trPr>
          <w:divId w:val="1712071144"/>
          <w:jc w:val="center"/>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9.1</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9.0</w:t>
            </w:r>
          </w:p>
        </w:tc>
      </w:tr>
      <w:tr w:rsidR="00000000">
        <w:trPr>
          <w:divId w:val="1712071144"/>
          <w:jc w:val="center"/>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Weighted-average discount rate:</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712071144"/>
          <w:jc w:val="center"/>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Finance leases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t>
            </w:r>
          </w:p>
        </w:tc>
      </w:tr>
      <w:tr w:rsidR="00000000">
        <w:trPr>
          <w:divId w:val="1712071144"/>
          <w:jc w:val="center"/>
        </w:trPr>
        <w:tc>
          <w:tcPr>
            <w:tcW w:w="0" w:type="auto"/>
            <w:gridSpan w:val="3"/>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Operating leases</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4.1 </w:t>
            </w:r>
          </w:p>
        </w:tc>
        <w:tc>
          <w:tcPr>
            <w:tcW w:w="0" w:type="auto"/>
            <w:tcMar>
              <w:top w:w="30" w:type="dxa"/>
              <w:left w:w="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4.3 </w:t>
            </w:r>
          </w:p>
        </w:tc>
        <w:tc>
          <w:tcPr>
            <w:tcW w:w="0" w:type="auto"/>
            <w:tcMar>
              <w:top w:w="30" w:type="dxa"/>
              <w:left w:w="0" w:type="dxa"/>
              <w:bottom w:w="30" w:type="dxa"/>
              <w:right w:w="20" w:type="dxa"/>
            </w:tcMar>
            <w:vAlign w:val="bottom"/>
            <w:hideMark/>
          </w:tcPr>
          <w:p w:rsidR="00000000" w:rsidRDefault="00905244">
            <w:pPr>
              <w:rPr>
                <w:rFonts w:eastAsia="Times New Roman"/>
              </w:rPr>
            </w:pPr>
            <w:r>
              <w:rPr>
                <w:rFonts w:eastAsia="Times New Roman"/>
                <w:color w:val="000000"/>
                <w:sz w:val="20"/>
                <w:szCs w:val="20"/>
              </w:rPr>
              <w:t>%</w:t>
            </w:r>
          </w:p>
        </w:tc>
      </w:tr>
    </w:tbl>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following table summarizes the other information related to the Company’s lease liabilities (in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404"/>
        <w:gridCol w:w="36"/>
        <w:gridCol w:w="36"/>
        <w:gridCol w:w="36"/>
        <w:gridCol w:w="36"/>
        <w:gridCol w:w="121"/>
        <w:gridCol w:w="1148"/>
        <w:gridCol w:w="36"/>
        <w:gridCol w:w="36"/>
        <w:gridCol w:w="36"/>
        <w:gridCol w:w="36"/>
        <w:gridCol w:w="121"/>
        <w:gridCol w:w="1150"/>
        <w:gridCol w:w="36"/>
      </w:tblGrid>
      <w:tr w:rsidR="00000000">
        <w:trPr>
          <w:divId w:val="444229824"/>
          <w:jc w:val="center"/>
        </w:trPr>
        <w:tc>
          <w:tcPr>
            <w:tcW w:w="50" w:type="pct"/>
            <w:vAlign w:val="center"/>
            <w:hideMark/>
          </w:tcPr>
          <w:p w:rsidR="00000000" w:rsidRDefault="00905244">
            <w:pPr>
              <w:jc w:val="both"/>
              <w:rPr>
                <w:rFonts w:eastAsia="Times New Roman"/>
              </w:rPr>
            </w:pPr>
          </w:p>
        </w:tc>
        <w:tc>
          <w:tcPr>
            <w:tcW w:w="327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74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74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444229824"/>
          <w:jc w:val="center"/>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 Ended</w:t>
            </w:r>
          </w:p>
        </w:tc>
      </w:tr>
      <w:tr w:rsidR="00000000">
        <w:trPr>
          <w:divId w:val="444229824"/>
          <w:jc w:val="center"/>
        </w:trPr>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December 26,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December 28, 2019</w:t>
            </w:r>
          </w:p>
        </w:tc>
      </w:tr>
      <w:tr w:rsidR="00000000">
        <w:trPr>
          <w:divId w:val="444229824"/>
          <w:jc w:val="center"/>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Cash paid for amounts included in the measurement of lease liabilities: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444229824"/>
          <w:jc w:val="center"/>
        </w:trPr>
        <w:tc>
          <w:tcPr>
            <w:tcW w:w="0" w:type="auto"/>
            <w:gridSpan w:val="3"/>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Financing cash flows used for finance leases</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4,170 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3,709 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44229824"/>
          <w:jc w:val="center"/>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Operating cash flows used for finance leases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1,765 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1,629 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444229824"/>
          <w:jc w:val="center"/>
        </w:trPr>
        <w:tc>
          <w:tcPr>
            <w:tcW w:w="0" w:type="auto"/>
            <w:gridSpan w:val="3"/>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Operating cash flows for operating leases</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385,529 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360,580 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The Company adopted new lease accounting guidance in the first quarter of fiscal 2019, as discussed in Note 1 to the Consolidated Financial Statements, and as required, the following disclosure is provided for periods prior to adoption. Total rent expense </w:t>
      </w:r>
      <w:r>
        <w:rPr>
          <w:rFonts w:eastAsia="Times New Roman"/>
          <w:color w:val="000000"/>
          <w:sz w:val="20"/>
          <w:szCs w:val="20"/>
        </w:rPr>
        <w:t xml:space="preserve">was approximately $342.2 million for fiscal 2018. Total contingent rent expense was insignificant for fiscal 2018. </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Note 7 – Capital Stock and Dividends: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u w:val="single"/>
        </w:rPr>
        <w:t>Capital Stock</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authorized capital stock of the Company consists of common stock and preferred</w:t>
      </w:r>
      <w:r>
        <w:rPr>
          <w:rFonts w:eastAsia="Times New Roman"/>
          <w:color w:val="000000"/>
          <w:sz w:val="20"/>
          <w:szCs w:val="20"/>
        </w:rPr>
        <w:t xml:space="preserve"> stock. The Company is authorized to issue 400 million shares of common stock. The Company is also authorized to issue 40 thousand shares of preferred stock, with such designations, rights and preferences as may be determined from time to time by the Compa</w:t>
      </w:r>
      <w:r>
        <w:rPr>
          <w:rFonts w:eastAsia="Times New Roman"/>
          <w:color w:val="000000"/>
          <w:sz w:val="20"/>
          <w:szCs w:val="20"/>
        </w:rPr>
        <w:t>ny’s Board of Directors.</w:t>
      </w:r>
    </w:p>
    <w:p w:rsidR="00000000" w:rsidRDefault="00905244">
      <w:pPr>
        <w:jc w:val="both"/>
        <w:rPr>
          <w:rFonts w:eastAsia="Times New Roman"/>
        </w:rPr>
      </w:pPr>
    </w:p>
    <w:p w:rsidR="00000000" w:rsidRDefault="00905244">
      <w:pPr>
        <w:jc w:val="center"/>
        <w:divId w:val="951285105"/>
        <w:rPr>
          <w:rFonts w:eastAsia="Times New Roman"/>
        </w:rPr>
      </w:pPr>
      <w:r>
        <w:rPr>
          <w:rFonts w:eastAsia="Times New Roman"/>
          <w:color w:val="000000"/>
          <w:sz w:val="20"/>
          <w:szCs w:val="20"/>
        </w:rPr>
        <w:t>73</w:t>
      </w:r>
    </w:p>
    <w:p w:rsidR="00000000" w:rsidRDefault="00905244">
      <w:pPr>
        <w:rPr>
          <w:rFonts w:eastAsia="Times New Roman"/>
        </w:rPr>
      </w:pPr>
      <w:r>
        <w:rPr>
          <w:rFonts w:eastAsia="Times New Roman"/>
        </w:rPr>
        <w:pict>
          <v:rect id="_x0000_i1102" style="width:0;height:1.5pt" o:hralign="center" o:hrstd="t" o:hr="t" fillcolor="#a0a0a0" stroked="f"/>
        </w:pict>
      </w:r>
    </w:p>
    <w:p w:rsidR="00000000" w:rsidRDefault="00905244">
      <w:pPr>
        <w:divId w:val="1483765979"/>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u w:val="single"/>
        </w:rPr>
        <w:t>Dividends</w:t>
      </w:r>
    </w:p>
    <w:p w:rsidR="00000000" w:rsidRDefault="00905244">
      <w:pPr>
        <w:jc w:val="both"/>
        <w:rPr>
          <w:rFonts w:eastAsia="Times New Roman"/>
        </w:rPr>
      </w:pPr>
    </w:p>
    <w:p w:rsidR="00000000" w:rsidRDefault="00905244">
      <w:pPr>
        <w:divId w:val="1707943166"/>
        <w:rPr>
          <w:rFonts w:eastAsia="Times New Roman"/>
        </w:rPr>
      </w:pPr>
      <w:r>
        <w:rPr>
          <w:rFonts w:eastAsia="Times New Roman"/>
          <w:color w:val="000000"/>
          <w:sz w:val="20"/>
          <w:szCs w:val="20"/>
        </w:rPr>
        <w:t>During fiscal 2020 and 2019, the Company’s Board of Directors declared the following cash dividends:</w:t>
      </w:r>
    </w:p>
    <w:tbl>
      <w:tblPr>
        <w:tblW w:w="5000" w:type="pct"/>
        <w:tblCellMar>
          <w:top w:w="15" w:type="dxa"/>
          <w:left w:w="15" w:type="dxa"/>
          <w:bottom w:w="15" w:type="dxa"/>
          <w:right w:w="15" w:type="dxa"/>
        </w:tblCellMar>
        <w:tblLook w:val="04A0" w:firstRow="1" w:lastRow="0" w:firstColumn="1" w:lastColumn="0" w:noHBand="0" w:noVBand="1"/>
      </w:tblPr>
      <w:tblGrid>
        <w:gridCol w:w="57"/>
        <w:gridCol w:w="2252"/>
        <w:gridCol w:w="37"/>
        <w:gridCol w:w="36"/>
        <w:gridCol w:w="36"/>
        <w:gridCol w:w="36"/>
        <w:gridCol w:w="48"/>
        <w:gridCol w:w="1319"/>
        <w:gridCol w:w="36"/>
        <w:gridCol w:w="36"/>
        <w:gridCol w:w="36"/>
        <w:gridCol w:w="36"/>
        <w:gridCol w:w="40"/>
        <w:gridCol w:w="2106"/>
        <w:gridCol w:w="37"/>
        <w:gridCol w:w="36"/>
        <w:gridCol w:w="36"/>
        <w:gridCol w:w="36"/>
        <w:gridCol w:w="40"/>
        <w:gridCol w:w="1973"/>
        <w:gridCol w:w="37"/>
      </w:tblGrid>
      <w:tr w:rsidR="00000000">
        <w:trPr>
          <w:divId w:val="1899128687"/>
        </w:trPr>
        <w:tc>
          <w:tcPr>
            <w:tcW w:w="50" w:type="pct"/>
            <w:vAlign w:val="center"/>
            <w:hideMark/>
          </w:tcPr>
          <w:p w:rsidR="00000000" w:rsidRDefault="00905244">
            <w:pPr>
              <w:rPr>
                <w:rFonts w:eastAsia="Times New Roman"/>
              </w:rPr>
            </w:pPr>
          </w:p>
        </w:tc>
        <w:tc>
          <w:tcPr>
            <w:tcW w:w="137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814"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128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1202"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899128687"/>
        </w:trPr>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Date Declared</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Dividend Amount</w:t>
            </w:r>
            <w:r>
              <w:rPr>
                <w:rFonts w:eastAsia="Times New Roman"/>
                <w:b/>
                <w:bCs/>
                <w:color w:val="000000"/>
                <w:sz w:val="20"/>
                <w:szCs w:val="20"/>
              </w:rPr>
              <w:br/>
              <w:t>Per Share of Common Stock</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Record Date</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Date Paid</w:t>
            </w:r>
          </w:p>
        </w:tc>
      </w:tr>
      <w:tr w:rsidR="00000000">
        <w:trPr>
          <w:divId w:val="189912868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November 4, 2020</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$0.40</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November 23, 2020</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December 8, 2020</w:t>
            </w:r>
          </w:p>
        </w:tc>
      </w:tr>
      <w:tr w:rsidR="00000000">
        <w:trPr>
          <w:divId w:val="1899128687"/>
        </w:trPr>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August 5, 2020</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$0.40</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August 24, 2020</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September 9, 2020</w:t>
            </w:r>
          </w:p>
        </w:tc>
      </w:tr>
      <w:tr w:rsidR="00000000">
        <w:trPr>
          <w:divId w:val="1899128687"/>
        </w:trPr>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May 6, 2020</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$0.35</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May 26, 2020</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June 9, 2020</w:t>
            </w:r>
          </w:p>
        </w:tc>
      </w:tr>
      <w:tr w:rsidR="00000000">
        <w:trPr>
          <w:divId w:val="1899128687"/>
        </w:trPr>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February 5, 2020</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$0.35</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February 24, 2020</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March 10, 2020</w:t>
            </w:r>
          </w:p>
        </w:tc>
      </w:tr>
      <w:tr w:rsidR="00000000">
        <w:trPr>
          <w:divId w:val="1899128687"/>
          <w:trHeight w:val="300"/>
        </w:trPr>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899128687"/>
        </w:trPr>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November 6, 2019</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$0.35</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November 25, 2019</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December 10, 2019</w:t>
            </w:r>
          </w:p>
        </w:tc>
      </w:tr>
      <w:tr w:rsidR="00000000">
        <w:trPr>
          <w:divId w:val="1899128687"/>
        </w:trPr>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August 7, 2019</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$0.35</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August 26, 2019</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September 10, 2019</w:t>
            </w:r>
          </w:p>
        </w:tc>
      </w:tr>
      <w:tr w:rsidR="00000000">
        <w:trPr>
          <w:divId w:val="1899128687"/>
        </w:trPr>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May 8, 2019</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$0.35</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May 28, 2019</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June 11, 2019</w:t>
            </w:r>
          </w:p>
        </w:tc>
      </w:tr>
      <w:tr w:rsidR="00000000">
        <w:trPr>
          <w:divId w:val="1899128687"/>
        </w:trPr>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February 6, 2019</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$0.31</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February 25, 2019</w:t>
            </w:r>
          </w:p>
        </w:tc>
        <w:tc>
          <w:tcPr>
            <w:tcW w:w="0" w:type="auto"/>
            <w:gridSpan w:val="3"/>
            <w:shd w:val="clear" w:color="auto" w:fill="CCEEFF"/>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color w:val="000000"/>
                <w:sz w:val="20"/>
                <w:szCs w:val="20"/>
              </w:rPr>
              <w:t>March 12, 2019</w:t>
            </w:r>
          </w:p>
        </w:tc>
      </w:tr>
    </w:tbl>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It is the present intention of the Company’s Board of Directors to continue to pay a quarterly cash dividend; however, the declaration and payment of future dividends will be determined by the Company’s Board of Directors in its sole discretion and will de</w:t>
      </w:r>
      <w:r>
        <w:rPr>
          <w:rFonts w:eastAsia="Times New Roman"/>
          <w:color w:val="000000"/>
          <w:sz w:val="20"/>
          <w:szCs w:val="20"/>
        </w:rPr>
        <w:t>pend upon the earnings, financial condition, and capital needs of the Company, along with any other factors which the Company’s Board of Directors deem relevant.</w:t>
      </w:r>
    </w:p>
    <w:p w:rsidR="00000000" w:rsidRDefault="00905244">
      <w:pPr>
        <w:divId w:val="1156452592"/>
        <w:rPr>
          <w:rFonts w:eastAsia="Times New Roman"/>
        </w:rPr>
      </w:pPr>
    </w:p>
    <w:p w:rsidR="00000000" w:rsidRDefault="00905244">
      <w:pPr>
        <w:jc w:val="both"/>
        <w:rPr>
          <w:rFonts w:eastAsia="Times New Roman"/>
        </w:rPr>
      </w:pPr>
      <w:r>
        <w:rPr>
          <w:rFonts w:eastAsia="Times New Roman"/>
          <w:color w:val="000000"/>
          <w:sz w:val="20"/>
          <w:szCs w:val="20"/>
        </w:rPr>
        <w:t xml:space="preserve">On January 27, 2021, the Company’s Board of Directors declared a quarterly cash dividend of </w:t>
      </w:r>
      <w:r>
        <w:rPr>
          <w:rFonts w:eastAsia="Times New Roman"/>
          <w:color w:val="000000"/>
          <w:sz w:val="20"/>
          <w:szCs w:val="20"/>
        </w:rPr>
        <w:t xml:space="preserve">$0.52 per share of the Company’s outstanding common stock.  The dividend will be paid on March 9, 2021, to stockholders of record as of the close of business on February 22, 2021. </w:t>
      </w:r>
    </w:p>
    <w:p w:rsidR="00000000" w:rsidRDefault="00905244">
      <w:pPr>
        <w:divId w:val="1347711361"/>
        <w:rPr>
          <w:rFonts w:eastAsia="Times New Roman"/>
        </w:rPr>
      </w:pPr>
    </w:p>
    <w:p w:rsidR="00000000" w:rsidRDefault="00905244">
      <w:pPr>
        <w:jc w:val="both"/>
        <w:rPr>
          <w:rFonts w:eastAsia="Times New Roman"/>
        </w:rPr>
      </w:pPr>
      <w:r>
        <w:rPr>
          <w:rFonts w:eastAsia="Times New Roman"/>
          <w:b/>
          <w:bCs/>
          <w:color w:val="000000"/>
          <w:sz w:val="20"/>
          <w:szCs w:val="20"/>
        </w:rPr>
        <w:t>Note 8 – Treasury Stock:</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Company’</w:t>
      </w:r>
      <w:r>
        <w:rPr>
          <w:rFonts w:eastAsia="Times New Roman"/>
          <w:color w:val="000000"/>
          <w:sz w:val="20"/>
          <w:szCs w:val="20"/>
        </w:rPr>
        <w:t xml:space="preserve">s Board of Directors has authorized common stock repurchases under a share repurchase program which was announced in February 2007. The authorization amount of the program, which has been increased from time to time, is currently authorized for up to $4.5 </w:t>
      </w:r>
      <w:r>
        <w:rPr>
          <w:rFonts w:eastAsia="Times New Roman"/>
          <w:color w:val="000000"/>
          <w:sz w:val="20"/>
          <w:szCs w:val="20"/>
        </w:rPr>
        <w:t>billion, exclusive of any fees, commissions or other expenses related to such repurchases. The share repurchase program does not have an expiration date. The repurchases may be made from time to time on the open market or in privately negotiated transactio</w:t>
      </w:r>
      <w:r>
        <w:rPr>
          <w:rFonts w:eastAsia="Times New Roman"/>
          <w:color w:val="000000"/>
          <w:sz w:val="20"/>
          <w:szCs w:val="20"/>
        </w:rPr>
        <w:t>ns. The timing and amount of any shares repurchased under the program will depend on a variety of factors, including price, corporate and regulatory requirements, capital availability and other market conditions. Repurchased shares are accounted for at cos</w:t>
      </w:r>
      <w:r>
        <w:rPr>
          <w:rFonts w:eastAsia="Times New Roman"/>
          <w:color w:val="000000"/>
          <w:sz w:val="20"/>
          <w:szCs w:val="20"/>
        </w:rPr>
        <w:t>t and will be held in treasury for future issuance. The program may be limited, temporarily paused, or terminated at any time without prior notice. As of December 26, 2020, the Company had remaining authorization under the share repurchase program of $1.14</w:t>
      </w:r>
      <w:r>
        <w:rPr>
          <w:rFonts w:eastAsia="Times New Roman"/>
          <w:color w:val="000000"/>
          <w:sz w:val="20"/>
          <w:szCs w:val="20"/>
        </w:rPr>
        <w:t xml:space="preserve"> billion, exclusive of any fees, commissions or other expenses.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following table provides the number of shares repurchased, average price paid per share, and total amount paid for share repurchases in fiscal 2020, 2019, and 2018, respectively (in tho</w:t>
      </w:r>
      <w:r>
        <w:rPr>
          <w:rFonts w:eastAsia="Times New Roman"/>
          <w:color w:val="000000"/>
          <w:sz w:val="20"/>
          <w:szCs w:val="20"/>
        </w:rPr>
        <w:t>usands, except per share amounts):  </w:t>
      </w:r>
    </w:p>
    <w:tbl>
      <w:tblPr>
        <w:tblW w:w="4970" w:type="pct"/>
        <w:tblCellMar>
          <w:top w:w="15" w:type="dxa"/>
          <w:left w:w="15" w:type="dxa"/>
          <w:bottom w:w="15" w:type="dxa"/>
          <w:right w:w="15" w:type="dxa"/>
        </w:tblCellMar>
        <w:tblLook w:val="04A0" w:firstRow="1" w:lastRow="0" w:firstColumn="1" w:lastColumn="0" w:noHBand="0" w:noVBand="1"/>
      </w:tblPr>
      <w:tblGrid>
        <w:gridCol w:w="37"/>
        <w:gridCol w:w="4020"/>
        <w:gridCol w:w="36"/>
        <w:gridCol w:w="120"/>
        <w:gridCol w:w="1176"/>
        <w:gridCol w:w="36"/>
        <w:gridCol w:w="36"/>
        <w:gridCol w:w="36"/>
        <w:gridCol w:w="36"/>
        <w:gridCol w:w="120"/>
        <w:gridCol w:w="1127"/>
        <w:gridCol w:w="36"/>
        <w:gridCol w:w="36"/>
        <w:gridCol w:w="36"/>
        <w:gridCol w:w="36"/>
        <w:gridCol w:w="120"/>
        <w:gridCol w:w="1176"/>
        <w:gridCol w:w="36"/>
      </w:tblGrid>
      <w:tr w:rsidR="00000000">
        <w:trPr>
          <w:divId w:val="1439064047"/>
        </w:trPr>
        <w:tc>
          <w:tcPr>
            <w:tcW w:w="50" w:type="pct"/>
            <w:vAlign w:val="center"/>
            <w:hideMark/>
          </w:tcPr>
          <w:p w:rsidR="00000000" w:rsidRDefault="00905244">
            <w:pPr>
              <w:jc w:val="both"/>
              <w:rPr>
                <w:rFonts w:eastAsia="Times New Roman"/>
              </w:rPr>
            </w:pPr>
          </w:p>
        </w:tc>
        <w:tc>
          <w:tcPr>
            <w:tcW w:w="2474"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74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74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1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74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439064047"/>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w:t>
            </w:r>
          </w:p>
        </w:tc>
      </w:tr>
      <w:tr w:rsidR="00000000">
        <w:trPr>
          <w:divId w:val="1439064047"/>
        </w:trPr>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2018</w:t>
            </w:r>
          </w:p>
        </w:tc>
      </w:tr>
      <w:tr w:rsidR="00000000">
        <w:trPr>
          <w:divId w:val="1439064047"/>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 number of shares repurchased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3,439 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5,384 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4,987 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439064047"/>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Average price paid per share</w:t>
            </w: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99.72 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99.05 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70.14 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439064047"/>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 cash paid for share repurchases</w:t>
            </w: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342,957 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533,319 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349,776 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divId w:val="1918393674"/>
        <w:rPr>
          <w:rFonts w:eastAsia="Times New Roman"/>
        </w:rPr>
      </w:pPr>
    </w:p>
    <w:p w:rsidR="00000000" w:rsidRDefault="00905244">
      <w:pPr>
        <w:jc w:val="both"/>
        <w:rPr>
          <w:rFonts w:eastAsia="Times New Roman"/>
        </w:rPr>
      </w:pPr>
      <w:r>
        <w:rPr>
          <w:rFonts w:eastAsia="Times New Roman"/>
          <w:color w:val="000000"/>
          <w:sz w:val="20"/>
          <w:szCs w:val="20"/>
        </w:rPr>
        <w:t>Shares repurchased in fiscal 2020 were impacted by the temporary suspension of our share repurchase program from March 12, 2020 until November 5, 2020, in order to strengthen our liquidity and preserve cash while navigating the COVID-19 pandemic.</w:t>
      </w:r>
    </w:p>
    <w:p w:rsidR="00000000" w:rsidRDefault="00905244">
      <w:pPr>
        <w:jc w:val="center"/>
        <w:divId w:val="231744801"/>
        <w:rPr>
          <w:rFonts w:eastAsia="Times New Roman"/>
        </w:rPr>
      </w:pPr>
      <w:r>
        <w:rPr>
          <w:rFonts w:eastAsia="Times New Roman"/>
          <w:color w:val="000000"/>
          <w:sz w:val="20"/>
          <w:szCs w:val="20"/>
        </w:rPr>
        <w:t>74</w:t>
      </w:r>
    </w:p>
    <w:p w:rsidR="00000000" w:rsidRDefault="00905244">
      <w:pPr>
        <w:rPr>
          <w:rFonts w:eastAsia="Times New Roman"/>
        </w:rPr>
      </w:pPr>
      <w:r>
        <w:rPr>
          <w:rFonts w:eastAsia="Times New Roman"/>
        </w:rPr>
        <w:pict>
          <v:rect id="_x0000_i1103" style="width:0;height:1.5pt" o:hralign="center" o:hrstd="t" o:hr="t" fillcolor="#a0a0a0" stroked="f"/>
        </w:pict>
      </w:r>
    </w:p>
    <w:p w:rsidR="00000000" w:rsidRDefault="00905244">
      <w:pPr>
        <w:divId w:val="760101520"/>
        <w:rPr>
          <w:rFonts w:eastAsia="Times New Roman"/>
        </w:rPr>
      </w:pPr>
      <w:hyperlink w:anchor="i137f04c25e1e4da3b6d1f469d06f3319_7" w:history="1">
        <w:r>
          <w:rPr>
            <w:rStyle w:val="a3"/>
            <w:rFonts w:eastAsia="Times New Roman"/>
            <w:sz w:val="18"/>
            <w:szCs w:val="18"/>
          </w:rPr>
          <w:t>Index</w:t>
        </w:r>
      </w:hyperlink>
    </w:p>
    <w:p w:rsidR="00000000" w:rsidRDefault="00905244">
      <w:pPr>
        <w:divId w:val="964896303"/>
        <w:rPr>
          <w:rFonts w:eastAsia="Times New Roman"/>
        </w:rPr>
      </w:pPr>
      <w:r>
        <w:rPr>
          <w:rFonts w:eastAsia="Times New Roman"/>
          <w:b/>
          <w:bCs/>
          <w:color w:val="000000"/>
          <w:sz w:val="20"/>
          <w:szCs w:val="20"/>
        </w:rPr>
        <w:t>Note 9 – Net Income Per Share:</w:t>
      </w:r>
    </w:p>
    <w:p w:rsidR="00000000" w:rsidRDefault="00905244">
      <w:pPr>
        <w:divId w:val="1783066266"/>
        <w:rPr>
          <w:rFonts w:eastAsia="Times New Roman"/>
        </w:rPr>
      </w:pPr>
    </w:p>
    <w:p w:rsidR="00000000" w:rsidRDefault="00905244">
      <w:pPr>
        <w:divId w:val="564951427"/>
        <w:rPr>
          <w:rFonts w:eastAsia="Times New Roman"/>
        </w:rPr>
      </w:pPr>
      <w:r>
        <w:rPr>
          <w:rFonts w:eastAsia="Times New Roman"/>
          <w:color w:val="000000"/>
          <w:sz w:val="20"/>
          <w:szCs w:val="20"/>
        </w:rPr>
        <w:t>Net income per share is calculated as follows (in thousands, except per share amounts):</w:t>
      </w:r>
    </w:p>
    <w:tbl>
      <w:tblPr>
        <w:tblW w:w="4985" w:type="pct"/>
        <w:tblCellMar>
          <w:top w:w="15" w:type="dxa"/>
          <w:left w:w="15" w:type="dxa"/>
          <w:bottom w:w="15" w:type="dxa"/>
          <w:right w:w="15" w:type="dxa"/>
        </w:tblCellMar>
        <w:tblLook w:val="04A0" w:firstRow="1" w:lastRow="0" w:firstColumn="1" w:lastColumn="0" w:noHBand="0" w:noVBand="1"/>
      </w:tblPr>
      <w:tblGrid>
        <w:gridCol w:w="46"/>
        <w:gridCol w:w="4827"/>
        <w:gridCol w:w="37"/>
        <w:gridCol w:w="120"/>
        <w:gridCol w:w="940"/>
        <w:gridCol w:w="36"/>
        <w:gridCol w:w="36"/>
        <w:gridCol w:w="36"/>
        <w:gridCol w:w="36"/>
        <w:gridCol w:w="57"/>
        <w:gridCol w:w="899"/>
        <w:gridCol w:w="36"/>
        <w:gridCol w:w="36"/>
        <w:gridCol w:w="36"/>
        <w:gridCol w:w="36"/>
        <w:gridCol w:w="121"/>
        <w:gridCol w:w="910"/>
        <w:gridCol w:w="36"/>
      </w:tblGrid>
      <w:tr w:rsidR="00000000">
        <w:trPr>
          <w:divId w:val="515509727"/>
        </w:trPr>
        <w:tc>
          <w:tcPr>
            <w:tcW w:w="50" w:type="pct"/>
            <w:vAlign w:val="center"/>
            <w:hideMark/>
          </w:tcPr>
          <w:p w:rsidR="00000000" w:rsidRDefault="00905244">
            <w:pPr>
              <w:rPr>
                <w:rFonts w:eastAsia="Times New Roman"/>
              </w:rPr>
            </w:pPr>
          </w:p>
        </w:tc>
        <w:tc>
          <w:tcPr>
            <w:tcW w:w="293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515509727"/>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w:t>
            </w:r>
          </w:p>
        </w:tc>
      </w:tr>
      <w:tr w:rsidR="00000000">
        <w:trPr>
          <w:divId w:val="515509727"/>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2020</w:t>
            </w:r>
          </w:p>
        </w:tc>
      </w:tr>
      <w:tr w:rsidR="00000000">
        <w:trPr>
          <w:divId w:val="515509727"/>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Net</w:t>
            </w:r>
          </w:p>
          <w:p w:rsidR="00000000" w:rsidRDefault="00905244">
            <w:pPr>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Per Share</w:t>
            </w:r>
          </w:p>
          <w:p w:rsidR="00000000" w:rsidRDefault="00905244">
            <w:pPr>
              <w:jc w:val="center"/>
              <w:rPr>
                <w:rFonts w:eastAsia="Times New Roman"/>
              </w:rPr>
            </w:pPr>
            <w:r>
              <w:rPr>
                <w:rFonts w:eastAsia="Times New Roman"/>
                <w:b/>
                <w:bCs/>
                <w:color w:val="000000"/>
                <w:sz w:val="20"/>
                <w:szCs w:val="20"/>
              </w:rPr>
              <w:t>Amount</w:t>
            </w:r>
          </w:p>
        </w:tc>
      </w:tr>
      <w:tr w:rsidR="00000000">
        <w:trPr>
          <w:divId w:val="515509727"/>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Basic net income per share: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748,958 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116,370 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515509727"/>
        </w:trPr>
        <w:tc>
          <w:tcPr>
            <w:tcW w:w="0" w:type="auto"/>
            <w:gridSpan w:val="3"/>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Dilutive effect of share-based awards</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1,066 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(0.06)</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515509727"/>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Diluted net income per share: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748,958 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117,436 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divId w:val="850798466"/>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46"/>
        <w:gridCol w:w="4827"/>
        <w:gridCol w:w="37"/>
        <w:gridCol w:w="120"/>
        <w:gridCol w:w="940"/>
        <w:gridCol w:w="36"/>
        <w:gridCol w:w="36"/>
        <w:gridCol w:w="36"/>
        <w:gridCol w:w="36"/>
        <w:gridCol w:w="57"/>
        <w:gridCol w:w="899"/>
        <w:gridCol w:w="36"/>
        <w:gridCol w:w="36"/>
        <w:gridCol w:w="36"/>
        <w:gridCol w:w="36"/>
        <w:gridCol w:w="121"/>
        <w:gridCol w:w="910"/>
        <w:gridCol w:w="36"/>
      </w:tblGrid>
      <w:tr w:rsidR="00000000">
        <w:trPr>
          <w:divId w:val="1086416198"/>
        </w:trPr>
        <w:tc>
          <w:tcPr>
            <w:tcW w:w="50" w:type="pct"/>
            <w:vAlign w:val="center"/>
            <w:hideMark/>
          </w:tcPr>
          <w:p w:rsidR="00000000" w:rsidRDefault="00905244">
            <w:pPr>
              <w:rPr>
                <w:rFonts w:eastAsia="Times New Roman"/>
              </w:rPr>
            </w:pPr>
          </w:p>
        </w:tc>
        <w:tc>
          <w:tcPr>
            <w:tcW w:w="293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086416198"/>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w:t>
            </w:r>
          </w:p>
        </w:tc>
      </w:tr>
      <w:tr w:rsidR="00000000">
        <w:trPr>
          <w:divId w:val="1086416198"/>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2019</w:t>
            </w:r>
          </w:p>
        </w:tc>
      </w:tr>
      <w:tr w:rsidR="00000000">
        <w:trPr>
          <w:divId w:val="1086416198"/>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Net</w:t>
            </w:r>
          </w:p>
          <w:p w:rsidR="00000000" w:rsidRDefault="00905244">
            <w:pPr>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Per Share</w:t>
            </w:r>
          </w:p>
          <w:p w:rsidR="00000000" w:rsidRDefault="00905244">
            <w:pPr>
              <w:jc w:val="center"/>
              <w:rPr>
                <w:rFonts w:eastAsia="Times New Roman"/>
              </w:rPr>
            </w:pPr>
            <w:r>
              <w:rPr>
                <w:rFonts w:eastAsia="Times New Roman"/>
                <w:b/>
                <w:bCs/>
                <w:color w:val="000000"/>
                <w:sz w:val="20"/>
                <w:szCs w:val="20"/>
              </w:rPr>
              <w:t>Amount</w:t>
            </w:r>
          </w:p>
        </w:tc>
      </w:tr>
      <w:tr w:rsidR="00000000">
        <w:trPr>
          <w:divId w:val="1086416198"/>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Basic net income per share: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562,354 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119,727 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086416198"/>
        </w:trPr>
        <w:tc>
          <w:tcPr>
            <w:tcW w:w="0" w:type="auto"/>
            <w:gridSpan w:val="3"/>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Dilutive effect of share-based awards</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1,016 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(0.04)</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1086416198"/>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Diluted net income per share: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562,354 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120,743 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divId w:val="1709405801"/>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46"/>
        <w:gridCol w:w="4827"/>
        <w:gridCol w:w="37"/>
        <w:gridCol w:w="120"/>
        <w:gridCol w:w="940"/>
        <w:gridCol w:w="36"/>
        <w:gridCol w:w="36"/>
        <w:gridCol w:w="36"/>
        <w:gridCol w:w="36"/>
        <w:gridCol w:w="57"/>
        <w:gridCol w:w="899"/>
        <w:gridCol w:w="36"/>
        <w:gridCol w:w="36"/>
        <w:gridCol w:w="36"/>
        <w:gridCol w:w="36"/>
        <w:gridCol w:w="121"/>
        <w:gridCol w:w="910"/>
        <w:gridCol w:w="36"/>
      </w:tblGrid>
      <w:tr w:rsidR="00000000">
        <w:trPr>
          <w:divId w:val="2069768672"/>
        </w:trPr>
        <w:tc>
          <w:tcPr>
            <w:tcW w:w="50" w:type="pct"/>
            <w:vAlign w:val="center"/>
            <w:hideMark/>
          </w:tcPr>
          <w:p w:rsidR="00000000" w:rsidRDefault="00905244">
            <w:pPr>
              <w:rPr>
                <w:rFonts w:eastAsia="Times New Roman"/>
              </w:rPr>
            </w:pPr>
          </w:p>
        </w:tc>
        <w:tc>
          <w:tcPr>
            <w:tcW w:w="293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2069768672"/>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w:t>
            </w:r>
          </w:p>
        </w:tc>
      </w:tr>
      <w:tr w:rsidR="00000000">
        <w:trPr>
          <w:divId w:val="2069768672"/>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2018</w:t>
            </w:r>
          </w:p>
        </w:tc>
      </w:tr>
      <w:tr w:rsidR="00000000">
        <w:trPr>
          <w:divId w:val="2069768672"/>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Net</w:t>
            </w:r>
          </w:p>
          <w:p w:rsidR="00000000" w:rsidRDefault="00905244">
            <w:pPr>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Per Share</w:t>
            </w:r>
          </w:p>
          <w:p w:rsidR="00000000" w:rsidRDefault="00905244">
            <w:pPr>
              <w:jc w:val="center"/>
              <w:rPr>
                <w:rFonts w:eastAsia="Times New Roman"/>
              </w:rPr>
            </w:pPr>
            <w:r>
              <w:rPr>
                <w:rFonts w:eastAsia="Times New Roman"/>
                <w:b/>
                <w:bCs/>
                <w:color w:val="000000"/>
                <w:sz w:val="20"/>
                <w:szCs w:val="20"/>
              </w:rPr>
              <w:t>Amount</w:t>
            </w:r>
          </w:p>
        </w:tc>
      </w:tr>
      <w:tr w:rsidR="00000000">
        <w:trPr>
          <w:divId w:val="2069768672"/>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Basic net income per share: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532,357 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122,651 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069768672"/>
        </w:trPr>
        <w:tc>
          <w:tcPr>
            <w:tcW w:w="0" w:type="auto"/>
            <w:gridSpan w:val="3"/>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Dilutive effect of share-based awards</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820 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(0.03)</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069768672"/>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Diluted net income per share: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532,357 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123,471 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divId w:val="247423765"/>
        <w:rPr>
          <w:rFonts w:eastAsia="Times New Roman"/>
        </w:rPr>
      </w:pPr>
    </w:p>
    <w:p w:rsidR="00000000" w:rsidRDefault="00905244">
      <w:pPr>
        <w:jc w:val="both"/>
        <w:rPr>
          <w:rFonts w:eastAsia="Times New Roman"/>
        </w:rPr>
      </w:pPr>
      <w:r>
        <w:rPr>
          <w:rFonts w:eastAsia="Times New Roman"/>
          <w:color w:val="000000"/>
          <w:sz w:val="20"/>
          <w:szCs w:val="20"/>
        </w:rPr>
        <w:t>Anti-dilutive share-based awards excluded from the above calculations totaled less than 0.1 million and approximately 0.4 million and 3.1 million shares in fiscal 2020, 2019, and 2018, respectively.</w:t>
      </w:r>
    </w:p>
    <w:p w:rsidR="00000000" w:rsidRDefault="00905244">
      <w:pPr>
        <w:divId w:val="970674224"/>
        <w:rPr>
          <w:rFonts w:eastAsia="Times New Roman"/>
        </w:rPr>
      </w:pPr>
    </w:p>
    <w:p w:rsidR="00000000" w:rsidRDefault="00905244">
      <w:pPr>
        <w:jc w:val="both"/>
        <w:rPr>
          <w:rFonts w:eastAsia="Times New Roman"/>
        </w:rPr>
      </w:pPr>
      <w:r>
        <w:rPr>
          <w:rFonts w:eastAsia="Times New Roman"/>
          <w:b/>
          <w:bCs/>
          <w:color w:val="000000"/>
          <w:sz w:val="20"/>
          <w:szCs w:val="20"/>
        </w:rPr>
        <w:t>Note 10 – Income Taxes:</w:t>
      </w:r>
    </w:p>
    <w:p w:rsidR="00000000" w:rsidRDefault="00905244">
      <w:pPr>
        <w:divId w:val="1640379196"/>
        <w:rPr>
          <w:rFonts w:eastAsia="Times New Roman"/>
        </w:rPr>
      </w:pPr>
    </w:p>
    <w:p w:rsidR="00000000" w:rsidRDefault="00905244">
      <w:pPr>
        <w:jc w:val="both"/>
        <w:rPr>
          <w:rFonts w:eastAsia="Times New Roman"/>
        </w:rPr>
      </w:pPr>
      <w:r>
        <w:rPr>
          <w:rFonts w:eastAsia="Times New Roman"/>
          <w:color w:val="000000"/>
          <w:sz w:val="20"/>
          <w:szCs w:val="20"/>
        </w:rPr>
        <w:t>The provision for income taxes consists of the following (in thousands):</w:t>
      </w:r>
    </w:p>
    <w:tbl>
      <w:tblPr>
        <w:tblW w:w="4985" w:type="pct"/>
        <w:tblCellMar>
          <w:top w:w="15" w:type="dxa"/>
          <w:left w:w="15" w:type="dxa"/>
          <w:bottom w:w="15" w:type="dxa"/>
          <w:right w:w="15" w:type="dxa"/>
        </w:tblCellMar>
        <w:tblLook w:val="04A0" w:firstRow="1" w:lastRow="0" w:firstColumn="1" w:lastColumn="0" w:noHBand="0" w:noVBand="1"/>
      </w:tblPr>
      <w:tblGrid>
        <w:gridCol w:w="38"/>
        <w:gridCol w:w="4813"/>
        <w:gridCol w:w="37"/>
        <w:gridCol w:w="120"/>
        <w:gridCol w:w="929"/>
        <w:gridCol w:w="36"/>
        <w:gridCol w:w="36"/>
        <w:gridCol w:w="36"/>
        <w:gridCol w:w="36"/>
        <w:gridCol w:w="120"/>
        <w:gridCol w:w="890"/>
        <w:gridCol w:w="36"/>
        <w:gridCol w:w="36"/>
        <w:gridCol w:w="36"/>
        <w:gridCol w:w="36"/>
        <w:gridCol w:w="120"/>
        <w:gridCol w:w="890"/>
        <w:gridCol w:w="36"/>
      </w:tblGrid>
      <w:tr w:rsidR="00000000">
        <w:trPr>
          <w:divId w:val="745883980"/>
        </w:trPr>
        <w:tc>
          <w:tcPr>
            <w:tcW w:w="50" w:type="pct"/>
            <w:vAlign w:val="center"/>
            <w:hideMark/>
          </w:tcPr>
          <w:p w:rsidR="00000000" w:rsidRDefault="00905244">
            <w:pPr>
              <w:jc w:val="both"/>
              <w:rPr>
                <w:rFonts w:eastAsia="Times New Roman"/>
              </w:rPr>
            </w:pPr>
          </w:p>
        </w:tc>
        <w:tc>
          <w:tcPr>
            <w:tcW w:w="293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745883980"/>
          <w:trHeight w:val="12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15"/>
            <w:vMerge w:val="restart"/>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w:t>
            </w:r>
          </w:p>
        </w:tc>
      </w:tr>
      <w:tr w:rsidR="00000000">
        <w:trPr>
          <w:divId w:val="745883980"/>
          <w:trHeight w:val="120"/>
        </w:trPr>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15"/>
            <w:vMerge/>
            <w:vAlign w:val="center"/>
            <w:hideMark/>
          </w:tcPr>
          <w:p w:rsidR="00000000" w:rsidRDefault="00905244">
            <w:pPr>
              <w:rPr>
                <w:rFonts w:eastAsia="Times New Roman"/>
              </w:rPr>
            </w:pPr>
          </w:p>
        </w:tc>
      </w:tr>
      <w:tr w:rsidR="00000000">
        <w:trPr>
          <w:divId w:val="745883980"/>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2018</w:t>
            </w:r>
          </w:p>
        </w:tc>
      </w:tr>
      <w:tr w:rsidR="00000000">
        <w:trPr>
          <w:divId w:val="745883980"/>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Current tax expense: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r>
      <w:tr w:rsidR="00000000">
        <w:trPr>
          <w:divId w:val="745883980"/>
        </w:trPr>
        <w:tc>
          <w:tcPr>
            <w:tcW w:w="0" w:type="auto"/>
            <w:gridSpan w:val="3"/>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Federal</w:t>
            </w: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211,228 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128,490 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123,388 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745883980"/>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State</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38,511 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25,091 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15,597 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745883980"/>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 current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249,739 </w:t>
            </w:r>
          </w:p>
        </w:tc>
        <w:tc>
          <w:tcPr>
            <w:tcW w:w="0" w:type="auto"/>
            <w:tcBorders>
              <w:top w:val="single" w:sz="8" w:space="0" w:color="000000"/>
            </w:tcBorders>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153,581 </w:t>
            </w:r>
          </w:p>
        </w:tc>
        <w:tc>
          <w:tcPr>
            <w:tcW w:w="0" w:type="auto"/>
            <w:tcBorders>
              <w:top w:val="single" w:sz="8" w:space="0" w:color="000000"/>
            </w:tcBorders>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138,985 </w:t>
            </w:r>
          </w:p>
        </w:tc>
        <w:tc>
          <w:tcPr>
            <w:tcW w:w="0" w:type="auto"/>
            <w:tcBorders>
              <w:top w:val="single" w:sz="8" w:space="0" w:color="000000"/>
            </w:tcBorders>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745883980"/>
          <w:trHeight w:val="160"/>
        </w:trPr>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745883980"/>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Deferred tax (benefit)/expense:</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r>
      <w:tr w:rsidR="00000000">
        <w:trPr>
          <w:divId w:val="745883980"/>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Federal</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(21,997)</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11,770 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9,650 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745883980"/>
        </w:trPr>
        <w:tc>
          <w:tcPr>
            <w:tcW w:w="0" w:type="auto"/>
            <w:gridSpan w:val="3"/>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State</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(8,553)</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(4,328)</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2,393 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745883980"/>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 deferred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(30,550)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7,442 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12,043 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745883980"/>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 provision</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219,189 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161,023 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151,028 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jc w:val="both"/>
        <w:rPr>
          <w:rFonts w:eastAsia="Times New Roman"/>
        </w:rPr>
      </w:pPr>
    </w:p>
    <w:p w:rsidR="00000000" w:rsidRDefault="00905244">
      <w:pPr>
        <w:jc w:val="both"/>
        <w:rPr>
          <w:rFonts w:eastAsia="Times New Roman"/>
        </w:rPr>
      </w:pPr>
    </w:p>
    <w:p w:rsidR="00000000" w:rsidRDefault="00905244">
      <w:pPr>
        <w:jc w:val="center"/>
        <w:divId w:val="235357120"/>
        <w:rPr>
          <w:rFonts w:eastAsia="Times New Roman"/>
        </w:rPr>
      </w:pPr>
      <w:r>
        <w:rPr>
          <w:rFonts w:eastAsia="Times New Roman"/>
          <w:color w:val="000000"/>
          <w:sz w:val="20"/>
          <w:szCs w:val="20"/>
        </w:rPr>
        <w:t>75</w:t>
      </w:r>
    </w:p>
    <w:p w:rsidR="00000000" w:rsidRDefault="00905244">
      <w:pPr>
        <w:rPr>
          <w:rFonts w:eastAsia="Times New Roman"/>
        </w:rPr>
      </w:pPr>
      <w:r>
        <w:rPr>
          <w:rFonts w:eastAsia="Times New Roman"/>
        </w:rPr>
        <w:pict>
          <v:rect id="_x0000_i1104" style="width:0;height:1.5pt" o:hralign="center" o:hrstd="t" o:hr="t" fillcolor="#a0a0a0" stroked="f"/>
        </w:pict>
      </w:r>
    </w:p>
    <w:p w:rsidR="00000000" w:rsidRDefault="00905244">
      <w:pPr>
        <w:divId w:val="844246598"/>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Deferred income taxes reflect the net tax effects of temporary differences between the carrying amounts of assets and liabilities for financial reporting purposes and the amounts used for income tax purposes. Significant components of the deferred tax asse</w:t>
      </w:r>
      <w:r>
        <w:rPr>
          <w:rFonts w:eastAsia="Times New Roman"/>
          <w:color w:val="000000"/>
          <w:sz w:val="20"/>
          <w:szCs w:val="20"/>
        </w:rPr>
        <w:t>ts and liabilities are as follows (in thousands):</w:t>
      </w:r>
    </w:p>
    <w:tbl>
      <w:tblPr>
        <w:tblW w:w="4985" w:type="pct"/>
        <w:tblCellMar>
          <w:top w:w="15" w:type="dxa"/>
          <w:left w:w="15" w:type="dxa"/>
          <w:bottom w:w="15" w:type="dxa"/>
          <w:right w:w="15" w:type="dxa"/>
        </w:tblCellMar>
        <w:tblLook w:val="04A0" w:firstRow="1" w:lastRow="0" w:firstColumn="1" w:lastColumn="0" w:noHBand="0" w:noVBand="1"/>
      </w:tblPr>
      <w:tblGrid>
        <w:gridCol w:w="39"/>
        <w:gridCol w:w="5951"/>
        <w:gridCol w:w="37"/>
        <w:gridCol w:w="121"/>
        <w:gridCol w:w="934"/>
        <w:gridCol w:w="36"/>
        <w:gridCol w:w="36"/>
        <w:gridCol w:w="36"/>
        <w:gridCol w:w="36"/>
        <w:gridCol w:w="121"/>
        <w:gridCol w:w="898"/>
        <w:gridCol w:w="36"/>
      </w:tblGrid>
      <w:tr w:rsidR="00000000">
        <w:trPr>
          <w:divId w:val="2111117534"/>
        </w:trPr>
        <w:tc>
          <w:tcPr>
            <w:tcW w:w="50" w:type="pct"/>
            <w:vAlign w:val="center"/>
            <w:hideMark/>
          </w:tcPr>
          <w:p w:rsidR="00000000" w:rsidRDefault="00905244">
            <w:pPr>
              <w:jc w:val="both"/>
              <w:rPr>
                <w:rFonts w:eastAsia="Times New Roman"/>
              </w:rPr>
            </w:pPr>
          </w:p>
        </w:tc>
        <w:tc>
          <w:tcPr>
            <w:tcW w:w="361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2111117534"/>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December 26, 2020</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December 28, 2019</w:t>
            </w:r>
          </w:p>
        </w:tc>
      </w:tr>
      <w:tr w:rsidR="00000000">
        <w:trPr>
          <w:divId w:val="2111117534"/>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Tax 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r>
      <w:tr w:rsidR="00000000">
        <w:trPr>
          <w:divId w:val="2111117534"/>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Inventory valuation</w:t>
            </w:r>
          </w:p>
        </w:tc>
        <w:tc>
          <w:tcPr>
            <w:tcW w:w="0" w:type="auto"/>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20,539 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16,676 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111117534"/>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Accrued employee benefits costs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44,625 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12,002 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111117534"/>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Accrued sales tax audit reserve</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5,967 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4,173 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111117534"/>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Finance lease liabilities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8,595 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6,817 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111117534"/>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Operating lease liabilities</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645,719 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581,593 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111117534"/>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Deferred compensation</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12,289 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14,836 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111117534"/>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 xml:space="preserve">Workers’ </w:t>
            </w:r>
            <w:r>
              <w:rPr>
                <w:rFonts w:eastAsia="Times New Roman"/>
                <w:color w:val="000000"/>
                <w:sz w:val="20"/>
                <w:szCs w:val="20"/>
              </w:rPr>
              <w:t>compensation insurance</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11,804 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10,154 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111117534"/>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General liability insurance</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7,346 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6,025 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111117534"/>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Lease exit obligations</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2,315 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2,087 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111117534"/>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Income tax credits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8,744 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6,377 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111117534"/>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Amortization</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7,269 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111117534"/>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8,431 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5,768 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111117534"/>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783,643 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666,508 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111117534"/>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Tax liabilities: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r>
      <w:tr w:rsidR="00000000">
        <w:trPr>
          <w:divId w:val="2111117534"/>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Finance lease assets</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(7,584)</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(5,684)</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111117534"/>
        </w:trPr>
        <w:tc>
          <w:tcPr>
            <w:tcW w:w="0" w:type="auto"/>
            <w:gridSpan w:val="3"/>
            <w:shd w:val="clear" w:color="auto" w:fill="CCEEFF"/>
            <w:tcMar>
              <w:top w:w="30" w:type="dxa"/>
              <w:left w:w="20" w:type="dxa"/>
              <w:bottom w:w="30" w:type="dxa"/>
              <w:right w:w="155" w:type="dxa"/>
            </w:tcMar>
            <w:vAlign w:val="bottom"/>
            <w:hideMark/>
          </w:tcPr>
          <w:p w:rsidR="00000000" w:rsidRDefault="00905244">
            <w:pPr>
              <w:jc w:val="both"/>
              <w:rPr>
                <w:rFonts w:eastAsia="Times New Roman"/>
              </w:rPr>
            </w:pPr>
            <w:r>
              <w:rPr>
                <w:rFonts w:eastAsia="Times New Roman"/>
                <w:color w:val="000000"/>
                <w:sz w:val="20"/>
                <w:szCs w:val="20"/>
              </w:rPr>
              <w:t>  Operating lease right-of-use assets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(612,658)</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(551,751)</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111117534"/>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Inventory basis difference</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(4,768)</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(4,667)</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111117534"/>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Prepaid expenses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(2,491)</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(2,024)</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111117534"/>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Depreciation</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(124,280)</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(93,919)</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111117534"/>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Amortization</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(8,230)</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111117534"/>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(276)</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(386)</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111117534"/>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(752,057)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(666,661)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111117534"/>
          <w:trHeight w:val="160"/>
        </w:trPr>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2111117534"/>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Net deferred tax asset/(liability)</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31,586 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(153)</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jc w:val="both"/>
        <w:rPr>
          <w:rFonts w:eastAsia="Times New Roman"/>
        </w:rPr>
      </w:pPr>
      <w:r>
        <w:rPr>
          <w:rFonts w:eastAsia="Times New Roman"/>
          <w:color w:val="000000"/>
          <w:sz w:val="20"/>
          <w:szCs w:val="20"/>
        </w:rPr>
        <w:t>The Company has evaluated the need for a valuation allowance for all or a portion of the deferred tax assets.  The Company believes that all of the deferred tax assets will more likely than not be realized through future earnings.  The Company had state ta</w:t>
      </w:r>
      <w:r>
        <w:rPr>
          <w:rFonts w:eastAsia="Times New Roman"/>
          <w:color w:val="000000"/>
          <w:sz w:val="20"/>
          <w:szCs w:val="20"/>
        </w:rPr>
        <w:t>x credit carryforwards of $8.6 million and $6.2 million as of December 26, 2020 and December 28, 2019, respectively, with varying dates of expiration through 2035.  The Company provided no valuation allowance as of December 26, 2020 and December 28, 2019 f</w:t>
      </w:r>
      <w:r>
        <w:rPr>
          <w:rFonts w:eastAsia="Times New Roman"/>
          <w:color w:val="000000"/>
          <w:sz w:val="20"/>
          <w:szCs w:val="20"/>
        </w:rPr>
        <w:t>or state tax credit carryforwards, as the Company believes it is more likely than not that all of these credits will be utilized before their expiration dates.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A reconciliation of the provision for income taxes to the amounts computed at the federal stat</w:t>
      </w:r>
      <w:r>
        <w:rPr>
          <w:rFonts w:eastAsia="Times New Roman"/>
          <w:color w:val="000000"/>
          <w:sz w:val="20"/>
          <w:szCs w:val="20"/>
        </w:rPr>
        <w:t>utory rate is as follows (in thousands):</w:t>
      </w:r>
    </w:p>
    <w:tbl>
      <w:tblPr>
        <w:tblW w:w="4985" w:type="pct"/>
        <w:tblCellMar>
          <w:top w:w="15" w:type="dxa"/>
          <w:left w:w="15" w:type="dxa"/>
          <w:bottom w:w="15" w:type="dxa"/>
          <w:right w:w="15" w:type="dxa"/>
        </w:tblCellMar>
        <w:tblLook w:val="04A0" w:firstRow="1" w:lastRow="0" w:firstColumn="1" w:lastColumn="0" w:noHBand="0" w:noVBand="1"/>
      </w:tblPr>
      <w:tblGrid>
        <w:gridCol w:w="39"/>
        <w:gridCol w:w="4812"/>
        <w:gridCol w:w="38"/>
        <w:gridCol w:w="120"/>
        <w:gridCol w:w="929"/>
        <w:gridCol w:w="36"/>
        <w:gridCol w:w="36"/>
        <w:gridCol w:w="36"/>
        <w:gridCol w:w="36"/>
        <w:gridCol w:w="120"/>
        <w:gridCol w:w="889"/>
        <w:gridCol w:w="36"/>
        <w:gridCol w:w="36"/>
        <w:gridCol w:w="36"/>
        <w:gridCol w:w="36"/>
        <w:gridCol w:w="120"/>
        <w:gridCol w:w="890"/>
        <w:gridCol w:w="36"/>
      </w:tblGrid>
      <w:tr w:rsidR="00000000">
        <w:trPr>
          <w:divId w:val="914820390"/>
        </w:trPr>
        <w:tc>
          <w:tcPr>
            <w:tcW w:w="50" w:type="pct"/>
            <w:vAlign w:val="center"/>
            <w:hideMark/>
          </w:tcPr>
          <w:p w:rsidR="00000000" w:rsidRDefault="00905244">
            <w:pPr>
              <w:jc w:val="both"/>
              <w:rPr>
                <w:rFonts w:eastAsia="Times New Roman"/>
              </w:rPr>
            </w:pPr>
          </w:p>
        </w:tc>
        <w:tc>
          <w:tcPr>
            <w:tcW w:w="293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914820390"/>
          <w:trHeight w:val="12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15"/>
            <w:vMerge w:val="restart"/>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w:t>
            </w:r>
          </w:p>
        </w:tc>
      </w:tr>
      <w:tr w:rsidR="00000000">
        <w:trPr>
          <w:divId w:val="914820390"/>
          <w:trHeight w:val="120"/>
        </w:trPr>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15"/>
            <w:vMerge/>
            <w:vAlign w:val="center"/>
            <w:hideMark/>
          </w:tcPr>
          <w:p w:rsidR="00000000" w:rsidRDefault="00905244">
            <w:pPr>
              <w:rPr>
                <w:rFonts w:eastAsia="Times New Roman"/>
              </w:rPr>
            </w:pPr>
          </w:p>
        </w:tc>
      </w:tr>
      <w:tr w:rsidR="00000000">
        <w:trPr>
          <w:divId w:val="914820390"/>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2018</w:t>
            </w:r>
          </w:p>
        </w:tc>
      </w:tr>
      <w:tr w:rsidR="00000000">
        <w:trPr>
          <w:divId w:val="914820390"/>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Tax provision at statutory rate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203,311 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151,909 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143,511 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914820390"/>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Tax effect of:</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914820390"/>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State income taxes, net of federal tax benefits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27,642 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19,722 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18,019 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914820390"/>
        </w:trPr>
        <w:tc>
          <w:tcPr>
            <w:tcW w:w="0" w:type="auto"/>
            <w:gridSpan w:val="3"/>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Section 162(m) limitation</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5,080 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2,572 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2,581 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914820390"/>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Tax credits, net of federal tax benefits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(8,828)</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(7,768)</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(7,140)</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914820390"/>
        </w:trPr>
        <w:tc>
          <w:tcPr>
            <w:tcW w:w="0" w:type="auto"/>
            <w:gridSpan w:val="3"/>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Share-based compensation programs</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(9,303)</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(4,484)</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(4,522)</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914820390"/>
        </w:trPr>
        <w:tc>
          <w:tcPr>
            <w:tcW w:w="0" w:type="auto"/>
            <w:gridSpan w:val="3"/>
            <w:vAlign w:val="center"/>
            <w:hideMark/>
          </w:tcPr>
          <w:p w:rsidR="00000000" w:rsidRDefault="00905244">
            <w:pPr>
              <w:jc w:val="right"/>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c>
          <w:tcPr>
            <w:tcW w:w="0" w:type="auto"/>
            <w:gridSpan w:val="3"/>
            <w:vAlign w:val="center"/>
            <w:hideMark/>
          </w:tcPr>
          <w:p w:rsidR="00000000" w:rsidRDefault="00905244">
            <w:pPr>
              <w:rPr>
                <w:rFonts w:eastAsia="Times New Roman"/>
                <w:sz w:val="20"/>
                <w:szCs w:val="20"/>
              </w:rPr>
            </w:pPr>
          </w:p>
        </w:tc>
      </w:tr>
      <w:tr w:rsidR="00000000">
        <w:trPr>
          <w:divId w:val="914820390"/>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1,287 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(928)</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(1,421)</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914820390"/>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 income tax expense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219,189 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161,023 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151,028 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jc w:val="both"/>
        <w:rPr>
          <w:rFonts w:eastAsia="Times New Roman"/>
        </w:rPr>
      </w:pPr>
    </w:p>
    <w:p w:rsidR="00000000" w:rsidRDefault="00905244">
      <w:pPr>
        <w:jc w:val="center"/>
        <w:divId w:val="2060472386"/>
        <w:rPr>
          <w:rFonts w:eastAsia="Times New Roman"/>
        </w:rPr>
      </w:pPr>
      <w:r>
        <w:rPr>
          <w:rFonts w:eastAsia="Times New Roman"/>
          <w:color w:val="000000"/>
          <w:sz w:val="20"/>
          <w:szCs w:val="20"/>
        </w:rPr>
        <w:t>76</w:t>
      </w:r>
    </w:p>
    <w:p w:rsidR="00000000" w:rsidRDefault="00905244">
      <w:pPr>
        <w:rPr>
          <w:rFonts w:eastAsia="Times New Roman"/>
        </w:rPr>
      </w:pPr>
      <w:r>
        <w:rPr>
          <w:rFonts w:eastAsia="Times New Roman"/>
        </w:rPr>
        <w:pict>
          <v:rect id="_x0000_i1105" style="width:0;height:1.5pt" o:hralign="center" o:hrstd="t" o:hr="t" fillcolor="#a0a0a0" stroked="f"/>
        </w:pict>
      </w:r>
    </w:p>
    <w:p w:rsidR="00000000" w:rsidRDefault="00905244">
      <w:pPr>
        <w:divId w:val="1263952172"/>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The Company and its affiliates file income tax returns in the U.S. and various state and local jurisdictions.  With few exceptions, the Company is no longer</w:t>
      </w:r>
      <w:r>
        <w:rPr>
          <w:rFonts w:eastAsia="Times New Roman"/>
          <w:color w:val="000000"/>
          <w:sz w:val="20"/>
          <w:szCs w:val="20"/>
        </w:rPr>
        <w:t xml:space="preserve"> subject to federal, state and local income tax examinations by tax authorities for years before 2016.  Various states have completed an examination of our income tax returns for 2016 through 2018 with minimal adjustments.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total amount of unrecognize</w:t>
      </w:r>
      <w:r>
        <w:rPr>
          <w:rFonts w:eastAsia="Times New Roman"/>
          <w:color w:val="000000"/>
          <w:sz w:val="20"/>
          <w:szCs w:val="20"/>
        </w:rPr>
        <w:t>d tax positions that, if recognized, would decrease the effective tax rate, is $2.7 million at December 26, 2020. In addition, the Company recognizes current interest and penalties accrued related to these uncertain tax positions as interest expense, and t</w:t>
      </w:r>
      <w:r>
        <w:rPr>
          <w:rFonts w:eastAsia="Times New Roman"/>
          <w:color w:val="000000"/>
          <w:sz w:val="20"/>
          <w:szCs w:val="20"/>
        </w:rPr>
        <w:t>he amount is not material to the Consolidated Statements of Income.  The Company has considered the reasonably possible expected net change in uncertain tax positions during the next 12 months and does not expect any material changes to our liability for u</w:t>
      </w:r>
      <w:r>
        <w:rPr>
          <w:rFonts w:eastAsia="Times New Roman"/>
          <w:color w:val="000000"/>
          <w:sz w:val="20"/>
          <w:szCs w:val="20"/>
        </w:rPr>
        <w:t>ncertain tax positions through December 25, 2021.</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A reconciliation of the beginning and ending gross amount of unrecognized tax benefits (exclusive of interest and penalties) is as follows (in thousands):</w:t>
      </w:r>
    </w:p>
    <w:tbl>
      <w:tblPr>
        <w:tblW w:w="4985" w:type="pct"/>
        <w:tblCellMar>
          <w:top w:w="15" w:type="dxa"/>
          <w:left w:w="15" w:type="dxa"/>
          <w:bottom w:w="15" w:type="dxa"/>
          <w:right w:w="15" w:type="dxa"/>
        </w:tblCellMar>
        <w:tblLook w:val="04A0" w:firstRow="1" w:lastRow="0" w:firstColumn="1" w:lastColumn="0" w:noHBand="0" w:noVBand="1"/>
      </w:tblPr>
      <w:tblGrid>
        <w:gridCol w:w="39"/>
        <w:gridCol w:w="4812"/>
        <w:gridCol w:w="38"/>
        <w:gridCol w:w="120"/>
        <w:gridCol w:w="929"/>
        <w:gridCol w:w="36"/>
        <w:gridCol w:w="36"/>
        <w:gridCol w:w="36"/>
        <w:gridCol w:w="36"/>
        <w:gridCol w:w="120"/>
        <w:gridCol w:w="889"/>
        <w:gridCol w:w="36"/>
        <w:gridCol w:w="36"/>
        <w:gridCol w:w="36"/>
        <w:gridCol w:w="36"/>
        <w:gridCol w:w="120"/>
        <w:gridCol w:w="890"/>
        <w:gridCol w:w="36"/>
      </w:tblGrid>
      <w:tr w:rsidR="00000000">
        <w:trPr>
          <w:divId w:val="929968436"/>
        </w:trPr>
        <w:tc>
          <w:tcPr>
            <w:tcW w:w="50" w:type="pct"/>
            <w:vAlign w:val="center"/>
            <w:hideMark/>
          </w:tcPr>
          <w:p w:rsidR="00000000" w:rsidRDefault="00905244">
            <w:pPr>
              <w:jc w:val="both"/>
              <w:rPr>
                <w:rFonts w:eastAsia="Times New Roman"/>
              </w:rPr>
            </w:pPr>
          </w:p>
        </w:tc>
        <w:tc>
          <w:tcPr>
            <w:tcW w:w="293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59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929968436"/>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w:t>
            </w:r>
          </w:p>
        </w:tc>
      </w:tr>
      <w:tr w:rsidR="00000000">
        <w:trPr>
          <w:divId w:val="929968436"/>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2018</w:t>
            </w:r>
          </w:p>
        </w:tc>
      </w:tr>
      <w:tr w:rsidR="00000000">
        <w:trPr>
          <w:divId w:val="929968436"/>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Balance at beginning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2,760 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2,451 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1,993 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929968436"/>
        </w:trPr>
        <w:tc>
          <w:tcPr>
            <w:tcW w:w="0" w:type="auto"/>
            <w:gridSpan w:val="3"/>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Additions based on tax positions related to the current year</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816 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650 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621 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929968436"/>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Additions for tax positions of prior years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257 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929968436"/>
        </w:trPr>
        <w:tc>
          <w:tcPr>
            <w:tcW w:w="0" w:type="auto"/>
            <w:gridSpan w:val="3"/>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Reductions for tax positions of prior years</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(372)</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(400)</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(420)</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929968436"/>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Balance at end of year</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3,236 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2,760 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2,451 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divId w:val="469204737"/>
        <w:rPr>
          <w:rFonts w:eastAsia="Times New Roman"/>
        </w:rPr>
      </w:pPr>
    </w:p>
    <w:p w:rsidR="00000000" w:rsidRDefault="00905244">
      <w:pPr>
        <w:jc w:val="both"/>
        <w:rPr>
          <w:rFonts w:eastAsia="Times New Roman"/>
        </w:rPr>
      </w:pPr>
      <w:r>
        <w:rPr>
          <w:rFonts w:eastAsia="Times New Roman"/>
          <w:color w:val="000000"/>
          <w:sz w:val="20"/>
          <w:szCs w:val="20"/>
        </w:rPr>
        <w:t>The Coronavirus Aid, Relief, and Economic Security Act (the “CARES Act”) was enacted in the U.S. on March 27, 2020. The enactment of this legislation did not have a material impact on</w:t>
      </w:r>
      <w:r>
        <w:rPr>
          <w:rFonts w:eastAsia="Times New Roman"/>
          <w:color w:val="000000"/>
          <w:sz w:val="20"/>
          <w:szCs w:val="20"/>
        </w:rPr>
        <w:t xml:space="preserve"> income tax expense in fiscal 2020. However, the Company did elect to participate in the deferral of the employer’s share of social security tax deposits, with $47.0 million included within other long-term liabilities in the Consolidated Balance Sheet as o</w:t>
      </w:r>
      <w:r>
        <w:rPr>
          <w:rFonts w:eastAsia="Times New Roman"/>
          <w:color w:val="000000"/>
          <w:sz w:val="20"/>
          <w:szCs w:val="20"/>
        </w:rPr>
        <w:t>f December 26, 2020. The first half of this deferral will become due on December 31, 2021 and the second half will become due on December 31, 2022.</w:t>
      </w:r>
    </w:p>
    <w:p w:rsidR="00000000" w:rsidRDefault="00905244">
      <w:pPr>
        <w:divId w:val="1776319182"/>
        <w:rPr>
          <w:rFonts w:eastAsia="Times New Roman"/>
        </w:rPr>
      </w:pPr>
    </w:p>
    <w:p w:rsidR="00000000" w:rsidRDefault="00905244">
      <w:pPr>
        <w:jc w:val="both"/>
        <w:rPr>
          <w:rFonts w:eastAsia="Times New Roman"/>
        </w:rPr>
      </w:pPr>
      <w:r>
        <w:rPr>
          <w:rFonts w:eastAsia="Times New Roman"/>
          <w:b/>
          <w:bCs/>
          <w:color w:val="000000"/>
          <w:sz w:val="20"/>
          <w:szCs w:val="20"/>
        </w:rPr>
        <w:t>Note 11 – Retirement Benefit Plans:</w:t>
      </w:r>
    </w:p>
    <w:p w:rsidR="00000000" w:rsidRDefault="00905244">
      <w:pPr>
        <w:divId w:val="1633517214"/>
        <w:rPr>
          <w:rFonts w:eastAsia="Times New Roman"/>
        </w:rPr>
      </w:pPr>
    </w:p>
    <w:p w:rsidR="00000000" w:rsidRDefault="00905244">
      <w:pPr>
        <w:jc w:val="both"/>
        <w:rPr>
          <w:rFonts w:eastAsia="Times New Roman"/>
        </w:rPr>
      </w:pPr>
      <w:r>
        <w:rPr>
          <w:rFonts w:eastAsia="Times New Roman"/>
          <w:color w:val="000000"/>
          <w:sz w:val="20"/>
          <w:szCs w:val="20"/>
        </w:rPr>
        <w:t>The Company has a defined contribution benefit plan, the Tractor Supply Company 401(k) Retirement Savings Plan (the “401(k) Plan”), which provides retirement benefits for eligible employees.  The Company matches (in cash) 100% of the employee’s elective co</w:t>
      </w:r>
      <w:r>
        <w:rPr>
          <w:rFonts w:eastAsia="Times New Roman"/>
          <w:color w:val="000000"/>
          <w:sz w:val="20"/>
          <w:szCs w:val="20"/>
        </w:rPr>
        <w:t>ntributions up to 3% of eligible compensation plus 50% of the employee’s elective contributions from 3% to 6% of eligible compensation.  In no event shall the total Company match made on behalf of the employee exceed 4.5% of the employee’s eligible compens</w:t>
      </w:r>
      <w:r>
        <w:rPr>
          <w:rFonts w:eastAsia="Times New Roman"/>
          <w:color w:val="000000"/>
          <w:sz w:val="20"/>
          <w:szCs w:val="20"/>
        </w:rPr>
        <w:t>ation.  All current contributions are immediately vested.  Company contributions to the 401(k) Plan were approximately $12.9 million, $9.8 million, and $8.5 million during fiscal 2020, 2019, and 2018, respectively.</w:t>
      </w:r>
    </w:p>
    <w:p w:rsidR="00000000" w:rsidRDefault="00905244">
      <w:pPr>
        <w:divId w:val="564797638"/>
        <w:rPr>
          <w:rFonts w:eastAsia="Times New Roman"/>
        </w:rPr>
      </w:pPr>
    </w:p>
    <w:p w:rsidR="00000000" w:rsidRDefault="00905244">
      <w:pPr>
        <w:jc w:val="both"/>
        <w:rPr>
          <w:rFonts w:eastAsia="Times New Roman"/>
        </w:rPr>
      </w:pPr>
      <w:r>
        <w:rPr>
          <w:rFonts w:eastAsia="Times New Roman"/>
          <w:color w:val="000000"/>
          <w:sz w:val="20"/>
          <w:szCs w:val="20"/>
        </w:rPr>
        <w:t xml:space="preserve">The Company offers, through a deferred </w:t>
      </w:r>
      <w:r>
        <w:rPr>
          <w:rFonts w:eastAsia="Times New Roman"/>
          <w:color w:val="000000"/>
          <w:sz w:val="20"/>
          <w:szCs w:val="20"/>
        </w:rPr>
        <w:t xml:space="preserve">compensation program, the opportunity for certain qualifying employees to elect to defer a portion of their annual base salary and/or their annual incentive bonus.  Under the deferred compensation program, a percentage of the participants’ salary deferral </w:t>
      </w:r>
      <w:r>
        <w:rPr>
          <w:rFonts w:eastAsia="Times New Roman"/>
          <w:color w:val="000000"/>
          <w:sz w:val="20"/>
          <w:szCs w:val="20"/>
        </w:rPr>
        <w:t>is matched by the Company, limited to a maximum annual matching contribution of $4,500.  The Company’s contributions, including accrued interest, were $0.6 million, $0.7 million, and $0.6 million during fiscal 2020, 2019, and 2018, respectively.</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 xml:space="preserve">Note 12 </w:t>
      </w:r>
      <w:r>
        <w:rPr>
          <w:rFonts w:eastAsia="Times New Roman"/>
          <w:b/>
          <w:bCs/>
          <w:color w:val="000000"/>
          <w:sz w:val="20"/>
          <w:szCs w:val="20"/>
        </w:rPr>
        <w:t>– Commitments and Contingencies:</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Construction and Real Estate Commitments</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At December 26, 2020, the Company had no material contractual commitments related to construction projects extending greater than twelve months. </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On December 7, 2020 the Compan</w:t>
      </w:r>
      <w:r>
        <w:rPr>
          <w:rFonts w:eastAsia="Times New Roman"/>
          <w:color w:val="000000"/>
          <w:sz w:val="20"/>
          <w:szCs w:val="20"/>
        </w:rPr>
        <w:t>y announced plans to build a new distribution center in Navarre, Ohio. The new distribution center is expected to be approximately 895,000 square feet and will require an estimated initial investment of approximately $70 million. Construction is planned to</w:t>
      </w:r>
      <w:r>
        <w:rPr>
          <w:rFonts w:eastAsia="Times New Roman"/>
          <w:color w:val="000000"/>
          <w:sz w:val="20"/>
          <w:szCs w:val="20"/>
        </w:rPr>
        <w:t xml:space="preserve"> begin in fiscal 2021 and is currently anticipated to be complete by the end of fiscal 2022.</w:t>
      </w:r>
    </w:p>
    <w:p w:rsidR="00000000" w:rsidRDefault="00905244">
      <w:pPr>
        <w:jc w:val="both"/>
        <w:rPr>
          <w:rFonts w:eastAsia="Times New Roman"/>
        </w:rPr>
      </w:pPr>
    </w:p>
    <w:p w:rsidR="00000000" w:rsidRDefault="00905244">
      <w:pPr>
        <w:jc w:val="center"/>
        <w:divId w:val="1337878645"/>
        <w:rPr>
          <w:rFonts w:eastAsia="Times New Roman"/>
        </w:rPr>
      </w:pPr>
      <w:r>
        <w:rPr>
          <w:rFonts w:eastAsia="Times New Roman"/>
          <w:color w:val="000000"/>
          <w:sz w:val="20"/>
          <w:szCs w:val="20"/>
        </w:rPr>
        <w:t>77</w:t>
      </w:r>
    </w:p>
    <w:p w:rsidR="00000000" w:rsidRDefault="00905244">
      <w:pPr>
        <w:rPr>
          <w:rFonts w:eastAsia="Times New Roman"/>
        </w:rPr>
      </w:pPr>
      <w:r>
        <w:rPr>
          <w:rFonts w:eastAsia="Times New Roman"/>
        </w:rPr>
        <w:pict>
          <v:rect id="_x0000_i1106" style="width:0;height:1.5pt" o:hralign="center" o:hrstd="t" o:hr="t" fillcolor="#a0a0a0" stroked="f"/>
        </w:pict>
      </w:r>
    </w:p>
    <w:p w:rsidR="00000000" w:rsidRDefault="00905244">
      <w:pPr>
        <w:divId w:val="928734108"/>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i/>
          <w:iCs/>
          <w:color w:val="000000"/>
          <w:sz w:val="20"/>
          <w:szCs w:val="20"/>
        </w:rPr>
        <w:t>Letters of Credit</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At December 26, 2020, there were $48.7 million outstanding letters of credit under the Senior Credit Facility. </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Litigation</w:t>
      </w:r>
    </w:p>
    <w:p w:rsidR="00000000" w:rsidRDefault="00905244">
      <w:pPr>
        <w:divId w:val="780301654"/>
        <w:rPr>
          <w:rFonts w:eastAsia="Times New Roman"/>
        </w:rPr>
      </w:pPr>
    </w:p>
    <w:p w:rsidR="00000000" w:rsidRDefault="00905244">
      <w:pPr>
        <w:jc w:val="both"/>
        <w:rPr>
          <w:rFonts w:eastAsia="Times New Roman"/>
        </w:rPr>
      </w:pPr>
      <w:r>
        <w:rPr>
          <w:rFonts w:eastAsia="Times New Roman"/>
          <w:color w:val="000000"/>
          <w:sz w:val="20"/>
          <w:szCs w:val="20"/>
        </w:rPr>
        <w:t>On Octobe</w:t>
      </w:r>
      <w:r>
        <w:rPr>
          <w:rFonts w:eastAsia="Times New Roman"/>
          <w:color w:val="000000"/>
          <w:sz w:val="20"/>
          <w:szCs w:val="20"/>
        </w:rPr>
        <w:t>r 9, 2020, an alleged stockholder, the City of Pontiac Police and Fire Retirement System, filed a derivative lawsuit in the U.S. District Court for the Middle District of Tennessee, purportedly on the Company's behalf, against certain current and former me</w:t>
      </w:r>
      <w:r>
        <w:rPr>
          <w:rFonts w:eastAsia="Times New Roman"/>
          <w:color w:val="000000"/>
          <w:sz w:val="20"/>
          <w:szCs w:val="20"/>
        </w:rPr>
        <w:t>mbers of our Board of Directors, and the Company as a nominal defendant, seeking unspecified compensatory and punitive damages payable to the Company, disgorgement, restitution, corporate governance and hiring changes, mandated community investment, and at</w:t>
      </w:r>
      <w:r>
        <w:rPr>
          <w:rFonts w:eastAsia="Times New Roman"/>
          <w:color w:val="000000"/>
          <w:sz w:val="20"/>
          <w:szCs w:val="20"/>
        </w:rPr>
        <w:t>torneys' fees and costs. Plaintiff alleges that defendants violated the federal securities laws governing proxy solicitations and breached their fiduciary duties by misrepresenting the Company’s commitment to and support for diversity and inclusion. The Co</w:t>
      </w:r>
      <w:r>
        <w:rPr>
          <w:rFonts w:eastAsia="Times New Roman"/>
          <w:color w:val="000000"/>
          <w:sz w:val="20"/>
          <w:szCs w:val="20"/>
        </w:rPr>
        <w:t>mpany disputes the allegations of the complaint.</w:t>
      </w:r>
      <w:r>
        <w:rPr>
          <w:rFonts w:eastAsia="Times New Roman"/>
          <w:color w:val="000000"/>
        </w:rPr>
        <w:t xml:space="preserve"> </w:t>
      </w:r>
      <w:r>
        <w:rPr>
          <w:rFonts w:eastAsia="Times New Roman"/>
          <w:color w:val="000000"/>
          <w:sz w:val="20"/>
          <w:szCs w:val="20"/>
        </w:rPr>
        <w:t>The Company and the individual defendants moved to dismiss the complaint based on plaintiff’s failure to make a demand on the board and to state a claim upon which relief may be granted.</w:t>
      </w:r>
      <w:r>
        <w:rPr>
          <w:rFonts w:eastAsia="Times New Roman"/>
          <w:color w:val="000000"/>
        </w:rPr>
        <w:t xml:space="preserve"> </w:t>
      </w:r>
      <w:r>
        <w:rPr>
          <w:rFonts w:eastAsia="Times New Roman"/>
          <w:color w:val="000000"/>
          <w:sz w:val="20"/>
          <w:szCs w:val="20"/>
        </w:rPr>
        <w:t>Given the indetermin</w:t>
      </w:r>
      <w:r>
        <w:rPr>
          <w:rFonts w:eastAsia="Times New Roman"/>
          <w:color w:val="000000"/>
          <w:sz w:val="20"/>
          <w:szCs w:val="20"/>
        </w:rPr>
        <w:t>ate claims for monetary damages and the early stage of the proceedings where key factual and legal issues have not been resolved, the Company is unable to predict the ultimate timing or outcome of, or reasonably estimate the possible losses or a range of p</w:t>
      </w:r>
      <w:r>
        <w:rPr>
          <w:rFonts w:eastAsia="Times New Roman"/>
          <w:color w:val="000000"/>
          <w:sz w:val="20"/>
          <w:szCs w:val="20"/>
        </w:rPr>
        <w:t>ossible losses resulting from the matter described above.</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Company is also involved in various litigation matters arising in the ordinary course of business. The Company believes that, based upon information currently available, any estimated loss rel</w:t>
      </w:r>
      <w:r>
        <w:rPr>
          <w:rFonts w:eastAsia="Times New Roman"/>
          <w:color w:val="000000"/>
          <w:sz w:val="20"/>
          <w:szCs w:val="20"/>
        </w:rPr>
        <w:t>ated to such matters has been adequately provided for in accrued liabilities to the extent probable and reasonably estimable. Accordingly, the Company currently expects these matters will be resolved without material adverse effect on its consolidated fina</w:t>
      </w:r>
      <w:r>
        <w:rPr>
          <w:rFonts w:eastAsia="Times New Roman"/>
          <w:color w:val="000000"/>
          <w:sz w:val="20"/>
          <w:szCs w:val="20"/>
        </w:rPr>
        <w:t>ncial position, results of operations or cash flows.  However, litigation and other legal matters involve an element of uncertainty. Future developments in such matters, including adverse decisions or settlements or resulting required changes to the Compan</w:t>
      </w:r>
      <w:r>
        <w:rPr>
          <w:rFonts w:eastAsia="Times New Roman"/>
          <w:color w:val="000000"/>
          <w:sz w:val="20"/>
          <w:szCs w:val="20"/>
        </w:rPr>
        <w:t xml:space="preserve">y’s business operations, could affect our consolidated operating results when resolved in future periods or could result in liability or other amounts material to the Company’s Consolidated Financial Statements. </w:t>
      </w:r>
    </w:p>
    <w:p w:rsidR="00000000" w:rsidRDefault="00905244">
      <w:pPr>
        <w:jc w:val="both"/>
        <w:rPr>
          <w:rFonts w:eastAsia="Times New Roman"/>
        </w:rPr>
      </w:pP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Note 13 – Segment Reporting:</w:t>
      </w:r>
    </w:p>
    <w:p w:rsidR="00000000" w:rsidRDefault="00905244">
      <w:pPr>
        <w:divId w:val="557668837"/>
        <w:rPr>
          <w:rFonts w:eastAsia="Times New Roman"/>
        </w:rPr>
      </w:pPr>
    </w:p>
    <w:p w:rsidR="00000000" w:rsidRDefault="00905244">
      <w:pPr>
        <w:jc w:val="both"/>
        <w:rPr>
          <w:rFonts w:eastAsia="Times New Roman"/>
        </w:rPr>
      </w:pPr>
      <w:r>
        <w:rPr>
          <w:rFonts w:eastAsia="Times New Roman"/>
          <w:color w:val="000000"/>
          <w:sz w:val="20"/>
          <w:szCs w:val="20"/>
        </w:rPr>
        <w:t>The Company has one reportable segment which is the retail sale of products that support the rural lifestyle.  The following table indicates the percentage of net sales represented by each major product category during fiscal 2020, 2019, and 2018:</w:t>
      </w:r>
    </w:p>
    <w:tbl>
      <w:tblPr>
        <w:tblW w:w="4978" w:type="pct"/>
        <w:tblCellMar>
          <w:top w:w="15" w:type="dxa"/>
          <w:left w:w="15" w:type="dxa"/>
          <w:bottom w:w="15" w:type="dxa"/>
          <w:right w:w="15" w:type="dxa"/>
        </w:tblCellMar>
        <w:tblLook w:val="04A0" w:firstRow="1" w:lastRow="0" w:firstColumn="1" w:lastColumn="0" w:noHBand="0" w:noVBand="1"/>
      </w:tblPr>
      <w:tblGrid>
        <w:gridCol w:w="38"/>
        <w:gridCol w:w="4192"/>
        <w:gridCol w:w="37"/>
        <w:gridCol w:w="37"/>
        <w:gridCol w:w="1081"/>
        <w:gridCol w:w="188"/>
        <w:gridCol w:w="36"/>
        <w:gridCol w:w="36"/>
        <w:gridCol w:w="36"/>
        <w:gridCol w:w="37"/>
        <w:gridCol w:w="1008"/>
        <w:gridCol w:w="188"/>
        <w:gridCol w:w="36"/>
        <w:gridCol w:w="36"/>
        <w:gridCol w:w="36"/>
        <w:gridCol w:w="37"/>
        <w:gridCol w:w="1022"/>
        <w:gridCol w:w="188"/>
      </w:tblGrid>
      <w:tr w:rsidR="00000000">
        <w:trPr>
          <w:divId w:val="2045247861"/>
        </w:trPr>
        <w:tc>
          <w:tcPr>
            <w:tcW w:w="50" w:type="pct"/>
            <w:vAlign w:val="center"/>
            <w:hideMark/>
          </w:tcPr>
          <w:p w:rsidR="00000000" w:rsidRDefault="00905244">
            <w:pPr>
              <w:jc w:val="both"/>
              <w:rPr>
                <w:rFonts w:eastAsia="Times New Roman"/>
              </w:rPr>
            </w:pPr>
          </w:p>
        </w:tc>
        <w:tc>
          <w:tcPr>
            <w:tcW w:w="258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70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70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70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2045247861"/>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Percent of Net Sales</w:t>
            </w:r>
          </w:p>
        </w:tc>
      </w:tr>
      <w:tr w:rsidR="00000000">
        <w:trPr>
          <w:divId w:val="2045247861"/>
        </w:trPr>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Fiscal Year</w:t>
            </w:r>
          </w:p>
        </w:tc>
      </w:tr>
      <w:tr w:rsidR="00000000">
        <w:trPr>
          <w:divId w:val="2045247861"/>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Product Category:</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2018</w:t>
            </w:r>
          </w:p>
        </w:tc>
      </w:tr>
      <w:tr w:rsidR="00000000">
        <w:trPr>
          <w:divId w:val="2045247861"/>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Livestock and Pet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w:t>
            </w:r>
          </w:p>
        </w:tc>
      </w:tr>
      <w:tr w:rsidR="00000000">
        <w:trPr>
          <w:divId w:val="2045247861"/>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Hardware, Tools and Truck</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22 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045247861"/>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Seasonal, Gift and Toy Products</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045247861"/>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Clothing and Footwear</w:t>
            </w: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7 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045247861"/>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Agriculture</w:t>
            </w: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2045247861"/>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905244">
            <w:pPr>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w:t>
            </w:r>
          </w:p>
        </w:tc>
      </w:tr>
    </w:tbl>
    <w:p w:rsidR="00000000" w:rsidRDefault="00905244">
      <w:pPr>
        <w:divId w:val="1571885079"/>
        <w:rPr>
          <w:rFonts w:eastAsia="Times New Roman"/>
        </w:rPr>
      </w:pPr>
    </w:p>
    <w:p w:rsidR="00000000" w:rsidRDefault="00905244">
      <w:pPr>
        <w:jc w:val="both"/>
        <w:rPr>
          <w:rFonts w:eastAsia="Times New Roman"/>
        </w:rPr>
      </w:pPr>
      <w:r>
        <w:rPr>
          <w:rFonts w:eastAsia="Times New Roman"/>
          <w:b/>
          <w:bCs/>
          <w:color w:val="000000"/>
          <w:sz w:val="20"/>
          <w:szCs w:val="20"/>
        </w:rPr>
        <w:t>Note 14 – New Accounting Pronouncements:</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New Accounting Pronouncements Recently Adopted</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In June 2016, the Financial Accounting Standards Board (“FASB”) issued Accounting Standards Update (“ASU”) 2016-13, “</w:t>
      </w:r>
      <w:r>
        <w:rPr>
          <w:rFonts w:eastAsia="Times New Roman"/>
          <w:color w:val="000000"/>
          <w:sz w:val="20"/>
          <w:szCs w:val="20"/>
        </w:rPr>
        <w:t>Financial Instruments-Credit Losses (Topic 326): Measurement of Credit Losses on Financial Instruments” which amends the impairment model to utilize an expected loss methodology in place of the currently used incurred loss methodology, which will result in</w:t>
      </w:r>
      <w:r>
        <w:rPr>
          <w:rFonts w:eastAsia="Times New Roman"/>
          <w:color w:val="000000"/>
          <w:sz w:val="20"/>
          <w:szCs w:val="20"/>
        </w:rPr>
        <w:t xml:space="preserve"> more timely recognition of losses. The new guidance applies to financial assets measured at amortized cost basis, including receivables that result from revenue transactions and held-to-maturity debt securities. This guidance is effective for fiscal years</w:t>
      </w:r>
      <w:r>
        <w:rPr>
          <w:rFonts w:eastAsia="Times New Roman"/>
          <w:color w:val="000000"/>
          <w:sz w:val="20"/>
          <w:szCs w:val="20"/>
        </w:rPr>
        <w:t xml:space="preserve">, and interim periods within those fiscal years, beginning after December 15, 2019, and early adoption was permitted for fiscal years beginning after December 15, 2018. The Company adopted this guidance in the first quarter of fiscal 2020. The adoption of </w:t>
      </w:r>
      <w:r>
        <w:rPr>
          <w:rFonts w:eastAsia="Times New Roman"/>
          <w:color w:val="000000"/>
          <w:sz w:val="20"/>
          <w:szCs w:val="20"/>
        </w:rPr>
        <w:t xml:space="preserve">this guidance did not have a material impact on our Condensed Consolidated Financial Statements and related disclosures. </w:t>
      </w:r>
    </w:p>
    <w:p w:rsidR="00000000" w:rsidRDefault="00905244">
      <w:pPr>
        <w:divId w:val="1195852028"/>
        <w:rPr>
          <w:rFonts w:eastAsia="Times New Roman"/>
        </w:rPr>
      </w:pPr>
    </w:p>
    <w:p w:rsidR="00000000" w:rsidRDefault="00905244">
      <w:pPr>
        <w:jc w:val="center"/>
        <w:divId w:val="204761563"/>
        <w:rPr>
          <w:rFonts w:eastAsia="Times New Roman"/>
        </w:rPr>
      </w:pPr>
      <w:r>
        <w:rPr>
          <w:rFonts w:eastAsia="Times New Roman"/>
          <w:color w:val="000000"/>
          <w:sz w:val="20"/>
          <w:szCs w:val="20"/>
        </w:rPr>
        <w:t>78</w:t>
      </w:r>
    </w:p>
    <w:p w:rsidR="00000000" w:rsidRDefault="00905244">
      <w:pPr>
        <w:rPr>
          <w:rFonts w:eastAsia="Times New Roman"/>
        </w:rPr>
      </w:pPr>
      <w:r>
        <w:rPr>
          <w:rFonts w:eastAsia="Times New Roman"/>
        </w:rPr>
        <w:pict>
          <v:rect id="_x0000_i1107" style="width:0;height:1.5pt" o:hralign="center" o:hrstd="t" o:hr="t" fillcolor="#a0a0a0" stroked="f"/>
        </w:pict>
      </w:r>
    </w:p>
    <w:p w:rsidR="00000000" w:rsidRDefault="00905244">
      <w:pPr>
        <w:divId w:val="1318218872"/>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r>
        <w:rPr>
          <w:rFonts w:eastAsia="Times New Roman"/>
          <w:color w:val="000000"/>
          <w:sz w:val="20"/>
          <w:szCs w:val="20"/>
        </w:rPr>
        <w:t>In August 2018, the FASB iss</w:t>
      </w:r>
      <w:r>
        <w:rPr>
          <w:rFonts w:eastAsia="Times New Roman"/>
          <w:color w:val="000000"/>
          <w:sz w:val="20"/>
          <w:szCs w:val="20"/>
        </w:rPr>
        <w:t xml:space="preserve">ued ASU 2018-13, “Fair Value Measurement (Topic 820): Disclosure Framework - Changes to the Disclosure Requirements for Fair Value Measurement,” which amends the disclosure requirements for fair value measurements by removing, modifying and adding certain </w:t>
      </w:r>
      <w:r>
        <w:rPr>
          <w:rFonts w:eastAsia="Times New Roman"/>
          <w:color w:val="000000"/>
          <w:sz w:val="20"/>
          <w:szCs w:val="20"/>
        </w:rPr>
        <w:t xml:space="preserve">disclosures. This guidance is effective for fiscal years, and interim periods within those years, beginning after December 15, 2019, with early adoption permitted. The Company adopted this guidance in the first quarter of fiscal 2020. The adoption of this </w:t>
      </w:r>
      <w:r>
        <w:rPr>
          <w:rFonts w:eastAsia="Times New Roman"/>
          <w:color w:val="000000"/>
          <w:sz w:val="20"/>
          <w:szCs w:val="20"/>
        </w:rPr>
        <w:t>guidance did not have a material impact on our Condensed Consolidated Financial Statements and related disclosures.</w:t>
      </w:r>
    </w:p>
    <w:p w:rsidR="00000000" w:rsidRDefault="00905244">
      <w:pPr>
        <w:divId w:val="1597666619"/>
        <w:rPr>
          <w:rFonts w:eastAsia="Times New Roman"/>
        </w:rPr>
      </w:pPr>
    </w:p>
    <w:p w:rsidR="00000000" w:rsidRDefault="00905244">
      <w:pPr>
        <w:jc w:val="both"/>
        <w:rPr>
          <w:rFonts w:eastAsia="Times New Roman"/>
        </w:rPr>
      </w:pPr>
      <w:r>
        <w:rPr>
          <w:rFonts w:eastAsia="Times New Roman"/>
          <w:color w:val="000000"/>
          <w:sz w:val="20"/>
          <w:szCs w:val="20"/>
        </w:rPr>
        <w:t>In August 2018, the FASB issued ASU 2018-15, “Intangibles – Goodwill and Other – Internal-Use Software (Subtopic 350-40): Customer’s Accou</w:t>
      </w:r>
      <w:r>
        <w:rPr>
          <w:rFonts w:eastAsia="Times New Roman"/>
          <w:color w:val="000000"/>
          <w:sz w:val="20"/>
          <w:szCs w:val="20"/>
        </w:rPr>
        <w:t>nting for Implementation Costs Incurred in a Cloud Computing Arrangement That Is a Service Contract.” This update clarifies the accounting treatment for fees paid by a customer in a cloud computing arrangement (hosting arrangement) by providing guidance fo</w:t>
      </w:r>
      <w:r>
        <w:rPr>
          <w:rFonts w:eastAsia="Times New Roman"/>
          <w:color w:val="000000"/>
          <w:sz w:val="20"/>
          <w:szCs w:val="20"/>
        </w:rPr>
        <w:t>r determining when the arrangement includes a software license. This guidance is effective for public business entities for fiscal years, and interim periods within those years, beginning after December 15, 2019, with early adoption permitted. The amendmen</w:t>
      </w:r>
      <w:r>
        <w:rPr>
          <w:rFonts w:eastAsia="Times New Roman"/>
          <w:color w:val="000000"/>
          <w:sz w:val="20"/>
          <w:szCs w:val="20"/>
        </w:rPr>
        <w:t>ts may be applied either retrospectively or prospectively to all implementation costs incurred after the date of adoption. The Company adopted this guidance on a prospective basis in the first quarter of fiscal 2020. The adoption of this guidance did not h</w:t>
      </w:r>
      <w:r>
        <w:rPr>
          <w:rFonts w:eastAsia="Times New Roman"/>
          <w:color w:val="000000"/>
          <w:sz w:val="20"/>
          <w:szCs w:val="20"/>
        </w:rPr>
        <w:t>ave a material impact on our Condensed Consolidated Financial Statements and related disclosures.</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New Accounting Pronouncements Not Yet Adopted</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In March 2020, the FASB issued ASU 2020-04, “Reference Rate Reform (Topic 848): Facilitation of the Effects </w:t>
      </w:r>
      <w:r>
        <w:rPr>
          <w:rFonts w:eastAsia="Times New Roman"/>
          <w:color w:val="000000"/>
          <w:sz w:val="20"/>
          <w:szCs w:val="20"/>
        </w:rPr>
        <w:t>of Reference Rate Reform on Financial Reporting.” In January 2021, the FASB issued ASU 2021-01, "Reference Rate Reform (Topic 848): Scope." This collective guidance is in response to accounting concerns regarding contract modifications and hedge accounting</w:t>
      </w:r>
      <w:r>
        <w:rPr>
          <w:rFonts w:eastAsia="Times New Roman"/>
          <w:color w:val="000000"/>
          <w:sz w:val="20"/>
          <w:szCs w:val="20"/>
        </w:rPr>
        <w:t xml:space="preserve"> because of impending rate reform associated with structural risks of interbank offered rates (IBORs), and, particularly, the risk of cessation of LIBOR related to regulators in several jurisdictions around the world having undertaken reference rate reform</w:t>
      </w:r>
      <w:r>
        <w:rPr>
          <w:rFonts w:eastAsia="Times New Roman"/>
          <w:color w:val="000000"/>
          <w:sz w:val="20"/>
          <w:szCs w:val="20"/>
        </w:rPr>
        <w:t xml:space="preserve"> initiatives to identify alternative reference rates. The guidance provides optional expedients and exceptions for applying U.S. GAAP to contracts, hedging relationships, and other transactions affected by reference rate reform if certain criteria are met.</w:t>
      </w:r>
      <w:r>
        <w:rPr>
          <w:rFonts w:eastAsia="Times New Roman"/>
          <w:color w:val="000000"/>
          <w:sz w:val="20"/>
          <w:szCs w:val="20"/>
        </w:rPr>
        <w:t xml:space="preserve"> The adoption of this guidance is effective for all entities as of March 12, 2020 through December 31, 2022. The Company does not expect the adoption of this guidance to have a material impact on its Condensed Consolidated Financial Statements and related </w:t>
      </w:r>
      <w:r>
        <w:rPr>
          <w:rFonts w:eastAsia="Times New Roman"/>
          <w:color w:val="000000"/>
          <w:sz w:val="20"/>
          <w:szCs w:val="20"/>
        </w:rPr>
        <w:t xml:space="preserve">disclosures. </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rPr>
        <w:t>Note 15 – Subsequent Events:</w:t>
      </w:r>
    </w:p>
    <w:p w:rsidR="00000000" w:rsidRDefault="00905244">
      <w:pPr>
        <w:divId w:val="15205305"/>
        <w:rPr>
          <w:rFonts w:eastAsia="Times New Roman"/>
        </w:rPr>
      </w:pPr>
    </w:p>
    <w:p w:rsidR="00000000" w:rsidRDefault="00905244">
      <w:pPr>
        <w:jc w:val="both"/>
        <w:rPr>
          <w:rFonts w:eastAsia="Times New Roman"/>
        </w:rPr>
      </w:pPr>
      <w:r>
        <w:rPr>
          <w:rFonts w:eastAsia="Times New Roman"/>
          <w:color w:val="000000"/>
          <w:sz w:val="20"/>
          <w:szCs w:val="20"/>
        </w:rPr>
        <w:t>On February 17, 2021, the Company announced that it has entered into an agreement to acquire all of the outstanding equity interests of Orscheln Farm and Home, LLC, a farm and ranch retailer with 167 retail st</w:t>
      </w:r>
      <w:r>
        <w:rPr>
          <w:rFonts w:eastAsia="Times New Roman"/>
          <w:color w:val="000000"/>
          <w:sz w:val="20"/>
          <w:szCs w:val="20"/>
        </w:rPr>
        <w:t>ores in 11 states, in an all-cash transaction for approximately $320 million. The Company intends to fund the acquisition through cash-on-hand. The acquisition is conditioned on the receipt of regulatory approval and satisfactory completion of customary cl</w:t>
      </w:r>
      <w:r>
        <w:rPr>
          <w:rFonts w:eastAsia="Times New Roman"/>
          <w:color w:val="000000"/>
          <w:sz w:val="20"/>
          <w:szCs w:val="20"/>
        </w:rPr>
        <w:t>osing conditions.</w:t>
      </w:r>
    </w:p>
    <w:p w:rsidR="00000000" w:rsidRDefault="00905244">
      <w:pPr>
        <w:divId w:val="1690521473"/>
        <w:rPr>
          <w:rFonts w:eastAsia="Times New Roman"/>
        </w:rPr>
      </w:pPr>
    </w:p>
    <w:p w:rsidR="00000000" w:rsidRDefault="00905244">
      <w:pPr>
        <w:divId w:val="798574100"/>
        <w:rPr>
          <w:rFonts w:eastAsia="Times New Roman"/>
        </w:rPr>
      </w:pPr>
    </w:p>
    <w:p w:rsidR="00000000" w:rsidRDefault="00905244">
      <w:pPr>
        <w:ind w:hanging="1440"/>
        <w:jc w:val="both"/>
        <w:rPr>
          <w:rFonts w:eastAsia="Times New Roman"/>
        </w:rPr>
      </w:pPr>
      <w:r>
        <w:rPr>
          <w:rFonts w:eastAsia="Times New Roman"/>
          <w:b/>
          <w:bCs/>
          <w:color w:val="000000"/>
          <w:sz w:val="20"/>
          <w:szCs w:val="20"/>
          <w:u w:val="single"/>
        </w:rPr>
        <w:t>Item 9</w:t>
      </w:r>
      <w:r>
        <w:rPr>
          <w:rFonts w:eastAsia="Times New Roman"/>
          <w:b/>
          <w:bCs/>
          <w:color w:val="000000"/>
          <w:sz w:val="20"/>
          <w:szCs w:val="20"/>
        </w:rPr>
        <w:t>.        </w:t>
      </w:r>
      <w:r>
        <w:rPr>
          <w:rFonts w:eastAsia="Times New Roman"/>
          <w:b/>
          <w:bCs/>
          <w:color w:val="000000"/>
          <w:sz w:val="20"/>
          <w:szCs w:val="20"/>
          <w:u w:val="single"/>
        </w:rPr>
        <w:t>Changes in and Disagreements with Accountants on Accounting and Financial Disclosure</w:t>
      </w:r>
    </w:p>
    <w:p w:rsidR="00000000" w:rsidRDefault="00905244">
      <w:pPr>
        <w:divId w:val="475100647"/>
        <w:rPr>
          <w:rFonts w:eastAsia="Times New Roman"/>
        </w:rPr>
      </w:pPr>
    </w:p>
    <w:p w:rsidR="00000000" w:rsidRDefault="00905244">
      <w:pPr>
        <w:jc w:val="both"/>
        <w:rPr>
          <w:rFonts w:eastAsia="Times New Roman"/>
        </w:rPr>
      </w:pPr>
      <w:r>
        <w:rPr>
          <w:rFonts w:eastAsia="Times New Roman"/>
          <w:color w:val="000000"/>
          <w:sz w:val="20"/>
          <w:szCs w:val="20"/>
        </w:rPr>
        <w:t>None.</w:t>
      </w:r>
    </w:p>
    <w:p w:rsidR="00000000" w:rsidRDefault="00905244">
      <w:pPr>
        <w:divId w:val="1537354961"/>
        <w:rPr>
          <w:rFonts w:eastAsia="Times New Roman"/>
        </w:rPr>
      </w:pPr>
    </w:p>
    <w:p w:rsidR="00000000" w:rsidRDefault="00905244">
      <w:pPr>
        <w:jc w:val="both"/>
        <w:rPr>
          <w:rFonts w:eastAsia="Times New Roman"/>
        </w:rPr>
      </w:pPr>
      <w:r>
        <w:rPr>
          <w:rFonts w:eastAsia="Times New Roman"/>
          <w:b/>
          <w:bCs/>
          <w:color w:val="000000"/>
          <w:sz w:val="20"/>
          <w:szCs w:val="20"/>
          <w:u w:val="single"/>
        </w:rPr>
        <w:t>Item 9A</w:t>
      </w:r>
      <w:r>
        <w:rPr>
          <w:rFonts w:eastAsia="Times New Roman"/>
          <w:b/>
          <w:bCs/>
          <w:color w:val="000000"/>
          <w:sz w:val="20"/>
          <w:szCs w:val="20"/>
        </w:rPr>
        <w:t>.    </w:t>
      </w:r>
      <w:r>
        <w:rPr>
          <w:rFonts w:eastAsia="Times New Roman"/>
          <w:b/>
          <w:bCs/>
          <w:color w:val="000000"/>
          <w:sz w:val="20"/>
          <w:szCs w:val="20"/>
          <w:u w:val="single"/>
        </w:rPr>
        <w:t>Controls and Procedures</w:t>
      </w:r>
    </w:p>
    <w:p w:rsidR="00000000" w:rsidRDefault="00905244">
      <w:pPr>
        <w:divId w:val="1706633583"/>
        <w:rPr>
          <w:rFonts w:eastAsia="Times New Roman"/>
        </w:rPr>
      </w:pPr>
    </w:p>
    <w:p w:rsidR="00000000" w:rsidRDefault="00905244">
      <w:pPr>
        <w:jc w:val="both"/>
        <w:rPr>
          <w:rFonts w:eastAsia="Times New Roman"/>
        </w:rPr>
      </w:pPr>
      <w:r>
        <w:rPr>
          <w:rFonts w:eastAsia="Times New Roman"/>
          <w:i/>
          <w:iCs/>
          <w:color w:val="000000"/>
          <w:sz w:val="20"/>
          <w:szCs w:val="20"/>
        </w:rPr>
        <w:t>Disclosure Controls and Procedures</w:t>
      </w:r>
    </w:p>
    <w:p w:rsidR="00000000" w:rsidRDefault="00905244">
      <w:pPr>
        <w:divId w:val="489444642"/>
        <w:rPr>
          <w:rFonts w:eastAsia="Times New Roman"/>
        </w:rPr>
      </w:pPr>
    </w:p>
    <w:p w:rsidR="00000000" w:rsidRDefault="00905244">
      <w:pPr>
        <w:jc w:val="both"/>
        <w:rPr>
          <w:rFonts w:eastAsia="Times New Roman"/>
        </w:rPr>
      </w:pPr>
      <w:r>
        <w:rPr>
          <w:rFonts w:eastAsia="Times New Roman"/>
          <w:color w:val="000000"/>
          <w:sz w:val="20"/>
          <w:szCs w:val="20"/>
        </w:rPr>
        <w:t>We carried out an evaluation required by the Securities Exchange Act of 1934, as amended (the “1934 Act”), under the supervision and with the participation of our principal executive officer and principal financial officer, of the effectiveness of the desi</w:t>
      </w:r>
      <w:r>
        <w:rPr>
          <w:rFonts w:eastAsia="Times New Roman"/>
          <w:color w:val="000000"/>
          <w:sz w:val="20"/>
          <w:szCs w:val="20"/>
        </w:rPr>
        <w:t>gn and operation of our disclosure controls and procedures (as defined in Rule 13a-15(e) and 15d-15(e) under the 1934 Act) as of December 26, 2020.  Based on this evaluation, our principal executive officer and principal financial officer concluded that, a</w:t>
      </w:r>
      <w:r>
        <w:rPr>
          <w:rFonts w:eastAsia="Times New Roman"/>
          <w:color w:val="000000"/>
          <w:sz w:val="20"/>
          <w:szCs w:val="20"/>
        </w:rPr>
        <w:t>s of December 26, 2020, our disclosure controls and procedures were effective.</w:t>
      </w:r>
    </w:p>
    <w:p w:rsidR="00000000" w:rsidRDefault="00905244">
      <w:pPr>
        <w:jc w:val="both"/>
        <w:rPr>
          <w:rFonts w:eastAsia="Times New Roman"/>
        </w:rPr>
      </w:pPr>
    </w:p>
    <w:p w:rsidR="00000000" w:rsidRDefault="00905244">
      <w:pPr>
        <w:jc w:val="both"/>
        <w:rPr>
          <w:rFonts w:eastAsia="Times New Roman"/>
        </w:rPr>
      </w:pPr>
      <w:r>
        <w:rPr>
          <w:rFonts w:eastAsia="Times New Roman"/>
          <w:i/>
          <w:iCs/>
          <w:color w:val="000000"/>
          <w:sz w:val="20"/>
          <w:szCs w:val="20"/>
        </w:rPr>
        <w:t>Internal Control Over Financial Reporting</w:t>
      </w:r>
    </w:p>
    <w:p w:rsidR="00000000" w:rsidRDefault="00905244">
      <w:pPr>
        <w:divId w:val="589698133"/>
        <w:rPr>
          <w:rFonts w:eastAsia="Times New Roman"/>
        </w:rPr>
      </w:pPr>
    </w:p>
    <w:p w:rsidR="00000000" w:rsidRDefault="00905244">
      <w:pPr>
        <w:jc w:val="both"/>
        <w:rPr>
          <w:rFonts w:eastAsia="Times New Roman"/>
        </w:rPr>
      </w:pPr>
      <w:r>
        <w:rPr>
          <w:rFonts w:eastAsia="Times New Roman"/>
          <w:color w:val="000000"/>
          <w:sz w:val="20"/>
          <w:szCs w:val="20"/>
        </w:rPr>
        <w:t>A report of the Company’s management on the Company’s internal control over financial reporting (as such term is defined in Rule 13</w:t>
      </w:r>
      <w:r>
        <w:rPr>
          <w:rFonts w:eastAsia="Times New Roman"/>
          <w:color w:val="000000"/>
          <w:sz w:val="20"/>
          <w:szCs w:val="20"/>
        </w:rPr>
        <w:t>a-15(f) under the 1934 Act) and a report of Ernst &amp; Young LLP, an independent registered public accounting firm, on the effectiveness of the Company’s internal control over financial reporting are included in Item 8 of this Annual Report on Form 10-K.</w:t>
      </w:r>
    </w:p>
    <w:p w:rsidR="00000000" w:rsidRDefault="00905244">
      <w:pPr>
        <w:jc w:val="center"/>
        <w:divId w:val="381247396"/>
        <w:rPr>
          <w:rFonts w:eastAsia="Times New Roman"/>
        </w:rPr>
      </w:pPr>
      <w:r>
        <w:rPr>
          <w:rFonts w:eastAsia="Times New Roman"/>
          <w:color w:val="000000"/>
          <w:sz w:val="20"/>
          <w:szCs w:val="20"/>
        </w:rPr>
        <w:t>79</w:t>
      </w:r>
    </w:p>
    <w:p w:rsidR="00000000" w:rsidRDefault="00905244">
      <w:pPr>
        <w:rPr>
          <w:rFonts w:eastAsia="Times New Roman"/>
        </w:rPr>
      </w:pPr>
      <w:r>
        <w:rPr>
          <w:rFonts w:eastAsia="Times New Roman"/>
        </w:rPr>
        <w:pict>
          <v:rect id="_x0000_i1108" style="width:0;height:1.5pt" o:hralign="center" o:hrstd="t" o:hr="t" fillcolor="#a0a0a0" stroked="f"/>
        </w:pict>
      </w:r>
    </w:p>
    <w:p w:rsidR="00000000" w:rsidRDefault="00905244">
      <w:pPr>
        <w:divId w:val="2071878276"/>
        <w:rPr>
          <w:rFonts w:eastAsia="Times New Roman"/>
        </w:rPr>
      </w:pPr>
      <w:hyperlink w:anchor="i137f04c25e1e4da3b6d1f469d06f3319_7" w:history="1">
        <w:r>
          <w:rPr>
            <w:rStyle w:val="a3"/>
            <w:rFonts w:eastAsia="Times New Roman"/>
            <w:sz w:val="18"/>
            <w:szCs w:val="18"/>
          </w:rPr>
          <w:t>Index</w:t>
        </w:r>
      </w:hyperlink>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There were no changes in our internal control over financial reporting that occurred during our last fiscal quarter that have materially affected or are r</w:t>
      </w:r>
      <w:r>
        <w:rPr>
          <w:rFonts w:eastAsia="Times New Roman"/>
          <w:color w:val="000000"/>
          <w:sz w:val="20"/>
          <w:szCs w:val="20"/>
        </w:rPr>
        <w:t>easonably likely to materially affect our internal control over financial reporting.</w:t>
      </w:r>
    </w:p>
    <w:p w:rsidR="00000000" w:rsidRDefault="00905244">
      <w:pPr>
        <w:divId w:val="966741720"/>
        <w:rPr>
          <w:rFonts w:eastAsia="Times New Roman"/>
        </w:rPr>
      </w:pPr>
    </w:p>
    <w:p w:rsidR="00000000" w:rsidRDefault="00905244">
      <w:pPr>
        <w:ind w:hanging="1440"/>
        <w:jc w:val="both"/>
        <w:rPr>
          <w:rFonts w:eastAsia="Times New Roman"/>
        </w:rPr>
      </w:pPr>
      <w:r>
        <w:rPr>
          <w:rFonts w:eastAsia="Times New Roman"/>
          <w:b/>
          <w:bCs/>
          <w:color w:val="000000"/>
          <w:sz w:val="20"/>
          <w:szCs w:val="20"/>
          <w:u w:val="single"/>
        </w:rPr>
        <w:t>Item 9B</w:t>
      </w:r>
      <w:r>
        <w:rPr>
          <w:rFonts w:eastAsia="Times New Roman"/>
          <w:b/>
          <w:bCs/>
          <w:color w:val="000000"/>
          <w:sz w:val="20"/>
          <w:szCs w:val="20"/>
        </w:rPr>
        <w:t>.    </w:t>
      </w:r>
      <w:r>
        <w:rPr>
          <w:rFonts w:eastAsia="Times New Roman"/>
          <w:b/>
          <w:bCs/>
          <w:color w:val="000000"/>
          <w:sz w:val="20"/>
          <w:szCs w:val="20"/>
          <w:u w:val="single"/>
        </w:rPr>
        <w:t>Other Information</w:t>
      </w:r>
    </w:p>
    <w:p w:rsidR="00000000" w:rsidRDefault="00905244">
      <w:pPr>
        <w:divId w:val="1636639728"/>
        <w:rPr>
          <w:rFonts w:eastAsia="Times New Roman"/>
        </w:rPr>
      </w:pPr>
    </w:p>
    <w:p w:rsidR="00000000" w:rsidRDefault="00905244">
      <w:pPr>
        <w:jc w:val="both"/>
        <w:rPr>
          <w:rFonts w:eastAsia="Times New Roman"/>
        </w:rPr>
      </w:pPr>
      <w:r>
        <w:rPr>
          <w:rFonts w:eastAsia="Times New Roman"/>
          <w:color w:val="000000"/>
          <w:sz w:val="20"/>
          <w:szCs w:val="20"/>
        </w:rPr>
        <w:t>None.</w:t>
      </w:r>
    </w:p>
    <w:p w:rsidR="00000000" w:rsidRDefault="00905244">
      <w:pPr>
        <w:jc w:val="both"/>
        <w:rPr>
          <w:rFonts w:eastAsia="Times New Roman"/>
        </w:rPr>
      </w:pPr>
    </w:p>
    <w:p w:rsidR="00000000" w:rsidRDefault="00905244">
      <w:pPr>
        <w:jc w:val="center"/>
        <w:rPr>
          <w:rFonts w:eastAsia="Times New Roman"/>
        </w:rPr>
      </w:pPr>
      <w:r>
        <w:rPr>
          <w:rFonts w:eastAsia="Times New Roman"/>
          <w:b/>
          <w:bCs/>
          <w:color w:val="000000"/>
          <w:sz w:val="20"/>
          <w:szCs w:val="20"/>
        </w:rPr>
        <w:t>PART III</w:t>
      </w:r>
    </w:p>
    <w:p w:rsidR="00000000" w:rsidRDefault="00905244">
      <w:pPr>
        <w:jc w:val="center"/>
        <w:rPr>
          <w:rFonts w:eastAsia="Times New Roman"/>
        </w:rPr>
      </w:pPr>
    </w:p>
    <w:p w:rsidR="00000000" w:rsidRDefault="00905244">
      <w:pPr>
        <w:ind w:hanging="1440"/>
        <w:jc w:val="both"/>
        <w:rPr>
          <w:rFonts w:eastAsia="Times New Roman"/>
        </w:rPr>
      </w:pPr>
      <w:r>
        <w:rPr>
          <w:rFonts w:eastAsia="Times New Roman"/>
          <w:b/>
          <w:bCs/>
          <w:color w:val="000000"/>
          <w:sz w:val="20"/>
          <w:szCs w:val="20"/>
          <w:u w:val="single"/>
        </w:rPr>
        <w:t>Item 10</w:t>
      </w:r>
      <w:r>
        <w:rPr>
          <w:rFonts w:eastAsia="Times New Roman"/>
          <w:b/>
          <w:bCs/>
          <w:color w:val="000000"/>
          <w:sz w:val="20"/>
          <w:szCs w:val="20"/>
        </w:rPr>
        <w:t>.        </w:t>
      </w:r>
      <w:r>
        <w:rPr>
          <w:rFonts w:eastAsia="Times New Roman"/>
          <w:b/>
          <w:bCs/>
          <w:color w:val="000000"/>
          <w:sz w:val="20"/>
          <w:szCs w:val="20"/>
          <w:u w:val="single"/>
        </w:rPr>
        <w:t>Directors, Executive Officers and Corporate Governance</w:t>
      </w:r>
    </w:p>
    <w:p w:rsidR="00000000" w:rsidRDefault="00905244">
      <w:pPr>
        <w:divId w:val="906303194"/>
        <w:rPr>
          <w:rFonts w:eastAsia="Times New Roman"/>
        </w:rPr>
      </w:pPr>
    </w:p>
    <w:p w:rsidR="00000000" w:rsidRDefault="00905244">
      <w:pPr>
        <w:jc w:val="both"/>
        <w:rPr>
          <w:rFonts w:eastAsia="Times New Roman"/>
        </w:rPr>
      </w:pPr>
      <w:r>
        <w:rPr>
          <w:rFonts w:eastAsia="Times New Roman"/>
          <w:color w:val="000000"/>
          <w:sz w:val="20"/>
          <w:szCs w:val="20"/>
        </w:rPr>
        <w:t>The information set forth under the caption “Information about our Executive Officers” in Part I of this Form 10-K is incorporated herein by reference.</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The information set forth under the captions </w:t>
      </w:r>
      <w:r>
        <w:rPr>
          <w:rFonts w:eastAsia="Times New Roman"/>
          <w:color w:val="000000"/>
          <w:sz w:val="20"/>
          <w:szCs w:val="20"/>
        </w:rPr>
        <w:t>“Item 1: Election of Directors,” “Board Meetings and Committees,” and “Section 16(a) Beneficial Ownership Reporting Compliance” in our Proxy Statement for our Annual Meeting of Stockholders to be held on May 6, 2021, is incorporated herein by reference.</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 xml:space="preserve">The Company has a Code of Ethics which covers all exempt employees, officers and directors of the Company, including the principal executive officer, principal financial officer, principal accounting officer and controller. The Code of Ethics is available </w:t>
      </w:r>
      <w:r>
        <w:rPr>
          <w:rFonts w:eastAsia="Times New Roman"/>
          <w:color w:val="000000"/>
          <w:sz w:val="20"/>
          <w:szCs w:val="20"/>
        </w:rPr>
        <w:t xml:space="preserve">in the “Corporate Governance” section of the Company’s website at </w:t>
      </w:r>
      <w:r>
        <w:rPr>
          <w:rFonts w:eastAsia="Times New Roman"/>
          <w:i/>
          <w:iCs/>
          <w:color w:val="000000"/>
          <w:sz w:val="20"/>
          <w:szCs w:val="20"/>
          <w:u w:val="single"/>
        </w:rPr>
        <w:t>TractorSupply.com</w:t>
      </w:r>
      <w:r>
        <w:rPr>
          <w:rFonts w:eastAsia="Times New Roman"/>
          <w:color w:val="000000"/>
          <w:sz w:val="20"/>
          <w:szCs w:val="20"/>
        </w:rPr>
        <w:t>. A copy of the Code of Ethics can also be obtained, free of charge, upon written request to the Corporate Secretary, Tractor Supply Company, 5401 Virginia Way, Brentwood, T</w:t>
      </w:r>
      <w:r>
        <w:rPr>
          <w:rFonts w:eastAsia="Times New Roman"/>
          <w:color w:val="000000"/>
          <w:sz w:val="20"/>
          <w:szCs w:val="20"/>
        </w:rPr>
        <w:t>N 37027. The Company intends to post amendments to or waivers, if any, from its Code of Ethics (to the extent applicable to its principal executive officer, principal financial officer, principal accounting officer or controller) on its website.</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u w:val="single"/>
        </w:rPr>
        <w:t>Item 11</w:t>
      </w:r>
      <w:r>
        <w:rPr>
          <w:rFonts w:eastAsia="Times New Roman"/>
          <w:b/>
          <w:bCs/>
          <w:color w:val="000000"/>
          <w:sz w:val="20"/>
          <w:szCs w:val="20"/>
        </w:rPr>
        <w:t>.        </w:t>
      </w:r>
      <w:r>
        <w:rPr>
          <w:rFonts w:eastAsia="Times New Roman"/>
          <w:b/>
          <w:bCs/>
          <w:color w:val="000000"/>
          <w:sz w:val="20"/>
          <w:szCs w:val="20"/>
          <w:u w:val="single"/>
        </w:rPr>
        <w:t>Executive Compensation</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The information set forth under the captions “Corporate Governance – Compensation Committee Interlocks and Insider Participation,” “Compensation of Directors,” and “Executive Compensation” in our Proxy Statement for</w:t>
      </w:r>
      <w:r>
        <w:rPr>
          <w:rFonts w:eastAsia="Times New Roman"/>
          <w:color w:val="000000"/>
          <w:sz w:val="20"/>
          <w:szCs w:val="20"/>
        </w:rPr>
        <w:t xml:space="preserve"> our Annual Meeting of Stockholders to be held on May 6, 2021, is incorporated herein by reference.</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u w:val="single"/>
        </w:rPr>
        <w:t>Item 12</w:t>
      </w:r>
      <w:r>
        <w:rPr>
          <w:rFonts w:eastAsia="Times New Roman"/>
          <w:b/>
          <w:bCs/>
          <w:color w:val="000000"/>
          <w:sz w:val="20"/>
          <w:szCs w:val="20"/>
        </w:rPr>
        <w:t>.        </w:t>
      </w:r>
      <w:r>
        <w:rPr>
          <w:rFonts w:eastAsia="Times New Roman"/>
          <w:b/>
          <w:bCs/>
          <w:color w:val="000000"/>
          <w:sz w:val="20"/>
          <w:szCs w:val="20"/>
          <w:u w:val="single"/>
        </w:rPr>
        <w:t>Security Ownership of Certain Beneficial Owners and Management and Related Stockholder Matters</w:t>
      </w:r>
    </w:p>
    <w:p w:rsidR="00000000" w:rsidRDefault="00905244">
      <w:pPr>
        <w:divId w:val="1087506718"/>
        <w:rPr>
          <w:rFonts w:eastAsia="Times New Roman"/>
        </w:rPr>
      </w:pPr>
    </w:p>
    <w:p w:rsidR="00000000" w:rsidRDefault="00905244">
      <w:pPr>
        <w:jc w:val="both"/>
        <w:rPr>
          <w:rFonts w:eastAsia="Times New Roman"/>
        </w:rPr>
      </w:pPr>
      <w:r>
        <w:rPr>
          <w:rFonts w:eastAsia="Times New Roman"/>
          <w:color w:val="000000"/>
          <w:sz w:val="20"/>
          <w:szCs w:val="20"/>
        </w:rPr>
        <w:t>The information set forth under the capti</w:t>
      </w:r>
      <w:r>
        <w:rPr>
          <w:rFonts w:eastAsia="Times New Roman"/>
          <w:color w:val="000000"/>
          <w:sz w:val="20"/>
          <w:szCs w:val="20"/>
        </w:rPr>
        <w:t>on “Security Ownership of Certain Beneficial Owners and Management” in our Proxy Statement for our Annual Meeting of Stockholders to be held on May 6, 2021, is incorporated herein by reference.</w:t>
      </w:r>
    </w:p>
    <w:p w:rsidR="00000000" w:rsidRDefault="00905244">
      <w:pPr>
        <w:jc w:val="both"/>
        <w:rPr>
          <w:rFonts w:eastAsia="Times New Roman"/>
        </w:rPr>
      </w:pPr>
    </w:p>
    <w:p w:rsidR="00000000" w:rsidRDefault="00905244">
      <w:pPr>
        <w:jc w:val="both"/>
        <w:rPr>
          <w:rFonts w:eastAsia="Times New Roman"/>
        </w:rPr>
      </w:pPr>
      <w:r>
        <w:rPr>
          <w:rFonts w:eastAsia="Times New Roman"/>
          <w:color w:val="000000"/>
          <w:sz w:val="20"/>
          <w:szCs w:val="20"/>
        </w:rPr>
        <w:t>Following is a summary of our equity compensation plans as o</w:t>
      </w:r>
      <w:r>
        <w:rPr>
          <w:rFonts w:eastAsia="Times New Roman"/>
          <w:color w:val="000000"/>
          <w:sz w:val="20"/>
          <w:szCs w:val="20"/>
        </w:rPr>
        <w:t>f December 26, 2020, under which equity securities are authorized for issuance, aggregated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3923"/>
        <w:gridCol w:w="37"/>
        <w:gridCol w:w="36"/>
        <w:gridCol w:w="36"/>
        <w:gridCol w:w="36"/>
        <w:gridCol w:w="73"/>
        <w:gridCol w:w="1094"/>
        <w:gridCol w:w="36"/>
        <w:gridCol w:w="37"/>
        <w:gridCol w:w="181"/>
        <w:gridCol w:w="36"/>
        <w:gridCol w:w="121"/>
        <w:gridCol w:w="1237"/>
        <w:gridCol w:w="36"/>
        <w:gridCol w:w="37"/>
        <w:gridCol w:w="181"/>
        <w:gridCol w:w="36"/>
        <w:gridCol w:w="74"/>
        <w:gridCol w:w="972"/>
        <w:gridCol w:w="36"/>
      </w:tblGrid>
      <w:tr w:rsidR="00000000">
        <w:trPr>
          <w:divId w:val="624194030"/>
          <w:jc w:val="center"/>
        </w:trPr>
        <w:tc>
          <w:tcPr>
            <w:tcW w:w="50" w:type="pct"/>
            <w:vAlign w:val="center"/>
            <w:hideMark/>
          </w:tcPr>
          <w:p w:rsidR="00000000" w:rsidRDefault="00905244">
            <w:pPr>
              <w:jc w:val="both"/>
              <w:rPr>
                <w:rFonts w:eastAsia="Times New Roman"/>
              </w:rPr>
            </w:pPr>
          </w:p>
        </w:tc>
        <w:tc>
          <w:tcPr>
            <w:tcW w:w="237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2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70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12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763"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12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617"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624194030"/>
          <w:jc w:val="center"/>
        </w:trPr>
        <w:tc>
          <w:tcPr>
            <w:tcW w:w="0" w:type="auto"/>
            <w:gridSpan w:val="3"/>
            <w:tcMar>
              <w:top w:w="30" w:type="dxa"/>
              <w:left w:w="20" w:type="dxa"/>
              <w:bottom w:w="30" w:type="dxa"/>
              <w:right w:w="20" w:type="dxa"/>
            </w:tcMar>
            <w:vAlign w:val="bottom"/>
            <w:hideMark/>
          </w:tcPr>
          <w:p w:rsidR="00000000" w:rsidRDefault="00905244">
            <w:pPr>
              <w:rPr>
                <w:rFonts w:eastAsia="Times New Roman"/>
              </w:rPr>
            </w:pPr>
            <w:r>
              <w:rPr>
                <w:rFonts w:eastAsia="Times New Roman"/>
                <w:b/>
                <w:bCs/>
                <w:color w:val="000000"/>
                <w:sz w:val="20"/>
                <w:szCs w:val="20"/>
              </w:rPr>
              <w:t>Plan Category</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Number of Securities to be</w:t>
            </w:r>
          </w:p>
          <w:p w:rsidR="00000000" w:rsidRDefault="00905244">
            <w:pPr>
              <w:jc w:val="center"/>
              <w:rPr>
                <w:rFonts w:eastAsia="Times New Roman"/>
              </w:rPr>
            </w:pPr>
            <w:r>
              <w:rPr>
                <w:rFonts w:eastAsia="Times New Roman"/>
                <w:b/>
                <w:bCs/>
                <w:color w:val="000000"/>
                <w:sz w:val="20"/>
                <w:szCs w:val="20"/>
              </w:rPr>
              <w:t>Issued Upon Exercise of</w:t>
            </w:r>
          </w:p>
          <w:p w:rsidR="00000000" w:rsidRDefault="00905244">
            <w:pPr>
              <w:jc w:val="center"/>
              <w:rPr>
                <w:rFonts w:eastAsia="Times New Roman"/>
              </w:rPr>
            </w:pPr>
            <w:r>
              <w:rPr>
                <w:rFonts w:eastAsia="Times New Roman"/>
                <w:b/>
                <w:bCs/>
                <w:color w:val="000000"/>
                <w:sz w:val="20"/>
                <w:szCs w:val="20"/>
              </w:rPr>
              <w:t>Outstanding Options, Warrants, and Rights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Weighted Average</w:t>
            </w:r>
          </w:p>
          <w:p w:rsidR="00000000" w:rsidRDefault="00905244">
            <w:pPr>
              <w:jc w:val="center"/>
              <w:rPr>
                <w:rFonts w:eastAsia="Times New Roman"/>
              </w:rPr>
            </w:pPr>
            <w:r>
              <w:rPr>
                <w:rFonts w:eastAsia="Times New Roman"/>
                <w:b/>
                <w:bCs/>
                <w:color w:val="000000"/>
                <w:sz w:val="20"/>
                <w:szCs w:val="20"/>
              </w:rPr>
              <w:t>Exercise Price of</w:t>
            </w:r>
          </w:p>
          <w:p w:rsidR="00000000" w:rsidRDefault="00905244">
            <w:pPr>
              <w:jc w:val="center"/>
              <w:rPr>
                <w:rFonts w:eastAsia="Times New Roman"/>
              </w:rPr>
            </w:pPr>
            <w:r>
              <w:rPr>
                <w:rFonts w:eastAsia="Times New Roman"/>
                <w:b/>
                <w:bCs/>
                <w:color w:val="000000"/>
                <w:sz w:val="20"/>
                <w:szCs w:val="20"/>
              </w:rPr>
              <w:t>Outstanding Options, Warrants and Rights</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rPr>
              <w:t>Number of Securities</w:t>
            </w:r>
          </w:p>
          <w:p w:rsidR="00000000" w:rsidRDefault="00905244">
            <w:pPr>
              <w:jc w:val="center"/>
              <w:rPr>
                <w:rFonts w:eastAsia="Times New Roman"/>
              </w:rPr>
            </w:pPr>
            <w:r>
              <w:rPr>
                <w:rFonts w:eastAsia="Times New Roman"/>
                <w:b/>
                <w:bCs/>
                <w:color w:val="000000"/>
                <w:sz w:val="20"/>
                <w:szCs w:val="20"/>
              </w:rPr>
              <w:t>Remaining Available</w:t>
            </w:r>
          </w:p>
          <w:p w:rsidR="00000000" w:rsidRDefault="00905244">
            <w:pPr>
              <w:jc w:val="center"/>
              <w:rPr>
                <w:rFonts w:eastAsia="Times New Roman"/>
              </w:rPr>
            </w:pPr>
            <w:r>
              <w:rPr>
                <w:rFonts w:eastAsia="Times New Roman"/>
                <w:b/>
                <w:bCs/>
                <w:color w:val="000000"/>
                <w:sz w:val="20"/>
                <w:szCs w:val="20"/>
              </w:rPr>
              <w:t>for Future Issuance</w:t>
            </w:r>
          </w:p>
        </w:tc>
      </w:tr>
      <w:tr w:rsidR="00000000">
        <w:trPr>
          <w:divId w:val="624194030"/>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u w:val="single"/>
              </w:rPr>
              <w:t>Equity compensation plans approved by security holders:</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 </w:t>
            </w:r>
          </w:p>
        </w:tc>
      </w:tr>
      <w:tr w:rsidR="00000000">
        <w:trPr>
          <w:divId w:val="624194030"/>
          <w:jc w:val="center"/>
        </w:trPr>
        <w:tc>
          <w:tcPr>
            <w:tcW w:w="0" w:type="auto"/>
            <w:gridSpan w:val="3"/>
            <w:shd w:val="clear" w:color="auto" w:fill="FFFF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Stock Incentive Plans</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2,671,323 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3"/>
                <w:szCs w:val="13"/>
              </w:rPr>
              <w:t>(a</w:t>
            </w:r>
            <w:r>
              <w:rPr>
                <w:rFonts w:eastAsia="Times New Roman"/>
                <w:color w:val="000000"/>
                <w:sz w:val="13"/>
                <w:szCs w:val="13"/>
              </w:rPr>
              <w:t>)</w:t>
            </w:r>
          </w:p>
        </w:tc>
        <w:tc>
          <w:tcPr>
            <w:tcW w:w="0" w:type="auto"/>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80.44 </w:t>
            </w:r>
          </w:p>
        </w:tc>
        <w:tc>
          <w:tcPr>
            <w:tcW w:w="0" w:type="auto"/>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13"/>
                <w:szCs w:val="13"/>
              </w:rPr>
              <w:t>(b</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10,637,072 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24194030"/>
          <w:jc w:val="center"/>
        </w:trPr>
        <w:tc>
          <w:tcPr>
            <w:tcW w:w="0" w:type="auto"/>
            <w:gridSpan w:val="3"/>
            <w:shd w:val="clear" w:color="auto" w:fill="CCEEFF"/>
            <w:tcMar>
              <w:top w:w="30" w:type="dxa"/>
              <w:left w:w="155" w:type="dxa"/>
              <w:bottom w:w="30" w:type="dxa"/>
              <w:right w:w="20" w:type="dxa"/>
            </w:tcMar>
            <w:vAlign w:val="bottom"/>
            <w:hideMark/>
          </w:tcPr>
          <w:p w:rsidR="00000000" w:rsidRDefault="00905244">
            <w:pPr>
              <w:rPr>
                <w:rFonts w:eastAsia="Times New Roman"/>
              </w:rPr>
            </w:pPr>
            <w:r>
              <w:rPr>
                <w:rFonts w:eastAsia="Times New Roman"/>
                <w:color w:val="000000"/>
                <w:sz w:val="20"/>
                <w:szCs w:val="20"/>
              </w:rPr>
              <w:t>Employee Stock Purchase Plan</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11,807,992 </w:t>
            </w:r>
          </w:p>
        </w:tc>
        <w:tc>
          <w:tcPr>
            <w:tcW w:w="0" w:type="auto"/>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24194030"/>
          <w:jc w:val="center"/>
        </w:trPr>
        <w:tc>
          <w:tcPr>
            <w:tcW w:w="0" w:type="auto"/>
            <w:gridSpan w:val="3"/>
            <w:shd w:val="clear" w:color="auto" w:fill="FFFF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u w:val="single"/>
              </w:rPr>
              <w:t>Equity compensation plans not approved by security holders</w:t>
            </w:r>
          </w:p>
        </w:tc>
        <w:tc>
          <w:tcPr>
            <w:tcW w:w="0" w:type="auto"/>
            <w:gridSpan w:val="3"/>
            <w:shd w:val="clear" w:color="auto" w:fill="FFFFFF"/>
            <w:tcMar>
              <w:top w:w="0" w:type="dxa"/>
              <w:left w:w="20" w:type="dxa"/>
              <w:bottom w:w="0" w:type="dxa"/>
              <w:right w:w="20" w:type="dxa"/>
            </w:tcMar>
            <w:vAlign w:val="center"/>
            <w:hideMark/>
          </w:tcPr>
          <w:p w:rsidR="00000000" w:rsidRDefault="0090524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905244">
            <w:pPr>
              <w:jc w:val="right"/>
              <w:rPr>
                <w:rFonts w:eastAsia="Times New Roman"/>
              </w:rPr>
            </w:pPr>
          </w:p>
        </w:tc>
      </w:tr>
      <w:tr w:rsidR="00000000">
        <w:trPr>
          <w:divId w:val="624194030"/>
          <w:jc w:val="center"/>
        </w:trPr>
        <w:tc>
          <w:tcPr>
            <w:tcW w:w="0" w:type="auto"/>
            <w:gridSpan w:val="3"/>
            <w:shd w:val="clear" w:color="auto" w:fill="CCEEFF"/>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905244">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2,671,323 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80.44 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905244">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905244">
            <w:pPr>
              <w:jc w:val="right"/>
              <w:rPr>
                <w:rFonts w:eastAsia="Times New Roman"/>
              </w:rPr>
            </w:pPr>
            <w:r>
              <w:rPr>
                <w:rFonts w:eastAsia="Times New Roman"/>
                <w:color w:val="000000"/>
                <w:sz w:val="20"/>
                <w:szCs w:val="20"/>
              </w:rPr>
              <w:t>22,445,064 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905244">
            <w:pPr>
              <w:jc w:val="right"/>
              <w:rPr>
                <w:rFonts w:eastAsia="Times New Roman"/>
              </w:rPr>
            </w:pPr>
          </w:p>
        </w:tc>
      </w:tr>
    </w:tbl>
    <w:p w:rsidR="00000000" w:rsidRDefault="00905244">
      <w:pPr>
        <w:ind w:hanging="180"/>
        <w:jc w:val="both"/>
        <w:rPr>
          <w:rFonts w:eastAsia="Times New Roman"/>
        </w:rPr>
      </w:pPr>
      <w:r>
        <w:rPr>
          <w:rFonts w:eastAsia="Times New Roman"/>
          <w:color w:val="000000"/>
          <w:sz w:val="10"/>
          <w:szCs w:val="10"/>
        </w:rPr>
        <w:t>(a)</w:t>
      </w:r>
      <w:r>
        <w:rPr>
          <w:rFonts w:eastAsia="Times New Roman"/>
          <w:color w:val="000000"/>
          <w:sz w:val="10"/>
          <w:szCs w:val="10"/>
        </w:rPr>
        <w:t xml:space="preserve"> </w:t>
      </w:r>
      <w:r>
        <w:rPr>
          <w:rFonts w:eastAsia="Times New Roman"/>
          <w:color w:val="000000"/>
          <w:sz w:val="16"/>
          <w:szCs w:val="16"/>
        </w:rPr>
        <w:t>Includes 1,932,410 outstanding stock options, 558,711 unvested restricted stock units and 36,934 restricted stock units which have vested but the receipt of which have been deferred by the r</w:t>
      </w:r>
      <w:r>
        <w:rPr>
          <w:rFonts w:eastAsia="Times New Roman"/>
          <w:color w:val="000000"/>
          <w:sz w:val="16"/>
          <w:szCs w:val="16"/>
        </w:rPr>
        <w:t>ecipient, and 143,268 unvested performance-based restricted share units. The 2006 Stock Incentive Plan was superseded in May 2009 by the 2009 Stock Incentive Plan. The 2009 Stock Incentive Plan was superseded in May 2018 by the 2018 Omnibus Incentive Plan.</w:t>
      </w:r>
      <w:r>
        <w:rPr>
          <w:rFonts w:eastAsia="Times New Roman"/>
          <w:color w:val="000000"/>
          <w:sz w:val="16"/>
          <w:szCs w:val="16"/>
        </w:rPr>
        <w:t xml:space="preserve"> Shares available under the 2018 Omnibus Incentive Plan are reduced by one share for each share issued pursuant to the exercise of a stock option and by two shares for each share issued pursuant to a full-value award (e.g., restricted stock unit or perform</w:t>
      </w:r>
      <w:r>
        <w:rPr>
          <w:rFonts w:eastAsia="Times New Roman"/>
          <w:color w:val="000000"/>
          <w:sz w:val="16"/>
          <w:szCs w:val="16"/>
        </w:rPr>
        <w:t>ance-based restricted share unit).</w:t>
      </w:r>
    </w:p>
    <w:p w:rsidR="00000000" w:rsidRDefault="00905244">
      <w:pPr>
        <w:ind w:hanging="180"/>
        <w:jc w:val="both"/>
        <w:rPr>
          <w:rFonts w:eastAsia="Times New Roman"/>
        </w:rPr>
      </w:pPr>
      <w:r>
        <w:rPr>
          <w:rFonts w:eastAsia="Times New Roman"/>
          <w:color w:val="000000"/>
          <w:sz w:val="10"/>
          <w:szCs w:val="10"/>
        </w:rPr>
        <w:t>(b)</w:t>
      </w:r>
      <w:r>
        <w:rPr>
          <w:rFonts w:eastAsia="Times New Roman"/>
          <w:color w:val="000000"/>
          <w:sz w:val="10"/>
          <w:szCs w:val="10"/>
        </w:rPr>
        <w:t xml:space="preserve"> </w:t>
      </w:r>
      <w:r>
        <w:rPr>
          <w:rFonts w:eastAsia="Times New Roman"/>
          <w:color w:val="000000"/>
          <w:sz w:val="16"/>
          <w:szCs w:val="16"/>
        </w:rPr>
        <w:t>Excludes restricted stock units and performance-based restricted share units which have a weighted average exercise price of zero.</w:t>
      </w:r>
    </w:p>
    <w:p w:rsidR="00000000" w:rsidRDefault="00905244">
      <w:pPr>
        <w:jc w:val="center"/>
        <w:divId w:val="1624387447"/>
        <w:rPr>
          <w:rFonts w:eastAsia="Times New Roman"/>
        </w:rPr>
      </w:pPr>
      <w:r>
        <w:rPr>
          <w:rFonts w:eastAsia="Times New Roman"/>
          <w:color w:val="000000"/>
          <w:sz w:val="20"/>
          <w:szCs w:val="20"/>
        </w:rPr>
        <w:t>80</w:t>
      </w:r>
    </w:p>
    <w:p w:rsidR="00000000" w:rsidRDefault="00905244">
      <w:pPr>
        <w:rPr>
          <w:rFonts w:eastAsia="Times New Roman"/>
        </w:rPr>
      </w:pPr>
      <w:r>
        <w:rPr>
          <w:rFonts w:eastAsia="Times New Roman"/>
        </w:rPr>
        <w:pict>
          <v:rect id="_x0000_i1109" style="width:0;height:1.5pt" o:hralign="center" o:hrstd="t" o:hr="t" fillcolor="#a0a0a0" stroked="f"/>
        </w:pict>
      </w:r>
    </w:p>
    <w:p w:rsidR="00000000" w:rsidRDefault="00905244">
      <w:pPr>
        <w:divId w:val="622617629"/>
        <w:rPr>
          <w:rFonts w:eastAsia="Times New Roman"/>
        </w:rPr>
      </w:pPr>
      <w:hyperlink w:anchor="i137f04c25e1e4da3b6d1f469d06f3319_7" w:history="1">
        <w:r>
          <w:rPr>
            <w:rStyle w:val="a3"/>
            <w:rFonts w:eastAsia="Times New Roman"/>
            <w:sz w:val="18"/>
            <w:szCs w:val="18"/>
          </w:rPr>
          <w:t>Index</w:t>
        </w:r>
      </w:hyperlink>
    </w:p>
    <w:p w:rsidR="00000000" w:rsidRDefault="00905244">
      <w:pPr>
        <w:ind w:hanging="180"/>
        <w:jc w:val="both"/>
        <w:rPr>
          <w:rFonts w:eastAsia="Times New Roman"/>
        </w:rPr>
      </w:pPr>
    </w:p>
    <w:p w:rsidR="00000000" w:rsidRDefault="00905244">
      <w:pPr>
        <w:jc w:val="both"/>
        <w:rPr>
          <w:rFonts w:eastAsia="Times New Roman"/>
        </w:rPr>
      </w:pPr>
      <w:r>
        <w:rPr>
          <w:rFonts w:eastAsia="Times New Roman"/>
          <w:color w:val="000000"/>
          <w:sz w:val="20"/>
          <w:szCs w:val="20"/>
        </w:rPr>
        <w:t>The information set forth in Note 2 to the Consolidated Financial Statements contained in this Form 10-K provides further information with respect to the material features of each plan.</w:t>
      </w:r>
    </w:p>
    <w:p w:rsidR="00000000" w:rsidRDefault="00905244">
      <w:pPr>
        <w:divId w:val="726227849"/>
        <w:rPr>
          <w:rFonts w:eastAsia="Times New Roman"/>
        </w:rPr>
      </w:pPr>
    </w:p>
    <w:p w:rsidR="00000000" w:rsidRDefault="00905244">
      <w:pPr>
        <w:jc w:val="both"/>
        <w:rPr>
          <w:rFonts w:eastAsia="Times New Roman"/>
        </w:rPr>
      </w:pPr>
      <w:r>
        <w:rPr>
          <w:rFonts w:eastAsia="Times New Roman"/>
          <w:b/>
          <w:bCs/>
          <w:color w:val="000000"/>
          <w:sz w:val="20"/>
          <w:szCs w:val="20"/>
          <w:u w:val="single"/>
        </w:rPr>
        <w:t>Item 13</w:t>
      </w:r>
      <w:r>
        <w:rPr>
          <w:rFonts w:eastAsia="Times New Roman"/>
          <w:b/>
          <w:bCs/>
          <w:color w:val="000000"/>
          <w:sz w:val="20"/>
          <w:szCs w:val="20"/>
        </w:rPr>
        <w:t>.        </w:t>
      </w:r>
      <w:r>
        <w:rPr>
          <w:rFonts w:eastAsia="Times New Roman"/>
          <w:b/>
          <w:bCs/>
          <w:color w:val="000000"/>
          <w:sz w:val="20"/>
          <w:szCs w:val="20"/>
          <w:u w:val="single"/>
        </w:rPr>
        <w:t xml:space="preserve">Certain Relationships and Related Transactions, and </w:t>
      </w:r>
      <w:r>
        <w:rPr>
          <w:rFonts w:eastAsia="Times New Roman"/>
          <w:b/>
          <w:bCs/>
          <w:color w:val="000000"/>
          <w:sz w:val="20"/>
          <w:szCs w:val="20"/>
          <w:u w:val="single"/>
        </w:rPr>
        <w:t>Director Independence</w:t>
      </w:r>
    </w:p>
    <w:p w:rsidR="00000000" w:rsidRDefault="00905244">
      <w:pPr>
        <w:divId w:val="1253666922"/>
        <w:rPr>
          <w:rFonts w:eastAsia="Times New Roman"/>
        </w:rPr>
      </w:pPr>
    </w:p>
    <w:p w:rsidR="00000000" w:rsidRDefault="00905244">
      <w:pPr>
        <w:jc w:val="both"/>
        <w:rPr>
          <w:rFonts w:eastAsia="Times New Roman"/>
        </w:rPr>
      </w:pPr>
      <w:r>
        <w:rPr>
          <w:rFonts w:eastAsia="Times New Roman"/>
          <w:color w:val="000000"/>
          <w:sz w:val="20"/>
          <w:szCs w:val="20"/>
        </w:rPr>
        <w:t>The information set forth under the captions “Corporate Governance – Director Independence and Board Operations” and “Related Party Transactions” in our Proxy Statement for our Annual Meeting of Stockholders to be held on May 6, 202</w:t>
      </w:r>
      <w:r>
        <w:rPr>
          <w:rFonts w:eastAsia="Times New Roman"/>
          <w:color w:val="000000"/>
          <w:sz w:val="20"/>
          <w:szCs w:val="20"/>
        </w:rPr>
        <w:t>1, is incorporated herein by reference.</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u w:val="single"/>
        </w:rPr>
        <w:t>Item 14</w:t>
      </w:r>
      <w:r>
        <w:rPr>
          <w:rFonts w:eastAsia="Times New Roman"/>
          <w:b/>
          <w:bCs/>
          <w:color w:val="000000"/>
          <w:sz w:val="20"/>
          <w:szCs w:val="20"/>
        </w:rPr>
        <w:t>.        </w:t>
      </w:r>
      <w:r>
        <w:rPr>
          <w:rFonts w:eastAsia="Times New Roman"/>
          <w:b/>
          <w:bCs/>
          <w:color w:val="000000"/>
          <w:sz w:val="20"/>
          <w:szCs w:val="20"/>
          <w:u w:val="single"/>
        </w:rPr>
        <w:t>Principal Accountant Fees and Services</w:t>
      </w:r>
    </w:p>
    <w:p w:rsidR="00000000" w:rsidRDefault="00905244">
      <w:pPr>
        <w:divId w:val="942105570"/>
        <w:rPr>
          <w:rFonts w:eastAsia="Times New Roman"/>
        </w:rPr>
      </w:pPr>
    </w:p>
    <w:p w:rsidR="00000000" w:rsidRDefault="00905244">
      <w:pPr>
        <w:jc w:val="both"/>
        <w:rPr>
          <w:rFonts w:eastAsia="Times New Roman"/>
        </w:rPr>
      </w:pPr>
      <w:r>
        <w:rPr>
          <w:rFonts w:eastAsia="Times New Roman"/>
          <w:color w:val="000000"/>
          <w:sz w:val="20"/>
          <w:szCs w:val="20"/>
        </w:rPr>
        <w:t xml:space="preserve">The information set forth under the caption “Item 2 – Ratification of Reappointment of Independent Registered Public Accounting Firm” in our Proxy Statement </w:t>
      </w:r>
      <w:r>
        <w:rPr>
          <w:rFonts w:eastAsia="Times New Roman"/>
          <w:color w:val="000000"/>
          <w:sz w:val="20"/>
          <w:szCs w:val="20"/>
        </w:rPr>
        <w:t>for our Annual Meeting of Stockholders to be held on May 6, 2021, is incorporated herein by reference.</w:t>
      </w:r>
    </w:p>
    <w:p w:rsidR="00000000" w:rsidRDefault="00905244">
      <w:pPr>
        <w:jc w:val="center"/>
        <w:rPr>
          <w:rFonts w:eastAsia="Times New Roman"/>
        </w:rPr>
      </w:pPr>
      <w:r>
        <w:rPr>
          <w:rFonts w:eastAsia="Times New Roman"/>
          <w:b/>
          <w:bCs/>
          <w:color w:val="000000"/>
          <w:sz w:val="20"/>
          <w:szCs w:val="20"/>
        </w:rPr>
        <w:t>PART IV</w:t>
      </w:r>
    </w:p>
    <w:p w:rsidR="00000000" w:rsidRDefault="00905244">
      <w:pPr>
        <w:divId w:val="1787700503"/>
        <w:rPr>
          <w:rFonts w:eastAsia="Times New Roman"/>
        </w:rPr>
      </w:pPr>
    </w:p>
    <w:p w:rsidR="00000000" w:rsidRDefault="00905244">
      <w:pPr>
        <w:jc w:val="both"/>
        <w:rPr>
          <w:rFonts w:eastAsia="Times New Roman"/>
        </w:rPr>
      </w:pPr>
      <w:r>
        <w:rPr>
          <w:rFonts w:eastAsia="Times New Roman"/>
          <w:b/>
          <w:bCs/>
          <w:color w:val="000000"/>
          <w:sz w:val="20"/>
          <w:szCs w:val="20"/>
          <w:u w:val="single"/>
        </w:rPr>
        <w:t>Item 15</w:t>
      </w:r>
      <w:r>
        <w:rPr>
          <w:rFonts w:eastAsia="Times New Roman"/>
          <w:b/>
          <w:bCs/>
          <w:color w:val="000000"/>
          <w:sz w:val="20"/>
          <w:szCs w:val="20"/>
        </w:rPr>
        <w:t>.        </w:t>
      </w:r>
      <w:r>
        <w:rPr>
          <w:rFonts w:eastAsia="Times New Roman"/>
          <w:b/>
          <w:bCs/>
          <w:color w:val="000000"/>
          <w:sz w:val="20"/>
          <w:szCs w:val="20"/>
          <w:u w:val="single"/>
        </w:rPr>
        <w:t>Exhibits and Financial Statement Schedules</w:t>
      </w:r>
    </w:p>
    <w:p w:rsidR="00000000" w:rsidRDefault="00905244">
      <w:pPr>
        <w:divId w:val="1759905541"/>
        <w:rPr>
          <w:rFonts w:eastAsia="Times New Roman"/>
        </w:rPr>
      </w:pPr>
    </w:p>
    <w:p w:rsidR="00000000" w:rsidRDefault="00905244">
      <w:pPr>
        <w:divId w:val="1110468880"/>
        <w:rPr>
          <w:rFonts w:eastAsia="Times New Roman"/>
        </w:rPr>
      </w:pPr>
      <w:r>
        <w:rPr>
          <w:rFonts w:eastAsia="Times New Roman"/>
          <w:color w:val="000000"/>
          <w:sz w:val="20"/>
          <w:szCs w:val="20"/>
        </w:rPr>
        <w:t>(a) (1)    Financial Statements    </w:t>
      </w:r>
    </w:p>
    <w:p w:rsidR="00000000" w:rsidRDefault="00905244">
      <w:pPr>
        <w:divId w:val="746920360"/>
        <w:rPr>
          <w:rFonts w:eastAsia="Times New Roman"/>
        </w:rPr>
      </w:pPr>
    </w:p>
    <w:p w:rsidR="00000000" w:rsidRDefault="00905244">
      <w:pPr>
        <w:ind w:firstLine="720"/>
        <w:jc w:val="both"/>
        <w:rPr>
          <w:rFonts w:eastAsia="Times New Roman"/>
        </w:rPr>
      </w:pPr>
      <w:r>
        <w:rPr>
          <w:rFonts w:eastAsia="Times New Roman"/>
          <w:color w:val="000000"/>
          <w:sz w:val="20"/>
          <w:szCs w:val="20"/>
        </w:rPr>
        <w:t xml:space="preserve">See Consolidated Financial Statements under </w:t>
      </w:r>
      <w:r>
        <w:rPr>
          <w:rFonts w:eastAsia="Times New Roman"/>
          <w:color w:val="000000"/>
          <w:sz w:val="20"/>
          <w:szCs w:val="20"/>
        </w:rPr>
        <w:t>Item 8 on pages 46 through 79 of this Form 10-K.</w:t>
      </w:r>
    </w:p>
    <w:p w:rsidR="00000000" w:rsidRDefault="00905244">
      <w:pPr>
        <w:divId w:val="1065491147"/>
        <w:rPr>
          <w:rFonts w:eastAsia="Times New Roman"/>
        </w:rPr>
      </w:pPr>
    </w:p>
    <w:p w:rsidR="00000000" w:rsidRDefault="00905244">
      <w:pPr>
        <w:divId w:val="2020497614"/>
        <w:rPr>
          <w:rFonts w:eastAsia="Times New Roman"/>
        </w:rPr>
      </w:pPr>
      <w:r>
        <w:rPr>
          <w:rFonts w:eastAsia="Times New Roman"/>
          <w:color w:val="000000"/>
          <w:sz w:val="20"/>
          <w:szCs w:val="20"/>
        </w:rPr>
        <w:t>(a) (2)    Financial Statement Schedules</w:t>
      </w:r>
    </w:p>
    <w:p w:rsidR="00000000" w:rsidRDefault="00905244">
      <w:pPr>
        <w:divId w:val="1975715177"/>
        <w:rPr>
          <w:rFonts w:eastAsia="Times New Roman"/>
        </w:rPr>
      </w:pPr>
    </w:p>
    <w:p w:rsidR="00000000" w:rsidRDefault="00905244">
      <w:pPr>
        <w:jc w:val="both"/>
        <w:rPr>
          <w:rFonts w:eastAsia="Times New Roman"/>
        </w:rPr>
      </w:pPr>
      <w:r>
        <w:rPr>
          <w:rFonts w:eastAsia="Times New Roman"/>
          <w:color w:val="000000"/>
          <w:sz w:val="20"/>
          <w:szCs w:val="20"/>
        </w:rPr>
        <w:t>All schedules for which provision is made in the applicable accounting regulations of the SEC are not required under the related instructions, are inapplicable or the information is included in the Consolidated Financial Statements and, therefore, have bee</w:t>
      </w:r>
      <w:r>
        <w:rPr>
          <w:rFonts w:eastAsia="Times New Roman"/>
          <w:color w:val="000000"/>
          <w:sz w:val="20"/>
          <w:szCs w:val="20"/>
        </w:rPr>
        <w:t>n omitted.</w:t>
      </w:r>
    </w:p>
    <w:p w:rsidR="00000000" w:rsidRDefault="00905244">
      <w:pPr>
        <w:divId w:val="669597832"/>
        <w:rPr>
          <w:rFonts w:eastAsia="Times New Roman"/>
        </w:rPr>
      </w:pPr>
    </w:p>
    <w:p w:rsidR="00000000" w:rsidRDefault="00905244">
      <w:pPr>
        <w:divId w:val="1270428794"/>
        <w:rPr>
          <w:rFonts w:eastAsia="Times New Roman"/>
        </w:rPr>
      </w:pPr>
      <w:r>
        <w:rPr>
          <w:rFonts w:eastAsia="Times New Roman"/>
          <w:color w:val="000000"/>
          <w:sz w:val="20"/>
          <w:szCs w:val="20"/>
        </w:rPr>
        <w:t>(a) (3)    Exhibits</w:t>
      </w:r>
    </w:p>
    <w:p w:rsidR="00000000" w:rsidRDefault="00905244">
      <w:pPr>
        <w:divId w:val="1312294876"/>
        <w:rPr>
          <w:rFonts w:eastAsia="Times New Roman"/>
        </w:rPr>
      </w:pPr>
    </w:p>
    <w:p w:rsidR="00000000" w:rsidRDefault="00905244">
      <w:pPr>
        <w:jc w:val="both"/>
        <w:rPr>
          <w:rFonts w:eastAsia="Times New Roman"/>
        </w:rPr>
      </w:pPr>
      <w:r>
        <w:rPr>
          <w:rFonts w:eastAsia="Times New Roman"/>
          <w:color w:val="000000"/>
          <w:sz w:val="20"/>
          <w:szCs w:val="20"/>
        </w:rPr>
        <w:t>The exhibits listed in the Index to Exhibits, which appears on pages 83 through 87 of this Form 10-K, are incorporated herein by reference or filed as part of this Form 10-K.</w:t>
      </w:r>
    </w:p>
    <w:p w:rsidR="00000000" w:rsidRDefault="00905244">
      <w:pPr>
        <w:jc w:val="both"/>
        <w:rPr>
          <w:rFonts w:eastAsia="Times New Roman"/>
        </w:rPr>
      </w:pPr>
    </w:p>
    <w:p w:rsidR="00000000" w:rsidRDefault="00905244">
      <w:pPr>
        <w:jc w:val="both"/>
        <w:rPr>
          <w:rFonts w:eastAsia="Times New Roman"/>
        </w:rPr>
      </w:pPr>
      <w:r>
        <w:rPr>
          <w:rFonts w:eastAsia="Times New Roman"/>
          <w:b/>
          <w:bCs/>
          <w:color w:val="000000"/>
          <w:sz w:val="20"/>
          <w:szCs w:val="20"/>
          <w:u w:val="single"/>
        </w:rPr>
        <w:t>Item 16</w:t>
      </w:r>
      <w:r>
        <w:rPr>
          <w:rFonts w:eastAsia="Times New Roman"/>
          <w:b/>
          <w:bCs/>
          <w:color w:val="000000"/>
          <w:sz w:val="20"/>
          <w:szCs w:val="20"/>
        </w:rPr>
        <w:t>.        </w:t>
      </w:r>
      <w:r>
        <w:rPr>
          <w:rFonts w:eastAsia="Times New Roman"/>
          <w:b/>
          <w:bCs/>
          <w:color w:val="000000"/>
          <w:sz w:val="20"/>
          <w:szCs w:val="20"/>
          <w:u w:val="single"/>
        </w:rPr>
        <w:t>Form 10-K Summary</w:t>
      </w:r>
    </w:p>
    <w:p w:rsidR="00000000" w:rsidRDefault="00905244">
      <w:pPr>
        <w:divId w:val="292176956"/>
        <w:rPr>
          <w:rFonts w:eastAsia="Times New Roman"/>
        </w:rPr>
      </w:pPr>
    </w:p>
    <w:p w:rsidR="00000000" w:rsidRDefault="00905244">
      <w:pPr>
        <w:divId w:val="1471097455"/>
        <w:rPr>
          <w:rFonts w:eastAsia="Times New Roman"/>
        </w:rPr>
      </w:pPr>
      <w:r>
        <w:rPr>
          <w:rFonts w:eastAsia="Times New Roman"/>
          <w:color w:val="000000"/>
          <w:sz w:val="20"/>
          <w:szCs w:val="20"/>
        </w:rPr>
        <w:t>None.</w:t>
      </w:r>
    </w:p>
    <w:p w:rsidR="00000000" w:rsidRDefault="00905244">
      <w:pPr>
        <w:jc w:val="center"/>
        <w:divId w:val="1851218367"/>
        <w:rPr>
          <w:rFonts w:eastAsia="Times New Roman"/>
        </w:rPr>
      </w:pPr>
      <w:r>
        <w:rPr>
          <w:rFonts w:eastAsia="Times New Roman"/>
          <w:color w:val="000000"/>
          <w:sz w:val="20"/>
          <w:szCs w:val="20"/>
        </w:rPr>
        <w:t>81</w:t>
      </w:r>
    </w:p>
    <w:p w:rsidR="00000000" w:rsidRDefault="00905244">
      <w:pPr>
        <w:rPr>
          <w:rFonts w:eastAsia="Times New Roman"/>
        </w:rPr>
      </w:pPr>
      <w:r>
        <w:rPr>
          <w:rFonts w:eastAsia="Times New Roman"/>
        </w:rPr>
        <w:pict>
          <v:rect id="_x0000_i1110" style="width:0;height:1.5pt" o:hralign="center" o:hrstd="t" o:hr="t" fillcolor="#a0a0a0" stroked="f"/>
        </w:pict>
      </w:r>
    </w:p>
    <w:p w:rsidR="00000000" w:rsidRDefault="00905244">
      <w:pPr>
        <w:divId w:val="46033932"/>
        <w:rPr>
          <w:rFonts w:eastAsia="Times New Roman"/>
        </w:rPr>
      </w:pPr>
      <w:hyperlink w:anchor="i137f04c25e1e4da3b6d1f469d06f3319_7" w:history="1">
        <w:r>
          <w:rPr>
            <w:rStyle w:val="a3"/>
            <w:rFonts w:eastAsia="Times New Roman"/>
            <w:sz w:val="18"/>
            <w:szCs w:val="18"/>
          </w:rPr>
          <w:t>Index</w:t>
        </w:r>
      </w:hyperlink>
    </w:p>
    <w:p w:rsidR="00000000" w:rsidRDefault="00905244">
      <w:pPr>
        <w:jc w:val="center"/>
        <w:rPr>
          <w:rFonts w:eastAsia="Times New Roman"/>
        </w:rPr>
      </w:pPr>
      <w:r>
        <w:rPr>
          <w:rFonts w:eastAsia="Times New Roman"/>
          <w:b/>
          <w:bCs/>
          <w:color w:val="000000"/>
          <w:sz w:val="20"/>
          <w:szCs w:val="20"/>
        </w:rPr>
        <w:t>SIGNATURES</w:t>
      </w:r>
    </w:p>
    <w:p w:rsidR="00000000" w:rsidRDefault="00905244">
      <w:pPr>
        <w:divId w:val="644312938"/>
        <w:rPr>
          <w:rFonts w:eastAsia="Times New Roman"/>
        </w:rPr>
      </w:pPr>
    </w:p>
    <w:p w:rsidR="00000000" w:rsidRDefault="00905244">
      <w:pPr>
        <w:jc w:val="both"/>
        <w:rPr>
          <w:rFonts w:eastAsia="Times New Roman"/>
        </w:rPr>
      </w:pPr>
      <w:r>
        <w:rPr>
          <w:rFonts w:eastAsia="Times New Roman"/>
          <w:color w:val="000000"/>
          <w:sz w:val="20"/>
          <w:szCs w:val="20"/>
        </w:rPr>
        <w:t xml:space="preserve">Pursuant to the requirements of Section 13 or 15(d) of the Securities Exchange Act of 1934, the Registrant has duly caused this report to be </w:t>
      </w:r>
      <w:r>
        <w:rPr>
          <w:rFonts w:eastAsia="Times New Roman"/>
          <w:color w:val="000000"/>
          <w:sz w:val="20"/>
          <w:szCs w:val="20"/>
        </w:rPr>
        <w:t>signed on its behalf by the undersigned, thereunto duly authorized.</w:t>
      </w:r>
    </w:p>
    <w:tbl>
      <w:tblPr>
        <w:tblW w:w="4963" w:type="pct"/>
        <w:tblCellMar>
          <w:top w:w="15" w:type="dxa"/>
          <w:left w:w="15" w:type="dxa"/>
          <w:bottom w:w="15" w:type="dxa"/>
          <w:right w:w="15" w:type="dxa"/>
        </w:tblCellMar>
        <w:tblLook w:val="04A0" w:firstRow="1" w:lastRow="0" w:firstColumn="1" w:lastColumn="0" w:noHBand="0" w:noVBand="1"/>
      </w:tblPr>
      <w:tblGrid>
        <w:gridCol w:w="81"/>
        <w:gridCol w:w="385"/>
        <w:gridCol w:w="36"/>
        <w:gridCol w:w="50"/>
        <w:gridCol w:w="2628"/>
        <w:gridCol w:w="36"/>
        <w:gridCol w:w="78"/>
        <w:gridCol w:w="244"/>
        <w:gridCol w:w="37"/>
        <w:gridCol w:w="61"/>
        <w:gridCol w:w="4573"/>
        <w:gridCol w:w="36"/>
      </w:tblGrid>
      <w:tr w:rsidR="00000000">
        <w:trPr>
          <w:divId w:val="1272709496"/>
        </w:trPr>
        <w:tc>
          <w:tcPr>
            <w:tcW w:w="50" w:type="pct"/>
            <w:vAlign w:val="center"/>
            <w:hideMark/>
          </w:tcPr>
          <w:p w:rsidR="00000000" w:rsidRDefault="00905244">
            <w:pPr>
              <w:jc w:val="both"/>
              <w:rPr>
                <w:rFonts w:eastAsia="Times New Roman"/>
              </w:rPr>
            </w:pPr>
          </w:p>
        </w:tc>
        <w:tc>
          <w:tcPr>
            <w:tcW w:w="23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1601"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158"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2780"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272709496"/>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905244">
            <w:pPr>
              <w:rPr>
                <w:rFonts w:eastAsia="Times New Roman"/>
              </w:rPr>
            </w:pPr>
            <w:r>
              <w:rPr>
                <w:rFonts w:eastAsia="Times New Roman"/>
                <w:color w:val="000000"/>
                <w:sz w:val="20"/>
                <w:szCs w:val="20"/>
              </w:rPr>
              <w:t>TRACTOR SUPPLY COMPANY </w:t>
            </w:r>
          </w:p>
        </w:tc>
      </w:tr>
      <w:tr w:rsidR="00000000">
        <w:trPr>
          <w:divId w:val="1272709496"/>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272709496"/>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u w:val="single"/>
              </w:rPr>
              <w:t>February 18, 2021</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rsidR="00000000" w:rsidRDefault="00905244">
            <w:pPr>
              <w:divId w:val="1759909110"/>
              <w:rPr>
                <w:rFonts w:eastAsia="Times New Roman"/>
              </w:rPr>
            </w:pPr>
            <w:r>
              <w:rPr>
                <w:rFonts w:eastAsia="Times New Roman"/>
                <w:color w:val="000000"/>
                <w:sz w:val="20"/>
                <w:szCs w:val="20"/>
                <w:u w:val="single"/>
              </w:rPr>
              <w:t>/s/ Kurt D. Barton</w:t>
            </w:r>
          </w:p>
          <w:p w:rsidR="00000000" w:rsidRDefault="00905244">
            <w:pPr>
              <w:divId w:val="650793616"/>
              <w:rPr>
                <w:rFonts w:eastAsia="Times New Roman"/>
              </w:rPr>
            </w:pPr>
            <w:r>
              <w:rPr>
                <w:rFonts w:eastAsia="Times New Roman"/>
                <w:color w:val="000000"/>
                <w:sz w:val="20"/>
                <w:szCs w:val="20"/>
              </w:rPr>
              <w:t xml:space="preserve">Executive Vice President – </w:t>
            </w:r>
            <w:r>
              <w:rPr>
                <w:rFonts w:eastAsia="Times New Roman"/>
                <w:color w:val="000000"/>
                <w:sz w:val="20"/>
                <w:szCs w:val="20"/>
              </w:rPr>
              <w:t>Chief Financial Officer and Treasurer</w:t>
            </w:r>
          </w:p>
        </w:tc>
      </w:tr>
    </w:tbl>
    <w:p w:rsidR="00000000" w:rsidRDefault="00905244">
      <w:pPr>
        <w:divId w:val="1695964102"/>
        <w:rPr>
          <w:rFonts w:eastAsia="Times New Roman"/>
        </w:rPr>
      </w:pPr>
    </w:p>
    <w:p w:rsidR="00000000" w:rsidRDefault="00905244">
      <w:pPr>
        <w:jc w:val="both"/>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in the capacities and on the dates indicated.</w:t>
      </w:r>
    </w:p>
    <w:p w:rsidR="00000000" w:rsidRDefault="00905244">
      <w:pPr>
        <w:divId w:val="166778648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3151"/>
        <w:gridCol w:w="38"/>
        <w:gridCol w:w="69"/>
        <w:gridCol w:w="3053"/>
        <w:gridCol w:w="36"/>
        <w:gridCol w:w="69"/>
        <w:gridCol w:w="428"/>
        <w:gridCol w:w="36"/>
        <w:gridCol w:w="69"/>
        <w:gridCol w:w="1253"/>
        <w:gridCol w:w="36"/>
      </w:tblGrid>
      <w:tr w:rsidR="00000000">
        <w:trPr>
          <w:divId w:val="1870407048"/>
        </w:trPr>
        <w:tc>
          <w:tcPr>
            <w:tcW w:w="50" w:type="pct"/>
            <w:vAlign w:val="center"/>
            <w:hideMark/>
          </w:tcPr>
          <w:p w:rsidR="00000000" w:rsidRDefault="00905244">
            <w:pPr>
              <w:rPr>
                <w:rFonts w:eastAsia="Times New Roman"/>
              </w:rPr>
            </w:pPr>
          </w:p>
        </w:tc>
        <w:tc>
          <w:tcPr>
            <w:tcW w:w="1904"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184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266"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763"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870407048"/>
        </w:trPr>
        <w:tc>
          <w:tcPr>
            <w:tcW w:w="0" w:type="auto"/>
            <w:gridSpan w:val="3"/>
            <w:tcMar>
              <w:top w:w="30" w:type="dxa"/>
              <w:left w:w="20" w:type="dxa"/>
              <w:bottom w:w="30" w:type="dxa"/>
              <w:right w:w="20" w:type="dxa"/>
            </w:tcMar>
            <w:vAlign w:val="bottom"/>
            <w:hideMark/>
          </w:tcPr>
          <w:p w:rsidR="00000000" w:rsidRDefault="00905244">
            <w:pPr>
              <w:jc w:val="center"/>
              <w:rPr>
                <w:rFonts w:eastAsia="Times New Roman"/>
              </w:rPr>
            </w:pPr>
            <w:r>
              <w:rPr>
                <w:rFonts w:eastAsia="Times New Roman"/>
                <w:b/>
                <w:bCs/>
                <w:color w:val="000000"/>
                <w:sz w:val="20"/>
                <w:szCs w:val="20"/>
                <w:u w:val="single"/>
              </w:rPr>
              <w:t>Signature</w:t>
            </w:r>
          </w:p>
          <w:p w:rsidR="00000000" w:rsidRDefault="00905244">
            <w:pPr>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b/>
                <w:bCs/>
                <w:color w:val="000000"/>
                <w:sz w:val="20"/>
                <w:szCs w:val="20"/>
                <w:u w:val="single"/>
              </w:rPr>
              <w:t>Title</w:t>
            </w:r>
          </w:p>
        </w:tc>
        <w:tc>
          <w:tcPr>
            <w:tcW w:w="0" w:type="auto"/>
            <w:gridSpan w:val="3"/>
            <w:tcMar>
              <w:top w:w="0" w:type="dxa"/>
              <w:left w:w="20" w:type="dxa"/>
              <w:bottom w:w="0" w:type="dxa"/>
              <w:right w:w="20" w:type="dxa"/>
            </w:tcMar>
            <w:vAlign w:val="center"/>
            <w:hideMark/>
          </w:tcPr>
          <w:p w:rsidR="00000000" w:rsidRDefault="00905244">
            <w:pPr>
              <w:jc w:val="center"/>
              <w:rPr>
                <w:rFonts w:eastAsia="Times New Roman"/>
              </w:rPr>
            </w:pP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b/>
                <w:bCs/>
                <w:color w:val="000000"/>
                <w:sz w:val="20"/>
                <w:szCs w:val="20"/>
                <w:u w:val="single"/>
              </w:rPr>
              <w:t>Date</w:t>
            </w:r>
          </w:p>
        </w:tc>
      </w:tr>
      <w:tr w:rsidR="00000000">
        <w:trPr>
          <w:divId w:val="1870407048"/>
        </w:trPr>
        <w:tc>
          <w:tcPr>
            <w:tcW w:w="0" w:type="auto"/>
            <w:gridSpan w:val="3"/>
            <w:tcMar>
              <w:top w:w="30" w:type="dxa"/>
              <w:left w:w="20" w:type="dxa"/>
              <w:bottom w:w="30" w:type="dxa"/>
              <w:right w:w="20" w:type="dxa"/>
            </w:tcMar>
            <w:hideMark/>
          </w:tcPr>
          <w:p w:rsidR="00000000" w:rsidRDefault="00905244">
            <w:pPr>
              <w:divId w:val="205334109"/>
              <w:rPr>
                <w:rFonts w:eastAsia="Times New Roman"/>
              </w:rPr>
            </w:pPr>
            <w:r>
              <w:rPr>
                <w:rFonts w:eastAsia="Times New Roman"/>
                <w:color w:val="000000"/>
                <w:sz w:val="20"/>
                <w:szCs w:val="20"/>
                <w:u w:val="single"/>
              </w:rPr>
              <w:t>/s/ Kurt D. Barton</w:t>
            </w:r>
          </w:p>
          <w:p w:rsidR="00000000" w:rsidRDefault="00905244">
            <w:pPr>
              <w:divId w:val="1331518818"/>
              <w:rPr>
                <w:rFonts w:eastAsia="Times New Roman"/>
              </w:rPr>
            </w:pPr>
            <w:r>
              <w:rPr>
                <w:rFonts w:eastAsia="Times New Roman"/>
                <w:color w:val="000000"/>
                <w:sz w:val="20"/>
                <w:szCs w:val="20"/>
              </w:rPr>
              <w:t>Kurt D. Barton</w:t>
            </w:r>
          </w:p>
          <w:p w:rsidR="00000000" w:rsidRDefault="00905244">
            <w:pPr>
              <w:divId w:val="237792842"/>
              <w:rPr>
                <w:rFonts w:eastAsia="Times New Roman"/>
              </w:rPr>
            </w:pPr>
          </w:p>
        </w:tc>
        <w:tc>
          <w:tcPr>
            <w:tcW w:w="0" w:type="auto"/>
            <w:gridSpan w:val="3"/>
            <w:tcMar>
              <w:top w:w="30" w:type="dxa"/>
              <w:left w:w="20" w:type="dxa"/>
              <w:bottom w:w="30" w:type="dxa"/>
              <w:right w:w="20" w:type="dxa"/>
            </w:tcMar>
            <w:hideMark/>
          </w:tcPr>
          <w:p w:rsidR="00000000" w:rsidRDefault="00905244">
            <w:pPr>
              <w:divId w:val="916522254"/>
              <w:rPr>
                <w:rFonts w:eastAsia="Times New Roman"/>
              </w:rPr>
            </w:pPr>
            <w:r>
              <w:rPr>
                <w:rFonts w:eastAsia="Times New Roman"/>
                <w:color w:val="000000"/>
                <w:sz w:val="20"/>
                <w:szCs w:val="20"/>
              </w:rPr>
              <w:t>Executive Vice President –</w:t>
            </w:r>
          </w:p>
          <w:p w:rsidR="00000000" w:rsidRDefault="00905244">
            <w:pPr>
              <w:divId w:val="1645620048"/>
              <w:rPr>
                <w:rFonts w:eastAsia="Times New Roman"/>
              </w:rPr>
            </w:pPr>
            <w:r>
              <w:rPr>
                <w:rFonts w:eastAsia="Times New Roman"/>
                <w:color w:val="000000"/>
                <w:sz w:val="20"/>
                <w:szCs w:val="20"/>
              </w:rPr>
              <w:t>Chief Financial Officer and Treasurer (Principal Financial and Accounting Officer)</w:t>
            </w:r>
          </w:p>
          <w:p w:rsidR="00000000" w:rsidRDefault="00905244">
            <w:pPr>
              <w:divId w:val="1048257613"/>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February 18, 2021</w:t>
            </w:r>
          </w:p>
        </w:tc>
      </w:tr>
      <w:tr w:rsidR="00000000">
        <w:trPr>
          <w:divId w:val="1870407048"/>
        </w:trPr>
        <w:tc>
          <w:tcPr>
            <w:tcW w:w="0" w:type="auto"/>
            <w:gridSpan w:val="3"/>
            <w:tcMar>
              <w:top w:w="30" w:type="dxa"/>
              <w:left w:w="20" w:type="dxa"/>
              <w:bottom w:w="30" w:type="dxa"/>
              <w:right w:w="20" w:type="dxa"/>
            </w:tcMar>
            <w:hideMark/>
          </w:tcPr>
          <w:p w:rsidR="00000000" w:rsidRDefault="00905244">
            <w:pPr>
              <w:divId w:val="529026710"/>
              <w:rPr>
                <w:rFonts w:eastAsia="Times New Roman"/>
              </w:rPr>
            </w:pPr>
            <w:r>
              <w:rPr>
                <w:rFonts w:eastAsia="Times New Roman"/>
                <w:color w:val="000000"/>
                <w:sz w:val="20"/>
                <w:szCs w:val="20"/>
                <w:u w:val="single"/>
              </w:rPr>
              <w:t>/s/ Harry A. Lawton III</w:t>
            </w:r>
          </w:p>
          <w:p w:rsidR="00000000" w:rsidRDefault="00905244">
            <w:pPr>
              <w:divId w:val="2063291051"/>
              <w:rPr>
                <w:rFonts w:eastAsia="Times New Roman"/>
              </w:rPr>
            </w:pPr>
            <w:r>
              <w:rPr>
                <w:rFonts w:eastAsia="Times New Roman"/>
                <w:color w:val="000000"/>
                <w:sz w:val="20"/>
                <w:szCs w:val="20"/>
              </w:rPr>
              <w:t>Harry A. Lawton III</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President, Chief Executive Officer</w:t>
            </w:r>
            <w:r>
              <w:rPr>
                <w:rFonts w:eastAsia="Times New Roman"/>
                <w:color w:val="000000"/>
                <w:sz w:val="20"/>
                <w:szCs w:val="20"/>
              </w:rPr>
              <w:t>, and Director</w:t>
            </w:r>
            <w:r>
              <w:rPr>
                <w:rFonts w:eastAsia="Times New Roman"/>
                <w:color w:val="000000"/>
                <w:sz w:val="20"/>
                <w:szCs w:val="20"/>
              </w:rPr>
              <w:br/>
              <w:t>(Principal Executive Officer)</w:t>
            </w:r>
            <w:r>
              <w:rPr>
                <w:rFonts w:eastAsia="Times New Roman"/>
                <w:color w:val="000000"/>
                <w:sz w:val="20"/>
                <w:szCs w:val="20"/>
              </w:rPr>
              <w:br/>
              <w:t> </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February 18, 2021</w:t>
            </w:r>
          </w:p>
        </w:tc>
      </w:tr>
      <w:tr w:rsidR="00000000">
        <w:trPr>
          <w:divId w:val="1870407048"/>
        </w:trPr>
        <w:tc>
          <w:tcPr>
            <w:tcW w:w="0" w:type="auto"/>
            <w:gridSpan w:val="3"/>
            <w:tcMar>
              <w:top w:w="30" w:type="dxa"/>
              <w:left w:w="20" w:type="dxa"/>
              <w:bottom w:w="30" w:type="dxa"/>
              <w:right w:w="20" w:type="dxa"/>
            </w:tcMar>
            <w:hideMark/>
          </w:tcPr>
          <w:p w:rsidR="00000000" w:rsidRDefault="00905244">
            <w:pPr>
              <w:divId w:val="469982912"/>
              <w:rPr>
                <w:rFonts w:eastAsia="Times New Roman"/>
              </w:rPr>
            </w:pPr>
            <w:r>
              <w:rPr>
                <w:rFonts w:eastAsia="Times New Roman"/>
                <w:color w:val="000000"/>
                <w:sz w:val="20"/>
                <w:szCs w:val="20"/>
                <w:u w:val="single"/>
              </w:rPr>
              <w:t>/s/ Cynthia T. Jamison</w:t>
            </w:r>
          </w:p>
          <w:p w:rsidR="00000000" w:rsidRDefault="00905244">
            <w:pPr>
              <w:divId w:val="159925451"/>
              <w:rPr>
                <w:rFonts w:eastAsia="Times New Roman"/>
              </w:rPr>
            </w:pPr>
            <w:r>
              <w:rPr>
                <w:rFonts w:eastAsia="Times New Roman"/>
                <w:color w:val="000000"/>
                <w:sz w:val="20"/>
                <w:szCs w:val="20"/>
              </w:rPr>
              <w:t>Cynthia T. Jamison</w:t>
            </w:r>
          </w:p>
          <w:p w:rsidR="00000000" w:rsidRDefault="00905244">
            <w:pPr>
              <w:divId w:val="820459924"/>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divId w:val="163976769"/>
              <w:rPr>
                <w:rFonts w:eastAsia="Times New Roman"/>
              </w:rPr>
            </w:pPr>
            <w:r>
              <w:rPr>
                <w:rFonts w:eastAsia="Times New Roman"/>
                <w:color w:val="000000"/>
                <w:sz w:val="20"/>
                <w:szCs w:val="20"/>
              </w:rPr>
              <w:t>Chairman of the Board</w:t>
            </w:r>
          </w:p>
          <w:p w:rsidR="00000000" w:rsidRDefault="00905244">
            <w:pPr>
              <w:divId w:val="1536961832"/>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February 18, 2021</w:t>
            </w:r>
          </w:p>
        </w:tc>
      </w:tr>
      <w:tr w:rsidR="00000000">
        <w:trPr>
          <w:divId w:val="1870407048"/>
        </w:trPr>
        <w:tc>
          <w:tcPr>
            <w:tcW w:w="0" w:type="auto"/>
            <w:gridSpan w:val="3"/>
            <w:tcMar>
              <w:top w:w="30" w:type="dxa"/>
              <w:left w:w="20" w:type="dxa"/>
              <w:bottom w:w="30" w:type="dxa"/>
              <w:right w:w="20" w:type="dxa"/>
            </w:tcMar>
            <w:hideMark/>
          </w:tcPr>
          <w:p w:rsidR="00000000" w:rsidRDefault="00905244">
            <w:pPr>
              <w:divId w:val="1892425011"/>
              <w:rPr>
                <w:rFonts w:eastAsia="Times New Roman"/>
              </w:rPr>
            </w:pPr>
            <w:r>
              <w:rPr>
                <w:rFonts w:eastAsia="Times New Roman"/>
                <w:color w:val="000000"/>
                <w:sz w:val="20"/>
                <w:szCs w:val="20"/>
                <w:u w:val="single"/>
              </w:rPr>
              <w:t>/s/ Joy Brown</w:t>
            </w:r>
          </w:p>
          <w:p w:rsidR="00000000" w:rsidRDefault="00905244">
            <w:pPr>
              <w:divId w:val="742416379"/>
              <w:rPr>
                <w:rFonts w:eastAsia="Times New Roman"/>
              </w:rPr>
            </w:pPr>
            <w:r>
              <w:rPr>
                <w:rFonts w:eastAsia="Times New Roman"/>
                <w:color w:val="000000"/>
                <w:sz w:val="20"/>
                <w:szCs w:val="20"/>
              </w:rPr>
              <w:t>Joy Brown</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February 18, 2021</w:t>
            </w:r>
          </w:p>
        </w:tc>
      </w:tr>
      <w:tr w:rsidR="00000000">
        <w:trPr>
          <w:divId w:val="1870407048"/>
        </w:trPr>
        <w:tc>
          <w:tcPr>
            <w:tcW w:w="0" w:type="auto"/>
            <w:gridSpan w:val="3"/>
            <w:tcMar>
              <w:top w:w="30" w:type="dxa"/>
              <w:left w:w="20" w:type="dxa"/>
              <w:bottom w:w="30" w:type="dxa"/>
              <w:right w:w="20" w:type="dxa"/>
            </w:tcMar>
            <w:hideMark/>
          </w:tcPr>
          <w:p w:rsidR="00000000" w:rsidRDefault="00905244">
            <w:pPr>
              <w:divId w:val="862326000"/>
              <w:rPr>
                <w:rFonts w:eastAsia="Times New Roman"/>
              </w:rPr>
            </w:pPr>
            <w:r>
              <w:rPr>
                <w:rFonts w:eastAsia="Times New Roman"/>
                <w:color w:val="000000"/>
                <w:sz w:val="20"/>
                <w:szCs w:val="20"/>
                <w:u w:val="single"/>
              </w:rPr>
              <w:t>/s/ Ricardo Cardenas</w:t>
            </w:r>
          </w:p>
          <w:p w:rsidR="00000000" w:rsidRDefault="00905244">
            <w:pPr>
              <w:divId w:val="1648241899"/>
              <w:rPr>
                <w:rFonts w:eastAsia="Times New Roman"/>
              </w:rPr>
            </w:pPr>
            <w:r>
              <w:rPr>
                <w:rFonts w:eastAsia="Times New Roman"/>
                <w:color w:val="000000"/>
                <w:sz w:val="20"/>
                <w:szCs w:val="20"/>
              </w:rPr>
              <w:t>Ricardo Cardenas</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February 18, 2021</w:t>
            </w:r>
          </w:p>
        </w:tc>
      </w:tr>
      <w:tr w:rsidR="00000000">
        <w:trPr>
          <w:divId w:val="1870407048"/>
        </w:trPr>
        <w:tc>
          <w:tcPr>
            <w:tcW w:w="0" w:type="auto"/>
            <w:gridSpan w:val="3"/>
            <w:tcMar>
              <w:top w:w="30" w:type="dxa"/>
              <w:left w:w="20" w:type="dxa"/>
              <w:bottom w:w="30" w:type="dxa"/>
              <w:right w:w="20" w:type="dxa"/>
            </w:tcMar>
            <w:hideMark/>
          </w:tcPr>
          <w:p w:rsidR="00000000" w:rsidRDefault="00905244">
            <w:pPr>
              <w:divId w:val="1382897064"/>
              <w:rPr>
                <w:rFonts w:eastAsia="Times New Roman"/>
              </w:rPr>
            </w:pPr>
            <w:r>
              <w:rPr>
                <w:rFonts w:eastAsia="Times New Roman"/>
                <w:color w:val="000000"/>
                <w:sz w:val="20"/>
                <w:szCs w:val="20"/>
                <w:u w:val="single"/>
              </w:rPr>
              <w:t>/s/ Denise L. Jackson</w:t>
            </w:r>
          </w:p>
          <w:p w:rsidR="00000000" w:rsidRDefault="00905244">
            <w:pPr>
              <w:divId w:val="690910744"/>
              <w:rPr>
                <w:rFonts w:eastAsia="Times New Roman"/>
              </w:rPr>
            </w:pPr>
            <w:r>
              <w:rPr>
                <w:rFonts w:eastAsia="Times New Roman"/>
                <w:color w:val="000000"/>
                <w:sz w:val="20"/>
                <w:szCs w:val="20"/>
              </w:rPr>
              <w:t>Denise L. Jackson</w:t>
            </w:r>
          </w:p>
          <w:p w:rsidR="00000000" w:rsidRDefault="00905244">
            <w:pPr>
              <w:divId w:val="415984661"/>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February 18, 2021</w:t>
            </w:r>
          </w:p>
        </w:tc>
      </w:tr>
      <w:tr w:rsidR="00000000">
        <w:trPr>
          <w:divId w:val="1870407048"/>
        </w:trPr>
        <w:tc>
          <w:tcPr>
            <w:tcW w:w="0" w:type="auto"/>
            <w:gridSpan w:val="3"/>
            <w:tcMar>
              <w:top w:w="30" w:type="dxa"/>
              <w:left w:w="20" w:type="dxa"/>
              <w:bottom w:w="30" w:type="dxa"/>
              <w:right w:w="20" w:type="dxa"/>
            </w:tcMar>
            <w:hideMark/>
          </w:tcPr>
          <w:p w:rsidR="00000000" w:rsidRDefault="00905244">
            <w:pPr>
              <w:divId w:val="257107680"/>
              <w:rPr>
                <w:rFonts w:eastAsia="Times New Roman"/>
              </w:rPr>
            </w:pPr>
            <w:r>
              <w:rPr>
                <w:rFonts w:eastAsia="Times New Roman"/>
                <w:color w:val="000000"/>
                <w:sz w:val="20"/>
                <w:szCs w:val="20"/>
                <w:u w:val="single"/>
              </w:rPr>
              <w:t>/s/ Thomas A. Kingsbury</w:t>
            </w:r>
          </w:p>
          <w:p w:rsidR="00000000" w:rsidRDefault="00905244">
            <w:pPr>
              <w:divId w:val="2042583263"/>
              <w:rPr>
                <w:rFonts w:eastAsia="Times New Roman"/>
              </w:rPr>
            </w:pPr>
            <w:r>
              <w:rPr>
                <w:rFonts w:eastAsia="Times New Roman"/>
                <w:color w:val="000000"/>
                <w:sz w:val="20"/>
                <w:szCs w:val="20"/>
              </w:rPr>
              <w:t>Thomas A. Kingsbury</w:t>
            </w:r>
          </w:p>
          <w:p w:rsidR="00000000" w:rsidRDefault="00905244">
            <w:pPr>
              <w:divId w:val="94180677"/>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February 18, 2021</w:t>
            </w:r>
          </w:p>
        </w:tc>
      </w:tr>
      <w:tr w:rsidR="00000000">
        <w:trPr>
          <w:divId w:val="1870407048"/>
        </w:trPr>
        <w:tc>
          <w:tcPr>
            <w:tcW w:w="0" w:type="auto"/>
            <w:gridSpan w:val="3"/>
            <w:tcMar>
              <w:top w:w="30" w:type="dxa"/>
              <w:left w:w="20" w:type="dxa"/>
              <w:bottom w:w="30" w:type="dxa"/>
              <w:right w:w="20" w:type="dxa"/>
            </w:tcMar>
            <w:hideMark/>
          </w:tcPr>
          <w:p w:rsidR="00000000" w:rsidRDefault="00905244">
            <w:pPr>
              <w:divId w:val="2130932385"/>
              <w:rPr>
                <w:rFonts w:eastAsia="Times New Roman"/>
              </w:rPr>
            </w:pPr>
            <w:r>
              <w:rPr>
                <w:rFonts w:eastAsia="Times New Roman"/>
                <w:color w:val="000000"/>
                <w:sz w:val="20"/>
                <w:szCs w:val="20"/>
                <w:u w:val="single"/>
              </w:rPr>
              <w:t>/s/ Ramkumar Krishnan</w:t>
            </w:r>
          </w:p>
          <w:p w:rsidR="00000000" w:rsidRDefault="00905244">
            <w:pPr>
              <w:divId w:val="1186018108"/>
              <w:rPr>
                <w:rFonts w:eastAsia="Times New Roman"/>
              </w:rPr>
            </w:pPr>
            <w:r>
              <w:rPr>
                <w:rFonts w:eastAsia="Times New Roman"/>
                <w:color w:val="000000"/>
                <w:sz w:val="20"/>
                <w:szCs w:val="20"/>
              </w:rPr>
              <w:t>Ramkumar Krishnan</w:t>
            </w:r>
          </w:p>
          <w:p w:rsidR="00000000" w:rsidRDefault="00905244">
            <w:pPr>
              <w:divId w:val="197402755"/>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February 18, 2021</w:t>
            </w:r>
          </w:p>
        </w:tc>
      </w:tr>
      <w:tr w:rsidR="00000000">
        <w:trPr>
          <w:divId w:val="1870407048"/>
        </w:trPr>
        <w:tc>
          <w:tcPr>
            <w:tcW w:w="0" w:type="auto"/>
            <w:gridSpan w:val="3"/>
            <w:tcMar>
              <w:top w:w="30" w:type="dxa"/>
              <w:left w:w="20" w:type="dxa"/>
              <w:bottom w:w="30" w:type="dxa"/>
              <w:right w:w="20" w:type="dxa"/>
            </w:tcMar>
            <w:hideMark/>
          </w:tcPr>
          <w:p w:rsidR="00000000" w:rsidRDefault="00905244">
            <w:pPr>
              <w:divId w:val="1112476219"/>
              <w:rPr>
                <w:rFonts w:eastAsia="Times New Roman"/>
              </w:rPr>
            </w:pPr>
            <w:r>
              <w:rPr>
                <w:rFonts w:eastAsia="Times New Roman"/>
                <w:color w:val="000000"/>
                <w:sz w:val="20"/>
                <w:szCs w:val="20"/>
                <w:u w:val="single"/>
              </w:rPr>
              <w:t>                                </w:t>
            </w:r>
          </w:p>
          <w:p w:rsidR="00000000" w:rsidRDefault="00905244">
            <w:pPr>
              <w:divId w:val="376469535"/>
              <w:rPr>
                <w:rFonts w:eastAsia="Times New Roman"/>
              </w:rPr>
            </w:pPr>
            <w:r>
              <w:rPr>
                <w:rFonts w:eastAsia="Times New Roman"/>
                <w:color w:val="000000"/>
                <w:sz w:val="20"/>
                <w:szCs w:val="20"/>
              </w:rPr>
              <w:t>George MacKenzie</w:t>
            </w:r>
          </w:p>
          <w:p w:rsidR="00000000" w:rsidRDefault="00905244">
            <w:pPr>
              <w:divId w:val="163166523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February 18, 2021</w:t>
            </w:r>
          </w:p>
        </w:tc>
      </w:tr>
      <w:tr w:rsidR="00000000">
        <w:trPr>
          <w:divId w:val="1870407048"/>
        </w:trPr>
        <w:tc>
          <w:tcPr>
            <w:tcW w:w="0" w:type="auto"/>
            <w:gridSpan w:val="3"/>
            <w:tcMar>
              <w:top w:w="30" w:type="dxa"/>
              <w:left w:w="20" w:type="dxa"/>
              <w:bottom w:w="30" w:type="dxa"/>
              <w:right w:w="20" w:type="dxa"/>
            </w:tcMar>
            <w:hideMark/>
          </w:tcPr>
          <w:p w:rsidR="00000000" w:rsidRDefault="00905244">
            <w:pPr>
              <w:divId w:val="679430598"/>
              <w:rPr>
                <w:rFonts w:eastAsia="Times New Roman"/>
              </w:rPr>
            </w:pPr>
            <w:r>
              <w:rPr>
                <w:rFonts w:eastAsia="Times New Roman"/>
                <w:color w:val="000000"/>
                <w:sz w:val="20"/>
                <w:szCs w:val="20"/>
                <w:u w:val="single"/>
              </w:rPr>
              <w:t>/s/ Edna K. Morris</w:t>
            </w:r>
          </w:p>
          <w:p w:rsidR="00000000" w:rsidRDefault="00905244">
            <w:pPr>
              <w:divId w:val="1597907022"/>
              <w:rPr>
                <w:rFonts w:eastAsia="Times New Roman"/>
              </w:rPr>
            </w:pPr>
            <w:r>
              <w:rPr>
                <w:rFonts w:eastAsia="Times New Roman"/>
                <w:color w:val="000000"/>
                <w:sz w:val="20"/>
                <w:szCs w:val="20"/>
              </w:rPr>
              <w:t>Edna K. Morris</w:t>
            </w:r>
          </w:p>
          <w:p w:rsidR="00000000" w:rsidRDefault="00905244">
            <w:pPr>
              <w:divId w:val="1864399286"/>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February 18, 2021</w:t>
            </w:r>
          </w:p>
        </w:tc>
      </w:tr>
      <w:tr w:rsidR="00000000">
        <w:trPr>
          <w:divId w:val="1870407048"/>
        </w:trPr>
        <w:tc>
          <w:tcPr>
            <w:tcW w:w="0" w:type="auto"/>
            <w:gridSpan w:val="3"/>
            <w:tcMar>
              <w:top w:w="30" w:type="dxa"/>
              <w:left w:w="20" w:type="dxa"/>
              <w:bottom w:w="30" w:type="dxa"/>
              <w:right w:w="20" w:type="dxa"/>
            </w:tcMar>
            <w:hideMark/>
          </w:tcPr>
          <w:p w:rsidR="00000000" w:rsidRDefault="00905244">
            <w:pPr>
              <w:divId w:val="1818449936"/>
              <w:rPr>
                <w:rFonts w:eastAsia="Times New Roman"/>
              </w:rPr>
            </w:pPr>
            <w:r>
              <w:rPr>
                <w:rFonts w:eastAsia="Times New Roman"/>
                <w:color w:val="000000"/>
                <w:sz w:val="20"/>
                <w:szCs w:val="20"/>
                <w:u w:val="single"/>
              </w:rPr>
              <w:t>/s/ Mark J. Weikel</w:t>
            </w:r>
          </w:p>
          <w:p w:rsidR="00000000" w:rsidRDefault="00905244">
            <w:pPr>
              <w:divId w:val="179583482"/>
              <w:rPr>
                <w:rFonts w:eastAsia="Times New Roman"/>
              </w:rPr>
            </w:pPr>
            <w:r>
              <w:rPr>
                <w:rFonts w:eastAsia="Times New Roman"/>
                <w:color w:val="000000"/>
                <w:sz w:val="20"/>
                <w:szCs w:val="20"/>
              </w:rPr>
              <w:t>Mark J.Weikel </w:t>
            </w:r>
          </w:p>
        </w:tc>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c>
          <w:tcPr>
            <w:tcW w:w="0" w:type="auto"/>
            <w:gridSpan w:val="3"/>
            <w:tcMar>
              <w:top w:w="30" w:type="dxa"/>
              <w:left w:w="20" w:type="dxa"/>
              <w:bottom w:w="30" w:type="dxa"/>
              <w:right w:w="20" w:type="dxa"/>
            </w:tcMar>
            <w:hideMark/>
          </w:tcPr>
          <w:p w:rsidR="00000000" w:rsidRDefault="00905244">
            <w:pPr>
              <w:jc w:val="center"/>
              <w:rPr>
                <w:rFonts w:eastAsia="Times New Roman"/>
              </w:rPr>
            </w:pPr>
            <w:r>
              <w:rPr>
                <w:rFonts w:eastAsia="Times New Roman"/>
                <w:color w:val="000000"/>
                <w:sz w:val="20"/>
                <w:szCs w:val="20"/>
              </w:rPr>
              <w:t>February 18, 2021</w:t>
            </w:r>
          </w:p>
        </w:tc>
      </w:tr>
    </w:tbl>
    <w:p w:rsidR="00000000" w:rsidRDefault="00905244">
      <w:pPr>
        <w:divId w:val="1434978865"/>
        <w:rPr>
          <w:rFonts w:eastAsia="Times New Roman"/>
        </w:rPr>
      </w:pPr>
    </w:p>
    <w:p w:rsidR="00000000" w:rsidRDefault="00905244">
      <w:pPr>
        <w:jc w:val="center"/>
        <w:divId w:val="2060664312"/>
        <w:rPr>
          <w:rFonts w:eastAsia="Times New Roman"/>
        </w:rPr>
      </w:pPr>
      <w:r>
        <w:rPr>
          <w:rFonts w:eastAsia="Times New Roman"/>
          <w:color w:val="000000"/>
          <w:sz w:val="20"/>
          <w:szCs w:val="20"/>
        </w:rPr>
        <w:t>82</w:t>
      </w:r>
    </w:p>
    <w:p w:rsidR="00000000" w:rsidRDefault="00905244">
      <w:pPr>
        <w:rPr>
          <w:rFonts w:eastAsia="Times New Roman"/>
        </w:rPr>
      </w:pPr>
      <w:r>
        <w:rPr>
          <w:rFonts w:eastAsia="Times New Roman"/>
        </w:rPr>
        <w:pict>
          <v:rect id="_x0000_i1111" style="width:0;height:1.5pt" o:hralign="center" o:hrstd="t" o:hr="t" fillcolor="#a0a0a0" stroked="f"/>
        </w:pict>
      </w:r>
    </w:p>
    <w:p w:rsidR="00000000" w:rsidRDefault="00905244">
      <w:pPr>
        <w:divId w:val="596134870"/>
        <w:rPr>
          <w:rFonts w:eastAsia="Times New Roman"/>
        </w:rPr>
      </w:pPr>
      <w:hyperlink w:anchor="i137f04c25e1e4da3b6d1f469d06f3319_7" w:history="1">
        <w:r>
          <w:rPr>
            <w:rStyle w:val="a3"/>
            <w:rFonts w:eastAsia="Times New Roman"/>
            <w:sz w:val="18"/>
            <w:szCs w:val="18"/>
          </w:rPr>
          <w:t>Index</w:t>
        </w:r>
      </w:hyperlink>
    </w:p>
    <w:p w:rsidR="00000000" w:rsidRDefault="00905244">
      <w:pPr>
        <w:jc w:val="center"/>
        <w:rPr>
          <w:rFonts w:eastAsia="Times New Roman"/>
        </w:rPr>
      </w:pPr>
      <w:r>
        <w:rPr>
          <w:rFonts w:eastAsia="Times New Roman"/>
          <w:b/>
          <w:bCs/>
          <w:color w:val="000000"/>
          <w:sz w:val="20"/>
          <w:szCs w:val="20"/>
        </w:rPr>
        <w:t>EXHIBIT INDEX</w:t>
      </w:r>
    </w:p>
    <w:p w:rsidR="00000000" w:rsidRDefault="00905244">
      <w:pPr>
        <w:divId w:val="80446487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4"/>
        <w:gridCol w:w="494"/>
        <w:gridCol w:w="36"/>
        <w:gridCol w:w="54"/>
        <w:gridCol w:w="7523"/>
        <w:gridCol w:w="37"/>
        <w:gridCol w:w="36"/>
        <w:gridCol w:w="36"/>
        <w:gridCol w:w="36"/>
      </w:tblGrid>
      <w:tr w:rsidR="00000000">
        <w:trPr>
          <w:divId w:val="1851407837"/>
        </w:trPr>
        <w:tc>
          <w:tcPr>
            <w:tcW w:w="50" w:type="pct"/>
            <w:vAlign w:val="center"/>
            <w:hideMark/>
          </w:tcPr>
          <w:p w:rsidR="00000000" w:rsidRDefault="00905244">
            <w:pPr>
              <w:rPr>
                <w:rFonts w:eastAsia="Times New Roman"/>
              </w:rPr>
            </w:pPr>
          </w:p>
        </w:tc>
        <w:tc>
          <w:tcPr>
            <w:tcW w:w="31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54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1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85140783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1.1</w:t>
            </w:r>
          </w:p>
        </w:tc>
        <w:tc>
          <w:tcPr>
            <w:tcW w:w="0" w:type="auto"/>
            <w:gridSpan w:val="3"/>
            <w:tcMar>
              <w:top w:w="30" w:type="dxa"/>
              <w:left w:w="20" w:type="dxa"/>
              <w:bottom w:w="30" w:type="dxa"/>
              <w:right w:w="20" w:type="dxa"/>
            </w:tcMar>
            <w:hideMark/>
          </w:tcPr>
          <w:p w:rsidR="00000000" w:rsidRDefault="00905244">
            <w:pPr>
              <w:divId w:val="714546612"/>
              <w:rPr>
                <w:rFonts w:eastAsia="Times New Roman"/>
              </w:rPr>
            </w:pPr>
            <w:hyperlink r:id="rId6" w:history="1">
              <w:r>
                <w:rPr>
                  <w:rStyle w:val="a3"/>
                  <w:rFonts w:eastAsia="Times New Roman"/>
                  <w:sz w:val="20"/>
                  <w:szCs w:val="20"/>
                </w:rPr>
                <w:t>Underwriting Agreement, dated October 27, 2020, by and among the Company, Goldman Sachs &amp; Co. LLC and Wells Fargo Securities, LLC, as representatives of the se</w:t>
              </w:r>
              <w:r>
                <w:rPr>
                  <w:rStyle w:val="a3"/>
                  <w:rFonts w:eastAsia="Times New Roman"/>
                  <w:sz w:val="20"/>
                  <w:szCs w:val="20"/>
                </w:rPr>
                <w:t>veral underwriters named therein (filed as Exhibit 1.1 to Registrant’s Current Report on Form 8-K, filed with the Commission on October 28, 2020,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r>
      <w:tr w:rsidR="00000000">
        <w:trPr>
          <w:divId w:val="1851407837"/>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85140783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3.1</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7" w:history="1">
              <w:r>
                <w:rPr>
                  <w:rStyle w:val="a3"/>
                  <w:rFonts w:eastAsia="Times New Roman"/>
                  <w:sz w:val="20"/>
                  <w:szCs w:val="20"/>
                </w:rPr>
                <w:t>Restated Certificate of Incorporation, as amended, of the Company (restated for SEC filing purposes only) (filed as Exhibit 3.1 to Registrant’s Quar</w:t>
              </w:r>
              <w:r>
                <w:rPr>
                  <w:rStyle w:val="a3"/>
                  <w:rFonts w:eastAsia="Times New Roman"/>
                  <w:sz w:val="20"/>
                  <w:szCs w:val="20"/>
                </w:rPr>
                <w:t>terly Report on Form 10-Q, filed with the Commission on October 22, 2020,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51407837"/>
        </w:trPr>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5140783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8" w:history="1">
              <w:r>
                <w:rPr>
                  <w:rStyle w:val="a3"/>
                  <w:rFonts w:eastAsia="Times New Roman"/>
                  <w:sz w:val="20"/>
                  <w:szCs w:val="20"/>
                </w:rPr>
                <w:t>Fifth Amended and Restated By-laws, as amended (filed as Exhibit 3.1 to Registrant’s Quarterly Report on Form 10</w:t>
              </w:r>
            </w:hyperlink>
            <w:hyperlink r:id="rId9" w:history="1">
              <w:r>
                <w:rPr>
                  <w:rStyle w:val="a3"/>
                  <w:rFonts w:eastAsia="Times New Roman"/>
                  <w:sz w:val="20"/>
                  <w:szCs w:val="20"/>
                </w:rPr>
                <w:t>-</w:t>
              </w:r>
            </w:hyperlink>
            <w:hyperlink r:id="rId10" w:history="1">
              <w:r>
                <w:rPr>
                  <w:rStyle w:val="a3"/>
                  <w:rFonts w:eastAsia="Times New Roman"/>
                  <w:sz w:val="20"/>
                  <w:szCs w:val="20"/>
                </w:rPr>
                <w:t>Q, filed with the Commission on May 7, 2020,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51407837"/>
        </w:trPr>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5140783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4.1</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 xml:space="preserve">Form of Specimen Certificate representing the Company’s Common Stock, par value $.008 per share (filed as Exhibit 4.2 to Amendment No. 1 to Registrant’s Registration Statement on Form S-1, Registration No. 33-73028, filed in paper form with the Commission </w:t>
            </w:r>
            <w:r>
              <w:rPr>
                <w:rFonts w:eastAsia="Times New Roman"/>
                <w:color w:val="000000"/>
                <w:sz w:val="20"/>
                <w:szCs w:val="20"/>
              </w:rPr>
              <w:t>on January 31, 1994, and incorporated herein by reference).</w:t>
            </w: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51407837"/>
        </w:trPr>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5140783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4.2</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11" w:history="1">
              <w:r>
                <w:rPr>
                  <w:rStyle w:val="a3"/>
                  <w:rFonts w:eastAsia="Times New Roman"/>
                  <w:sz w:val="20"/>
                  <w:szCs w:val="20"/>
                </w:rPr>
                <w:t>Form of Subordinate Indenture (filed as Exhibit 4.3 to Registrant’s Registration Statement on Form S-3ASR, Registration No. 333-249595, filed with t</w:t>
              </w:r>
              <w:r>
                <w:rPr>
                  <w:rStyle w:val="a3"/>
                  <w:rFonts w:eastAsia="Times New Roman"/>
                  <w:sz w:val="20"/>
                  <w:szCs w:val="20"/>
                </w:rPr>
                <w:t>he Commission on October 22, 2020, and incorporated herein by reference</w:t>
              </w:r>
            </w:hyperlink>
            <w:hyperlink r:id="rId12" w:history="1">
              <w:r>
                <w:rPr>
                  <w:rStyle w:val="a3"/>
                  <w:rFonts w:eastAsia="Times New Roman"/>
                  <w:sz w:val="20"/>
                  <w:szCs w:val="20"/>
                </w:rPr>
                <w:t>)</w:t>
              </w:r>
            </w:hyperlink>
            <w:hyperlink r:id="rId13"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51407837"/>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85140783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4.3</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14" w:history="1">
              <w:r>
                <w:rPr>
                  <w:rStyle w:val="a3"/>
                  <w:rFonts w:eastAsia="Times New Roman"/>
                  <w:sz w:val="20"/>
                  <w:szCs w:val="20"/>
                </w:rPr>
                <w:t xml:space="preserve">Indenture, dated as of October 30, 2020, by and between Tractor Supply Company and Regions Bank, as trustee (filed as Exhibit 4.1 to Registrant’s Current Report on Form 8-K, filed with the Commission on October 30, 2020, Commission File No. 000-23314, and </w:t>
              </w:r>
              <w:r>
                <w:rPr>
                  <w:rStyle w:val="a3"/>
                  <w:rFonts w:eastAsia="Times New Roman"/>
                  <w:sz w:val="20"/>
                  <w:szCs w:val="20"/>
                </w:rPr>
                <w:t>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51407837"/>
          <w:trHeight w:val="10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85140783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4.4</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15" w:history="1">
              <w:r>
                <w:rPr>
                  <w:rStyle w:val="a3"/>
                  <w:rFonts w:eastAsia="Times New Roman"/>
                  <w:sz w:val="20"/>
                  <w:szCs w:val="20"/>
                </w:rPr>
                <w:t xml:space="preserve">First Supplemental Indenture, dated as of October 30, 2020, by and between Tractor Supply Company and Regions Bank, as trustee (filed as Exhibit 4.2 to Registrant’s Current Report on Form 8-K, filed with the Commission on October 30, 2020, Commission File </w:t>
              </w:r>
              <w:r>
                <w:rPr>
                  <w:rStyle w:val="a3"/>
                  <w:rFonts w:eastAsia="Times New Roman"/>
                  <w:sz w:val="20"/>
                  <w:szCs w:val="20"/>
                </w:rPr>
                <w:t>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51407837"/>
          <w:trHeight w:val="10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85140783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4.5</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16" w:history="1">
              <w:r>
                <w:rPr>
                  <w:rStyle w:val="a3"/>
                  <w:rFonts w:eastAsia="Times New Roman"/>
                  <w:sz w:val="20"/>
                  <w:szCs w:val="20"/>
                </w:rPr>
                <w:t>Form of 1.750% Note due 2030 (filed as Exhibit 4.3 to Registrant’s Current Report on Form 8-K, filed with the Commission on October 30, 2020, Commission File N</w:t>
              </w:r>
              <w:r>
                <w:rPr>
                  <w:rStyle w:val="a3"/>
                  <w:rFonts w:eastAsia="Times New Roman"/>
                  <w:sz w:val="20"/>
                  <w:szCs w:val="20"/>
                </w:rPr>
                <w:t>o. 000-23314, and incorporated herein by reference)(included in Exhibit 4.4).</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51407837"/>
          <w:trHeight w:val="10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85140783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4.6*</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17" w:history="1">
              <w:r>
                <w:rPr>
                  <w:rStyle w:val="a3"/>
                  <w:rFonts w:eastAsia="Times New Roman"/>
                  <w:sz w:val="20"/>
                  <w:szCs w:val="20"/>
                </w:rPr>
                <w:t>Description of the Registrant's Securities Registered Pursuant to Section 12 of the Securities Exchange Act of 1934</w:t>
              </w:r>
            </w:hyperlink>
            <w:hyperlink r:id="rId18"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51407837"/>
          <w:trHeight w:val="10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85140783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 xml:space="preserve">Certificate of Insurance relating to the Medical Expense Reimbursement Plan of the Company (filed as Exhibit 10.33 to Registrant’s Registration Statement on Form S-1, Registration No. 33-73028, filed in paper form with the Commission on December 17, 1993, </w:t>
            </w:r>
            <w:r>
              <w:rPr>
                <w:rFonts w:eastAsia="Times New Roman"/>
                <w:color w:val="000000"/>
                <w:sz w:val="20"/>
                <w:szCs w:val="20"/>
              </w:rPr>
              <w:t>and incorporated herein by reference).</w:t>
            </w: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51407837"/>
        </w:trPr>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5140783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10.2</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Summary Plan Description of the Executive Life Insurance Plan of the Company (filed as Exhibit 10.34 to Registrant’s Registration Statement on Form S-1, Registration No. 33-73028, filed in paper form with the Commission on December 17, 1993, and incorporat</w:t>
            </w:r>
            <w:r>
              <w:rPr>
                <w:rFonts w:eastAsia="Times New Roman"/>
                <w:color w:val="000000"/>
                <w:sz w:val="20"/>
                <w:szCs w:val="20"/>
              </w:rPr>
              <w:t>ed herein by reference).+</w:t>
            </w: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51407837"/>
        </w:trPr>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5140783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10.3</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19" w:history="1">
              <w:r>
                <w:rPr>
                  <w:rStyle w:val="a3"/>
                  <w:rFonts w:eastAsia="Times New Roman"/>
                  <w:sz w:val="20"/>
                  <w:szCs w:val="20"/>
                </w:rPr>
                <w:t>Tractor Supply Company 1996 Associate Stock Purchase Plan (filed as Exhibit 4.4 to Registrant’s Registration Statement on Form S-8, Registration No. 333-10699, filed with the Commission on August 23, 1996,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51407837"/>
        </w:trPr>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5140783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20" w:history="1">
              <w:r>
                <w:rPr>
                  <w:rStyle w:val="a3"/>
                  <w:rFonts w:eastAsia="Times New Roman"/>
                  <w:sz w:val="20"/>
                  <w:szCs w:val="20"/>
                </w:rPr>
                <w:t>Tractor Supply Company Restated 401(k) Retirement Plan (filed as Exhibit 4.1 to Registrant’s Registration Statement on Form S-3, Registration No. 333-35317, filed with the Commission on September 10, 1997,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51407837"/>
        </w:trPr>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5140783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10.5</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21" w:history="1">
              <w:r>
                <w:rPr>
                  <w:rStyle w:val="a3"/>
                  <w:rFonts w:eastAsia="Times New Roman"/>
                  <w:sz w:val="20"/>
                  <w:szCs w:val="20"/>
                </w:rPr>
                <w:t>First Amendment, dated December </w:t>
              </w:r>
              <w:r>
                <w:rPr>
                  <w:rStyle w:val="a3"/>
                  <w:rFonts w:eastAsia="Times New Roman"/>
                  <w:sz w:val="20"/>
                  <w:szCs w:val="20"/>
                </w:rPr>
                <w:t>22, 2003 to the Tractor Supply Company Restated 401(k) Retirement Savings Plan (filed as Exhibit 10.53 to Registrant’s Annual Report on Form 10-K, filed with the Commission on March 8, 2004, Commission File No. 000-23314, and incorporated herein by referen</w:t>
              </w:r>
              <w:r>
                <w:rPr>
                  <w:rStyle w:val="a3"/>
                  <w:rFonts w:eastAsia="Times New Roman"/>
                  <w:sz w:val="20"/>
                  <w:szCs w:val="20"/>
                </w:rPr>
                <w:t>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51407837"/>
        </w:trPr>
        <w:tc>
          <w:tcPr>
            <w:tcW w:w="0" w:type="auto"/>
            <w:gridSpan w:val="3"/>
            <w:tcMar>
              <w:top w:w="30" w:type="dxa"/>
              <w:left w:w="20" w:type="dxa"/>
              <w:bottom w:w="30" w:type="dxa"/>
              <w:right w:w="20" w:type="dxa"/>
            </w:tcMar>
            <w:vAlign w:val="bottom"/>
            <w:hideMark/>
          </w:tcPr>
          <w:p w:rsidR="00000000" w:rsidRDefault="00905244">
            <w:pPr>
              <w:jc w:val="right"/>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5140783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10.6</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22" w:history="1">
              <w:r>
                <w:rPr>
                  <w:rStyle w:val="a3"/>
                  <w:rFonts w:eastAsia="Times New Roman"/>
                  <w:sz w:val="20"/>
                  <w:szCs w:val="20"/>
                </w:rPr>
                <w:t>Second Amendment to Tractor Supply Company Restated 401(k) Retirement Plan (filed as Exhibit 10.57 to Registrant’s Annual Report on Form 10-K, filed with the Commission on March 23, 2001, Commission File No. 000-23314, and incorporated herein by reference)</w:t>
              </w:r>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5140783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5140783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10.7</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23" w:history="1">
              <w:r>
                <w:rPr>
                  <w:rStyle w:val="a3"/>
                  <w:rFonts w:eastAsia="Times New Roman"/>
                  <w:sz w:val="20"/>
                  <w:szCs w:val="20"/>
                </w:rPr>
                <w:t>Trust Agreement (filed as Exhibit 4.2 to Registrant’</w:t>
              </w:r>
              <w:r>
                <w:rPr>
                  <w:rStyle w:val="a3"/>
                  <w:rFonts w:eastAsia="Times New Roman"/>
                  <w:sz w:val="20"/>
                  <w:szCs w:val="20"/>
                </w:rPr>
                <w:t>s Registration Statement on Form S-3, Registration No. 333-35317, filed with the Commission on September 10, 1997,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5140783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5140783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10.8</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24" w:history="1">
              <w:r>
                <w:rPr>
                  <w:rStyle w:val="a3"/>
                  <w:rFonts w:eastAsia="Times New Roman"/>
                  <w:sz w:val="20"/>
                  <w:szCs w:val="20"/>
                </w:rPr>
                <w:t>Tractor Supply Company Executive Deferred Compensation Plan, dated November 11, 2001 (filed as Exhibit 10.58 to Registrant’s Quarterly Report on Form 10-Q, f</w:t>
              </w:r>
              <w:r>
                <w:rPr>
                  <w:rStyle w:val="a3"/>
                  <w:rFonts w:eastAsia="Times New Roman"/>
                  <w:sz w:val="20"/>
                  <w:szCs w:val="20"/>
                </w:rPr>
                <w:t>iled with the Commission on May 13, 2002,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5140783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bl>
    <w:p w:rsidR="00000000" w:rsidRDefault="00905244">
      <w:pPr>
        <w:jc w:val="center"/>
        <w:divId w:val="1596326535"/>
        <w:rPr>
          <w:rFonts w:eastAsia="Times New Roman"/>
        </w:rPr>
      </w:pPr>
      <w:r>
        <w:rPr>
          <w:rFonts w:eastAsia="Times New Roman"/>
          <w:color w:val="000000"/>
          <w:sz w:val="20"/>
          <w:szCs w:val="20"/>
        </w:rPr>
        <w:t>83</w:t>
      </w:r>
    </w:p>
    <w:p w:rsidR="00000000" w:rsidRDefault="00905244">
      <w:pPr>
        <w:rPr>
          <w:rFonts w:eastAsia="Times New Roman"/>
        </w:rPr>
      </w:pPr>
      <w:r>
        <w:rPr>
          <w:rFonts w:eastAsia="Times New Roman"/>
        </w:rPr>
        <w:pict>
          <v:rect id="_x0000_i1112" style="width:0;height:1.5pt" o:hralign="center" o:hrstd="t" o:hr="t" fillcolor="#a0a0a0" stroked="f"/>
        </w:pict>
      </w:r>
    </w:p>
    <w:p w:rsidR="00000000" w:rsidRDefault="00905244">
      <w:pPr>
        <w:divId w:val="8408833"/>
        <w:rPr>
          <w:rFonts w:eastAsia="Times New Roman"/>
        </w:rPr>
      </w:pPr>
      <w:hyperlink w:anchor="i137f04c25e1e4da3b6d1f469d06f3319_7" w:history="1">
        <w:r>
          <w:rPr>
            <w:rStyle w:val="a3"/>
            <w:rFonts w:eastAsia="Times New Roman"/>
            <w:sz w:val="18"/>
            <w:szCs w:val="18"/>
          </w:rPr>
          <w:t>Index</w:t>
        </w:r>
      </w:hyperlink>
    </w:p>
    <w:tbl>
      <w:tblPr>
        <w:tblW w:w="5000" w:type="pct"/>
        <w:tblCellMar>
          <w:top w:w="15" w:type="dxa"/>
          <w:left w:w="15" w:type="dxa"/>
          <w:bottom w:w="15" w:type="dxa"/>
          <w:right w:w="15" w:type="dxa"/>
        </w:tblCellMar>
        <w:tblLook w:val="04A0" w:firstRow="1" w:lastRow="0" w:firstColumn="1" w:lastColumn="0" w:noHBand="0" w:noVBand="1"/>
      </w:tblPr>
      <w:tblGrid>
        <w:gridCol w:w="67"/>
        <w:gridCol w:w="480"/>
        <w:gridCol w:w="36"/>
        <w:gridCol w:w="54"/>
        <w:gridCol w:w="7523"/>
        <w:gridCol w:w="38"/>
        <w:gridCol w:w="36"/>
        <w:gridCol w:w="36"/>
        <w:gridCol w:w="36"/>
      </w:tblGrid>
      <w:tr w:rsidR="00000000">
        <w:trPr>
          <w:divId w:val="889616417"/>
        </w:trPr>
        <w:tc>
          <w:tcPr>
            <w:tcW w:w="50" w:type="pct"/>
            <w:vAlign w:val="center"/>
            <w:hideMark/>
          </w:tcPr>
          <w:p w:rsidR="00000000" w:rsidRDefault="00905244">
            <w:pPr>
              <w:rPr>
                <w:rFonts w:eastAsia="Times New Roman"/>
              </w:rPr>
            </w:pPr>
          </w:p>
        </w:tc>
        <w:tc>
          <w:tcPr>
            <w:tcW w:w="31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54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1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10.9</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25" w:history="1">
              <w:r>
                <w:rPr>
                  <w:rStyle w:val="a3"/>
                  <w:rFonts w:eastAsia="Times New Roman"/>
                  <w:sz w:val="20"/>
                  <w:szCs w:val="20"/>
                </w:rPr>
                <w:t>Form of Incentive Stock Option Agreement under the 2006 Stock Incentive Plan (filed as Exhibit 10.39 to Registrant’s Annual Report on Form 10-K, filed with the Com</w:t>
              </w:r>
              <w:r>
                <w:rPr>
                  <w:rStyle w:val="a3"/>
                  <w:rFonts w:eastAsia="Times New Roman"/>
                  <w:sz w:val="20"/>
                  <w:szCs w:val="20"/>
                </w:rPr>
                <w:t>mission on February 28, 2007,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10.10</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26" w:history="1">
              <w:r>
                <w:rPr>
                  <w:rStyle w:val="a3"/>
                  <w:rFonts w:eastAsia="Times New Roman"/>
                  <w:sz w:val="20"/>
                  <w:szCs w:val="20"/>
                </w:rPr>
                <w:t xml:space="preserve">Form of Incentive Stock Option Agreement under the 2006 Stock Incentive Plan (filed as Exhibit 10.45 to Registrant’s Annual Report on Form 10-K, filed with </w:t>
              </w:r>
              <w:r>
                <w:rPr>
                  <w:rStyle w:val="a3"/>
                  <w:rFonts w:eastAsia="Times New Roman"/>
                  <w:sz w:val="20"/>
                  <w:szCs w:val="20"/>
                </w:rPr>
                <w:t>the Commission on February 27, 2008, Commission File No. 000-23314,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10.11</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27" w:history="1">
              <w:r>
                <w:rPr>
                  <w:rStyle w:val="a3"/>
                  <w:rFonts w:eastAsia="Times New Roman"/>
                  <w:sz w:val="20"/>
                  <w:szCs w:val="20"/>
                </w:rPr>
                <w:t>Tractor Supply Company 2006 Stock Incentive Plan (filed as Exhibit 99.1 to the Registrant’s Current Report on Form 8-K filed with the Commission on April 27, 2006</w:t>
              </w:r>
              <w:r>
                <w:rPr>
                  <w:rStyle w:val="a3"/>
                  <w:rFonts w:eastAsia="Times New Roman"/>
                  <w:sz w:val="20"/>
                  <w:szCs w:val="20"/>
                </w:rPr>
                <w:t>,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10.12</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28" w:history="1">
              <w:r>
                <w:rPr>
                  <w:rStyle w:val="a3"/>
                  <w:rFonts w:eastAsia="Times New Roman"/>
                  <w:sz w:val="20"/>
                  <w:szCs w:val="20"/>
                </w:rPr>
                <w:t xml:space="preserve">Second Amendment to the Tractor Supply Company 2006 Stock Incentive Plan, effective February 8, 2007 (filed as Exhibit 10.38 to Registrant’s Annual Report on Form </w:t>
              </w:r>
              <w:r>
                <w:rPr>
                  <w:rStyle w:val="a3"/>
                  <w:rFonts w:eastAsia="Times New Roman"/>
                  <w:sz w:val="20"/>
                  <w:szCs w:val="20"/>
                </w:rPr>
                <w:t>10-K, filed with the Commission on February 28, 2007,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10.13</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29" w:history="1">
              <w:r>
                <w:rPr>
                  <w:rStyle w:val="a3"/>
                  <w:rFonts w:eastAsia="Times New Roman"/>
                  <w:sz w:val="20"/>
                  <w:szCs w:val="20"/>
                </w:rPr>
                <w:t>Form of Incentive Stock Option Agreement under the 2006 Stock Incentive Plan (filed as Exhibit 10.41 to the Registrant’s Annual Report on Form 10-K, filed w</w:t>
              </w:r>
              <w:r>
                <w:rPr>
                  <w:rStyle w:val="a3"/>
                  <w:rFonts w:eastAsia="Times New Roman"/>
                  <w:sz w:val="20"/>
                  <w:szCs w:val="20"/>
                </w:rPr>
                <w:t>ith the Commission on February 25, 2009,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10.14</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30" w:history="1">
              <w:r>
                <w:rPr>
                  <w:rStyle w:val="a3"/>
                  <w:rFonts w:eastAsia="Times New Roman"/>
                  <w:sz w:val="20"/>
                  <w:szCs w:val="20"/>
                </w:rPr>
                <w:t>Tractor Supply Company 2009 Stock Incentive Plan (filed as Exhibit 99.1 to Registrant’s Current Report on Form 8-K, filed with the Commission on April 14, 20</w:t>
              </w:r>
              <w:r>
                <w:rPr>
                  <w:rStyle w:val="a3"/>
                  <w:rFonts w:eastAsia="Times New Roman"/>
                  <w:sz w:val="20"/>
                  <w:szCs w:val="20"/>
                </w:rPr>
                <w:t>09,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10.15</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31" w:history="1">
              <w:r>
                <w:rPr>
                  <w:rStyle w:val="a3"/>
                  <w:rFonts w:eastAsia="Times New Roman"/>
                  <w:sz w:val="20"/>
                  <w:szCs w:val="20"/>
                </w:rPr>
                <w:t>Form of Incentive Stock Option Agreement under the Tractor Supply Company 2009 Stock Incentive Plan (filed as Exhibit 10.44 to Registrant’s Quarterly Report</w:t>
              </w:r>
              <w:r>
                <w:rPr>
                  <w:rStyle w:val="a3"/>
                  <w:rFonts w:eastAsia="Times New Roman"/>
                  <w:sz w:val="20"/>
                  <w:szCs w:val="20"/>
                </w:rPr>
                <w:t xml:space="preserve"> on Form 10-Q, filed with the Commission on August 4, 2009,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10.16</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32" w:history="1">
              <w:r>
                <w:rPr>
                  <w:rStyle w:val="a3"/>
                  <w:rFonts w:eastAsia="Times New Roman"/>
                  <w:sz w:val="20"/>
                  <w:szCs w:val="20"/>
                </w:rPr>
                <w:t xml:space="preserve">Form of Restricted Share Unit Agreement under the Tractor Supply Company 2009 Stock Incentive Plan (filed as Exhibit 10.45 to Registrant’s Quarterly Report </w:t>
              </w:r>
              <w:r>
                <w:rPr>
                  <w:rStyle w:val="a3"/>
                  <w:rFonts w:eastAsia="Times New Roman"/>
                  <w:sz w:val="20"/>
                  <w:szCs w:val="20"/>
                </w:rPr>
                <w:t>on Form 10-Q, filed with the Commission on August 4, 2009,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10.17</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33" w:history="1">
              <w:r>
                <w:rPr>
                  <w:rStyle w:val="a3"/>
                  <w:rFonts w:eastAsia="Times New Roman"/>
                  <w:sz w:val="20"/>
                  <w:szCs w:val="20"/>
                </w:rPr>
                <w:t>Form of Nonqualified Stock Option Agreement under the Tractor Supply Company 2009 Stock Incentive Plan (filed as Exhibit 10.46 to Registrant’s Quarterly Rep</w:t>
              </w:r>
              <w:r>
                <w:rPr>
                  <w:rStyle w:val="a3"/>
                  <w:rFonts w:eastAsia="Times New Roman"/>
                  <w:sz w:val="20"/>
                  <w:szCs w:val="20"/>
                </w:rPr>
                <w:t>ort on Form 10-Q, filed with the Commission on August 4, 2009,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10.18</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34" w:history="1">
              <w:r>
                <w:rPr>
                  <w:rStyle w:val="a3"/>
                  <w:rFonts w:eastAsia="Times New Roman"/>
                  <w:sz w:val="20"/>
                  <w:szCs w:val="20"/>
                </w:rPr>
                <w:t>Form of Director Restricted Stock Unit Award Agreement (filed as Exhibit 10.48 to Registrant’s Quarterly Report on Form 10-Q, filed with the Commission on N</w:t>
              </w:r>
              <w:r>
                <w:rPr>
                  <w:rStyle w:val="a3"/>
                  <w:rFonts w:eastAsia="Times New Roman"/>
                  <w:sz w:val="20"/>
                  <w:szCs w:val="20"/>
                </w:rPr>
                <w:t>ovember 2, 2009,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10.19</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35" w:history="1">
              <w:r>
                <w:rPr>
                  <w:rStyle w:val="a3"/>
                  <w:rFonts w:eastAsia="Times New Roman"/>
                  <w:sz w:val="20"/>
                  <w:szCs w:val="20"/>
                </w:rPr>
                <w:t>Form of Restricted Share Unit Agreement for Officers (filed as Exhibit 10.49 to Registrant’s Quarterly Report on Form 10-Q, filed with the Commission on Nov</w:t>
              </w:r>
              <w:r>
                <w:rPr>
                  <w:rStyle w:val="a3"/>
                  <w:rFonts w:eastAsia="Times New Roman"/>
                  <w:sz w:val="20"/>
                  <w:szCs w:val="20"/>
                </w:rPr>
                <w:t>ember 2, 2009,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10.20</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36" w:history="1">
              <w:r>
                <w:rPr>
                  <w:rStyle w:val="a3"/>
                  <w:rFonts w:eastAsia="Times New Roman"/>
                  <w:sz w:val="20"/>
                  <w:szCs w:val="20"/>
                </w:rPr>
                <w:t>Form of Deferred Stock Unit Award Agreement for Directors (filed as Exhibit 10.50 to Registrant’s Quarterly Report on Form 10-Q, filed with the Commission o</w:t>
              </w:r>
              <w:r>
                <w:rPr>
                  <w:rStyle w:val="a3"/>
                  <w:rFonts w:eastAsia="Times New Roman"/>
                  <w:sz w:val="20"/>
                  <w:szCs w:val="20"/>
                </w:rPr>
                <w:t>n November 2, 2009,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10.21</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37" w:history="1">
              <w:r>
                <w:rPr>
                  <w:rStyle w:val="a3"/>
                  <w:rFonts w:eastAsia="Times New Roman"/>
                  <w:sz w:val="20"/>
                  <w:szCs w:val="20"/>
                </w:rPr>
                <w:t>Compensation Recoupment Policy (filed as Exhibit 10.42 to Registrant’s Quarterly Report on Form 10-Q, filed with the Commission on May 3, 2011, Commission File No.</w:t>
              </w:r>
              <w:r>
                <w:rPr>
                  <w:rStyle w:val="a3"/>
                  <w:rFonts w:eastAsia="Times New Roman"/>
                  <w:sz w:val="20"/>
                  <w:szCs w:val="20"/>
                </w:rPr>
                <w:t xml:space="preserve">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905244">
            <w:pPr>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10.22</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38" w:history="1">
              <w:r>
                <w:rPr>
                  <w:rStyle w:val="a3"/>
                  <w:rFonts w:eastAsia="Times New Roman"/>
                  <w:sz w:val="20"/>
                  <w:szCs w:val="20"/>
                </w:rPr>
                <w:t xml:space="preserve">Credit Agreement, dated as of October 24, 2011, by and among Tractor Supply Company, as Borrower, certain subsidiaries of the Company, certain lenders and </w:t>
              </w:r>
              <w:r>
                <w:rPr>
                  <w:rStyle w:val="a3"/>
                  <w:rFonts w:eastAsia="Times New Roman"/>
                  <w:sz w:val="20"/>
                  <w:szCs w:val="20"/>
                </w:rPr>
                <w:t>Bank of America, N.A., as Administrative Agent for the lenders (filed as Exhibit 10.1 to Registrant’s Current Report on Form 8-K, filed with the Commission on October 28, 2011,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10.23</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39" w:history="1">
              <w:r>
                <w:rPr>
                  <w:rStyle w:val="a3"/>
                  <w:rFonts w:eastAsia="Times New Roman"/>
                  <w:sz w:val="20"/>
                  <w:szCs w:val="20"/>
                </w:rPr>
                <w:t>First Amendment to Credit Agreement and Increase of Revolving Committed Amount dated May 16, 2014, by and among Tractor Supply C</w:t>
              </w:r>
              <w:r>
                <w:rPr>
                  <w:rStyle w:val="a3"/>
                  <w:rFonts w:eastAsia="Times New Roman"/>
                  <w:sz w:val="20"/>
                  <w:szCs w:val="20"/>
                </w:rPr>
                <w:t>ompany, as Borrower, certain subsidiaries of the Company, certain lenders and Bank of America, N.A., as Administrative Agent for the lenders (filed as Exhibit 10.1 to Registrant’s Current Report on Form 8-K, filed with the Commission on May 21, 2014, Commi</w:t>
              </w:r>
              <w:r>
                <w:rPr>
                  <w:rStyle w:val="a3"/>
                  <w:rFonts w:eastAsia="Times New Roman"/>
                  <w:sz w:val="20"/>
                  <w:szCs w:val="20"/>
                </w:rPr>
                <w:t>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10.24</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40" w:history="1">
              <w:r>
                <w:rPr>
                  <w:rStyle w:val="a3"/>
                  <w:rFonts w:eastAsia="Times New Roman"/>
                  <w:sz w:val="20"/>
                  <w:szCs w:val="20"/>
                </w:rPr>
                <w:t>First Amendment to the Tractor Supply Company 2009 Stock Incentive Plan, effective February 4, 2015 (filed as Exhibit 10.34 to the Registrant’s Annual Repo</w:t>
              </w:r>
              <w:r>
                <w:rPr>
                  <w:rStyle w:val="a3"/>
                  <w:rFonts w:eastAsia="Times New Roman"/>
                  <w:sz w:val="20"/>
                  <w:szCs w:val="20"/>
                </w:rPr>
                <w:t>rt on Form 10-K, filed with the Commission on February 18, 2015,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889616417"/>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10.25</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41" w:history="1">
              <w:r>
                <w:rPr>
                  <w:rStyle w:val="a3"/>
                  <w:rFonts w:eastAsia="Times New Roman"/>
                  <w:sz w:val="20"/>
                  <w:szCs w:val="20"/>
                </w:rPr>
                <w:t xml:space="preserve">Credit Agreement, dated as of February 19, 2016, by and among Tractor Supply Company, as Borrower, certain subsidiaries of the Company, certain </w:t>
              </w:r>
              <w:r>
                <w:rPr>
                  <w:rStyle w:val="a3"/>
                  <w:rFonts w:eastAsia="Times New Roman"/>
                  <w:sz w:val="20"/>
                  <w:szCs w:val="20"/>
                </w:rPr>
                <w:t>lenders and Wells Fargo Bank, National Association, as Administrative Agent and Regions Bank, as Syndication Agent, for the lenders (filed as Exhibit 10.1 to Current Report on Form 8-K, filed with the Commission on February 22, 2016, Commission File No. 00</w:t>
              </w:r>
              <w:r>
                <w:rPr>
                  <w:rStyle w:val="a3"/>
                  <w:rFonts w:eastAsia="Times New Roman"/>
                  <w:sz w:val="20"/>
                  <w:szCs w:val="20"/>
                </w:rPr>
                <w:t>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889616417"/>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bl>
    <w:p w:rsidR="00000000" w:rsidRDefault="00905244">
      <w:pPr>
        <w:jc w:val="center"/>
        <w:divId w:val="635911861"/>
        <w:rPr>
          <w:rFonts w:eastAsia="Times New Roman"/>
        </w:rPr>
      </w:pPr>
      <w:r>
        <w:rPr>
          <w:rFonts w:eastAsia="Times New Roman"/>
          <w:color w:val="000000"/>
          <w:sz w:val="20"/>
          <w:szCs w:val="20"/>
        </w:rPr>
        <w:t>84</w:t>
      </w:r>
    </w:p>
    <w:p w:rsidR="00000000" w:rsidRDefault="00905244">
      <w:pPr>
        <w:rPr>
          <w:rFonts w:eastAsia="Times New Roman"/>
        </w:rPr>
      </w:pPr>
      <w:r>
        <w:rPr>
          <w:rFonts w:eastAsia="Times New Roman"/>
        </w:rPr>
        <w:pict>
          <v:rect id="_x0000_i1113" style="width:0;height:1.5pt" o:hralign="center" o:hrstd="t" o:hr="t" fillcolor="#a0a0a0" stroked="f"/>
        </w:pict>
      </w:r>
    </w:p>
    <w:p w:rsidR="00000000" w:rsidRDefault="00905244">
      <w:pPr>
        <w:divId w:val="807285344"/>
        <w:rPr>
          <w:rFonts w:eastAsia="Times New Roman"/>
        </w:rPr>
      </w:pPr>
      <w:hyperlink w:anchor="i137f04c25e1e4da3b6d1f469d06f3319_7" w:history="1">
        <w:r>
          <w:rPr>
            <w:rStyle w:val="a3"/>
            <w:rFonts w:eastAsia="Times New Roman"/>
            <w:sz w:val="18"/>
            <w:szCs w:val="18"/>
          </w:rPr>
          <w:t>Index</w:t>
        </w:r>
      </w:hyperlink>
    </w:p>
    <w:tbl>
      <w:tblPr>
        <w:tblW w:w="5000" w:type="pct"/>
        <w:tblCellMar>
          <w:top w:w="15" w:type="dxa"/>
          <w:left w:w="15" w:type="dxa"/>
          <w:bottom w:w="15" w:type="dxa"/>
          <w:right w:w="15" w:type="dxa"/>
        </w:tblCellMar>
        <w:tblLook w:val="04A0" w:firstRow="1" w:lastRow="0" w:firstColumn="1" w:lastColumn="0" w:noHBand="0" w:noVBand="1"/>
      </w:tblPr>
      <w:tblGrid>
        <w:gridCol w:w="67"/>
        <w:gridCol w:w="481"/>
        <w:gridCol w:w="36"/>
        <w:gridCol w:w="54"/>
        <w:gridCol w:w="7523"/>
        <w:gridCol w:w="37"/>
        <w:gridCol w:w="36"/>
        <w:gridCol w:w="36"/>
        <w:gridCol w:w="36"/>
      </w:tblGrid>
      <w:tr w:rsidR="00000000">
        <w:trPr>
          <w:divId w:val="1364138544"/>
        </w:trPr>
        <w:tc>
          <w:tcPr>
            <w:tcW w:w="50" w:type="pct"/>
            <w:vAlign w:val="center"/>
            <w:hideMark/>
          </w:tcPr>
          <w:p w:rsidR="00000000" w:rsidRDefault="00905244">
            <w:pPr>
              <w:rPr>
                <w:rFonts w:eastAsia="Times New Roman"/>
              </w:rPr>
            </w:pPr>
          </w:p>
        </w:tc>
        <w:tc>
          <w:tcPr>
            <w:tcW w:w="31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54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1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36413854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10.26</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42" w:history="1">
              <w:r>
                <w:rPr>
                  <w:rStyle w:val="a3"/>
                  <w:rFonts w:eastAsia="Times New Roman"/>
                  <w:sz w:val="20"/>
                  <w:szCs w:val="20"/>
                </w:rPr>
                <w:t>Incremental Term Loan Agreement, dated as of June 15, 2017, by and among Tractor Supply Company, as Borrower, certain subsidiaries of the Compan</w:t>
              </w:r>
              <w:r>
                <w:rPr>
                  <w:rStyle w:val="a3"/>
                  <w:rFonts w:eastAsia="Times New Roman"/>
                  <w:sz w:val="20"/>
                  <w:szCs w:val="20"/>
                </w:rPr>
                <w:t>y, certain lenders and Wells Fargo Bank, National Association, as Administrative Agent and Regions Bank, as Syndication Agent, for the lenders (filed as Exhibit 10.1 to Current Report on Form 8-K, filed with the Commission on June 19, 2017, Commission File</w:t>
              </w:r>
              <w:r>
                <w:rPr>
                  <w:rStyle w:val="a3"/>
                  <w:rFonts w:eastAsia="Times New Roman"/>
                  <w:sz w:val="20"/>
                  <w:szCs w:val="20"/>
                </w:rPr>
                <w:t xml:space="preserv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364138544"/>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36413854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10.27</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43" w:history="1">
              <w:r>
                <w:rPr>
                  <w:rStyle w:val="a3"/>
                  <w:rFonts w:eastAsia="Times New Roman"/>
                  <w:sz w:val="20"/>
                  <w:szCs w:val="20"/>
                </w:rPr>
                <w:t>Note Purchase and Private Shelf Agreement, dated August 14, 2017, by and among Tractor Supply Company, PGIM, Inc. (“Prudential”) and certain of its affiliates (the “Prudential Affiliates”) party thereto (filed as Exhibit 10.1 to Current Report on Form 8-K,</w:t>
              </w:r>
              <w:r>
                <w:rPr>
                  <w:rStyle w:val="a3"/>
                  <w:rFonts w:eastAsia="Times New Roman"/>
                  <w:sz w:val="20"/>
                  <w:szCs w:val="20"/>
                </w:rPr>
                <w:t xml:space="preserve"> filed with the Commission on August 16, 2017,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364138544"/>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36413854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10.28</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44" w:history="1">
              <w:r>
                <w:rPr>
                  <w:rStyle w:val="a3"/>
                  <w:rFonts w:eastAsia="Times New Roman"/>
                  <w:sz w:val="20"/>
                  <w:szCs w:val="20"/>
                </w:rPr>
                <w:t xml:space="preserve">Form of Performance Share Unit Agreement for Officers under the Tractor Supply Company 2009 Stock Incentive Plan (filed as Exhibit 10.33 to the </w:t>
              </w:r>
              <w:r>
                <w:rPr>
                  <w:rStyle w:val="a3"/>
                  <w:rFonts w:eastAsia="Times New Roman"/>
                  <w:sz w:val="20"/>
                  <w:szCs w:val="20"/>
                </w:rPr>
                <w:t>Registrant’s Annual Report on Form 10-K, filed with the Commission on February 22, 2018,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364138544"/>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36413854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10.29</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45" w:history="1">
              <w:r>
                <w:rPr>
                  <w:rStyle w:val="a3"/>
                  <w:rFonts w:eastAsia="Times New Roman"/>
                  <w:sz w:val="20"/>
                  <w:szCs w:val="20"/>
                </w:rPr>
                <w:t>Form of Performance Share Unit Agreement for the Chief Executive Officer under the Tractor Supply Company 2009 Stock Incentive Plan (filed as Ex</w:t>
              </w:r>
              <w:r>
                <w:rPr>
                  <w:rStyle w:val="a3"/>
                  <w:rFonts w:eastAsia="Times New Roman"/>
                  <w:sz w:val="20"/>
                  <w:szCs w:val="20"/>
                </w:rPr>
                <w:t>hibit 10.34 to the Registrant’s Annual Report on Form 10-K, filed with the Commission on February 22, 2018,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364138544"/>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36413854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10.30</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46" w:history="1">
              <w:r>
                <w:rPr>
                  <w:rStyle w:val="a3"/>
                  <w:rFonts w:eastAsia="Times New Roman"/>
                  <w:sz w:val="20"/>
                  <w:szCs w:val="20"/>
                </w:rPr>
                <w:t>Tractor Supply Company 2018 Omnibus Incentive Plan (filed as Exhibit A to Registrant’s Proxy Statement on Schedule 14A for Registrant’s Annual Meeting of Shareholders held on May 10, 2018, filed with the Co</w:t>
              </w:r>
              <w:r>
                <w:rPr>
                  <w:rStyle w:val="a3"/>
                  <w:rFonts w:eastAsia="Times New Roman"/>
                  <w:sz w:val="20"/>
                  <w:szCs w:val="20"/>
                </w:rPr>
                <w:t>mmission on March 27, 2018, Commission File No. 000-23314, and incorporated herein by reference).+</w:t>
              </w:r>
            </w:hyperlink>
          </w:p>
          <w:p w:rsidR="00000000" w:rsidRDefault="00905244">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364138544"/>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36413854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10.31</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47" w:history="1">
              <w:r>
                <w:rPr>
                  <w:rStyle w:val="a3"/>
                  <w:rFonts w:eastAsia="Times New Roman"/>
                  <w:sz w:val="20"/>
                  <w:szCs w:val="20"/>
                </w:rPr>
                <w:t>Form of Nonqualified Stock Option Agreement under the Tractor Supply Company 2018 Omnibus Incentive Plan (filed as Exhibit 10.2 to the Registran</w:t>
              </w:r>
              <w:r>
                <w:rPr>
                  <w:rStyle w:val="a3"/>
                  <w:rFonts w:eastAsia="Times New Roman"/>
                  <w:sz w:val="20"/>
                  <w:szCs w:val="20"/>
                </w:rPr>
                <w:t>t’s Quarterly Report on Form 10-Q, filed with the Commission on August 9, 2018,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364138544"/>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36413854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10.32</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48" w:history="1">
              <w:r>
                <w:rPr>
                  <w:rStyle w:val="a3"/>
                  <w:rFonts w:eastAsia="Times New Roman"/>
                  <w:sz w:val="20"/>
                  <w:szCs w:val="20"/>
                </w:rPr>
                <w:t xml:space="preserve">Form of Restricted Share Unit Agreement under the Tractor Supply Company 2018 Omnibus Incentive Plan (filed as Exhibit 10.3 to the Registrant’s </w:t>
              </w:r>
              <w:r>
                <w:rPr>
                  <w:rStyle w:val="a3"/>
                  <w:rFonts w:eastAsia="Times New Roman"/>
                  <w:sz w:val="20"/>
                  <w:szCs w:val="20"/>
                </w:rPr>
                <w:t>Quarterly Report on Form 10-Q, filed with the Commission on August 9, 2018,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364138544"/>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36413854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10.33</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49" w:history="1">
              <w:r>
                <w:rPr>
                  <w:rStyle w:val="a3"/>
                  <w:rFonts w:eastAsia="Times New Roman"/>
                  <w:sz w:val="20"/>
                  <w:szCs w:val="20"/>
                </w:rPr>
                <w:t>Form of Performance Share Unit Agreement for Officers under the Tractor Supply Company 2018 Omnibus Incentive Plan (filed as Exhibit 10.4 to the</w:t>
              </w:r>
              <w:r>
                <w:rPr>
                  <w:rStyle w:val="a3"/>
                  <w:rFonts w:eastAsia="Times New Roman"/>
                  <w:sz w:val="20"/>
                  <w:szCs w:val="20"/>
                </w:rPr>
                <w:t xml:space="preserve"> Registrant’s Quarterly Report on Form 10-Q, filed with the Commission on August 9, 2018,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364138544"/>
          <w:trHeight w:val="12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36413854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10.34</w:t>
            </w:r>
          </w:p>
        </w:tc>
        <w:tc>
          <w:tcPr>
            <w:tcW w:w="0" w:type="auto"/>
            <w:gridSpan w:val="3"/>
            <w:tcMar>
              <w:top w:w="30" w:type="dxa"/>
              <w:left w:w="20" w:type="dxa"/>
              <w:bottom w:w="30" w:type="dxa"/>
              <w:right w:w="20" w:type="dxa"/>
            </w:tcMar>
            <w:vAlign w:val="bottom"/>
            <w:hideMark/>
          </w:tcPr>
          <w:p w:rsidR="00000000" w:rsidRDefault="00905244">
            <w:pPr>
              <w:jc w:val="both"/>
              <w:rPr>
                <w:rFonts w:eastAsia="Times New Roman"/>
              </w:rPr>
            </w:pPr>
            <w:hyperlink r:id="rId50" w:history="1">
              <w:r>
                <w:rPr>
                  <w:rStyle w:val="a3"/>
                  <w:rFonts w:eastAsia="Times New Roman"/>
                  <w:sz w:val="20"/>
                  <w:szCs w:val="20"/>
                </w:rPr>
                <w:t>Form of Indemnification Agreement, by and between Tractor Supply Company and each of its executive officers and directors, dated November 8, 2018 (file</w:t>
              </w:r>
              <w:r>
                <w:rPr>
                  <w:rStyle w:val="a3"/>
                  <w:rFonts w:eastAsia="Times New Roman"/>
                  <w:sz w:val="20"/>
                  <w:szCs w:val="20"/>
                </w:rPr>
                <w:t>d as Exhibit 10.1 to Current Report on Form 8-K, filed with the Commission on November 14, 2018,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364138544"/>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36413854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10.35</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51" w:history="1">
              <w:r>
                <w:rPr>
                  <w:rStyle w:val="a3"/>
                  <w:rFonts w:eastAsia="Times New Roman"/>
                  <w:sz w:val="20"/>
                  <w:szCs w:val="20"/>
                </w:rPr>
                <w:t>Form of Performance Share Unit Agreement for Officers under the Tractor Supply Company 2018 Omnibus Incentive Plan.+</w:t>
              </w:r>
            </w:hyperlink>
          </w:p>
          <w:p w:rsidR="00000000" w:rsidRDefault="00905244">
            <w:pPr>
              <w:jc w:val="both"/>
              <w:rPr>
                <w:rFonts w:eastAsia="Times New Roman"/>
              </w:rPr>
            </w:pPr>
          </w:p>
          <w:p w:rsidR="00000000" w:rsidRDefault="00905244">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364138544"/>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36413854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10.36</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52" w:history="1">
              <w:r>
                <w:rPr>
                  <w:rStyle w:val="a3"/>
                  <w:rFonts w:eastAsia="Times New Roman"/>
                  <w:sz w:val="20"/>
                  <w:szCs w:val="20"/>
                </w:rPr>
                <w:t>Form of Performance Share Unit Agreement for Chief Executive Officer under the Tractor Supply Company 2018 Omnibus Incentive Plan.+</w:t>
              </w:r>
            </w:hyperlink>
          </w:p>
          <w:p w:rsidR="00000000" w:rsidRDefault="00905244">
            <w:pPr>
              <w:jc w:val="both"/>
              <w:rPr>
                <w:rFonts w:eastAsia="Times New Roman"/>
              </w:rPr>
            </w:pPr>
          </w:p>
          <w:p w:rsidR="00000000" w:rsidRDefault="00905244">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364138544"/>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36413854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10.37</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53" w:history="1">
              <w:r>
                <w:rPr>
                  <w:rStyle w:val="a3"/>
                  <w:rFonts w:eastAsia="Times New Roman"/>
                  <w:sz w:val="20"/>
                  <w:szCs w:val="20"/>
                </w:rPr>
                <w:t>Form of Restricted Share Unit Agreement under the Tractor Supply Company 2018 Omnibus Incentive Plan.+</w:t>
              </w:r>
            </w:hyperlink>
          </w:p>
          <w:p w:rsidR="00000000" w:rsidRDefault="00905244">
            <w:pPr>
              <w:jc w:val="both"/>
              <w:rPr>
                <w:rFonts w:eastAsia="Times New Roman"/>
              </w:rPr>
            </w:pPr>
          </w:p>
          <w:p w:rsidR="00000000" w:rsidRDefault="00905244">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364138544"/>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36413854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10.38</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54" w:history="1">
              <w:r>
                <w:rPr>
                  <w:rStyle w:val="a3"/>
                  <w:rFonts w:eastAsia="Times New Roman"/>
                  <w:sz w:val="20"/>
                  <w:szCs w:val="20"/>
                </w:rPr>
                <w:t>Form of Nonqualified Stock Option Agreement under the Tractor Supply Company 2018 Omnibus Incentive Plan.+</w:t>
              </w:r>
            </w:hyperlink>
          </w:p>
          <w:p w:rsidR="00000000" w:rsidRDefault="00905244">
            <w:pPr>
              <w:jc w:val="both"/>
              <w:rPr>
                <w:rFonts w:eastAsia="Times New Roman"/>
              </w:rPr>
            </w:pPr>
          </w:p>
          <w:p w:rsidR="00000000" w:rsidRDefault="00905244">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364138544"/>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36413854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10.39</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55" w:history="1">
              <w:r>
                <w:rPr>
                  <w:rStyle w:val="a3"/>
                  <w:rFonts w:eastAsia="Times New Roman"/>
                  <w:sz w:val="20"/>
                  <w:szCs w:val="20"/>
                </w:rPr>
                <w:t xml:space="preserve">Form of Change in Control Agreement, by and between Tractor Supply Company and each of Steve K. Barbarick, Kurt D. Barton, Benjamin F. Parrish, </w:t>
              </w:r>
              <w:r>
                <w:rPr>
                  <w:rStyle w:val="a3"/>
                  <w:rFonts w:eastAsia="Times New Roman"/>
                  <w:sz w:val="20"/>
                  <w:szCs w:val="20"/>
                </w:rPr>
                <w:t>Jr., Robert D. Mills and Chad M. Frazell, dated February 28, 2019 (filed as Exhibit 10.1 to Current Report on Form 8-K, filed with the Commission on March 1, 2019,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364138544"/>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36413854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10.40</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56" w:history="1">
              <w:r>
                <w:rPr>
                  <w:rStyle w:val="a3"/>
                  <w:rFonts w:eastAsia="Times New Roman"/>
                  <w:sz w:val="20"/>
                  <w:szCs w:val="20"/>
                </w:rPr>
                <w:t>Form of Change in Control Agreement, by and between Tractor Supply Company and each of Jonathan Seth Estep and John Ordus, dated May 31,</w:t>
              </w:r>
              <w:r>
                <w:rPr>
                  <w:rStyle w:val="a3"/>
                  <w:rFonts w:eastAsia="Times New Roman"/>
                  <w:sz w:val="20"/>
                  <w:szCs w:val="20"/>
                </w:rPr>
                <w:t xml:space="preserve"> 2019 (filed as Exhibit 10.1 to Current Report on Form 8-K, filed with the Commission on May 31, 2019,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364138544"/>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36413854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10.41</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57" w:history="1">
              <w:r>
                <w:rPr>
                  <w:rStyle w:val="a3"/>
                  <w:rFonts w:eastAsia="Times New Roman"/>
                  <w:sz w:val="20"/>
                  <w:szCs w:val="20"/>
                </w:rPr>
                <w:t>Second Amended and Restated Employment Agreement, dated August 22, 2019, by and between Tractor Supply Company and Greg</w:t>
              </w:r>
            </w:hyperlink>
            <w:hyperlink r:id="rId58" w:history="1">
              <w:r>
                <w:rPr>
                  <w:rStyle w:val="a3"/>
                  <w:rFonts w:eastAsia="Times New Roman"/>
                  <w:sz w:val="20"/>
                  <w:szCs w:val="20"/>
                </w:rPr>
                <w:t>ory</w:t>
              </w:r>
            </w:hyperlink>
            <w:hyperlink r:id="rId59" w:history="1">
              <w:r>
                <w:rPr>
                  <w:rStyle w:val="a3"/>
                  <w:rFonts w:eastAsia="Times New Roman"/>
                  <w:sz w:val="20"/>
                  <w:szCs w:val="20"/>
                </w:rPr>
                <w:t xml:space="preserve"> A. Sandfort (filed as Exhibit 10.1 to Registrant’s Current Report</w:t>
              </w:r>
              <w:r>
                <w:rPr>
                  <w:rStyle w:val="a3"/>
                  <w:rFonts w:eastAsia="Times New Roman"/>
                  <w:sz w:val="20"/>
                  <w:szCs w:val="20"/>
                </w:rPr>
                <w:t xml:space="preserve"> on Form 8-K/A, filed with the Commission on August 23, 2019,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364138544"/>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36413854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10.42</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60" w:history="1">
              <w:r>
                <w:rPr>
                  <w:rStyle w:val="a3"/>
                  <w:rFonts w:eastAsia="Times New Roman"/>
                  <w:sz w:val="20"/>
                  <w:szCs w:val="20"/>
                </w:rPr>
                <w:t>Transition Agreement, dated September 3, 2019, by and between Tractor Supply Company and Steve K. Barbarick (filed as Exhibit 10.1 to the Current Re</w:t>
              </w:r>
              <w:r>
                <w:rPr>
                  <w:rStyle w:val="a3"/>
                  <w:rFonts w:eastAsia="Times New Roman"/>
                  <w:sz w:val="20"/>
                  <w:szCs w:val="20"/>
                </w:rPr>
                <w:t>port on Form 8-K, filed with the Commission on September 6, 2019,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364138544"/>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36413854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10.43</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61" w:history="1">
              <w:r>
                <w:rPr>
                  <w:rStyle w:val="a3"/>
                  <w:rFonts w:eastAsia="Times New Roman"/>
                  <w:sz w:val="20"/>
                  <w:szCs w:val="20"/>
                </w:rPr>
                <w:t>Tractor Supply Company Severance Plan (filed as Exhibit 10.1 to the Current Report on Form 8-K, filed with the Commission on November 12, 2019, Comm</w:t>
              </w:r>
              <w:r>
                <w:rPr>
                  <w:rStyle w:val="a3"/>
                  <w:rFonts w:eastAsia="Times New Roman"/>
                  <w:sz w:val="20"/>
                  <w:szCs w:val="20"/>
                </w:rPr>
                <w:t>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364138544"/>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bl>
    <w:p w:rsidR="00000000" w:rsidRDefault="00905244">
      <w:pPr>
        <w:jc w:val="center"/>
        <w:divId w:val="898710997"/>
        <w:rPr>
          <w:rFonts w:eastAsia="Times New Roman"/>
        </w:rPr>
      </w:pPr>
      <w:r>
        <w:rPr>
          <w:rFonts w:eastAsia="Times New Roman"/>
          <w:color w:val="000000"/>
          <w:sz w:val="20"/>
          <w:szCs w:val="20"/>
        </w:rPr>
        <w:t>85</w:t>
      </w:r>
    </w:p>
    <w:p w:rsidR="00000000" w:rsidRDefault="00905244">
      <w:pPr>
        <w:rPr>
          <w:rFonts w:eastAsia="Times New Roman"/>
        </w:rPr>
      </w:pPr>
      <w:r>
        <w:rPr>
          <w:rFonts w:eastAsia="Times New Roman"/>
        </w:rPr>
        <w:pict>
          <v:rect id="_x0000_i1114" style="width:0;height:1.5pt" o:hralign="center" o:hrstd="t" o:hr="t" fillcolor="#a0a0a0" stroked="f"/>
        </w:pict>
      </w:r>
    </w:p>
    <w:p w:rsidR="00000000" w:rsidRDefault="00905244">
      <w:pPr>
        <w:divId w:val="1863283964"/>
        <w:rPr>
          <w:rFonts w:eastAsia="Times New Roman"/>
        </w:rPr>
      </w:pPr>
      <w:hyperlink w:anchor="i137f04c25e1e4da3b6d1f469d06f3319_7" w:history="1">
        <w:r>
          <w:rPr>
            <w:rStyle w:val="a3"/>
            <w:rFonts w:eastAsia="Times New Roman"/>
            <w:sz w:val="18"/>
            <w:szCs w:val="18"/>
          </w:rPr>
          <w:t>Index</w:t>
        </w:r>
      </w:hyperlink>
    </w:p>
    <w:tbl>
      <w:tblPr>
        <w:tblW w:w="5000" w:type="pct"/>
        <w:tblCellMar>
          <w:top w:w="15" w:type="dxa"/>
          <w:left w:w="15" w:type="dxa"/>
          <w:bottom w:w="15" w:type="dxa"/>
          <w:right w:w="15" w:type="dxa"/>
        </w:tblCellMar>
        <w:tblLook w:val="04A0" w:firstRow="1" w:lastRow="0" w:firstColumn="1" w:lastColumn="0" w:noHBand="0" w:noVBand="1"/>
      </w:tblPr>
      <w:tblGrid>
        <w:gridCol w:w="67"/>
        <w:gridCol w:w="481"/>
        <w:gridCol w:w="36"/>
        <w:gridCol w:w="54"/>
        <w:gridCol w:w="7523"/>
        <w:gridCol w:w="37"/>
        <w:gridCol w:w="36"/>
        <w:gridCol w:w="36"/>
        <w:gridCol w:w="36"/>
      </w:tblGrid>
      <w:tr w:rsidR="00000000">
        <w:trPr>
          <w:divId w:val="1818568664"/>
        </w:trPr>
        <w:tc>
          <w:tcPr>
            <w:tcW w:w="50" w:type="pct"/>
            <w:vAlign w:val="center"/>
            <w:hideMark/>
          </w:tcPr>
          <w:p w:rsidR="00000000" w:rsidRDefault="00905244">
            <w:pPr>
              <w:rPr>
                <w:rFonts w:eastAsia="Times New Roman"/>
              </w:rPr>
            </w:pPr>
          </w:p>
        </w:tc>
        <w:tc>
          <w:tcPr>
            <w:tcW w:w="31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54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1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181856866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10.44</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62" w:history="1">
              <w:r>
                <w:rPr>
                  <w:rStyle w:val="a3"/>
                  <w:rFonts w:eastAsia="Times New Roman"/>
                  <w:sz w:val="20"/>
                  <w:szCs w:val="20"/>
                </w:rPr>
                <w:t>Employment Agreement, dated December 4, 2019, by and between Tractor Supply Company and Harry A. Lawton III (filed as Exhibit 10.1 to Registrant’s C</w:t>
              </w:r>
              <w:r>
                <w:rPr>
                  <w:rStyle w:val="a3"/>
                  <w:rFonts w:eastAsia="Times New Roman"/>
                  <w:sz w:val="20"/>
                  <w:szCs w:val="20"/>
                </w:rPr>
                <w:t>urrent Report on Form 8-K, filed with the Commission on December 6, 2019,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18568664"/>
          <w:trHeight w:val="12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81856866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10.45</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63" w:history="1">
              <w:r>
                <w:rPr>
                  <w:rStyle w:val="a3"/>
                  <w:rFonts w:eastAsia="Times New Roman"/>
                  <w:sz w:val="20"/>
                  <w:szCs w:val="20"/>
                </w:rPr>
                <w:t>Change in Control Agreement, dated December 4, 2019, by and between Tractor Supply Company and Harry A. Lawton III (filed as Exhibit 10.2 to Current</w:t>
              </w:r>
              <w:r>
                <w:rPr>
                  <w:rStyle w:val="a3"/>
                  <w:rFonts w:eastAsia="Times New Roman"/>
                  <w:sz w:val="20"/>
                  <w:szCs w:val="20"/>
                </w:rPr>
                <w:t xml:space="preserve"> Report on Form 8-K, filed with the Commission on December 6, 2019,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18568664"/>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81856866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10.46</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64" w:history="1">
              <w:r>
                <w:rPr>
                  <w:rStyle w:val="a3"/>
                  <w:rFonts w:eastAsia="Times New Roman"/>
                  <w:sz w:val="20"/>
                  <w:szCs w:val="20"/>
                </w:rPr>
                <w:t>Transition Agreement, dated December 17, 2019, by and between Tractor Supply Company and Gregory A. Sandfort (filed as Exhibit 10.1 to the Current R</w:t>
              </w:r>
              <w:r>
                <w:rPr>
                  <w:rStyle w:val="a3"/>
                  <w:rFonts w:eastAsia="Times New Roman"/>
                  <w:sz w:val="20"/>
                  <w:szCs w:val="20"/>
                </w:rPr>
                <w:t>eport on Form 8-K, filed with the Commission on December 20, 2019,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18568664"/>
          <w:trHeight w:val="10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81856866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10.47</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65" w:history="1">
              <w:r>
                <w:rPr>
                  <w:rStyle w:val="a3"/>
                  <w:rFonts w:eastAsia="Times New Roman"/>
                  <w:sz w:val="20"/>
                  <w:szCs w:val="20"/>
                </w:rPr>
                <w:t>Form of Change in Control Agreement, dated February 12, 2020, by and between Tractor Supply Company and each of Colin Yankee and Christi Korzekw</w:t>
              </w:r>
              <w:r>
                <w:rPr>
                  <w:rStyle w:val="a3"/>
                  <w:rFonts w:eastAsia="Times New Roman"/>
                  <w:sz w:val="20"/>
                  <w:szCs w:val="20"/>
                </w:rPr>
                <w:t>a (filed as Exhibit 10.1 to Current Report on Form 8-K, filed with the Commission on February 13, 2020,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18568664"/>
          <w:trHeight w:val="10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81856866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10.48</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66" w:history="1">
              <w:r>
                <w:rPr>
                  <w:rStyle w:val="a3"/>
                  <w:rFonts w:eastAsia="Times New Roman"/>
                  <w:sz w:val="20"/>
                  <w:szCs w:val="20"/>
                </w:rPr>
                <w:t>Form of Performance Share Unit Agreement under the Tractor Supply Company 2018 Omnibus Incentive Plan (filed as Exhibit 10.48 to the Registrant’s Annual Re</w:t>
              </w:r>
              <w:r>
                <w:rPr>
                  <w:rStyle w:val="a3"/>
                  <w:rFonts w:eastAsia="Times New Roman"/>
                  <w:sz w:val="20"/>
                  <w:szCs w:val="20"/>
                </w:rPr>
                <w:t>port on Form 10-K, filed with the Commission on February 20, 2020,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18568664"/>
          <w:trHeight w:val="10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81856866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10.49</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67" w:history="1">
              <w:r>
                <w:rPr>
                  <w:rStyle w:val="a3"/>
                  <w:rFonts w:eastAsia="Times New Roman"/>
                  <w:sz w:val="20"/>
                  <w:szCs w:val="20"/>
                </w:rPr>
                <w:t>Form of Restricted Share Unit Agreement under the Tractor Supply Company 2018 Omnibus Incentive Plan (filed as Exhibit 10.49 to the Registrant’s Annual Rep</w:t>
              </w:r>
              <w:r>
                <w:rPr>
                  <w:rStyle w:val="a3"/>
                  <w:rFonts w:eastAsia="Times New Roman"/>
                  <w:sz w:val="20"/>
                  <w:szCs w:val="20"/>
                </w:rPr>
                <w:t>ort on Form 10-K, filed with the Commission on February 20, 2020,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18568664"/>
          <w:trHeight w:val="10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81856866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10.50</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68" w:history="1">
              <w:r>
                <w:rPr>
                  <w:rStyle w:val="a3"/>
                  <w:rFonts w:eastAsia="Times New Roman"/>
                  <w:sz w:val="20"/>
                  <w:szCs w:val="20"/>
                </w:rPr>
                <w:t xml:space="preserve">Incremental Term Loan Agreement, dated as of March 12, 2020, by and among Tractor Supply Company, as Borrower, certain subsidiaries of the Company, </w:t>
              </w:r>
              <w:r>
                <w:rPr>
                  <w:rStyle w:val="a3"/>
                  <w:rFonts w:eastAsia="Times New Roman"/>
                  <w:sz w:val="20"/>
                  <w:szCs w:val="20"/>
                </w:rPr>
                <w:t>and Wells Fargo Bank, National Association, as Administrative Agent and Lender (filed as Exhibit 10.1 to Current Report on Form 8-K, filed with the Commission on March 18, 2020,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18568664"/>
          <w:trHeight w:val="10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81856866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10.51</w:t>
            </w:r>
          </w:p>
        </w:tc>
        <w:tc>
          <w:tcPr>
            <w:tcW w:w="0" w:type="auto"/>
            <w:gridSpan w:val="3"/>
            <w:tcMar>
              <w:top w:w="30" w:type="dxa"/>
              <w:left w:w="20" w:type="dxa"/>
              <w:bottom w:w="30" w:type="dxa"/>
              <w:right w:w="20" w:type="dxa"/>
            </w:tcMar>
            <w:hideMark/>
          </w:tcPr>
          <w:p w:rsidR="00000000" w:rsidRDefault="00905244">
            <w:pPr>
              <w:divId w:val="524832874"/>
              <w:rPr>
                <w:rFonts w:eastAsia="Times New Roman"/>
              </w:rPr>
            </w:pPr>
            <w:hyperlink r:id="rId69" w:history="1">
              <w:r>
                <w:rPr>
                  <w:rStyle w:val="a3"/>
                  <w:rFonts w:eastAsia="Times New Roman"/>
                  <w:sz w:val="20"/>
                  <w:szCs w:val="20"/>
                </w:rPr>
                <w:t>Second Amendment to Credit Agreement, dated April 22, 2020, by and among the Company, as Borrower, certain subsidiaries of the Company, certain lenders, and Wells Fargo Bank, National Association, as Administrative Agent and Lender (filed as Exhibit 10.1 t</w:t>
              </w:r>
              <w:r>
                <w:rPr>
                  <w:rStyle w:val="a3"/>
                  <w:rFonts w:eastAsia="Times New Roman"/>
                  <w:sz w:val="20"/>
                  <w:szCs w:val="20"/>
                </w:rPr>
                <w:t>o Current Report on Form 8-K, filed with the Commission on April 23, 2020,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rPr>
                <w:rFonts w:eastAsia="Times New Roman"/>
              </w:rPr>
            </w:pPr>
          </w:p>
        </w:tc>
      </w:tr>
      <w:tr w:rsidR="00000000">
        <w:trPr>
          <w:divId w:val="1818568664"/>
          <w:trHeight w:val="10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81856866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10.52</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70" w:history="1">
              <w:r>
                <w:rPr>
                  <w:rStyle w:val="a3"/>
                  <w:rFonts w:eastAsia="Times New Roman"/>
                  <w:sz w:val="20"/>
                  <w:szCs w:val="20"/>
                </w:rPr>
                <w:t>Incremental Term Loan Agreement, dated as of April 22, 2020, by and among the Company, as Borrower, certain subsidiaries of the Company, and Wells Fargo Bank, National Association, as Administrative Agent and Lender (filed as Exhibit 1</w:t>
              </w:r>
              <w:r>
                <w:rPr>
                  <w:rStyle w:val="a3"/>
                  <w:rFonts w:eastAsia="Times New Roman"/>
                  <w:sz w:val="20"/>
                  <w:szCs w:val="20"/>
                </w:rPr>
                <w:t>0.2 to Current Report on Form 8-K, filed with the Commission on April 23, 2020,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18568664"/>
          <w:trHeight w:val="10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81856866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10.53</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71" w:history="1">
              <w:r>
                <w:rPr>
                  <w:rStyle w:val="a3"/>
                  <w:rFonts w:eastAsia="Times New Roman"/>
                  <w:sz w:val="20"/>
                  <w:szCs w:val="20"/>
                </w:rPr>
                <w:t>Form of Change in Control Agreement by and between Tractor Supply Company and Melissa Kersey (filed as exhibit 10.1 to Current Report on Form 8-</w:t>
              </w:r>
              <w:r>
                <w:rPr>
                  <w:rStyle w:val="a3"/>
                  <w:rFonts w:eastAsia="Times New Roman"/>
                  <w:sz w:val="20"/>
                  <w:szCs w:val="20"/>
                </w:rPr>
                <w:t>K, filed with the Commission on March 1, 2019,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18568664"/>
          <w:trHeight w:val="10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81856866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10.54</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72" w:history="1">
              <w:r>
                <w:rPr>
                  <w:rStyle w:val="a3"/>
                  <w:rFonts w:eastAsia="Times New Roman"/>
                  <w:sz w:val="20"/>
                  <w:szCs w:val="20"/>
                </w:rPr>
                <w:t>Transition Agreement, dated October 14, 2020, by and between Tractor Supply Company and Benjamin F. Parrish (filed as exhibit 10.1 to Current Report on Form 8-K, filed with the Commission on October 16, 2020, Commission File No. 000-23314, and incorporated</w:t>
              </w:r>
              <w:r>
                <w:rPr>
                  <w:rStyle w:val="a3"/>
                  <w:rFonts w:eastAsia="Times New Roman"/>
                  <w:sz w:val="20"/>
                  <w:szCs w:val="20"/>
                </w:rPr>
                <w:t xml:space="preserve">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18568664"/>
          <w:trHeight w:val="10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81856866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10.55</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73" w:history="1">
              <w:r>
                <w:rPr>
                  <w:rStyle w:val="a3"/>
                  <w:rFonts w:eastAsia="Times New Roman"/>
                  <w:sz w:val="20"/>
                  <w:szCs w:val="20"/>
                </w:rPr>
                <w:t>Third Amendment to Credit Agreement and Release of Guarantors, dated October 16, 2020, by and among Tractor Supply Company, as Borrower, certain subsidiaries of Tractor Supply Company, certain lenders, and Wells Fargo Bank, National Association, as Adminis</w:t>
              </w:r>
              <w:r>
                <w:rPr>
                  <w:rStyle w:val="a3"/>
                  <w:rFonts w:eastAsia="Times New Roman"/>
                  <w:sz w:val="20"/>
                  <w:szCs w:val="20"/>
                </w:rPr>
                <w:t>trative Agent and Lender (filed as Exhibit 10.3 to Registrant’s Quarterly Report on Form 10-Q, filed with the Commission on October 22, 2020,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18568664"/>
          <w:trHeight w:val="10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81856866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10.56</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74" w:history="1">
              <w:r>
                <w:rPr>
                  <w:rStyle w:val="a3"/>
                  <w:rFonts w:eastAsia="Times New Roman"/>
                  <w:sz w:val="20"/>
                  <w:szCs w:val="20"/>
                </w:rPr>
                <w:t>First Amendment to Note Purchase and Private Shelf Agreement, dated October 16, 2020, by and among Tractor Supply Company, certain subsidiaries of T</w:t>
              </w:r>
              <w:r>
                <w:rPr>
                  <w:rStyle w:val="a3"/>
                  <w:rFonts w:eastAsia="Times New Roman"/>
                  <w:sz w:val="20"/>
                  <w:szCs w:val="20"/>
                </w:rPr>
                <w:t>ractor Supply Company, PGIM, Inc. and certain affiliates of PGIM, Inc (filed as Exhibit 10.4 to Registrant’s Quarterly Report on Form 10-Q, filed with the Commission on October 22, 2020, Commission File No. 000-23314, and incorporated herein by reference).</w:t>
              </w:r>
              <w:r>
                <w:rPr>
                  <w:rStyle w:val="a3"/>
                  <w:rFonts w:eastAsia="Times New Roman"/>
                  <w:sz w:val="20"/>
                  <w:szCs w:val="20"/>
                </w:rPr>
                <w:t xml:space="preserve"> </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18568664"/>
          <w:trHeight w:val="10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81856866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10.57</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75" w:history="1">
              <w:r>
                <w:rPr>
                  <w:rStyle w:val="a3"/>
                  <w:rFonts w:eastAsia="Times New Roman"/>
                  <w:sz w:val="20"/>
                  <w:szCs w:val="20"/>
                </w:rPr>
                <w:t>Amended and Restated Credit Agreement, dated as of November 4, 2020, by and among Tractor Supply Company, as Borrower, cer</w:t>
              </w:r>
              <w:r>
                <w:rPr>
                  <w:rStyle w:val="a3"/>
                  <w:rFonts w:eastAsia="Times New Roman"/>
                  <w:sz w:val="20"/>
                  <w:szCs w:val="20"/>
                </w:rPr>
                <w:t>tain lenders and Wells Fargo Bank, National Association, as Administrative Agent and Regions Bank, as Syndication Agent, for the lenders (filed as Exhibit 10.1 to Current Report on Form 8-K, filed with the Commission on November 5, 2020, Commission File No</w:t>
              </w:r>
              <w:r>
                <w:rPr>
                  <w:rStyle w:val="a3"/>
                  <w:rFonts w:eastAsia="Times New Roman"/>
                  <w:sz w:val="20"/>
                  <w:szCs w:val="20"/>
                </w:rPr>
                <w:t>.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18568664"/>
          <w:trHeight w:val="10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1818568664"/>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10.58</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76" w:history="1">
              <w:r>
                <w:rPr>
                  <w:rStyle w:val="a3"/>
                  <w:rFonts w:eastAsia="Times New Roman"/>
                  <w:sz w:val="20"/>
                  <w:szCs w:val="20"/>
                </w:rPr>
                <w:t>Second Amendment to Note Purchase and Private Shelf Agreement, dated November 4, 2020, by and among Tractor Supply Company, PGIM, Inc. and the other noteho</w:t>
              </w:r>
              <w:r>
                <w:rPr>
                  <w:rStyle w:val="a3"/>
                  <w:rFonts w:eastAsia="Times New Roman"/>
                  <w:sz w:val="20"/>
                  <w:szCs w:val="20"/>
                </w:rPr>
                <w:t>lders (filed as Exhibit 10.2 to Current Report on Form 8-K, filed with the Commission on November 5, 2020, Commission File No. 000-23314, and incorporated herein by reference).</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1818568664"/>
          <w:trHeight w:val="10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bl>
    <w:p w:rsidR="00000000" w:rsidRDefault="00905244">
      <w:pPr>
        <w:jc w:val="center"/>
        <w:divId w:val="531504324"/>
        <w:rPr>
          <w:rFonts w:eastAsia="Times New Roman"/>
        </w:rPr>
      </w:pPr>
      <w:r>
        <w:rPr>
          <w:rFonts w:eastAsia="Times New Roman"/>
          <w:color w:val="000000"/>
          <w:sz w:val="20"/>
          <w:szCs w:val="20"/>
        </w:rPr>
        <w:t>86</w:t>
      </w:r>
    </w:p>
    <w:p w:rsidR="00000000" w:rsidRDefault="00905244">
      <w:pPr>
        <w:rPr>
          <w:rFonts w:eastAsia="Times New Roman"/>
        </w:rPr>
      </w:pPr>
      <w:r>
        <w:rPr>
          <w:rFonts w:eastAsia="Times New Roman"/>
        </w:rPr>
        <w:pict>
          <v:rect id="_x0000_i1115" style="width:0;height:1.5pt" o:hralign="center" o:hrstd="t" o:hr="t" fillcolor="#a0a0a0" stroked="f"/>
        </w:pict>
      </w:r>
    </w:p>
    <w:p w:rsidR="00000000" w:rsidRDefault="00905244">
      <w:pPr>
        <w:divId w:val="467819551"/>
        <w:rPr>
          <w:rFonts w:eastAsia="Times New Roman"/>
        </w:rPr>
      </w:pPr>
      <w:hyperlink w:anchor="i137f04c25e1e4da3b6d1f469d06f3319_7" w:history="1">
        <w:r>
          <w:rPr>
            <w:rStyle w:val="a3"/>
            <w:rFonts w:eastAsia="Times New Roman"/>
            <w:sz w:val="18"/>
            <w:szCs w:val="18"/>
          </w:rPr>
          <w:t>Index</w:t>
        </w:r>
      </w:hyperlink>
    </w:p>
    <w:tbl>
      <w:tblPr>
        <w:tblW w:w="5000" w:type="pct"/>
        <w:tblCellMar>
          <w:top w:w="15" w:type="dxa"/>
          <w:left w:w="15" w:type="dxa"/>
          <w:bottom w:w="15" w:type="dxa"/>
          <w:right w:w="15" w:type="dxa"/>
        </w:tblCellMar>
        <w:tblLook w:val="04A0" w:firstRow="1" w:lastRow="0" w:firstColumn="1" w:lastColumn="0" w:noHBand="0" w:noVBand="1"/>
      </w:tblPr>
      <w:tblGrid>
        <w:gridCol w:w="80"/>
        <w:gridCol w:w="503"/>
        <w:gridCol w:w="36"/>
        <w:gridCol w:w="37"/>
        <w:gridCol w:w="7506"/>
        <w:gridCol w:w="36"/>
        <w:gridCol w:w="36"/>
        <w:gridCol w:w="36"/>
        <w:gridCol w:w="36"/>
      </w:tblGrid>
      <w:tr w:rsidR="00000000">
        <w:trPr>
          <w:divId w:val="433133453"/>
        </w:trPr>
        <w:tc>
          <w:tcPr>
            <w:tcW w:w="50" w:type="pct"/>
            <w:vAlign w:val="center"/>
            <w:hideMark/>
          </w:tcPr>
          <w:p w:rsidR="00000000" w:rsidRDefault="00905244">
            <w:pPr>
              <w:rPr>
                <w:rFonts w:eastAsia="Times New Roman"/>
              </w:rPr>
            </w:pPr>
          </w:p>
        </w:tc>
        <w:tc>
          <w:tcPr>
            <w:tcW w:w="31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0" w:type="pct"/>
            <w:vAlign w:val="center"/>
            <w:hideMark/>
          </w:tcPr>
          <w:p w:rsidR="00000000" w:rsidRDefault="00905244">
            <w:pPr>
              <w:rPr>
                <w:rFonts w:eastAsia="Times New Roman"/>
                <w:sz w:val="20"/>
                <w:szCs w:val="20"/>
              </w:rPr>
            </w:pPr>
          </w:p>
        </w:tc>
        <w:tc>
          <w:tcPr>
            <w:tcW w:w="454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c>
          <w:tcPr>
            <w:tcW w:w="19" w:type="pct"/>
            <w:vAlign w:val="center"/>
            <w:hideMark/>
          </w:tcPr>
          <w:p w:rsidR="00000000" w:rsidRDefault="00905244">
            <w:pPr>
              <w:rPr>
                <w:rFonts w:eastAsia="Times New Roman"/>
                <w:sz w:val="20"/>
                <w:szCs w:val="20"/>
              </w:rPr>
            </w:pPr>
          </w:p>
        </w:tc>
        <w:tc>
          <w:tcPr>
            <w:tcW w:w="5" w:type="pct"/>
            <w:vAlign w:val="center"/>
            <w:hideMark/>
          </w:tcPr>
          <w:p w:rsidR="00000000" w:rsidRDefault="00905244">
            <w:pPr>
              <w:rPr>
                <w:rFonts w:eastAsia="Times New Roman"/>
                <w:sz w:val="20"/>
                <w:szCs w:val="20"/>
              </w:rPr>
            </w:pPr>
          </w:p>
        </w:tc>
      </w:tr>
      <w:tr w:rsidR="00000000">
        <w:trPr>
          <w:divId w:val="433133453"/>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10.59*</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77" w:history="1">
              <w:r>
                <w:rPr>
                  <w:rStyle w:val="a3"/>
                  <w:rFonts w:eastAsia="Times New Roman"/>
                  <w:sz w:val="20"/>
                  <w:szCs w:val="20"/>
                </w:rPr>
                <w:t>Form of Performance Share Unit Agreement for Petsense Employees under the Tractor Supply Company 2018 Omnibus Incentive Plan.+</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433133453"/>
          <w:trHeight w:val="10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433133453"/>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10.60*</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78" w:history="1">
              <w:r>
                <w:rPr>
                  <w:rStyle w:val="a3"/>
                  <w:rFonts w:eastAsia="Times New Roman"/>
                  <w:sz w:val="20"/>
                  <w:szCs w:val="20"/>
                </w:rPr>
                <w:t>Form of Restricted Share Unit Agreement for Petsense Employees under the Tractor Supply Company 2018 Omnibus Incentive Plan.+</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433133453"/>
          <w:trHeight w:val="10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433133453"/>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10.61*</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79" w:history="1">
              <w:r>
                <w:rPr>
                  <w:rStyle w:val="a3"/>
                  <w:rFonts w:eastAsia="Times New Roman"/>
                  <w:sz w:val="20"/>
                  <w:szCs w:val="20"/>
                </w:rPr>
                <w:t>Form of Nonqualified Stock Option Agreement for Petsense Employees under the Tractor Supply Company 2018 Omnibus Incentive Plan.+</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433133453"/>
          <w:trHeight w:val="10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433133453"/>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21*</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80" w:history="1">
              <w:r>
                <w:rPr>
                  <w:rStyle w:val="a3"/>
                  <w:rFonts w:eastAsia="Times New Roman"/>
                  <w:sz w:val="20"/>
                  <w:szCs w:val="20"/>
                </w:rPr>
                <w:t>List of subsidiaries.</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433133453"/>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433133453"/>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23*</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81" w:history="1">
              <w:r>
                <w:rPr>
                  <w:rStyle w:val="a3"/>
                  <w:rFonts w:eastAsia="Times New Roman"/>
                  <w:sz w:val="20"/>
                  <w:szCs w:val="20"/>
                </w:rPr>
                <w:t>Consent of Ernst &amp; Young LLP.</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433133453"/>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433133453"/>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31.1*</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82" w:history="1">
              <w:r>
                <w:rPr>
                  <w:rStyle w:val="a3"/>
                  <w:rFonts w:eastAsia="Times New Roman"/>
                  <w:sz w:val="20"/>
                  <w:szCs w:val="20"/>
                </w:rPr>
                <w:t>Certification of Chief Executive Officer under Section 302 of the Sarbanes-Oxley Act of 2002.</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433133453"/>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433133453"/>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31.2*</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83" w:history="1">
              <w:r>
                <w:rPr>
                  <w:rStyle w:val="a3"/>
                  <w:rFonts w:eastAsia="Times New Roman"/>
                  <w:sz w:val="20"/>
                  <w:szCs w:val="20"/>
                </w:rPr>
                <w:t>Certification of Chief Financial Officer under Section 302 of the Sarbanes-Oxley Act of 2002.</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r w:rsidR="00000000">
        <w:trPr>
          <w:divId w:val="433133453"/>
          <w:trHeight w:val="60"/>
        </w:trPr>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05244">
            <w:pPr>
              <w:rPr>
                <w:rFonts w:eastAsia="Times New Roman"/>
                <w:sz w:val="20"/>
                <w:szCs w:val="20"/>
              </w:rPr>
            </w:pPr>
          </w:p>
        </w:tc>
      </w:tr>
      <w:tr w:rsidR="00000000">
        <w:trPr>
          <w:divId w:val="433133453"/>
        </w:trPr>
        <w:tc>
          <w:tcPr>
            <w:tcW w:w="0" w:type="auto"/>
            <w:gridSpan w:val="3"/>
            <w:tcMar>
              <w:top w:w="30" w:type="dxa"/>
              <w:left w:w="20" w:type="dxa"/>
              <w:bottom w:w="30" w:type="dxa"/>
              <w:right w:w="20" w:type="dxa"/>
            </w:tcMar>
            <w:hideMark/>
          </w:tcPr>
          <w:p w:rsidR="00000000" w:rsidRDefault="00905244">
            <w:pPr>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rsidR="00000000" w:rsidRDefault="00905244">
            <w:pPr>
              <w:jc w:val="both"/>
              <w:rPr>
                <w:rFonts w:eastAsia="Times New Roman"/>
              </w:rPr>
            </w:pPr>
            <w:hyperlink r:id="rId84" w:history="1">
              <w:r>
                <w:rPr>
                  <w:rStyle w:val="a3"/>
                  <w:rFonts w:eastAsia="Times New Roman"/>
                  <w:sz w:val="20"/>
                  <w:szCs w:val="20"/>
                </w:rPr>
                <w:t>Certification of Chief Executive Officer and Chief Financial Officer under Section 906 of the Sarbanes-Oxley Act of 2002.</w:t>
              </w:r>
            </w:hyperlink>
          </w:p>
        </w:tc>
        <w:tc>
          <w:tcPr>
            <w:tcW w:w="0" w:type="auto"/>
            <w:gridSpan w:val="3"/>
            <w:tcMar>
              <w:top w:w="0" w:type="dxa"/>
              <w:left w:w="20" w:type="dxa"/>
              <w:bottom w:w="0" w:type="dxa"/>
              <w:right w:w="20" w:type="dxa"/>
            </w:tcMar>
            <w:vAlign w:val="center"/>
            <w:hideMark/>
          </w:tcPr>
          <w:p w:rsidR="00000000" w:rsidRDefault="00905244">
            <w:pPr>
              <w:jc w:val="both"/>
              <w:rPr>
                <w:rFonts w:eastAsia="Times New Roman"/>
              </w:rPr>
            </w:pPr>
          </w:p>
        </w:tc>
      </w:tr>
    </w:tbl>
    <w:p w:rsidR="00000000" w:rsidRDefault="00905244">
      <w:pPr>
        <w:jc w:val="center"/>
        <w:rPr>
          <w:rFonts w:eastAsia="Times New Roman"/>
        </w:rPr>
      </w:pPr>
    </w:p>
    <w:p w:rsidR="00000000" w:rsidRDefault="00905244">
      <w:pPr>
        <w:ind w:hanging="720"/>
        <w:jc w:val="both"/>
        <w:rPr>
          <w:rFonts w:eastAsia="Times New Roman"/>
        </w:rPr>
      </w:pPr>
      <w:r>
        <w:rPr>
          <w:rFonts w:eastAsia="Times New Roman"/>
          <w:color w:val="000000"/>
          <w:sz w:val="20"/>
          <w:szCs w:val="20"/>
        </w:rPr>
        <w:t xml:space="preserve">101* </w:t>
      </w:r>
      <w:r>
        <w:rPr>
          <w:rFonts w:eastAsia="Times New Roman"/>
          <w:color w:val="000000"/>
          <w:sz w:val="20"/>
          <w:szCs w:val="20"/>
        </w:rPr>
        <w:t>The following financial information from our Annual Report on Form 10-K for fiscal 2020, filed with the SEC on February 18, 2021, formatted in Extensible Business Reporting Language (XBRL): (i) the Consolidated Balance Sheets at December 26, 2020 and Decem</w:t>
      </w:r>
      <w:r>
        <w:rPr>
          <w:rFonts w:eastAsia="Times New Roman"/>
          <w:color w:val="000000"/>
          <w:sz w:val="20"/>
          <w:szCs w:val="20"/>
        </w:rPr>
        <w:t>ber 28, 2019, (ii) the Consolidated Statements of Income for the fiscal years ended December 26, 2020, December 28, 2019, and December 29, 2018, (iii) the Consolidated Statements of Comprehensive Income for the fiscal years ended December 26, 2020, Decembe</w:t>
      </w:r>
      <w:r>
        <w:rPr>
          <w:rFonts w:eastAsia="Times New Roman"/>
          <w:color w:val="000000"/>
          <w:sz w:val="20"/>
          <w:szCs w:val="20"/>
        </w:rPr>
        <w:t>r 28, 2019, and December 29, 2018, (iv) the Consolidated Statements of Stockholders’ Equity for the fiscal years ended December 26, 2020, December 28, 2019, and December 29, 2018, (v) the Consolidated Statements of Cash Flows for the fiscal years ended Dec</w:t>
      </w:r>
      <w:r>
        <w:rPr>
          <w:rFonts w:eastAsia="Times New Roman"/>
          <w:color w:val="000000"/>
          <w:sz w:val="20"/>
          <w:szCs w:val="20"/>
        </w:rPr>
        <w:t>ember 26, 2020, December 28, 2019, and December 29, 2018, and (vi) the Notes to Consolidated Financial Statements.</w:t>
      </w:r>
    </w:p>
    <w:p w:rsidR="00000000" w:rsidRDefault="00905244">
      <w:pPr>
        <w:ind w:hanging="630"/>
        <w:jc w:val="both"/>
        <w:rPr>
          <w:rFonts w:eastAsia="Times New Roman"/>
        </w:rPr>
      </w:pPr>
    </w:p>
    <w:p w:rsidR="00000000" w:rsidRDefault="00905244">
      <w:pPr>
        <w:ind w:hanging="720"/>
        <w:jc w:val="both"/>
        <w:rPr>
          <w:rFonts w:eastAsia="Times New Roman"/>
        </w:rPr>
      </w:pPr>
      <w:r>
        <w:rPr>
          <w:rFonts w:eastAsia="Times New Roman"/>
          <w:color w:val="000000"/>
          <w:sz w:val="20"/>
          <w:szCs w:val="20"/>
        </w:rPr>
        <w:t>104    The cover page from the Company's Annual Report on Form 10-K for the year ended December 26, 2020, formatted in Inline XBRL (include</w:t>
      </w:r>
      <w:r>
        <w:rPr>
          <w:rFonts w:eastAsia="Times New Roman"/>
          <w:color w:val="000000"/>
          <w:sz w:val="20"/>
          <w:szCs w:val="20"/>
        </w:rPr>
        <w:t>d in Exhibit 101).</w:t>
      </w:r>
    </w:p>
    <w:p w:rsidR="00000000" w:rsidRDefault="00905244">
      <w:pPr>
        <w:ind w:hanging="630"/>
        <w:jc w:val="both"/>
        <w:rPr>
          <w:rFonts w:eastAsia="Times New Roman"/>
        </w:rPr>
      </w:pPr>
    </w:p>
    <w:p w:rsidR="00000000" w:rsidRDefault="00905244">
      <w:pPr>
        <w:ind w:firstLine="360"/>
        <w:divId w:val="434327027"/>
        <w:rPr>
          <w:rFonts w:eastAsia="Times New Roman"/>
        </w:rPr>
      </w:pPr>
      <w:r>
        <w:rPr>
          <w:rFonts w:eastAsia="Times New Roman"/>
          <w:color w:val="000000"/>
          <w:sz w:val="20"/>
          <w:szCs w:val="20"/>
        </w:rPr>
        <w:t>*           Filed herewith</w:t>
      </w:r>
    </w:p>
    <w:p w:rsidR="00000000" w:rsidRDefault="00905244">
      <w:pPr>
        <w:ind w:firstLine="360"/>
        <w:divId w:val="1976331794"/>
        <w:rPr>
          <w:rFonts w:eastAsia="Times New Roman"/>
        </w:rPr>
      </w:pPr>
      <w:r>
        <w:rPr>
          <w:rFonts w:eastAsia="Times New Roman"/>
          <w:color w:val="000000"/>
          <w:sz w:val="20"/>
          <w:szCs w:val="20"/>
        </w:rPr>
        <w:t>+           Management contract or compensatory plan or arrangement</w:t>
      </w:r>
    </w:p>
    <w:p w:rsidR="00905244" w:rsidRDefault="00905244">
      <w:pPr>
        <w:jc w:val="center"/>
        <w:divId w:val="1173374136"/>
        <w:rPr>
          <w:rFonts w:eastAsia="Times New Roman"/>
        </w:rPr>
      </w:pPr>
      <w:r>
        <w:rPr>
          <w:rFonts w:eastAsia="Times New Roman"/>
          <w:color w:val="000000"/>
          <w:sz w:val="20"/>
          <w:szCs w:val="20"/>
        </w:rPr>
        <w:t>87</w:t>
      </w:r>
    </w:p>
    <w:sectPr w:rsidR="0090524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05244"/>
    <w:rsid w:val="00905244"/>
  </w:rsids>
  <m:mathPr>
    <m:mathFont m:val="Cambria Math"/>
    <m:brkBin m:val="before"/>
    <m:brkBinSub m:val="--"/>
    <m:smallFrac m:val="0"/>
    <m:dispDef/>
    <m:lMargin m:val="0"/>
    <m:rMargin m:val="0"/>
    <m:defJc m:val="centerGroup"/>
    <m:wrapIndent m:val="1440"/>
    <m:intLim m:val="subSup"/>
    <m:naryLim m:val="undOvr"/>
  </m:mathPr>
  <w:attachedSchema w:val="http://www.xbrl.org/2013/inlineXBRL"/>
  <w:attachedSchema w:val="http://www.xbrl.org/2003/iso4217"/>
  <w:attachedSchema w:val="http://www.xbrl.org/2003/instance"/>
  <w:attachedSchema w:val="http://www.w3.org/1999/xlink"/>
  <w:attachedSchema w:val="http://xbrl.org/2006/xbrldi"/>
  <w:attachedSchema w:val="http://www.sec.gov/inlineXBRL/transformation/2015-08-31"/>
  <w:attachedSchema w:val="http://www.xbrl.org/2003/linkbase"/>
  <w:attachedSchema w:val="http://fasb.org/us-gaap/2020-01-31"/>
  <w:attachedSchema w:val="http://www.xbrl.org/inlineXBRL/transformation/2015-02-26"/>
  <w:attachedSchema w:val="http://xbrl.sec.gov/dei/2020-01-31"/>
  <w:attachedSchema w:val="http://xbrl.sec.gov/stpr/2018-01-31"/>
  <w:attachedSchema w:val="http://fasb.org/srt/2020-01-31"/>
  <w:attachedSchema w:val="http://www.tractorsupply.com/20201226"/>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668">
      <w:marLeft w:val="0"/>
      <w:marRight w:val="0"/>
      <w:marTop w:val="0"/>
      <w:marBottom w:val="0"/>
      <w:divBdr>
        <w:top w:val="none" w:sz="0" w:space="0" w:color="auto"/>
        <w:left w:val="none" w:sz="0" w:space="0" w:color="auto"/>
        <w:bottom w:val="none" w:sz="0" w:space="0" w:color="auto"/>
        <w:right w:val="none" w:sz="0" w:space="0" w:color="auto"/>
      </w:divBdr>
    </w:div>
    <w:div w:id="4792479">
      <w:marLeft w:val="0"/>
      <w:marRight w:val="0"/>
      <w:marTop w:val="0"/>
      <w:marBottom w:val="120"/>
      <w:divBdr>
        <w:top w:val="none" w:sz="0" w:space="0" w:color="auto"/>
        <w:left w:val="none" w:sz="0" w:space="0" w:color="auto"/>
        <w:bottom w:val="none" w:sz="0" w:space="0" w:color="auto"/>
        <w:right w:val="none" w:sz="0" w:space="0" w:color="auto"/>
      </w:divBdr>
    </w:div>
    <w:div w:id="6103691">
      <w:marLeft w:val="0"/>
      <w:marRight w:val="0"/>
      <w:marTop w:val="0"/>
      <w:marBottom w:val="0"/>
      <w:divBdr>
        <w:top w:val="none" w:sz="0" w:space="0" w:color="auto"/>
        <w:left w:val="none" w:sz="0" w:space="0" w:color="auto"/>
        <w:bottom w:val="none" w:sz="0" w:space="0" w:color="auto"/>
        <w:right w:val="none" w:sz="0" w:space="0" w:color="auto"/>
      </w:divBdr>
    </w:div>
    <w:div w:id="8726514">
      <w:marLeft w:val="0"/>
      <w:marRight w:val="0"/>
      <w:marTop w:val="0"/>
      <w:marBottom w:val="120"/>
      <w:divBdr>
        <w:top w:val="none" w:sz="0" w:space="0" w:color="auto"/>
        <w:left w:val="none" w:sz="0" w:space="0" w:color="auto"/>
        <w:bottom w:val="none" w:sz="0" w:space="0" w:color="auto"/>
        <w:right w:val="none" w:sz="0" w:space="0" w:color="auto"/>
      </w:divBdr>
    </w:div>
    <w:div w:id="10425047">
      <w:marLeft w:val="0"/>
      <w:marRight w:val="0"/>
      <w:marTop w:val="0"/>
      <w:marBottom w:val="0"/>
      <w:divBdr>
        <w:top w:val="none" w:sz="0" w:space="0" w:color="auto"/>
        <w:left w:val="none" w:sz="0" w:space="0" w:color="auto"/>
        <w:bottom w:val="none" w:sz="0" w:space="0" w:color="auto"/>
        <w:right w:val="none" w:sz="0" w:space="0" w:color="auto"/>
      </w:divBdr>
      <w:divsChild>
        <w:div w:id="1585143581">
          <w:marLeft w:val="0"/>
          <w:marRight w:val="0"/>
          <w:marTop w:val="0"/>
          <w:marBottom w:val="0"/>
          <w:divBdr>
            <w:top w:val="none" w:sz="0" w:space="0" w:color="auto"/>
            <w:left w:val="none" w:sz="0" w:space="0" w:color="auto"/>
            <w:bottom w:val="none" w:sz="0" w:space="0" w:color="auto"/>
            <w:right w:val="none" w:sz="0" w:space="0" w:color="auto"/>
          </w:divBdr>
        </w:div>
      </w:divsChild>
    </w:div>
    <w:div w:id="11879542">
      <w:marLeft w:val="0"/>
      <w:marRight w:val="0"/>
      <w:marTop w:val="0"/>
      <w:marBottom w:val="0"/>
      <w:divBdr>
        <w:top w:val="none" w:sz="0" w:space="0" w:color="auto"/>
        <w:left w:val="none" w:sz="0" w:space="0" w:color="auto"/>
        <w:bottom w:val="none" w:sz="0" w:space="0" w:color="auto"/>
        <w:right w:val="none" w:sz="0" w:space="0" w:color="auto"/>
      </w:divBdr>
    </w:div>
    <w:div w:id="14114516">
      <w:marLeft w:val="0"/>
      <w:marRight w:val="0"/>
      <w:marTop w:val="0"/>
      <w:marBottom w:val="0"/>
      <w:divBdr>
        <w:top w:val="none" w:sz="0" w:space="0" w:color="auto"/>
        <w:left w:val="none" w:sz="0" w:space="0" w:color="auto"/>
        <w:bottom w:val="none" w:sz="0" w:space="0" w:color="auto"/>
        <w:right w:val="none" w:sz="0" w:space="0" w:color="auto"/>
      </w:divBdr>
    </w:div>
    <w:div w:id="14963230">
      <w:marLeft w:val="0"/>
      <w:marRight w:val="0"/>
      <w:marTop w:val="0"/>
      <w:marBottom w:val="0"/>
      <w:divBdr>
        <w:top w:val="none" w:sz="0" w:space="0" w:color="auto"/>
        <w:left w:val="none" w:sz="0" w:space="0" w:color="auto"/>
        <w:bottom w:val="none" w:sz="0" w:space="0" w:color="auto"/>
        <w:right w:val="none" w:sz="0" w:space="0" w:color="auto"/>
      </w:divBdr>
      <w:divsChild>
        <w:div w:id="100533759">
          <w:marLeft w:val="0"/>
          <w:marRight w:val="0"/>
          <w:marTop w:val="0"/>
          <w:marBottom w:val="0"/>
          <w:divBdr>
            <w:top w:val="none" w:sz="0" w:space="0" w:color="auto"/>
            <w:left w:val="none" w:sz="0" w:space="0" w:color="auto"/>
            <w:bottom w:val="none" w:sz="0" w:space="0" w:color="auto"/>
            <w:right w:val="none" w:sz="0" w:space="0" w:color="auto"/>
          </w:divBdr>
        </w:div>
      </w:divsChild>
    </w:div>
    <w:div w:id="15205305">
      <w:marLeft w:val="0"/>
      <w:marRight w:val="0"/>
      <w:marTop w:val="0"/>
      <w:marBottom w:val="0"/>
      <w:divBdr>
        <w:top w:val="none" w:sz="0" w:space="0" w:color="auto"/>
        <w:left w:val="none" w:sz="0" w:space="0" w:color="auto"/>
        <w:bottom w:val="none" w:sz="0" w:space="0" w:color="auto"/>
        <w:right w:val="none" w:sz="0" w:space="0" w:color="auto"/>
      </w:divBdr>
    </w:div>
    <w:div w:id="43455726">
      <w:marLeft w:val="0"/>
      <w:marRight w:val="0"/>
      <w:marTop w:val="0"/>
      <w:marBottom w:val="120"/>
      <w:divBdr>
        <w:top w:val="none" w:sz="0" w:space="0" w:color="auto"/>
        <w:left w:val="none" w:sz="0" w:space="0" w:color="auto"/>
        <w:bottom w:val="none" w:sz="0" w:space="0" w:color="auto"/>
        <w:right w:val="none" w:sz="0" w:space="0" w:color="auto"/>
      </w:divBdr>
    </w:div>
    <w:div w:id="49812120">
      <w:marLeft w:val="0"/>
      <w:marRight w:val="0"/>
      <w:marTop w:val="0"/>
      <w:marBottom w:val="0"/>
      <w:divBdr>
        <w:top w:val="none" w:sz="0" w:space="0" w:color="auto"/>
        <w:left w:val="none" w:sz="0" w:space="0" w:color="auto"/>
        <w:bottom w:val="none" w:sz="0" w:space="0" w:color="auto"/>
        <w:right w:val="none" w:sz="0" w:space="0" w:color="auto"/>
      </w:divBdr>
    </w:div>
    <w:div w:id="50345421">
      <w:marLeft w:val="0"/>
      <w:marRight w:val="0"/>
      <w:marTop w:val="0"/>
      <w:marBottom w:val="0"/>
      <w:divBdr>
        <w:top w:val="none" w:sz="0" w:space="0" w:color="auto"/>
        <w:left w:val="none" w:sz="0" w:space="0" w:color="auto"/>
        <w:bottom w:val="none" w:sz="0" w:space="0" w:color="auto"/>
        <w:right w:val="none" w:sz="0" w:space="0" w:color="auto"/>
      </w:divBdr>
    </w:div>
    <w:div w:id="51850886">
      <w:marLeft w:val="0"/>
      <w:marRight w:val="0"/>
      <w:marTop w:val="0"/>
      <w:marBottom w:val="120"/>
      <w:divBdr>
        <w:top w:val="none" w:sz="0" w:space="0" w:color="auto"/>
        <w:left w:val="none" w:sz="0" w:space="0" w:color="auto"/>
        <w:bottom w:val="none" w:sz="0" w:space="0" w:color="auto"/>
        <w:right w:val="none" w:sz="0" w:space="0" w:color="auto"/>
      </w:divBdr>
      <w:divsChild>
        <w:div w:id="1147283107">
          <w:marLeft w:val="0"/>
          <w:marRight w:val="0"/>
          <w:marTop w:val="0"/>
          <w:marBottom w:val="0"/>
          <w:divBdr>
            <w:top w:val="none" w:sz="0" w:space="0" w:color="auto"/>
            <w:left w:val="none" w:sz="0" w:space="0" w:color="auto"/>
            <w:bottom w:val="none" w:sz="0" w:space="0" w:color="auto"/>
            <w:right w:val="none" w:sz="0" w:space="0" w:color="auto"/>
          </w:divBdr>
        </w:div>
      </w:divsChild>
    </w:div>
    <w:div w:id="53816202">
      <w:marLeft w:val="0"/>
      <w:marRight w:val="0"/>
      <w:marTop w:val="0"/>
      <w:marBottom w:val="0"/>
      <w:divBdr>
        <w:top w:val="none" w:sz="0" w:space="0" w:color="auto"/>
        <w:left w:val="none" w:sz="0" w:space="0" w:color="auto"/>
        <w:bottom w:val="none" w:sz="0" w:space="0" w:color="auto"/>
        <w:right w:val="none" w:sz="0" w:space="0" w:color="auto"/>
      </w:divBdr>
    </w:div>
    <w:div w:id="66733896">
      <w:marLeft w:val="0"/>
      <w:marRight w:val="0"/>
      <w:marTop w:val="0"/>
      <w:marBottom w:val="0"/>
      <w:divBdr>
        <w:top w:val="none" w:sz="0" w:space="0" w:color="auto"/>
        <w:left w:val="none" w:sz="0" w:space="0" w:color="auto"/>
        <w:bottom w:val="none" w:sz="0" w:space="0" w:color="auto"/>
        <w:right w:val="none" w:sz="0" w:space="0" w:color="auto"/>
      </w:divBdr>
    </w:div>
    <w:div w:id="67895937">
      <w:marLeft w:val="0"/>
      <w:marRight w:val="0"/>
      <w:marTop w:val="0"/>
      <w:marBottom w:val="0"/>
      <w:divBdr>
        <w:top w:val="none" w:sz="0" w:space="0" w:color="auto"/>
        <w:left w:val="none" w:sz="0" w:space="0" w:color="auto"/>
        <w:bottom w:val="none" w:sz="0" w:space="0" w:color="auto"/>
        <w:right w:val="none" w:sz="0" w:space="0" w:color="auto"/>
      </w:divBdr>
      <w:divsChild>
        <w:div w:id="1073771968">
          <w:marLeft w:val="0"/>
          <w:marRight w:val="0"/>
          <w:marTop w:val="0"/>
          <w:marBottom w:val="0"/>
          <w:divBdr>
            <w:top w:val="none" w:sz="0" w:space="0" w:color="auto"/>
            <w:left w:val="none" w:sz="0" w:space="0" w:color="auto"/>
            <w:bottom w:val="none" w:sz="0" w:space="0" w:color="auto"/>
            <w:right w:val="none" w:sz="0" w:space="0" w:color="auto"/>
          </w:divBdr>
        </w:div>
      </w:divsChild>
    </w:div>
    <w:div w:id="82996884">
      <w:marLeft w:val="0"/>
      <w:marRight w:val="0"/>
      <w:marTop w:val="0"/>
      <w:marBottom w:val="0"/>
      <w:divBdr>
        <w:top w:val="none" w:sz="0" w:space="0" w:color="auto"/>
        <w:left w:val="none" w:sz="0" w:space="0" w:color="auto"/>
        <w:bottom w:val="none" w:sz="0" w:space="0" w:color="auto"/>
        <w:right w:val="none" w:sz="0" w:space="0" w:color="auto"/>
      </w:divBdr>
    </w:div>
    <w:div w:id="84304451">
      <w:marLeft w:val="0"/>
      <w:marRight w:val="0"/>
      <w:marTop w:val="0"/>
      <w:marBottom w:val="0"/>
      <w:divBdr>
        <w:top w:val="none" w:sz="0" w:space="0" w:color="auto"/>
        <w:left w:val="none" w:sz="0" w:space="0" w:color="auto"/>
        <w:bottom w:val="none" w:sz="0" w:space="0" w:color="auto"/>
        <w:right w:val="none" w:sz="0" w:space="0" w:color="auto"/>
      </w:divBdr>
    </w:div>
    <w:div w:id="86122805">
      <w:marLeft w:val="0"/>
      <w:marRight w:val="0"/>
      <w:marTop w:val="0"/>
      <w:marBottom w:val="0"/>
      <w:divBdr>
        <w:top w:val="none" w:sz="0" w:space="0" w:color="auto"/>
        <w:left w:val="none" w:sz="0" w:space="0" w:color="auto"/>
        <w:bottom w:val="none" w:sz="0" w:space="0" w:color="auto"/>
        <w:right w:val="none" w:sz="0" w:space="0" w:color="auto"/>
      </w:divBdr>
    </w:div>
    <w:div w:id="89160303">
      <w:marLeft w:val="0"/>
      <w:marRight w:val="0"/>
      <w:marTop w:val="0"/>
      <w:marBottom w:val="0"/>
      <w:divBdr>
        <w:top w:val="none" w:sz="0" w:space="0" w:color="auto"/>
        <w:left w:val="none" w:sz="0" w:space="0" w:color="auto"/>
        <w:bottom w:val="none" w:sz="0" w:space="0" w:color="auto"/>
        <w:right w:val="none" w:sz="0" w:space="0" w:color="auto"/>
      </w:divBdr>
      <w:divsChild>
        <w:div w:id="231744801">
          <w:marLeft w:val="0"/>
          <w:marRight w:val="0"/>
          <w:marTop w:val="0"/>
          <w:marBottom w:val="0"/>
          <w:divBdr>
            <w:top w:val="none" w:sz="0" w:space="0" w:color="auto"/>
            <w:left w:val="none" w:sz="0" w:space="0" w:color="auto"/>
            <w:bottom w:val="none" w:sz="0" w:space="0" w:color="auto"/>
            <w:right w:val="none" w:sz="0" w:space="0" w:color="auto"/>
          </w:divBdr>
        </w:div>
      </w:divsChild>
    </w:div>
    <w:div w:id="93092536">
      <w:marLeft w:val="0"/>
      <w:marRight w:val="0"/>
      <w:marTop w:val="0"/>
      <w:marBottom w:val="120"/>
      <w:divBdr>
        <w:top w:val="none" w:sz="0" w:space="0" w:color="auto"/>
        <w:left w:val="none" w:sz="0" w:space="0" w:color="auto"/>
        <w:bottom w:val="none" w:sz="0" w:space="0" w:color="auto"/>
        <w:right w:val="none" w:sz="0" w:space="0" w:color="auto"/>
      </w:divBdr>
    </w:div>
    <w:div w:id="95175271">
      <w:marLeft w:val="0"/>
      <w:marRight w:val="0"/>
      <w:marTop w:val="0"/>
      <w:marBottom w:val="0"/>
      <w:divBdr>
        <w:top w:val="none" w:sz="0" w:space="0" w:color="auto"/>
        <w:left w:val="none" w:sz="0" w:space="0" w:color="auto"/>
        <w:bottom w:val="none" w:sz="0" w:space="0" w:color="auto"/>
        <w:right w:val="none" w:sz="0" w:space="0" w:color="auto"/>
      </w:divBdr>
    </w:div>
    <w:div w:id="101268253">
      <w:marLeft w:val="0"/>
      <w:marRight w:val="0"/>
      <w:marTop w:val="0"/>
      <w:marBottom w:val="120"/>
      <w:divBdr>
        <w:top w:val="none" w:sz="0" w:space="0" w:color="auto"/>
        <w:left w:val="none" w:sz="0" w:space="0" w:color="auto"/>
        <w:bottom w:val="none" w:sz="0" w:space="0" w:color="auto"/>
        <w:right w:val="none" w:sz="0" w:space="0" w:color="auto"/>
      </w:divBdr>
    </w:div>
    <w:div w:id="109134897">
      <w:marLeft w:val="0"/>
      <w:marRight w:val="0"/>
      <w:marTop w:val="0"/>
      <w:marBottom w:val="0"/>
      <w:divBdr>
        <w:top w:val="none" w:sz="0" w:space="0" w:color="auto"/>
        <w:left w:val="none" w:sz="0" w:space="0" w:color="auto"/>
        <w:bottom w:val="none" w:sz="0" w:space="0" w:color="auto"/>
        <w:right w:val="none" w:sz="0" w:space="0" w:color="auto"/>
      </w:divBdr>
      <w:divsChild>
        <w:div w:id="652175517">
          <w:marLeft w:val="0"/>
          <w:marRight w:val="0"/>
          <w:marTop w:val="0"/>
          <w:marBottom w:val="0"/>
          <w:divBdr>
            <w:top w:val="none" w:sz="0" w:space="0" w:color="auto"/>
            <w:left w:val="none" w:sz="0" w:space="0" w:color="auto"/>
            <w:bottom w:val="none" w:sz="0" w:space="0" w:color="auto"/>
            <w:right w:val="none" w:sz="0" w:space="0" w:color="auto"/>
          </w:divBdr>
        </w:div>
      </w:divsChild>
    </w:div>
    <w:div w:id="111635829">
      <w:marLeft w:val="0"/>
      <w:marRight w:val="0"/>
      <w:marTop w:val="0"/>
      <w:marBottom w:val="0"/>
      <w:divBdr>
        <w:top w:val="none" w:sz="0" w:space="0" w:color="auto"/>
        <w:left w:val="none" w:sz="0" w:space="0" w:color="auto"/>
        <w:bottom w:val="none" w:sz="0" w:space="0" w:color="auto"/>
        <w:right w:val="none" w:sz="0" w:space="0" w:color="auto"/>
      </w:divBdr>
    </w:div>
    <w:div w:id="113793115">
      <w:marLeft w:val="0"/>
      <w:marRight w:val="0"/>
      <w:marTop w:val="0"/>
      <w:marBottom w:val="0"/>
      <w:divBdr>
        <w:top w:val="none" w:sz="0" w:space="0" w:color="auto"/>
        <w:left w:val="none" w:sz="0" w:space="0" w:color="auto"/>
        <w:bottom w:val="none" w:sz="0" w:space="0" w:color="auto"/>
        <w:right w:val="none" w:sz="0" w:space="0" w:color="auto"/>
      </w:divBdr>
      <w:divsChild>
        <w:div w:id="451945808">
          <w:marLeft w:val="0"/>
          <w:marRight w:val="0"/>
          <w:marTop w:val="0"/>
          <w:marBottom w:val="0"/>
          <w:divBdr>
            <w:top w:val="none" w:sz="0" w:space="0" w:color="auto"/>
            <w:left w:val="none" w:sz="0" w:space="0" w:color="auto"/>
            <w:bottom w:val="none" w:sz="0" w:space="0" w:color="auto"/>
            <w:right w:val="none" w:sz="0" w:space="0" w:color="auto"/>
          </w:divBdr>
        </w:div>
      </w:divsChild>
    </w:div>
    <w:div w:id="117264664">
      <w:marLeft w:val="0"/>
      <w:marRight w:val="0"/>
      <w:marTop w:val="0"/>
      <w:marBottom w:val="0"/>
      <w:divBdr>
        <w:top w:val="none" w:sz="0" w:space="0" w:color="auto"/>
        <w:left w:val="none" w:sz="0" w:space="0" w:color="auto"/>
        <w:bottom w:val="none" w:sz="0" w:space="0" w:color="auto"/>
        <w:right w:val="none" w:sz="0" w:space="0" w:color="auto"/>
      </w:divBdr>
    </w:div>
    <w:div w:id="144510293">
      <w:marLeft w:val="0"/>
      <w:marRight w:val="0"/>
      <w:marTop w:val="0"/>
      <w:marBottom w:val="0"/>
      <w:divBdr>
        <w:top w:val="none" w:sz="0" w:space="0" w:color="auto"/>
        <w:left w:val="none" w:sz="0" w:space="0" w:color="auto"/>
        <w:bottom w:val="none" w:sz="0" w:space="0" w:color="auto"/>
        <w:right w:val="none" w:sz="0" w:space="0" w:color="auto"/>
      </w:divBdr>
    </w:div>
    <w:div w:id="151601363">
      <w:marLeft w:val="0"/>
      <w:marRight w:val="0"/>
      <w:marTop w:val="0"/>
      <w:marBottom w:val="0"/>
      <w:divBdr>
        <w:top w:val="none" w:sz="0" w:space="0" w:color="auto"/>
        <w:left w:val="none" w:sz="0" w:space="0" w:color="auto"/>
        <w:bottom w:val="none" w:sz="0" w:space="0" w:color="auto"/>
        <w:right w:val="none" w:sz="0" w:space="0" w:color="auto"/>
      </w:divBdr>
      <w:divsChild>
        <w:div w:id="8408833">
          <w:marLeft w:val="0"/>
          <w:marRight w:val="0"/>
          <w:marTop w:val="0"/>
          <w:marBottom w:val="0"/>
          <w:divBdr>
            <w:top w:val="none" w:sz="0" w:space="0" w:color="auto"/>
            <w:left w:val="none" w:sz="0" w:space="0" w:color="auto"/>
            <w:bottom w:val="none" w:sz="0" w:space="0" w:color="auto"/>
            <w:right w:val="none" w:sz="0" w:space="0" w:color="auto"/>
          </w:divBdr>
        </w:div>
      </w:divsChild>
    </w:div>
    <w:div w:id="152184314">
      <w:marLeft w:val="0"/>
      <w:marRight w:val="0"/>
      <w:marTop w:val="0"/>
      <w:marBottom w:val="0"/>
      <w:divBdr>
        <w:top w:val="none" w:sz="0" w:space="0" w:color="auto"/>
        <w:left w:val="none" w:sz="0" w:space="0" w:color="auto"/>
        <w:bottom w:val="none" w:sz="0" w:space="0" w:color="auto"/>
        <w:right w:val="none" w:sz="0" w:space="0" w:color="auto"/>
      </w:divBdr>
      <w:divsChild>
        <w:div w:id="1178302322">
          <w:marLeft w:val="0"/>
          <w:marRight w:val="0"/>
          <w:marTop w:val="0"/>
          <w:marBottom w:val="0"/>
          <w:divBdr>
            <w:top w:val="none" w:sz="0" w:space="0" w:color="auto"/>
            <w:left w:val="none" w:sz="0" w:space="0" w:color="auto"/>
            <w:bottom w:val="none" w:sz="0" w:space="0" w:color="auto"/>
            <w:right w:val="none" w:sz="0" w:space="0" w:color="auto"/>
          </w:divBdr>
        </w:div>
      </w:divsChild>
    </w:div>
    <w:div w:id="152261268">
      <w:marLeft w:val="0"/>
      <w:marRight w:val="0"/>
      <w:marTop w:val="0"/>
      <w:marBottom w:val="0"/>
      <w:divBdr>
        <w:top w:val="none" w:sz="0" w:space="0" w:color="auto"/>
        <w:left w:val="none" w:sz="0" w:space="0" w:color="auto"/>
        <w:bottom w:val="none" w:sz="0" w:space="0" w:color="auto"/>
        <w:right w:val="none" w:sz="0" w:space="0" w:color="auto"/>
      </w:divBdr>
      <w:divsChild>
        <w:div w:id="1412433894">
          <w:marLeft w:val="0"/>
          <w:marRight w:val="0"/>
          <w:marTop w:val="0"/>
          <w:marBottom w:val="0"/>
          <w:divBdr>
            <w:top w:val="none" w:sz="0" w:space="0" w:color="auto"/>
            <w:left w:val="none" w:sz="0" w:space="0" w:color="auto"/>
            <w:bottom w:val="none" w:sz="0" w:space="0" w:color="auto"/>
            <w:right w:val="none" w:sz="0" w:space="0" w:color="auto"/>
          </w:divBdr>
        </w:div>
      </w:divsChild>
    </w:div>
    <w:div w:id="159123042">
      <w:marLeft w:val="0"/>
      <w:marRight w:val="0"/>
      <w:marTop w:val="0"/>
      <w:marBottom w:val="0"/>
      <w:divBdr>
        <w:top w:val="none" w:sz="0" w:space="0" w:color="auto"/>
        <w:left w:val="none" w:sz="0" w:space="0" w:color="auto"/>
        <w:bottom w:val="none" w:sz="0" w:space="0" w:color="auto"/>
        <w:right w:val="none" w:sz="0" w:space="0" w:color="auto"/>
      </w:divBdr>
    </w:div>
    <w:div w:id="160124296">
      <w:marLeft w:val="0"/>
      <w:marRight w:val="0"/>
      <w:marTop w:val="0"/>
      <w:marBottom w:val="0"/>
      <w:divBdr>
        <w:top w:val="none" w:sz="0" w:space="0" w:color="auto"/>
        <w:left w:val="none" w:sz="0" w:space="0" w:color="auto"/>
        <w:bottom w:val="none" w:sz="0" w:space="0" w:color="auto"/>
        <w:right w:val="none" w:sz="0" w:space="0" w:color="auto"/>
      </w:divBdr>
    </w:div>
    <w:div w:id="161163222">
      <w:marLeft w:val="0"/>
      <w:marRight w:val="0"/>
      <w:marTop w:val="0"/>
      <w:marBottom w:val="0"/>
      <w:divBdr>
        <w:top w:val="none" w:sz="0" w:space="0" w:color="auto"/>
        <w:left w:val="none" w:sz="0" w:space="0" w:color="auto"/>
        <w:bottom w:val="none" w:sz="0" w:space="0" w:color="auto"/>
        <w:right w:val="none" w:sz="0" w:space="0" w:color="auto"/>
      </w:divBdr>
    </w:div>
    <w:div w:id="161359679">
      <w:marLeft w:val="0"/>
      <w:marRight w:val="0"/>
      <w:marTop w:val="0"/>
      <w:marBottom w:val="0"/>
      <w:divBdr>
        <w:top w:val="none" w:sz="0" w:space="0" w:color="auto"/>
        <w:left w:val="none" w:sz="0" w:space="0" w:color="auto"/>
        <w:bottom w:val="none" w:sz="0" w:space="0" w:color="auto"/>
        <w:right w:val="none" w:sz="0" w:space="0" w:color="auto"/>
      </w:divBdr>
    </w:div>
    <w:div w:id="161363000">
      <w:marLeft w:val="0"/>
      <w:marRight w:val="0"/>
      <w:marTop w:val="0"/>
      <w:marBottom w:val="0"/>
      <w:divBdr>
        <w:top w:val="none" w:sz="0" w:space="0" w:color="auto"/>
        <w:left w:val="none" w:sz="0" w:space="0" w:color="auto"/>
        <w:bottom w:val="none" w:sz="0" w:space="0" w:color="auto"/>
        <w:right w:val="none" w:sz="0" w:space="0" w:color="auto"/>
      </w:divBdr>
    </w:div>
    <w:div w:id="161704593">
      <w:marLeft w:val="0"/>
      <w:marRight w:val="0"/>
      <w:marTop w:val="0"/>
      <w:marBottom w:val="0"/>
      <w:divBdr>
        <w:top w:val="none" w:sz="0" w:space="0" w:color="auto"/>
        <w:left w:val="none" w:sz="0" w:space="0" w:color="auto"/>
        <w:bottom w:val="none" w:sz="0" w:space="0" w:color="auto"/>
        <w:right w:val="none" w:sz="0" w:space="0" w:color="auto"/>
      </w:divBdr>
    </w:div>
    <w:div w:id="179441643">
      <w:marLeft w:val="0"/>
      <w:marRight w:val="0"/>
      <w:marTop w:val="0"/>
      <w:marBottom w:val="0"/>
      <w:divBdr>
        <w:top w:val="none" w:sz="0" w:space="0" w:color="auto"/>
        <w:left w:val="none" w:sz="0" w:space="0" w:color="auto"/>
        <w:bottom w:val="none" w:sz="0" w:space="0" w:color="auto"/>
        <w:right w:val="none" w:sz="0" w:space="0" w:color="auto"/>
      </w:divBdr>
    </w:div>
    <w:div w:id="180440247">
      <w:marLeft w:val="0"/>
      <w:marRight w:val="0"/>
      <w:marTop w:val="0"/>
      <w:marBottom w:val="120"/>
      <w:divBdr>
        <w:top w:val="none" w:sz="0" w:space="0" w:color="auto"/>
        <w:left w:val="none" w:sz="0" w:space="0" w:color="auto"/>
        <w:bottom w:val="none" w:sz="0" w:space="0" w:color="auto"/>
        <w:right w:val="none" w:sz="0" w:space="0" w:color="auto"/>
      </w:divBdr>
    </w:div>
    <w:div w:id="182866227">
      <w:marLeft w:val="0"/>
      <w:marRight w:val="0"/>
      <w:marTop w:val="0"/>
      <w:marBottom w:val="0"/>
      <w:divBdr>
        <w:top w:val="none" w:sz="0" w:space="0" w:color="auto"/>
        <w:left w:val="none" w:sz="0" w:space="0" w:color="auto"/>
        <w:bottom w:val="none" w:sz="0" w:space="0" w:color="auto"/>
        <w:right w:val="none" w:sz="0" w:space="0" w:color="auto"/>
      </w:divBdr>
      <w:divsChild>
        <w:div w:id="953556888">
          <w:marLeft w:val="0"/>
          <w:marRight w:val="0"/>
          <w:marTop w:val="0"/>
          <w:marBottom w:val="0"/>
          <w:divBdr>
            <w:top w:val="none" w:sz="0" w:space="0" w:color="auto"/>
            <w:left w:val="none" w:sz="0" w:space="0" w:color="auto"/>
            <w:bottom w:val="none" w:sz="0" w:space="0" w:color="auto"/>
            <w:right w:val="none" w:sz="0" w:space="0" w:color="auto"/>
          </w:divBdr>
        </w:div>
      </w:divsChild>
    </w:div>
    <w:div w:id="185405619">
      <w:marLeft w:val="0"/>
      <w:marRight w:val="0"/>
      <w:marTop w:val="0"/>
      <w:marBottom w:val="120"/>
      <w:divBdr>
        <w:top w:val="none" w:sz="0" w:space="0" w:color="auto"/>
        <w:left w:val="none" w:sz="0" w:space="0" w:color="auto"/>
        <w:bottom w:val="none" w:sz="0" w:space="0" w:color="auto"/>
        <w:right w:val="none" w:sz="0" w:space="0" w:color="auto"/>
      </w:divBdr>
      <w:divsChild>
        <w:div w:id="2063287059">
          <w:marLeft w:val="0"/>
          <w:marRight w:val="0"/>
          <w:marTop w:val="0"/>
          <w:marBottom w:val="0"/>
          <w:divBdr>
            <w:top w:val="none" w:sz="0" w:space="0" w:color="auto"/>
            <w:left w:val="none" w:sz="0" w:space="0" w:color="auto"/>
            <w:bottom w:val="none" w:sz="0" w:space="0" w:color="auto"/>
            <w:right w:val="none" w:sz="0" w:space="0" w:color="auto"/>
          </w:divBdr>
        </w:div>
        <w:div w:id="963997269">
          <w:marLeft w:val="0"/>
          <w:marRight w:val="0"/>
          <w:marTop w:val="0"/>
          <w:marBottom w:val="0"/>
          <w:divBdr>
            <w:top w:val="none" w:sz="0" w:space="0" w:color="auto"/>
            <w:left w:val="none" w:sz="0" w:space="0" w:color="auto"/>
            <w:bottom w:val="none" w:sz="0" w:space="0" w:color="auto"/>
            <w:right w:val="none" w:sz="0" w:space="0" w:color="auto"/>
          </w:divBdr>
        </w:div>
        <w:div w:id="1542979968">
          <w:marLeft w:val="0"/>
          <w:marRight w:val="0"/>
          <w:marTop w:val="0"/>
          <w:marBottom w:val="0"/>
          <w:divBdr>
            <w:top w:val="none" w:sz="0" w:space="0" w:color="auto"/>
            <w:left w:val="none" w:sz="0" w:space="0" w:color="auto"/>
            <w:bottom w:val="none" w:sz="0" w:space="0" w:color="auto"/>
            <w:right w:val="none" w:sz="0" w:space="0" w:color="auto"/>
          </w:divBdr>
        </w:div>
        <w:div w:id="64651129">
          <w:marLeft w:val="0"/>
          <w:marRight w:val="0"/>
          <w:marTop w:val="0"/>
          <w:marBottom w:val="0"/>
          <w:divBdr>
            <w:top w:val="none" w:sz="0" w:space="0" w:color="auto"/>
            <w:left w:val="none" w:sz="0" w:space="0" w:color="auto"/>
            <w:bottom w:val="none" w:sz="0" w:space="0" w:color="auto"/>
            <w:right w:val="none" w:sz="0" w:space="0" w:color="auto"/>
          </w:divBdr>
        </w:div>
      </w:divsChild>
    </w:div>
    <w:div w:id="195697771">
      <w:marLeft w:val="0"/>
      <w:marRight w:val="0"/>
      <w:marTop w:val="0"/>
      <w:marBottom w:val="0"/>
      <w:divBdr>
        <w:top w:val="none" w:sz="0" w:space="0" w:color="auto"/>
        <w:left w:val="none" w:sz="0" w:space="0" w:color="auto"/>
        <w:bottom w:val="none" w:sz="0" w:space="0" w:color="auto"/>
        <w:right w:val="none" w:sz="0" w:space="0" w:color="auto"/>
      </w:divBdr>
    </w:div>
    <w:div w:id="196357736">
      <w:marLeft w:val="0"/>
      <w:marRight w:val="0"/>
      <w:marTop w:val="0"/>
      <w:marBottom w:val="0"/>
      <w:divBdr>
        <w:top w:val="none" w:sz="0" w:space="0" w:color="auto"/>
        <w:left w:val="none" w:sz="0" w:space="0" w:color="auto"/>
        <w:bottom w:val="none" w:sz="0" w:space="0" w:color="auto"/>
        <w:right w:val="none" w:sz="0" w:space="0" w:color="auto"/>
      </w:divBdr>
      <w:divsChild>
        <w:div w:id="438528081">
          <w:marLeft w:val="0"/>
          <w:marRight w:val="0"/>
          <w:marTop w:val="0"/>
          <w:marBottom w:val="0"/>
          <w:divBdr>
            <w:top w:val="none" w:sz="0" w:space="0" w:color="auto"/>
            <w:left w:val="none" w:sz="0" w:space="0" w:color="auto"/>
            <w:bottom w:val="none" w:sz="0" w:space="0" w:color="auto"/>
            <w:right w:val="none" w:sz="0" w:space="0" w:color="auto"/>
          </w:divBdr>
        </w:div>
      </w:divsChild>
    </w:div>
    <w:div w:id="196704023">
      <w:marLeft w:val="0"/>
      <w:marRight w:val="0"/>
      <w:marTop w:val="0"/>
      <w:marBottom w:val="0"/>
      <w:divBdr>
        <w:top w:val="none" w:sz="0" w:space="0" w:color="auto"/>
        <w:left w:val="none" w:sz="0" w:space="0" w:color="auto"/>
        <w:bottom w:val="none" w:sz="0" w:space="0" w:color="auto"/>
        <w:right w:val="none" w:sz="0" w:space="0" w:color="auto"/>
      </w:divBdr>
      <w:divsChild>
        <w:div w:id="238443527">
          <w:marLeft w:val="0"/>
          <w:marRight w:val="0"/>
          <w:marTop w:val="0"/>
          <w:marBottom w:val="0"/>
          <w:divBdr>
            <w:top w:val="none" w:sz="0" w:space="0" w:color="auto"/>
            <w:left w:val="none" w:sz="0" w:space="0" w:color="auto"/>
            <w:bottom w:val="none" w:sz="0" w:space="0" w:color="auto"/>
            <w:right w:val="none" w:sz="0" w:space="0" w:color="auto"/>
          </w:divBdr>
        </w:div>
      </w:divsChild>
    </w:div>
    <w:div w:id="198130001">
      <w:marLeft w:val="0"/>
      <w:marRight w:val="0"/>
      <w:marTop w:val="0"/>
      <w:marBottom w:val="0"/>
      <w:divBdr>
        <w:top w:val="none" w:sz="0" w:space="0" w:color="auto"/>
        <w:left w:val="none" w:sz="0" w:space="0" w:color="auto"/>
        <w:bottom w:val="none" w:sz="0" w:space="0" w:color="auto"/>
        <w:right w:val="none" w:sz="0" w:space="0" w:color="auto"/>
      </w:divBdr>
    </w:div>
    <w:div w:id="199053100">
      <w:marLeft w:val="0"/>
      <w:marRight w:val="0"/>
      <w:marTop w:val="0"/>
      <w:marBottom w:val="0"/>
      <w:divBdr>
        <w:top w:val="none" w:sz="0" w:space="0" w:color="auto"/>
        <w:left w:val="none" w:sz="0" w:space="0" w:color="auto"/>
        <w:bottom w:val="none" w:sz="0" w:space="0" w:color="auto"/>
        <w:right w:val="none" w:sz="0" w:space="0" w:color="auto"/>
      </w:divBdr>
    </w:div>
    <w:div w:id="200170006">
      <w:marLeft w:val="0"/>
      <w:marRight w:val="0"/>
      <w:marTop w:val="0"/>
      <w:marBottom w:val="0"/>
      <w:divBdr>
        <w:top w:val="none" w:sz="0" w:space="0" w:color="auto"/>
        <w:left w:val="none" w:sz="0" w:space="0" w:color="auto"/>
        <w:bottom w:val="none" w:sz="0" w:space="0" w:color="auto"/>
        <w:right w:val="none" w:sz="0" w:space="0" w:color="auto"/>
      </w:divBdr>
    </w:div>
    <w:div w:id="201792795">
      <w:marLeft w:val="0"/>
      <w:marRight w:val="0"/>
      <w:marTop w:val="0"/>
      <w:marBottom w:val="0"/>
      <w:divBdr>
        <w:top w:val="none" w:sz="0" w:space="0" w:color="auto"/>
        <w:left w:val="none" w:sz="0" w:space="0" w:color="auto"/>
        <w:bottom w:val="none" w:sz="0" w:space="0" w:color="auto"/>
        <w:right w:val="none" w:sz="0" w:space="0" w:color="auto"/>
      </w:divBdr>
    </w:div>
    <w:div w:id="204022824">
      <w:marLeft w:val="0"/>
      <w:marRight w:val="0"/>
      <w:marTop w:val="0"/>
      <w:marBottom w:val="0"/>
      <w:divBdr>
        <w:top w:val="none" w:sz="0" w:space="0" w:color="auto"/>
        <w:left w:val="none" w:sz="0" w:space="0" w:color="auto"/>
        <w:bottom w:val="none" w:sz="0" w:space="0" w:color="auto"/>
        <w:right w:val="none" w:sz="0" w:space="0" w:color="auto"/>
      </w:divBdr>
    </w:div>
    <w:div w:id="211885256">
      <w:marLeft w:val="0"/>
      <w:marRight w:val="0"/>
      <w:marTop w:val="0"/>
      <w:marBottom w:val="0"/>
      <w:divBdr>
        <w:top w:val="none" w:sz="0" w:space="0" w:color="auto"/>
        <w:left w:val="none" w:sz="0" w:space="0" w:color="auto"/>
        <w:bottom w:val="none" w:sz="0" w:space="0" w:color="auto"/>
        <w:right w:val="none" w:sz="0" w:space="0" w:color="auto"/>
      </w:divBdr>
    </w:div>
    <w:div w:id="226111405">
      <w:marLeft w:val="0"/>
      <w:marRight w:val="0"/>
      <w:marTop w:val="0"/>
      <w:marBottom w:val="0"/>
      <w:divBdr>
        <w:top w:val="none" w:sz="0" w:space="0" w:color="auto"/>
        <w:left w:val="none" w:sz="0" w:space="0" w:color="auto"/>
        <w:bottom w:val="none" w:sz="0" w:space="0" w:color="auto"/>
        <w:right w:val="none" w:sz="0" w:space="0" w:color="auto"/>
      </w:divBdr>
      <w:divsChild>
        <w:div w:id="959993208">
          <w:marLeft w:val="0"/>
          <w:marRight w:val="0"/>
          <w:marTop w:val="0"/>
          <w:marBottom w:val="0"/>
          <w:divBdr>
            <w:top w:val="none" w:sz="0" w:space="0" w:color="auto"/>
            <w:left w:val="none" w:sz="0" w:space="0" w:color="auto"/>
            <w:bottom w:val="none" w:sz="0" w:space="0" w:color="auto"/>
            <w:right w:val="none" w:sz="0" w:space="0" w:color="auto"/>
          </w:divBdr>
        </w:div>
      </w:divsChild>
    </w:div>
    <w:div w:id="227766315">
      <w:marLeft w:val="0"/>
      <w:marRight w:val="0"/>
      <w:marTop w:val="0"/>
      <w:marBottom w:val="0"/>
      <w:divBdr>
        <w:top w:val="none" w:sz="0" w:space="0" w:color="auto"/>
        <w:left w:val="none" w:sz="0" w:space="0" w:color="auto"/>
        <w:bottom w:val="none" w:sz="0" w:space="0" w:color="auto"/>
        <w:right w:val="none" w:sz="0" w:space="0" w:color="auto"/>
      </w:divBdr>
      <w:divsChild>
        <w:div w:id="1971593379">
          <w:marLeft w:val="0"/>
          <w:marRight w:val="0"/>
          <w:marTop w:val="0"/>
          <w:marBottom w:val="0"/>
          <w:divBdr>
            <w:top w:val="none" w:sz="0" w:space="0" w:color="auto"/>
            <w:left w:val="none" w:sz="0" w:space="0" w:color="auto"/>
            <w:bottom w:val="none" w:sz="0" w:space="0" w:color="auto"/>
            <w:right w:val="none" w:sz="0" w:space="0" w:color="auto"/>
          </w:divBdr>
        </w:div>
      </w:divsChild>
    </w:div>
    <w:div w:id="231279236">
      <w:marLeft w:val="0"/>
      <w:marRight w:val="0"/>
      <w:marTop w:val="0"/>
      <w:marBottom w:val="0"/>
      <w:divBdr>
        <w:top w:val="none" w:sz="0" w:space="0" w:color="auto"/>
        <w:left w:val="none" w:sz="0" w:space="0" w:color="auto"/>
        <w:bottom w:val="none" w:sz="0" w:space="0" w:color="auto"/>
        <w:right w:val="none" w:sz="0" w:space="0" w:color="auto"/>
      </w:divBdr>
    </w:div>
    <w:div w:id="233636032">
      <w:marLeft w:val="0"/>
      <w:marRight w:val="0"/>
      <w:marTop w:val="0"/>
      <w:marBottom w:val="0"/>
      <w:divBdr>
        <w:top w:val="none" w:sz="0" w:space="0" w:color="auto"/>
        <w:left w:val="none" w:sz="0" w:space="0" w:color="auto"/>
        <w:bottom w:val="none" w:sz="0" w:space="0" w:color="auto"/>
        <w:right w:val="none" w:sz="0" w:space="0" w:color="auto"/>
      </w:divBdr>
      <w:divsChild>
        <w:div w:id="204761563">
          <w:marLeft w:val="0"/>
          <w:marRight w:val="0"/>
          <w:marTop w:val="0"/>
          <w:marBottom w:val="0"/>
          <w:divBdr>
            <w:top w:val="none" w:sz="0" w:space="0" w:color="auto"/>
            <w:left w:val="none" w:sz="0" w:space="0" w:color="auto"/>
            <w:bottom w:val="none" w:sz="0" w:space="0" w:color="auto"/>
            <w:right w:val="none" w:sz="0" w:space="0" w:color="auto"/>
          </w:divBdr>
        </w:div>
      </w:divsChild>
    </w:div>
    <w:div w:id="245574297">
      <w:marLeft w:val="0"/>
      <w:marRight w:val="0"/>
      <w:marTop w:val="0"/>
      <w:marBottom w:val="0"/>
      <w:divBdr>
        <w:top w:val="none" w:sz="0" w:space="0" w:color="auto"/>
        <w:left w:val="none" w:sz="0" w:space="0" w:color="auto"/>
        <w:bottom w:val="none" w:sz="0" w:space="0" w:color="auto"/>
        <w:right w:val="none" w:sz="0" w:space="0" w:color="auto"/>
      </w:divBdr>
      <w:divsChild>
        <w:div w:id="342973387">
          <w:marLeft w:val="0"/>
          <w:marRight w:val="0"/>
          <w:marTop w:val="0"/>
          <w:marBottom w:val="0"/>
          <w:divBdr>
            <w:top w:val="none" w:sz="0" w:space="0" w:color="auto"/>
            <w:left w:val="none" w:sz="0" w:space="0" w:color="auto"/>
            <w:bottom w:val="none" w:sz="0" w:space="0" w:color="auto"/>
            <w:right w:val="none" w:sz="0" w:space="0" w:color="auto"/>
          </w:divBdr>
        </w:div>
      </w:divsChild>
    </w:div>
    <w:div w:id="247423765">
      <w:marLeft w:val="0"/>
      <w:marRight w:val="0"/>
      <w:marTop w:val="0"/>
      <w:marBottom w:val="0"/>
      <w:divBdr>
        <w:top w:val="none" w:sz="0" w:space="0" w:color="auto"/>
        <w:left w:val="none" w:sz="0" w:space="0" w:color="auto"/>
        <w:bottom w:val="none" w:sz="0" w:space="0" w:color="auto"/>
        <w:right w:val="none" w:sz="0" w:space="0" w:color="auto"/>
      </w:divBdr>
    </w:div>
    <w:div w:id="250549924">
      <w:marLeft w:val="0"/>
      <w:marRight w:val="0"/>
      <w:marTop w:val="0"/>
      <w:marBottom w:val="0"/>
      <w:divBdr>
        <w:top w:val="none" w:sz="0" w:space="0" w:color="auto"/>
        <w:left w:val="none" w:sz="0" w:space="0" w:color="auto"/>
        <w:bottom w:val="none" w:sz="0" w:space="0" w:color="auto"/>
        <w:right w:val="none" w:sz="0" w:space="0" w:color="auto"/>
      </w:divBdr>
    </w:div>
    <w:div w:id="253711163">
      <w:marLeft w:val="0"/>
      <w:marRight w:val="0"/>
      <w:marTop w:val="0"/>
      <w:marBottom w:val="0"/>
      <w:divBdr>
        <w:top w:val="none" w:sz="0" w:space="0" w:color="auto"/>
        <w:left w:val="none" w:sz="0" w:space="0" w:color="auto"/>
        <w:bottom w:val="none" w:sz="0" w:space="0" w:color="auto"/>
        <w:right w:val="none" w:sz="0" w:space="0" w:color="auto"/>
      </w:divBdr>
    </w:div>
    <w:div w:id="267735670">
      <w:marLeft w:val="0"/>
      <w:marRight w:val="0"/>
      <w:marTop w:val="0"/>
      <w:marBottom w:val="0"/>
      <w:divBdr>
        <w:top w:val="none" w:sz="0" w:space="0" w:color="auto"/>
        <w:left w:val="none" w:sz="0" w:space="0" w:color="auto"/>
        <w:bottom w:val="none" w:sz="0" w:space="0" w:color="auto"/>
        <w:right w:val="none" w:sz="0" w:space="0" w:color="auto"/>
      </w:divBdr>
    </w:div>
    <w:div w:id="273945743">
      <w:marLeft w:val="0"/>
      <w:marRight w:val="0"/>
      <w:marTop w:val="0"/>
      <w:marBottom w:val="0"/>
      <w:divBdr>
        <w:top w:val="none" w:sz="0" w:space="0" w:color="auto"/>
        <w:left w:val="none" w:sz="0" w:space="0" w:color="auto"/>
        <w:bottom w:val="none" w:sz="0" w:space="0" w:color="auto"/>
        <w:right w:val="none" w:sz="0" w:space="0" w:color="auto"/>
      </w:divBdr>
      <w:divsChild>
        <w:div w:id="928734108">
          <w:marLeft w:val="0"/>
          <w:marRight w:val="0"/>
          <w:marTop w:val="0"/>
          <w:marBottom w:val="0"/>
          <w:divBdr>
            <w:top w:val="none" w:sz="0" w:space="0" w:color="auto"/>
            <w:left w:val="none" w:sz="0" w:space="0" w:color="auto"/>
            <w:bottom w:val="none" w:sz="0" w:space="0" w:color="auto"/>
            <w:right w:val="none" w:sz="0" w:space="0" w:color="auto"/>
          </w:divBdr>
        </w:div>
      </w:divsChild>
    </w:div>
    <w:div w:id="287585154">
      <w:marLeft w:val="0"/>
      <w:marRight w:val="0"/>
      <w:marTop w:val="0"/>
      <w:marBottom w:val="120"/>
      <w:divBdr>
        <w:top w:val="none" w:sz="0" w:space="0" w:color="auto"/>
        <w:left w:val="none" w:sz="0" w:space="0" w:color="auto"/>
        <w:bottom w:val="none" w:sz="0" w:space="0" w:color="auto"/>
        <w:right w:val="none" w:sz="0" w:space="0" w:color="auto"/>
      </w:divBdr>
      <w:divsChild>
        <w:div w:id="626393630">
          <w:marLeft w:val="0"/>
          <w:marRight w:val="0"/>
          <w:marTop w:val="0"/>
          <w:marBottom w:val="0"/>
          <w:divBdr>
            <w:top w:val="none" w:sz="0" w:space="0" w:color="auto"/>
            <w:left w:val="none" w:sz="0" w:space="0" w:color="auto"/>
            <w:bottom w:val="none" w:sz="0" w:space="0" w:color="auto"/>
            <w:right w:val="none" w:sz="0" w:space="0" w:color="auto"/>
          </w:divBdr>
        </w:div>
        <w:div w:id="1352146946">
          <w:marLeft w:val="0"/>
          <w:marRight w:val="0"/>
          <w:marTop w:val="0"/>
          <w:marBottom w:val="0"/>
          <w:divBdr>
            <w:top w:val="none" w:sz="0" w:space="0" w:color="auto"/>
            <w:left w:val="none" w:sz="0" w:space="0" w:color="auto"/>
            <w:bottom w:val="none" w:sz="0" w:space="0" w:color="auto"/>
            <w:right w:val="none" w:sz="0" w:space="0" w:color="auto"/>
          </w:divBdr>
        </w:div>
        <w:div w:id="8257719">
          <w:marLeft w:val="0"/>
          <w:marRight w:val="0"/>
          <w:marTop w:val="0"/>
          <w:marBottom w:val="0"/>
          <w:divBdr>
            <w:top w:val="none" w:sz="0" w:space="0" w:color="auto"/>
            <w:left w:val="none" w:sz="0" w:space="0" w:color="auto"/>
            <w:bottom w:val="none" w:sz="0" w:space="0" w:color="auto"/>
            <w:right w:val="none" w:sz="0" w:space="0" w:color="auto"/>
          </w:divBdr>
        </w:div>
        <w:div w:id="1899971844">
          <w:marLeft w:val="0"/>
          <w:marRight w:val="0"/>
          <w:marTop w:val="0"/>
          <w:marBottom w:val="0"/>
          <w:divBdr>
            <w:top w:val="none" w:sz="0" w:space="0" w:color="auto"/>
            <w:left w:val="none" w:sz="0" w:space="0" w:color="auto"/>
            <w:bottom w:val="none" w:sz="0" w:space="0" w:color="auto"/>
            <w:right w:val="none" w:sz="0" w:space="0" w:color="auto"/>
          </w:divBdr>
        </w:div>
        <w:div w:id="1312783428">
          <w:marLeft w:val="0"/>
          <w:marRight w:val="0"/>
          <w:marTop w:val="0"/>
          <w:marBottom w:val="0"/>
          <w:divBdr>
            <w:top w:val="none" w:sz="0" w:space="0" w:color="auto"/>
            <w:left w:val="none" w:sz="0" w:space="0" w:color="auto"/>
            <w:bottom w:val="none" w:sz="0" w:space="0" w:color="auto"/>
            <w:right w:val="none" w:sz="0" w:space="0" w:color="auto"/>
          </w:divBdr>
        </w:div>
        <w:div w:id="2051881266">
          <w:marLeft w:val="0"/>
          <w:marRight w:val="0"/>
          <w:marTop w:val="0"/>
          <w:marBottom w:val="0"/>
          <w:divBdr>
            <w:top w:val="none" w:sz="0" w:space="0" w:color="auto"/>
            <w:left w:val="none" w:sz="0" w:space="0" w:color="auto"/>
            <w:bottom w:val="none" w:sz="0" w:space="0" w:color="auto"/>
            <w:right w:val="none" w:sz="0" w:space="0" w:color="auto"/>
          </w:divBdr>
        </w:div>
        <w:div w:id="1269386936">
          <w:marLeft w:val="0"/>
          <w:marRight w:val="0"/>
          <w:marTop w:val="0"/>
          <w:marBottom w:val="0"/>
          <w:divBdr>
            <w:top w:val="none" w:sz="0" w:space="0" w:color="auto"/>
            <w:left w:val="none" w:sz="0" w:space="0" w:color="auto"/>
            <w:bottom w:val="none" w:sz="0" w:space="0" w:color="auto"/>
            <w:right w:val="none" w:sz="0" w:space="0" w:color="auto"/>
          </w:divBdr>
        </w:div>
        <w:div w:id="11805183">
          <w:marLeft w:val="0"/>
          <w:marRight w:val="0"/>
          <w:marTop w:val="0"/>
          <w:marBottom w:val="0"/>
          <w:divBdr>
            <w:top w:val="none" w:sz="0" w:space="0" w:color="auto"/>
            <w:left w:val="none" w:sz="0" w:space="0" w:color="auto"/>
            <w:bottom w:val="none" w:sz="0" w:space="0" w:color="auto"/>
            <w:right w:val="none" w:sz="0" w:space="0" w:color="auto"/>
          </w:divBdr>
        </w:div>
        <w:div w:id="1250116589">
          <w:marLeft w:val="0"/>
          <w:marRight w:val="0"/>
          <w:marTop w:val="0"/>
          <w:marBottom w:val="0"/>
          <w:divBdr>
            <w:top w:val="none" w:sz="0" w:space="0" w:color="auto"/>
            <w:left w:val="none" w:sz="0" w:space="0" w:color="auto"/>
            <w:bottom w:val="none" w:sz="0" w:space="0" w:color="auto"/>
            <w:right w:val="none" w:sz="0" w:space="0" w:color="auto"/>
          </w:divBdr>
        </w:div>
        <w:div w:id="1705014013">
          <w:marLeft w:val="0"/>
          <w:marRight w:val="0"/>
          <w:marTop w:val="0"/>
          <w:marBottom w:val="0"/>
          <w:divBdr>
            <w:top w:val="none" w:sz="0" w:space="0" w:color="auto"/>
            <w:left w:val="none" w:sz="0" w:space="0" w:color="auto"/>
            <w:bottom w:val="none" w:sz="0" w:space="0" w:color="auto"/>
            <w:right w:val="none" w:sz="0" w:space="0" w:color="auto"/>
          </w:divBdr>
        </w:div>
        <w:div w:id="2139488936">
          <w:marLeft w:val="0"/>
          <w:marRight w:val="0"/>
          <w:marTop w:val="0"/>
          <w:marBottom w:val="0"/>
          <w:divBdr>
            <w:top w:val="none" w:sz="0" w:space="0" w:color="auto"/>
            <w:left w:val="none" w:sz="0" w:space="0" w:color="auto"/>
            <w:bottom w:val="none" w:sz="0" w:space="0" w:color="auto"/>
            <w:right w:val="none" w:sz="0" w:space="0" w:color="auto"/>
          </w:divBdr>
        </w:div>
      </w:divsChild>
    </w:div>
    <w:div w:id="289634602">
      <w:marLeft w:val="0"/>
      <w:marRight w:val="0"/>
      <w:marTop w:val="0"/>
      <w:marBottom w:val="0"/>
      <w:divBdr>
        <w:top w:val="none" w:sz="0" w:space="0" w:color="auto"/>
        <w:left w:val="none" w:sz="0" w:space="0" w:color="auto"/>
        <w:bottom w:val="none" w:sz="0" w:space="0" w:color="auto"/>
        <w:right w:val="none" w:sz="0" w:space="0" w:color="auto"/>
      </w:divBdr>
      <w:divsChild>
        <w:div w:id="951282319">
          <w:marLeft w:val="0"/>
          <w:marRight w:val="0"/>
          <w:marTop w:val="0"/>
          <w:marBottom w:val="0"/>
          <w:divBdr>
            <w:top w:val="none" w:sz="0" w:space="0" w:color="auto"/>
            <w:left w:val="none" w:sz="0" w:space="0" w:color="auto"/>
            <w:bottom w:val="none" w:sz="0" w:space="0" w:color="auto"/>
            <w:right w:val="none" w:sz="0" w:space="0" w:color="auto"/>
          </w:divBdr>
        </w:div>
      </w:divsChild>
    </w:div>
    <w:div w:id="292176956">
      <w:marLeft w:val="0"/>
      <w:marRight w:val="0"/>
      <w:marTop w:val="0"/>
      <w:marBottom w:val="0"/>
      <w:divBdr>
        <w:top w:val="none" w:sz="0" w:space="0" w:color="auto"/>
        <w:left w:val="none" w:sz="0" w:space="0" w:color="auto"/>
        <w:bottom w:val="none" w:sz="0" w:space="0" w:color="auto"/>
        <w:right w:val="none" w:sz="0" w:space="0" w:color="auto"/>
      </w:divBdr>
    </w:div>
    <w:div w:id="295183011">
      <w:marLeft w:val="0"/>
      <w:marRight w:val="0"/>
      <w:marTop w:val="0"/>
      <w:marBottom w:val="120"/>
      <w:divBdr>
        <w:top w:val="none" w:sz="0" w:space="0" w:color="auto"/>
        <w:left w:val="none" w:sz="0" w:space="0" w:color="auto"/>
        <w:bottom w:val="none" w:sz="0" w:space="0" w:color="auto"/>
        <w:right w:val="none" w:sz="0" w:space="0" w:color="auto"/>
      </w:divBdr>
    </w:div>
    <w:div w:id="295569573">
      <w:marLeft w:val="0"/>
      <w:marRight w:val="0"/>
      <w:marTop w:val="0"/>
      <w:marBottom w:val="0"/>
      <w:divBdr>
        <w:top w:val="none" w:sz="0" w:space="0" w:color="auto"/>
        <w:left w:val="none" w:sz="0" w:space="0" w:color="auto"/>
        <w:bottom w:val="none" w:sz="0" w:space="0" w:color="auto"/>
        <w:right w:val="none" w:sz="0" w:space="0" w:color="auto"/>
      </w:divBdr>
    </w:div>
    <w:div w:id="296879136">
      <w:marLeft w:val="0"/>
      <w:marRight w:val="0"/>
      <w:marTop w:val="0"/>
      <w:marBottom w:val="0"/>
      <w:divBdr>
        <w:top w:val="none" w:sz="0" w:space="0" w:color="auto"/>
        <w:left w:val="none" w:sz="0" w:space="0" w:color="auto"/>
        <w:bottom w:val="none" w:sz="0" w:space="0" w:color="auto"/>
        <w:right w:val="none" w:sz="0" w:space="0" w:color="auto"/>
      </w:divBdr>
      <w:divsChild>
        <w:div w:id="218591170">
          <w:marLeft w:val="0"/>
          <w:marRight w:val="0"/>
          <w:marTop w:val="0"/>
          <w:marBottom w:val="0"/>
          <w:divBdr>
            <w:top w:val="none" w:sz="0" w:space="0" w:color="auto"/>
            <w:left w:val="none" w:sz="0" w:space="0" w:color="auto"/>
            <w:bottom w:val="none" w:sz="0" w:space="0" w:color="auto"/>
            <w:right w:val="none" w:sz="0" w:space="0" w:color="auto"/>
          </w:divBdr>
        </w:div>
      </w:divsChild>
    </w:div>
    <w:div w:id="296958182">
      <w:marLeft w:val="0"/>
      <w:marRight w:val="0"/>
      <w:marTop w:val="0"/>
      <w:marBottom w:val="0"/>
      <w:divBdr>
        <w:top w:val="none" w:sz="0" w:space="0" w:color="auto"/>
        <w:left w:val="none" w:sz="0" w:space="0" w:color="auto"/>
        <w:bottom w:val="none" w:sz="0" w:space="0" w:color="auto"/>
        <w:right w:val="none" w:sz="0" w:space="0" w:color="auto"/>
      </w:divBdr>
      <w:divsChild>
        <w:div w:id="1370104224">
          <w:marLeft w:val="0"/>
          <w:marRight w:val="0"/>
          <w:marTop w:val="0"/>
          <w:marBottom w:val="0"/>
          <w:divBdr>
            <w:top w:val="none" w:sz="0" w:space="0" w:color="auto"/>
            <w:left w:val="none" w:sz="0" w:space="0" w:color="auto"/>
            <w:bottom w:val="none" w:sz="0" w:space="0" w:color="auto"/>
            <w:right w:val="none" w:sz="0" w:space="0" w:color="auto"/>
          </w:divBdr>
        </w:div>
      </w:divsChild>
    </w:div>
    <w:div w:id="306472379">
      <w:marLeft w:val="0"/>
      <w:marRight w:val="0"/>
      <w:marTop w:val="0"/>
      <w:marBottom w:val="0"/>
      <w:divBdr>
        <w:top w:val="none" w:sz="0" w:space="0" w:color="auto"/>
        <w:left w:val="none" w:sz="0" w:space="0" w:color="auto"/>
        <w:bottom w:val="none" w:sz="0" w:space="0" w:color="auto"/>
        <w:right w:val="none" w:sz="0" w:space="0" w:color="auto"/>
      </w:divBdr>
    </w:div>
    <w:div w:id="316884870">
      <w:marLeft w:val="0"/>
      <w:marRight w:val="0"/>
      <w:marTop w:val="0"/>
      <w:marBottom w:val="0"/>
      <w:divBdr>
        <w:top w:val="none" w:sz="0" w:space="0" w:color="auto"/>
        <w:left w:val="none" w:sz="0" w:space="0" w:color="auto"/>
        <w:bottom w:val="none" w:sz="0" w:space="0" w:color="auto"/>
        <w:right w:val="none" w:sz="0" w:space="0" w:color="auto"/>
      </w:divBdr>
      <w:divsChild>
        <w:div w:id="1851218367">
          <w:marLeft w:val="0"/>
          <w:marRight w:val="0"/>
          <w:marTop w:val="0"/>
          <w:marBottom w:val="0"/>
          <w:divBdr>
            <w:top w:val="none" w:sz="0" w:space="0" w:color="auto"/>
            <w:left w:val="none" w:sz="0" w:space="0" w:color="auto"/>
            <w:bottom w:val="none" w:sz="0" w:space="0" w:color="auto"/>
            <w:right w:val="none" w:sz="0" w:space="0" w:color="auto"/>
          </w:divBdr>
        </w:div>
      </w:divsChild>
    </w:div>
    <w:div w:id="321082198">
      <w:marLeft w:val="0"/>
      <w:marRight w:val="0"/>
      <w:marTop w:val="0"/>
      <w:marBottom w:val="0"/>
      <w:divBdr>
        <w:top w:val="none" w:sz="0" w:space="0" w:color="auto"/>
        <w:left w:val="none" w:sz="0" w:space="0" w:color="auto"/>
        <w:bottom w:val="none" w:sz="0" w:space="0" w:color="auto"/>
        <w:right w:val="none" w:sz="0" w:space="0" w:color="auto"/>
      </w:divBdr>
    </w:div>
    <w:div w:id="323776139">
      <w:marLeft w:val="0"/>
      <w:marRight w:val="0"/>
      <w:marTop w:val="0"/>
      <w:marBottom w:val="0"/>
      <w:divBdr>
        <w:top w:val="none" w:sz="0" w:space="0" w:color="auto"/>
        <w:left w:val="none" w:sz="0" w:space="0" w:color="auto"/>
        <w:bottom w:val="none" w:sz="0" w:space="0" w:color="auto"/>
        <w:right w:val="none" w:sz="0" w:space="0" w:color="auto"/>
      </w:divBdr>
      <w:divsChild>
        <w:div w:id="460345020">
          <w:marLeft w:val="0"/>
          <w:marRight w:val="0"/>
          <w:marTop w:val="0"/>
          <w:marBottom w:val="0"/>
          <w:divBdr>
            <w:top w:val="none" w:sz="0" w:space="0" w:color="auto"/>
            <w:left w:val="none" w:sz="0" w:space="0" w:color="auto"/>
            <w:bottom w:val="none" w:sz="0" w:space="0" w:color="auto"/>
            <w:right w:val="none" w:sz="0" w:space="0" w:color="auto"/>
          </w:divBdr>
        </w:div>
      </w:divsChild>
    </w:div>
    <w:div w:id="328291938">
      <w:marLeft w:val="0"/>
      <w:marRight w:val="0"/>
      <w:marTop w:val="0"/>
      <w:marBottom w:val="0"/>
      <w:divBdr>
        <w:top w:val="none" w:sz="0" w:space="0" w:color="auto"/>
        <w:left w:val="none" w:sz="0" w:space="0" w:color="auto"/>
        <w:bottom w:val="none" w:sz="0" w:space="0" w:color="auto"/>
        <w:right w:val="none" w:sz="0" w:space="0" w:color="auto"/>
      </w:divBdr>
    </w:div>
    <w:div w:id="331299212">
      <w:marLeft w:val="0"/>
      <w:marRight w:val="0"/>
      <w:marTop w:val="0"/>
      <w:marBottom w:val="0"/>
      <w:divBdr>
        <w:top w:val="none" w:sz="0" w:space="0" w:color="auto"/>
        <w:left w:val="none" w:sz="0" w:space="0" w:color="auto"/>
        <w:bottom w:val="none" w:sz="0" w:space="0" w:color="auto"/>
        <w:right w:val="none" w:sz="0" w:space="0" w:color="auto"/>
      </w:divBdr>
    </w:div>
    <w:div w:id="343635417">
      <w:marLeft w:val="0"/>
      <w:marRight w:val="0"/>
      <w:marTop w:val="0"/>
      <w:marBottom w:val="0"/>
      <w:divBdr>
        <w:top w:val="none" w:sz="0" w:space="0" w:color="auto"/>
        <w:left w:val="none" w:sz="0" w:space="0" w:color="auto"/>
        <w:bottom w:val="none" w:sz="0" w:space="0" w:color="auto"/>
        <w:right w:val="none" w:sz="0" w:space="0" w:color="auto"/>
      </w:divBdr>
      <w:divsChild>
        <w:div w:id="235168225">
          <w:marLeft w:val="0"/>
          <w:marRight w:val="0"/>
          <w:marTop w:val="0"/>
          <w:marBottom w:val="0"/>
          <w:divBdr>
            <w:top w:val="none" w:sz="0" w:space="0" w:color="auto"/>
            <w:left w:val="none" w:sz="0" w:space="0" w:color="auto"/>
            <w:bottom w:val="none" w:sz="0" w:space="0" w:color="auto"/>
            <w:right w:val="none" w:sz="0" w:space="0" w:color="auto"/>
          </w:divBdr>
        </w:div>
      </w:divsChild>
    </w:div>
    <w:div w:id="345251871">
      <w:marLeft w:val="0"/>
      <w:marRight w:val="0"/>
      <w:marTop w:val="0"/>
      <w:marBottom w:val="0"/>
      <w:divBdr>
        <w:top w:val="none" w:sz="0" w:space="0" w:color="auto"/>
        <w:left w:val="none" w:sz="0" w:space="0" w:color="auto"/>
        <w:bottom w:val="none" w:sz="0" w:space="0" w:color="auto"/>
        <w:right w:val="none" w:sz="0" w:space="0" w:color="auto"/>
      </w:divBdr>
    </w:div>
    <w:div w:id="357312356">
      <w:marLeft w:val="0"/>
      <w:marRight w:val="0"/>
      <w:marTop w:val="0"/>
      <w:marBottom w:val="0"/>
      <w:divBdr>
        <w:top w:val="none" w:sz="0" w:space="0" w:color="auto"/>
        <w:left w:val="none" w:sz="0" w:space="0" w:color="auto"/>
        <w:bottom w:val="none" w:sz="0" w:space="0" w:color="auto"/>
        <w:right w:val="none" w:sz="0" w:space="0" w:color="auto"/>
      </w:divBdr>
      <w:divsChild>
        <w:div w:id="804662873">
          <w:marLeft w:val="0"/>
          <w:marRight w:val="0"/>
          <w:marTop w:val="0"/>
          <w:marBottom w:val="0"/>
          <w:divBdr>
            <w:top w:val="none" w:sz="0" w:space="0" w:color="auto"/>
            <w:left w:val="none" w:sz="0" w:space="0" w:color="auto"/>
            <w:bottom w:val="none" w:sz="0" w:space="0" w:color="auto"/>
            <w:right w:val="none" w:sz="0" w:space="0" w:color="auto"/>
          </w:divBdr>
        </w:div>
      </w:divsChild>
    </w:div>
    <w:div w:id="365259339">
      <w:marLeft w:val="0"/>
      <w:marRight w:val="0"/>
      <w:marTop w:val="0"/>
      <w:marBottom w:val="0"/>
      <w:divBdr>
        <w:top w:val="none" w:sz="0" w:space="0" w:color="auto"/>
        <w:left w:val="none" w:sz="0" w:space="0" w:color="auto"/>
        <w:bottom w:val="none" w:sz="0" w:space="0" w:color="auto"/>
        <w:right w:val="none" w:sz="0" w:space="0" w:color="auto"/>
      </w:divBdr>
    </w:div>
    <w:div w:id="371349290">
      <w:marLeft w:val="0"/>
      <w:marRight w:val="0"/>
      <w:marTop w:val="0"/>
      <w:marBottom w:val="0"/>
      <w:divBdr>
        <w:top w:val="none" w:sz="0" w:space="0" w:color="auto"/>
        <w:left w:val="none" w:sz="0" w:space="0" w:color="auto"/>
        <w:bottom w:val="none" w:sz="0" w:space="0" w:color="auto"/>
        <w:right w:val="none" w:sz="0" w:space="0" w:color="auto"/>
      </w:divBdr>
      <w:divsChild>
        <w:div w:id="1565722321">
          <w:marLeft w:val="0"/>
          <w:marRight w:val="0"/>
          <w:marTop w:val="0"/>
          <w:marBottom w:val="0"/>
          <w:divBdr>
            <w:top w:val="none" w:sz="0" w:space="0" w:color="auto"/>
            <w:left w:val="none" w:sz="0" w:space="0" w:color="auto"/>
            <w:bottom w:val="none" w:sz="0" w:space="0" w:color="auto"/>
            <w:right w:val="none" w:sz="0" w:space="0" w:color="auto"/>
          </w:divBdr>
        </w:div>
      </w:divsChild>
    </w:div>
    <w:div w:id="373508493">
      <w:marLeft w:val="0"/>
      <w:marRight w:val="0"/>
      <w:marTop w:val="0"/>
      <w:marBottom w:val="0"/>
      <w:divBdr>
        <w:top w:val="none" w:sz="0" w:space="0" w:color="auto"/>
        <w:left w:val="none" w:sz="0" w:space="0" w:color="auto"/>
        <w:bottom w:val="none" w:sz="0" w:space="0" w:color="auto"/>
        <w:right w:val="none" w:sz="0" w:space="0" w:color="auto"/>
      </w:divBdr>
    </w:div>
    <w:div w:id="376396633">
      <w:marLeft w:val="0"/>
      <w:marRight w:val="0"/>
      <w:marTop w:val="0"/>
      <w:marBottom w:val="120"/>
      <w:divBdr>
        <w:top w:val="none" w:sz="0" w:space="0" w:color="auto"/>
        <w:left w:val="none" w:sz="0" w:space="0" w:color="auto"/>
        <w:bottom w:val="none" w:sz="0" w:space="0" w:color="auto"/>
        <w:right w:val="none" w:sz="0" w:space="0" w:color="auto"/>
      </w:divBdr>
    </w:div>
    <w:div w:id="383145622">
      <w:marLeft w:val="0"/>
      <w:marRight w:val="0"/>
      <w:marTop w:val="0"/>
      <w:marBottom w:val="0"/>
      <w:divBdr>
        <w:top w:val="none" w:sz="0" w:space="0" w:color="auto"/>
        <w:left w:val="none" w:sz="0" w:space="0" w:color="auto"/>
        <w:bottom w:val="none" w:sz="0" w:space="0" w:color="auto"/>
        <w:right w:val="none" w:sz="0" w:space="0" w:color="auto"/>
      </w:divBdr>
      <w:divsChild>
        <w:div w:id="951285105">
          <w:marLeft w:val="0"/>
          <w:marRight w:val="0"/>
          <w:marTop w:val="0"/>
          <w:marBottom w:val="0"/>
          <w:divBdr>
            <w:top w:val="none" w:sz="0" w:space="0" w:color="auto"/>
            <w:left w:val="none" w:sz="0" w:space="0" w:color="auto"/>
            <w:bottom w:val="none" w:sz="0" w:space="0" w:color="auto"/>
            <w:right w:val="none" w:sz="0" w:space="0" w:color="auto"/>
          </w:divBdr>
        </w:div>
      </w:divsChild>
    </w:div>
    <w:div w:id="384455426">
      <w:marLeft w:val="0"/>
      <w:marRight w:val="0"/>
      <w:marTop w:val="0"/>
      <w:marBottom w:val="120"/>
      <w:divBdr>
        <w:top w:val="none" w:sz="0" w:space="0" w:color="auto"/>
        <w:left w:val="none" w:sz="0" w:space="0" w:color="auto"/>
        <w:bottom w:val="none" w:sz="0" w:space="0" w:color="auto"/>
        <w:right w:val="none" w:sz="0" w:space="0" w:color="auto"/>
      </w:divBdr>
    </w:div>
    <w:div w:id="389505366">
      <w:marLeft w:val="0"/>
      <w:marRight w:val="0"/>
      <w:marTop w:val="0"/>
      <w:marBottom w:val="0"/>
      <w:divBdr>
        <w:top w:val="none" w:sz="0" w:space="0" w:color="auto"/>
        <w:left w:val="none" w:sz="0" w:space="0" w:color="auto"/>
        <w:bottom w:val="none" w:sz="0" w:space="0" w:color="auto"/>
        <w:right w:val="none" w:sz="0" w:space="0" w:color="auto"/>
      </w:divBdr>
    </w:div>
    <w:div w:id="390619336">
      <w:marLeft w:val="0"/>
      <w:marRight w:val="0"/>
      <w:marTop w:val="0"/>
      <w:marBottom w:val="0"/>
      <w:divBdr>
        <w:top w:val="none" w:sz="0" w:space="0" w:color="auto"/>
        <w:left w:val="none" w:sz="0" w:space="0" w:color="auto"/>
        <w:bottom w:val="none" w:sz="0" w:space="0" w:color="auto"/>
        <w:right w:val="none" w:sz="0" w:space="0" w:color="auto"/>
      </w:divBdr>
      <w:divsChild>
        <w:div w:id="1392465052">
          <w:marLeft w:val="0"/>
          <w:marRight w:val="0"/>
          <w:marTop w:val="0"/>
          <w:marBottom w:val="0"/>
          <w:divBdr>
            <w:top w:val="none" w:sz="0" w:space="0" w:color="auto"/>
            <w:left w:val="none" w:sz="0" w:space="0" w:color="auto"/>
            <w:bottom w:val="none" w:sz="0" w:space="0" w:color="auto"/>
            <w:right w:val="none" w:sz="0" w:space="0" w:color="auto"/>
          </w:divBdr>
        </w:div>
      </w:divsChild>
    </w:div>
    <w:div w:id="392774031">
      <w:marLeft w:val="0"/>
      <w:marRight w:val="0"/>
      <w:marTop w:val="0"/>
      <w:marBottom w:val="0"/>
      <w:divBdr>
        <w:top w:val="none" w:sz="0" w:space="0" w:color="auto"/>
        <w:left w:val="none" w:sz="0" w:space="0" w:color="auto"/>
        <w:bottom w:val="none" w:sz="0" w:space="0" w:color="auto"/>
        <w:right w:val="none" w:sz="0" w:space="0" w:color="auto"/>
      </w:divBdr>
      <w:divsChild>
        <w:div w:id="1640960696">
          <w:marLeft w:val="0"/>
          <w:marRight w:val="0"/>
          <w:marTop w:val="0"/>
          <w:marBottom w:val="0"/>
          <w:divBdr>
            <w:top w:val="none" w:sz="0" w:space="0" w:color="auto"/>
            <w:left w:val="none" w:sz="0" w:space="0" w:color="auto"/>
            <w:bottom w:val="none" w:sz="0" w:space="0" w:color="auto"/>
            <w:right w:val="none" w:sz="0" w:space="0" w:color="auto"/>
          </w:divBdr>
        </w:div>
      </w:divsChild>
    </w:div>
    <w:div w:id="394279378">
      <w:marLeft w:val="0"/>
      <w:marRight w:val="0"/>
      <w:marTop w:val="0"/>
      <w:marBottom w:val="0"/>
      <w:divBdr>
        <w:top w:val="none" w:sz="0" w:space="0" w:color="auto"/>
        <w:left w:val="none" w:sz="0" w:space="0" w:color="auto"/>
        <w:bottom w:val="none" w:sz="0" w:space="0" w:color="auto"/>
        <w:right w:val="none" w:sz="0" w:space="0" w:color="auto"/>
      </w:divBdr>
    </w:div>
    <w:div w:id="395666337">
      <w:marLeft w:val="0"/>
      <w:marRight w:val="0"/>
      <w:marTop w:val="0"/>
      <w:marBottom w:val="0"/>
      <w:divBdr>
        <w:top w:val="none" w:sz="0" w:space="0" w:color="auto"/>
        <w:left w:val="none" w:sz="0" w:space="0" w:color="auto"/>
        <w:bottom w:val="none" w:sz="0" w:space="0" w:color="auto"/>
        <w:right w:val="none" w:sz="0" w:space="0" w:color="auto"/>
      </w:divBdr>
    </w:div>
    <w:div w:id="407508102">
      <w:marLeft w:val="0"/>
      <w:marRight w:val="0"/>
      <w:marTop w:val="0"/>
      <w:marBottom w:val="0"/>
      <w:divBdr>
        <w:top w:val="none" w:sz="0" w:space="0" w:color="auto"/>
        <w:left w:val="none" w:sz="0" w:space="0" w:color="auto"/>
        <w:bottom w:val="none" w:sz="0" w:space="0" w:color="auto"/>
        <w:right w:val="none" w:sz="0" w:space="0" w:color="auto"/>
      </w:divBdr>
    </w:div>
    <w:div w:id="408961187">
      <w:marLeft w:val="0"/>
      <w:marRight w:val="0"/>
      <w:marTop w:val="0"/>
      <w:marBottom w:val="0"/>
      <w:divBdr>
        <w:top w:val="none" w:sz="0" w:space="0" w:color="auto"/>
        <w:left w:val="none" w:sz="0" w:space="0" w:color="auto"/>
        <w:bottom w:val="none" w:sz="0" w:space="0" w:color="auto"/>
        <w:right w:val="none" w:sz="0" w:space="0" w:color="auto"/>
      </w:divBdr>
      <w:divsChild>
        <w:div w:id="2012096362">
          <w:marLeft w:val="0"/>
          <w:marRight w:val="0"/>
          <w:marTop w:val="0"/>
          <w:marBottom w:val="0"/>
          <w:divBdr>
            <w:top w:val="none" w:sz="0" w:space="0" w:color="auto"/>
            <w:left w:val="none" w:sz="0" w:space="0" w:color="auto"/>
            <w:bottom w:val="none" w:sz="0" w:space="0" w:color="auto"/>
            <w:right w:val="none" w:sz="0" w:space="0" w:color="auto"/>
          </w:divBdr>
        </w:div>
      </w:divsChild>
    </w:div>
    <w:div w:id="409816017">
      <w:marLeft w:val="0"/>
      <w:marRight w:val="0"/>
      <w:marTop w:val="0"/>
      <w:marBottom w:val="0"/>
      <w:divBdr>
        <w:top w:val="none" w:sz="0" w:space="0" w:color="auto"/>
        <w:left w:val="none" w:sz="0" w:space="0" w:color="auto"/>
        <w:bottom w:val="none" w:sz="0" w:space="0" w:color="auto"/>
        <w:right w:val="none" w:sz="0" w:space="0" w:color="auto"/>
      </w:divBdr>
      <w:divsChild>
        <w:div w:id="1863283964">
          <w:marLeft w:val="0"/>
          <w:marRight w:val="0"/>
          <w:marTop w:val="0"/>
          <w:marBottom w:val="0"/>
          <w:divBdr>
            <w:top w:val="none" w:sz="0" w:space="0" w:color="auto"/>
            <w:left w:val="none" w:sz="0" w:space="0" w:color="auto"/>
            <w:bottom w:val="none" w:sz="0" w:space="0" w:color="auto"/>
            <w:right w:val="none" w:sz="0" w:space="0" w:color="auto"/>
          </w:divBdr>
        </w:div>
      </w:divsChild>
    </w:div>
    <w:div w:id="412899938">
      <w:marLeft w:val="0"/>
      <w:marRight w:val="0"/>
      <w:marTop w:val="0"/>
      <w:marBottom w:val="0"/>
      <w:divBdr>
        <w:top w:val="none" w:sz="0" w:space="0" w:color="auto"/>
        <w:left w:val="none" w:sz="0" w:space="0" w:color="auto"/>
        <w:bottom w:val="none" w:sz="0" w:space="0" w:color="auto"/>
        <w:right w:val="none" w:sz="0" w:space="0" w:color="auto"/>
      </w:divBdr>
      <w:divsChild>
        <w:div w:id="4405069">
          <w:marLeft w:val="0"/>
          <w:marRight w:val="0"/>
          <w:marTop w:val="0"/>
          <w:marBottom w:val="0"/>
          <w:divBdr>
            <w:top w:val="none" w:sz="0" w:space="0" w:color="auto"/>
            <w:left w:val="none" w:sz="0" w:space="0" w:color="auto"/>
            <w:bottom w:val="none" w:sz="0" w:space="0" w:color="auto"/>
            <w:right w:val="none" w:sz="0" w:space="0" w:color="auto"/>
          </w:divBdr>
        </w:div>
      </w:divsChild>
    </w:div>
    <w:div w:id="416830634">
      <w:marLeft w:val="0"/>
      <w:marRight w:val="0"/>
      <w:marTop w:val="0"/>
      <w:marBottom w:val="0"/>
      <w:divBdr>
        <w:top w:val="none" w:sz="0" w:space="0" w:color="auto"/>
        <w:left w:val="none" w:sz="0" w:space="0" w:color="auto"/>
        <w:bottom w:val="none" w:sz="0" w:space="0" w:color="auto"/>
        <w:right w:val="none" w:sz="0" w:space="0" w:color="auto"/>
      </w:divBdr>
    </w:div>
    <w:div w:id="419257104">
      <w:marLeft w:val="0"/>
      <w:marRight w:val="0"/>
      <w:marTop w:val="0"/>
      <w:marBottom w:val="0"/>
      <w:divBdr>
        <w:top w:val="none" w:sz="0" w:space="0" w:color="auto"/>
        <w:left w:val="none" w:sz="0" w:space="0" w:color="auto"/>
        <w:bottom w:val="none" w:sz="0" w:space="0" w:color="auto"/>
        <w:right w:val="none" w:sz="0" w:space="0" w:color="auto"/>
      </w:divBdr>
    </w:div>
    <w:div w:id="424032372">
      <w:marLeft w:val="0"/>
      <w:marRight w:val="0"/>
      <w:marTop w:val="120"/>
      <w:marBottom w:val="0"/>
      <w:divBdr>
        <w:top w:val="none" w:sz="0" w:space="0" w:color="auto"/>
        <w:left w:val="none" w:sz="0" w:space="0" w:color="auto"/>
        <w:bottom w:val="none" w:sz="0" w:space="0" w:color="auto"/>
        <w:right w:val="none" w:sz="0" w:space="0" w:color="auto"/>
      </w:divBdr>
    </w:div>
    <w:div w:id="426855232">
      <w:marLeft w:val="0"/>
      <w:marRight w:val="0"/>
      <w:marTop w:val="0"/>
      <w:marBottom w:val="0"/>
      <w:divBdr>
        <w:top w:val="none" w:sz="0" w:space="0" w:color="auto"/>
        <w:left w:val="none" w:sz="0" w:space="0" w:color="auto"/>
        <w:bottom w:val="none" w:sz="0" w:space="0" w:color="auto"/>
        <w:right w:val="none" w:sz="0" w:space="0" w:color="auto"/>
      </w:divBdr>
    </w:div>
    <w:div w:id="427577856">
      <w:marLeft w:val="0"/>
      <w:marRight w:val="0"/>
      <w:marTop w:val="0"/>
      <w:marBottom w:val="0"/>
      <w:divBdr>
        <w:top w:val="none" w:sz="0" w:space="0" w:color="auto"/>
        <w:left w:val="none" w:sz="0" w:space="0" w:color="auto"/>
        <w:bottom w:val="none" w:sz="0" w:space="0" w:color="auto"/>
        <w:right w:val="none" w:sz="0" w:space="0" w:color="auto"/>
      </w:divBdr>
    </w:div>
    <w:div w:id="429815561">
      <w:marLeft w:val="0"/>
      <w:marRight w:val="0"/>
      <w:marTop w:val="0"/>
      <w:marBottom w:val="120"/>
      <w:divBdr>
        <w:top w:val="none" w:sz="0" w:space="0" w:color="auto"/>
        <w:left w:val="none" w:sz="0" w:space="0" w:color="auto"/>
        <w:bottom w:val="none" w:sz="0" w:space="0" w:color="auto"/>
        <w:right w:val="none" w:sz="0" w:space="0" w:color="auto"/>
      </w:divBdr>
    </w:div>
    <w:div w:id="433133453">
      <w:marLeft w:val="0"/>
      <w:marRight w:val="0"/>
      <w:marTop w:val="0"/>
      <w:marBottom w:val="120"/>
      <w:divBdr>
        <w:top w:val="none" w:sz="0" w:space="0" w:color="auto"/>
        <w:left w:val="none" w:sz="0" w:space="0" w:color="auto"/>
        <w:bottom w:val="none" w:sz="0" w:space="0" w:color="auto"/>
        <w:right w:val="none" w:sz="0" w:space="0" w:color="auto"/>
      </w:divBdr>
    </w:div>
    <w:div w:id="434327027">
      <w:marLeft w:val="0"/>
      <w:marRight w:val="0"/>
      <w:marTop w:val="0"/>
      <w:marBottom w:val="0"/>
      <w:divBdr>
        <w:top w:val="none" w:sz="0" w:space="0" w:color="auto"/>
        <w:left w:val="none" w:sz="0" w:space="0" w:color="auto"/>
        <w:bottom w:val="none" w:sz="0" w:space="0" w:color="auto"/>
        <w:right w:val="none" w:sz="0" w:space="0" w:color="auto"/>
      </w:divBdr>
    </w:div>
    <w:div w:id="439498401">
      <w:marLeft w:val="0"/>
      <w:marRight w:val="0"/>
      <w:marTop w:val="0"/>
      <w:marBottom w:val="0"/>
      <w:divBdr>
        <w:top w:val="none" w:sz="0" w:space="0" w:color="auto"/>
        <w:left w:val="none" w:sz="0" w:space="0" w:color="auto"/>
        <w:bottom w:val="none" w:sz="0" w:space="0" w:color="auto"/>
        <w:right w:val="none" w:sz="0" w:space="0" w:color="auto"/>
      </w:divBdr>
    </w:div>
    <w:div w:id="441803389">
      <w:marLeft w:val="0"/>
      <w:marRight w:val="0"/>
      <w:marTop w:val="0"/>
      <w:marBottom w:val="120"/>
      <w:divBdr>
        <w:top w:val="none" w:sz="0" w:space="0" w:color="auto"/>
        <w:left w:val="none" w:sz="0" w:space="0" w:color="auto"/>
        <w:bottom w:val="none" w:sz="0" w:space="0" w:color="auto"/>
        <w:right w:val="none" w:sz="0" w:space="0" w:color="auto"/>
      </w:divBdr>
    </w:div>
    <w:div w:id="444229824">
      <w:marLeft w:val="0"/>
      <w:marRight w:val="0"/>
      <w:marTop w:val="0"/>
      <w:marBottom w:val="120"/>
      <w:divBdr>
        <w:top w:val="none" w:sz="0" w:space="0" w:color="auto"/>
        <w:left w:val="none" w:sz="0" w:space="0" w:color="auto"/>
        <w:bottom w:val="none" w:sz="0" w:space="0" w:color="auto"/>
        <w:right w:val="none" w:sz="0" w:space="0" w:color="auto"/>
      </w:divBdr>
    </w:div>
    <w:div w:id="447043734">
      <w:marLeft w:val="0"/>
      <w:marRight w:val="0"/>
      <w:marTop w:val="0"/>
      <w:marBottom w:val="0"/>
      <w:divBdr>
        <w:top w:val="none" w:sz="0" w:space="0" w:color="auto"/>
        <w:left w:val="none" w:sz="0" w:space="0" w:color="auto"/>
        <w:bottom w:val="none" w:sz="0" w:space="0" w:color="auto"/>
        <w:right w:val="none" w:sz="0" w:space="0" w:color="auto"/>
      </w:divBdr>
      <w:divsChild>
        <w:div w:id="811026191">
          <w:marLeft w:val="0"/>
          <w:marRight w:val="0"/>
          <w:marTop w:val="0"/>
          <w:marBottom w:val="0"/>
          <w:divBdr>
            <w:top w:val="none" w:sz="0" w:space="0" w:color="auto"/>
            <w:left w:val="none" w:sz="0" w:space="0" w:color="auto"/>
            <w:bottom w:val="none" w:sz="0" w:space="0" w:color="auto"/>
            <w:right w:val="none" w:sz="0" w:space="0" w:color="auto"/>
          </w:divBdr>
        </w:div>
      </w:divsChild>
    </w:div>
    <w:div w:id="447892524">
      <w:marLeft w:val="0"/>
      <w:marRight w:val="0"/>
      <w:marTop w:val="0"/>
      <w:marBottom w:val="120"/>
      <w:divBdr>
        <w:top w:val="none" w:sz="0" w:space="0" w:color="auto"/>
        <w:left w:val="none" w:sz="0" w:space="0" w:color="auto"/>
        <w:bottom w:val="none" w:sz="0" w:space="0" w:color="auto"/>
        <w:right w:val="none" w:sz="0" w:space="0" w:color="auto"/>
      </w:divBdr>
    </w:div>
    <w:div w:id="448623081">
      <w:marLeft w:val="0"/>
      <w:marRight w:val="0"/>
      <w:marTop w:val="0"/>
      <w:marBottom w:val="120"/>
      <w:divBdr>
        <w:top w:val="none" w:sz="0" w:space="0" w:color="auto"/>
        <w:left w:val="none" w:sz="0" w:space="0" w:color="auto"/>
        <w:bottom w:val="none" w:sz="0" w:space="0" w:color="auto"/>
        <w:right w:val="none" w:sz="0" w:space="0" w:color="auto"/>
      </w:divBdr>
      <w:divsChild>
        <w:div w:id="1386562475">
          <w:marLeft w:val="0"/>
          <w:marRight w:val="0"/>
          <w:marTop w:val="0"/>
          <w:marBottom w:val="15"/>
          <w:divBdr>
            <w:top w:val="none" w:sz="0" w:space="0" w:color="auto"/>
            <w:left w:val="none" w:sz="0" w:space="0" w:color="auto"/>
            <w:bottom w:val="none" w:sz="0" w:space="0" w:color="auto"/>
            <w:right w:val="none" w:sz="0" w:space="0" w:color="auto"/>
          </w:divBdr>
        </w:div>
      </w:divsChild>
    </w:div>
    <w:div w:id="461971304">
      <w:marLeft w:val="0"/>
      <w:marRight w:val="0"/>
      <w:marTop w:val="0"/>
      <w:marBottom w:val="0"/>
      <w:divBdr>
        <w:top w:val="none" w:sz="0" w:space="0" w:color="auto"/>
        <w:left w:val="none" w:sz="0" w:space="0" w:color="auto"/>
        <w:bottom w:val="none" w:sz="0" w:space="0" w:color="auto"/>
        <w:right w:val="none" w:sz="0" w:space="0" w:color="auto"/>
      </w:divBdr>
    </w:div>
    <w:div w:id="462583590">
      <w:marLeft w:val="0"/>
      <w:marRight w:val="0"/>
      <w:marTop w:val="0"/>
      <w:marBottom w:val="0"/>
      <w:divBdr>
        <w:top w:val="none" w:sz="0" w:space="0" w:color="auto"/>
        <w:left w:val="none" w:sz="0" w:space="0" w:color="auto"/>
        <w:bottom w:val="none" w:sz="0" w:space="0" w:color="auto"/>
        <w:right w:val="none" w:sz="0" w:space="0" w:color="auto"/>
      </w:divBdr>
    </w:div>
    <w:div w:id="467627321">
      <w:marLeft w:val="0"/>
      <w:marRight w:val="0"/>
      <w:marTop w:val="0"/>
      <w:marBottom w:val="0"/>
      <w:divBdr>
        <w:top w:val="none" w:sz="0" w:space="0" w:color="auto"/>
        <w:left w:val="none" w:sz="0" w:space="0" w:color="auto"/>
        <w:bottom w:val="none" w:sz="0" w:space="0" w:color="auto"/>
        <w:right w:val="none" w:sz="0" w:space="0" w:color="auto"/>
      </w:divBdr>
      <w:divsChild>
        <w:div w:id="1042246888">
          <w:marLeft w:val="0"/>
          <w:marRight w:val="0"/>
          <w:marTop w:val="0"/>
          <w:marBottom w:val="0"/>
          <w:divBdr>
            <w:top w:val="none" w:sz="0" w:space="0" w:color="auto"/>
            <w:left w:val="none" w:sz="0" w:space="0" w:color="auto"/>
            <w:bottom w:val="none" w:sz="0" w:space="0" w:color="auto"/>
            <w:right w:val="none" w:sz="0" w:space="0" w:color="auto"/>
          </w:divBdr>
        </w:div>
      </w:divsChild>
    </w:div>
    <w:div w:id="469204737">
      <w:marLeft w:val="0"/>
      <w:marRight w:val="0"/>
      <w:marTop w:val="0"/>
      <w:marBottom w:val="0"/>
      <w:divBdr>
        <w:top w:val="none" w:sz="0" w:space="0" w:color="auto"/>
        <w:left w:val="none" w:sz="0" w:space="0" w:color="auto"/>
        <w:bottom w:val="none" w:sz="0" w:space="0" w:color="auto"/>
        <w:right w:val="none" w:sz="0" w:space="0" w:color="auto"/>
      </w:divBdr>
    </w:div>
    <w:div w:id="475100647">
      <w:marLeft w:val="0"/>
      <w:marRight w:val="0"/>
      <w:marTop w:val="0"/>
      <w:marBottom w:val="0"/>
      <w:divBdr>
        <w:top w:val="none" w:sz="0" w:space="0" w:color="auto"/>
        <w:left w:val="none" w:sz="0" w:space="0" w:color="auto"/>
        <w:bottom w:val="none" w:sz="0" w:space="0" w:color="auto"/>
        <w:right w:val="none" w:sz="0" w:space="0" w:color="auto"/>
      </w:divBdr>
    </w:div>
    <w:div w:id="476070893">
      <w:marLeft w:val="0"/>
      <w:marRight w:val="0"/>
      <w:marTop w:val="0"/>
      <w:marBottom w:val="0"/>
      <w:divBdr>
        <w:top w:val="none" w:sz="0" w:space="0" w:color="auto"/>
        <w:left w:val="none" w:sz="0" w:space="0" w:color="auto"/>
        <w:bottom w:val="none" w:sz="0" w:space="0" w:color="auto"/>
        <w:right w:val="none" w:sz="0" w:space="0" w:color="auto"/>
      </w:divBdr>
      <w:divsChild>
        <w:div w:id="710351224">
          <w:marLeft w:val="0"/>
          <w:marRight w:val="0"/>
          <w:marTop w:val="0"/>
          <w:marBottom w:val="0"/>
          <w:divBdr>
            <w:top w:val="none" w:sz="0" w:space="0" w:color="auto"/>
            <w:left w:val="none" w:sz="0" w:space="0" w:color="auto"/>
            <w:bottom w:val="none" w:sz="0" w:space="0" w:color="auto"/>
            <w:right w:val="none" w:sz="0" w:space="0" w:color="auto"/>
          </w:divBdr>
        </w:div>
      </w:divsChild>
    </w:div>
    <w:div w:id="476149276">
      <w:marLeft w:val="0"/>
      <w:marRight w:val="0"/>
      <w:marTop w:val="60"/>
      <w:marBottom w:val="120"/>
      <w:divBdr>
        <w:top w:val="none" w:sz="0" w:space="0" w:color="auto"/>
        <w:left w:val="none" w:sz="0" w:space="0" w:color="auto"/>
        <w:bottom w:val="none" w:sz="0" w:space="0" w:color="auto"/>
        <w:right w:val="none" w:sz="0" w:space="0" w:color="auto"/>
      </w:divBdr>
    </w:div>
    <w:div w:id="476801698">
      <w:marLeft w:val="0"/>
      <w:marRight w:val="0"/>
      <w:marTop w:val="0"/>
      <w:marBottom w:val="0"/>
      <w:divBdr>
        <w:top w:val="none" w:sz="0" w:space="0" w:color="auto"/>
        <w:left w:val="none" w:sz="0" w:space="0" w:color="auto"/>
        <w:bottom w:val="none" w:sz="0" w:space="0" w:color="auto"/>
        <w:right w:val="none" w:sz="0" w:space="0" w:color="auto"/>
      </w:divBdr>
    </w:div>
    <w:div w:id="477839614">
      <w:marLeft w:val="0"/>
      <w:marRight w:val="0"/>
      <w:marTop w:val="0"/>
      <w:marBottom w:val="0"/>
      <w:divBdr>
        <w:top w:val="none" w:sz="0" w:space="0" w:color="auto"/>
        <w:left w:val="none" w:sz="0" w:space="0" w:color="auto"/>
        <w:bottom w:val="none" w:sz="0" w:space="0" w:color="auto"/>
        <w:right w:val="none" w:sz="0" w:space="0" w:color="auto"/>
      </w:divBdr>
    </w:div>
    <w:div w:id="485784101">
      <w:marLeft w:val="0"/>
      <w:marRight w:val="0"/>
      <w:marTop w:val="0"/>
      <w:marBottom w:val="0"/>
      <w:divBdr>
        <w:top w:val="none" w:sz="0" w:space="0" w:color="auto"/>
        <w:left w:val="none" w:sz="0" w:space="0" w:color="auto"/>
        <w:bottom w:val="none" w:sz="0" w:space="0" w:color="auto"/>
        <w:right w:val="none" w:sz="0" w:space="0" w:color="auto"/>
      </w:divBdr>
    </w:div>
    <w:div w:id="489444642">
      <w:marLeft w:val="0"/>
      <w:marRight w:val="0"/>
      <w:marTop w:val="0"/>
      <w:marBottom w:val="0"/>
      <w:divBdr>
        <w:top w:val="none" w:sz="0" w:space="0" w:color="auto"/>
        <w:left w:val="none" w:sz="0" w:space="0" w:color="auto"/>
        <w:bottom w:val="none" w:sz="0" w:space="0" w:color="auto"/>
        <w:right w:val="none" w:sz="0" w:space="0" w:color="auto"/>
      </w:divBdr>
    </w:div>
    <w:div w:id="502091477">
      <w:marLeft w:val="0"/>
      <w:marRight w:val="0"/>
      <w:marTop w:val="0"/>
      <w:marBottom w:val="0"/>
      <w:divBdr>
        <w:top w:val="none" w:sz="0" w:space="0" w:color="auto"/>
        <w:left w:val="none" w:sz="0" w:space="0" w:color="auto"/>
        <w:bottom w:val="none" w:sz="0" w:space="0" w:color="auto"/>
        <w:right w:val="none" w:sz="0" w:space="0" w:color="auto"/>
      </w:divBdr>
      <w:divsChild>
        <w:div w:id="1184980032">
          <w:marLeft w:val="0"/>
          <w:marRight w:val="0"/>
          <w:marTop w:val="0"/>
          <w:marBottom w:val="0"/>
          <w:divBdr>
            <w:top w:val="none" w:sz="0" w:space="0" w:color="auto"/>
            <w:left w:val="none" w:sz="0" w:space="0" w:color="auto"/>
            <w:bottom w:val="none" w:sz="0" w:space="0" w:color="auto"/>
            <w:right w:val="none" w:sz="0" w:space="0" w:color="auto"/>
          </w:divBdr>
        </w:div>
      </w:divsChild>
    </w:div>
    <w:div w:id="514224742">
      <w:marLeft w:val="0"/>
      <w:marRight w:val="0"/>
      <w:marTop w:val="0"/>
      <w:marBottom w:val="0"/>
      <w:divBdr>
        <w:top w:val="none" w:sz="0" w:space="0" w:color="auto"/>
        <w:left w:val="none" w:sz="0" w:space="0" w:color="auto"/>
        <w:bottom w:val="none" w:sz="0" w:space="0" w:color="auto"/>
        <w:right w:val="none" w:sz="0" w:space="0" w:color="auto"/>
      </w:divBdr>
      <w:divsChild>
        <w:div w:id="1392924842">
          <w:marLeft w:val="0"/>
          <w:marRight w:val="0"/>
          <w:marTop w:val="0"/>
          <w:marBottom w:val="0"/>
          <w:divBdr>
            <w:top w:val="none" w:sz="0" w:space="0" w:color="auto"/>
            <w:left w:val="none" w:sz="0" w:space="0" w:color="auto"/>
            <w:bottom w:val="none" w:sz="0" w:space="0" w:color="auto"/>
            <w:right w:val="none" w:sz="0" w:space="0" w:color="auto"/>
          </w:divBdr>
        </w:div>
      </w:divsChild>
    </w:div>
    <w:div w:id="514685124">
      <w:marLeft w:val="0"/>
      <w:marRight w:val="0"/>
      <w:marTop w:val="0"/>
      <w:marBottom w:val="0"/>
      <w:divBdr>
        <w:top w:val="none" w:sz="0" w:space="0" w:color="auto"/>
        <w:left w:val="none" w:sz="0" w:space="0" w:color="auto"/>
        <w:bottom w:val="none" w:sz="0" w:space="0" w:color="auto"/>
        <w:right w:val="none" w:sz="0" w:space="0" w:color="auto"/>
      </w:divBdr>
      <w:divsChild>
        <w:div w:id="1836216936">
          <w:marLeft w:val="0"/>
          <w:marRight w:val="0"/>
          <w:marTop w:val="0"/>
          <w:marBottom w:val="0"/>
          <w:divBdr>
            <w:top w:val="none" w:sz="0" w:space="0" w:color="auto"/>
            <w:left w:val="none" w:sz="0" w:space="0" w:color="auto"/>
            <w:bottom w:val="none" w:sz="0" w:space="0" w:color="auto"/>
            <w:right w:val="none" w:sz="0" w:space="0" w:color="auto"/>
          </w:divBdr>
        </w:div>
      </w:divsChild>
    </w:div>
    <w:div w:id="515509727">
      <w:marLeft w:val="0"/>
      <w:marRight w:val="0"/>
      <w:marTop w:val="0"/>
      <w:marBottom w:val="120"/>
      <w:divBdr>
        <w:top w:val="none" w:sz="0" w:space="0" w:color="auto"/>
        <w:left w:val="none" w:sz="0" w:space="0" w:color="auto"/>
        <w:bottom w:val="none" w:sz="0" w:space="0" w:color="auto"/>
        <w:right w:val="none" w:sz="0" w:space="0" w:color="auto"/>
      </w:divBdr>
    </w:div>
    <w:div w:id="525406032">
      <w:marLeft w:val="0"/>
      <w:marRight w:val="0"/>
      <w:marTop w:val="0"/>
      <w:marBottom w:val="0"/>
      <w:divBdr>
        <w:top w:val="none" w:sz="0" w:space="0" w:color="auto"/>
        <w:left w:val="none" w:sz="0" w:space="0" w:color="auto"/>
        <w:bottom w:val="none" w:sz="0" w:space="0" w:color="auto"/>
        <w:right w:val="none" w:sz="0" w:space="0" w:color="auto"/>
      </w:divBdr>
    </w:div>
    <w:div w:id="525490064">
      <w:marLeft w:val="0"/>
      <w:marRight w:val="0"/>
      <w:marTop w:val="0"/>
      <w:marBottom w:val="0"/>
      <w:divBdr>
        <w:top w:val="none" w:sz="0" w:space="0" w:color="auto"/>
        <w:left w:val="none" w:sz="0" w:space="0" w:color="auto"/>
        <w:bottom w:val="none" w:sz="0" w:space="0" w:color="auto"/>
        <w:right w:val="none" w:sz="0" w:space="0" w:color="auto"/>
      </w:divBdr>
      <w:divsChild>
        <w:div w:id="1659074743">
          <w:marLeft w:val="0"/>
          <w:marRight w:val="0"/>
          <w:marTop w:val="0"/>
          <w:marBottom w:val="0"/>
          <w:divBdr>
            <w:top w:val="none" w:sz="0" w:space="0" w:color="auto"/>
            <w:left w:val="none" w:sz="0" w:space="0" w:color="auto"/>
            <w:bottom w:val="none" w:sz="0" w:space="0" w:color="auto"/>
            <w:right w:val="none" w:sz="0" w:space="0" w:color="auto"/>
          </w:divBdr>
        </w:div>
      </w:divsChild>
    </w:div>
    <w:div w:id="527069114">
      <w:marLeft w:val="0"/>
      <w:marRight w:val="0"/>
      <w:marTop w:val="0"/>
      <w:marBottom w:val="0"/>
      <w:divBdr>
        <w:top w:val="none" w:sz="0" w:space="0" w:color="auto"/>
        <w:left w:val="none" w:sz="0" w:space="0" w:color="auto"/>
        <w:bottom w:val="none" w:sz="0" w:space="0" w:color="auto"/>
        <w:right w:val="none" w:sz="0" w:space="0" w:color="auto"/>
      </w:divBdr>
    </w:div>
    <w:div w:id="537549102">
      <w:marLeft w:val="0"/>
      <w:marRight w:val="0"/>
      <w:marTop w:val="0"/>
      <w:marBottom w:val="0"/>
      <w:divBdr>
        <w:top w:val="none" w:sz="0" w:space="0" w:color="auto"/>
        <w:left w:val="none" w:sz="0" w:space="0" w:color="auto"/>
        <w:bottom w:val="none" w:sz="0" w:space="0" w:color="auto"/>
        <w:right w:val="none" w:sz="0" w:space="0" w:color="auto"/>
      </w:divBdr>
    </w:div>
    <w:div w:id="538274914">
      <w:marLeft w:val="0"/>
      <w:marRight w:val="0"/>
      <w:marTop w:val="0"/>
      <w:marBottom w:val="0"/>
      <w:divBdr>
        <w:top w:val="none" w:sz="0" w:space="0" w:color="auto"/>
        <w:left w:val="none" w:sz="0" w:space="0" w:color="auto"/>
        <w:bottom w:val="none" w:sz="0" w:space="0" w:color="auto"/>
        <w:right w:val="none" w:sz="0" w:space="0" w:color="auto"/>
      </w:divBdr>
    </w:div>
    <w:div w:id="541216277">
      <w:marLeft w:val="0"/>
      <w:marRight w:val="0"/>
      <w:marTop w:val="0"/>
      <w:marBottom w:val="0"/>
      <w:divBdr>
        <w:top w:val="none" w:sz="0" w:space="0" w:color="auto"/>
        <w:left w:val="none" w:sz="0" w:space="0" w:color="auto"/>
        <w:bottom w:val="none" w:sz="0" w:space="0" w:color="auto"/>
        <w:right w:val="none" w:sz="0" w:space="0" w:color="auto"/>
      </w:divBdr>
    </w:div>
    <w:div w:id="541407050">
      <w:marLeft w:val="0"/>
      <w:marRight w:val="0"/>
      <w:marTop w:val="0"/>
      <w:marBottom w:val="0"/>
      <w:divBdr>
        <w:top w:val="none" w:sz="0" w:space="0" w:color="auto"/>
        <w:left w:val="none" w:sz="0" w:space="0" w:color="auto"/>
        <w:bottom w:val="none" w:sz="0" w:space="0" w:color="auto"/>
        <w:right w:val="none" w:sz="0" w:space="0" w:color="auto"/>
      </w:divBdr>
    </w:div>
    <w:div w:id="544830933">
      <w:marLeft w:val="0"/>
      <w:marRight w:val="0"/>
      <w:marTop w:val="0"/>
      <w:marBottom w:val="120"/>
      <w:divBdr>
        <w:top w:val="none" w:sz="0" w:space="0" w:color="auto"/>
        <w:left w:val="none" w:sz="0" w:space="0" w:color="auto"/>
        <w:bottom w:val="none" w:sz="0" w:space="0" w:color="auto"/>
        <w:right w:val="none" w:sz="0" w:space="0" w:color="auto"/>
      </w:divBdr>
      <w:divsChild>
        <w:div w:id="1141772424">
          <w:marLeft w:val="0"/>
          <w:marRight w:val="0"/>
          <w:marTop w:val="0"/>
          <w:marBottom w:val="0"/>
          <w:divBdr>
            <w:top w:val="none" w:sz="0" w:space="0" w:color="auto"/>
            <w:left w:val="none" w:sz="0" w:space="0" w:color="auto"/>
            <w:bottom w:val="none" w:sz="0" w:space="0" w:color="auto"/>
            <w:right w:val="none" w:sz="0" w:space="0" w:color="auto"/>
          </w:divBdr>
        </w:div>
      </w:divsChild>
    </w:div>
    <w:div w:id="547692784">
      <w:marLeft w:val="0"/>
      <w:marRight w:val="0"/>
      <w:marTop w:val="0"/>
      <w:marBottom w:val="0"/>
      <w:divBdr>
        <w:top w:val="none" w:sz="0" w:space="0" w:color="auto"/>
        <w:left w:val="none" w:sz="0" w:space="0" w:color="auto"/>
        <w:bottom w:val="none" w:sz="0" w:space="0" w:color="auto"/>
        <w:right w:val="none" w:sz="0" w:space="0" w:color="auto"/>
      </w:divBdr>
    </w:div>
    <w:div w:id="554196460">
      <w:marLeft w:val="0"/>
      <w:marRight w:val="0"/>
      <w:marTop w:val="0"/>
      <w:marBottom w:val="120"/>
      <w:divBdr>
        <w:top w:val="none" w:sz="0" w:space="0" w:color="auto"/>
        <w:left w:val="none" w:sz="0" w:space="0" w:color="auto"/>
        <w:bottom w:val="none" w:sz="0" w:space="0" w:color="auto"/>
        <w:right w:val="none" w:sz="0" w:space="0" w:color="auto"/>
      </w:divBdr>
      <w:divsChild>
        <w:div w:id="1130123662">
          <w:marLeft w:val="0"/>
          <w:marRight w:val="0"/>
          <w:marTop w:val="0"/>
          <w:marBottom w:val="0"/>
          <w:divBdr>
            <w:top w:val="none" w:sz="0" w:space="0" w:color="auto"/>
            <w:left w:val="none" w:sz="0" w:space="0" w:color="auto"/>
            <w:bottom w:val="none" w:sz="0" w:space="0" w:color="auto"/>
            <w:right w:val="none" w:sz="0" w:space="0" w:color="auto"/>
          </w:divBdr>
        </w:div>
        <w:div w:id="1353531089">
          <w:marLeft w:val="0"/>
          <w:marRight w:val="0"/>
          <w:marTop w:val="0"/>
          <w:marBottom w:val="0"/>
          <w:divBdr>
            <w:top w:val="none" w:sz="0" w:space="0" w:color="auto"/>
            <w:left w:val="none" w:sz="0" w:space="0" w:color="auto"/>
            <w:bottom w:val="none" w:sz="0" w:space="0" w:color="auto"/>
            <w:right w:val="none" w:sz="0" w:space="0" w:color="auto"/>
          </w:divBdr>
        </w:div>
        <w:div w:id="1846700454">
          <w:marLeft w:val="0"/>
          <w:marRight w:val="0"/>
          <w:marTop w:val="0"/>
          <w:marBottom w:val="0"/>
          <w:divBdr>
            <w:top w:val="none" w:sz="0" w:space="0" w:color="auto"/>
            <w:left w:val="none" w:sz="0" w:space="0" w:color="auto"/>
            <w:bottom w:val="none" w:sz="0" w:space="0" w:color="auto"/>
            <w:right w:val="none" w:sz="0" w:space="0" w:color="auto"/>
          </w:divBdr>
        </w:div>
      </w:divsChild>
    </w:div>
    <w:div w:id="557668837">
      <w:marLeft w:val="0"/>
      <w:marRight w:val="0"/>
      <w:marTop w:val="0"/>
      <w:marBottom w:val="0"/>
      <w:divBdr>
        <w:top w:val="none" w:sz="0" w:space="0" w:color="auto"/>
        <w:left w:val="none" w:sz="0" w:space="0" w:color="auto"/>
        <w:bottom w:val="none" w:sz="0" w:space="0" w:color="auto"/>
        <w:right w:val="none" w:sz="0" w:space="0" w:color="auto"/>
      </w:divBdr>
    </w:div>
    <w:div w:id="563610940">
      <w:marLeft w:val="0"/>
      <w:marRight w:val="0"/>
      <w:marTop w:val="0"/>
      <w:marBottom w:val="0"/>
      <w:divBdr>
        <w:top w:val="none" w:sz="0" w:space="0" w:color="auto"/>
        <w:left w:val="none" w:sz="0" w:space="0" w:color="auto"/>
        <w:bottom w:val="none" w:sz="0" w:space="0" w:color="auto"/>
        <w:right w:val="none" w:sz="0" w:space="0" w:color="auto"/>
      </w:divBdr>
      <w:divsChild>
        <w:div w:id="1483765979">
          <w:marLeft w:val="0"/>
          <w:marRight w:val="0"/>
          <w:marTop w:val="0"/>
          <w:marBottom w:val="0"/>
          <w:divBdr>
            <w:top w:val="none" w:sz="0" w:space="0" w:color="auto"/>
            <w:left w:val="none" w:sz="0" w:space="0" w:color="auto"/>
            <w:bottom w:val="none" w:sz="0" w:space="0" w:color="auto"/>
            <w:right w:val="none" w:sz="0" w:space="0" w:color="auto"/>
          </w:divBdr>
        </w:div>
      </w:divsChild>
    </w:div>
    <w:div w:id="564797638">
      <w:marLeft w:val="0"/>
      <w:marRight w:val="0"/>
      <w:marTop w:val="0"/>
      <w:marBottom w:val="0"/>
      <w:divBdr>
        <w:top w:val="none" w:sz="0" w:space="0" w:color="auto"/>
        <w:left w:val="none" w:sz="0" w:space="0" w:color="auto"/>
        <w:bottom w:val="none" w:sz="0" w:space="0" w:color="auto"/>
        <w:right w:val="none" w:sz="0" w:space="0" w:color="auto"/>
      </w:divBdr>
    </w:div>
    <w:div w:id="564951427">
      <w:marLeft w:val="0"/>
      <w:marRight w:val="0"/>
      <w:marTop w:val="0"/>
      <w:marBottom w:val="0"/>
      <w:divBdr>
        <w:top w:val="none" w:sz="0" w:space="0" w:color="auto"/>
        <w:left w:val="none" w:sz="0" w:space="0" w:color="auto"/>
        <w:bottom w:val="none" w:sz="0" w:space="0" w:color="auto"/>
        <w:right w:val="none" w:sz="0" w:space="0" w:color="auto"/>
      </w:divBdr>
    </w:div>
    <w:div w:id="567694715">
      <w:marLeft w:val="0"/>
      <w:marRight w:val="0"/>
      <w:marTop w:val="0"/>
      <w:marBottom w:val="0"/>
      <w:divBdr>
        <w:top w:val="none" w:sz="0" w:space="0" w:color="auto"/>
        <w:left w:val="none" w:sz="0" w:space="0" w:color="auto"/>
        <w:bottom w:val="none" w:sz="0" w:space="0" w:color="auto"/>
        <w:right w:val="none" w:sz="0" w:space="0" w:color="auto"/>
      </w:divBdr>
    </w:div>
    <w:div w:id="572662651">
      <w:marLeft w:val="0"/>
      <w:marRight w:val="0"/>
      <w:marTop w:val="0"/>
      <w:marBottom w:val="0"/>
      <w:divBdr>
        <w:top w:val="none" w:sz="0" w:space="0" w:color="auto"/>
        <w:left w:val="none" w:sz="0" w:space="0" w:color="auto"/>
        <w:bottom w:val="none" w:sz="0" w:space="0" w:color="auto"/>
        <w:right w:val="none" w:sz="0" w:space="0" w:color="auto"/>
      </w:divBdr>
      <w:divsChild>
        <w:div w:id="2060472386">
          <w:marLeft w:val="0"/>
          <w:marRight w:val="0"/>
          <w:marTop w:val="0"/>
          <w:marBottom w:val="0"/>
          <w:divBdr>
            <w:top w:val="none" w:sz="0" w:space="0" w:color="auto"/>
            <w:left w:val="none" w:sz="0" w:space="0" w:color="auto"/>
            <w:bottom w:val="none" w:sz="0" w:space="0" w:color="auto"/>
            <w:right w:val="none" w:sz="0" w:space="0" w:color="auto"/>
          </w:divBdr>
        </w:div>
      </w:divsChild>
    </w:div>
    <w:div w:id="573466921">
      <w:marLeft w:val="0"/>
      <w:marRight w:val="0"/>
      <w:marTop w:val="0"/>
      <w:marBottom w:val="0"/>
      <w:divBdr>
        <w:top w:val="none" w:sz="0" w:space="0" w:color="auto"/>
        <w:left w:val="none" w:sz="0" w:space="0" w:color="auto"/>
        <w:bottom w:val="none" w:sz="0" w:space="0" w:color="auto"/>
        <w:right w:val="none" w:sz="0" w:space="0" w:color="auto"/>
      </w:divBdr>
    </w:div>
    <w:div w:id="574629893">
      <w:marLeft w:val="0"/>
      <w:marRight w:val="0"/>
      <w:marTop w:val="0"/>
      <w:marBottom w:val="0"/>
      <w:divBdr>
        <w:top w:val="none" w:sz="0" w:space="0" w:color="auto"/>
        <w:left w:val="none" w:sz="0" w:space="0" w:color="auto"/>
        <w:bottom w:val="none" w:sz="0" w:space="0" w:color="auto"/>
        <w:right w:val="none" w:sz="0" w:space="0" w:color="auto"/>
      </w:divBdr>
      <w:divsChild>
        <w:div w:id="1455828269">
          <w:marLeft w:val="0"/>
          <w:marRight w:val="0"/>
          <w:marTop w:val="0"/>
          <w:marBottom w:val="0"/>
          <w:divBdr>
            <w:top w:val="none" w:sz="0" w:space="0" w:color="auto"/>
            <w:left w:val="none" w:sz="0" w:space="0" w:color="auto"/>
            <w:bottom w:val="none" w:sz="0" w:space="0" w:color="auto"/>
            <w:right w:val="none" w:sz="0" w:space="0" w:color="auto"/>
          </w:divBdr>
        </w:div>
      </w:divsChild>
    </w:div>
    <w:div w:id="580408960">
      <w:marLeft w:val="0"/>
      <w:marRight w:val="0"/>
      <w:marTop w:val="0"/>
      <w:marBottom w:val="0"/>
      <w:divBdr>
        <w:top w:val="none" w:sz="0" w:space="0" w:color="auto"/>
        <w:left w:val="none" w:sz="0" w:space="0" w:color="auto"/>
        <w:bottom w:val="none" w:sz="0" w:space="0" w:color="auto"/>
        <w:right w:val="none" w:sz="0" w:space="0" w:color="auto"/>
      </w:divBdr>
      <w:divsChild>
        <w:div w:id="1057191">
          <w:marLeft w:val="0"/>
          <w:marRight w:val="0"/>
          <w:marTop w:val="0"/>
          <w:marBottom w:val="0"/>
          <w:divBdr>
            <w:top w:val="none" w:sz="0" w:space="0" w:color="auto"/>
            <w:left w:val="none" w:sz="0" w:space="0" w:color="auto"/>
            <w:bottom w:val="none" w:sz="0" w:space="0" w:color="auto"/>
            <w:right w:val="none" w:sz="0" w:space="0" w:color="auto"/>
          </w:divBdr>
        </w:div>
      </w:divsChild>
    </w:div>
    <w:div w:id="587543284">
      <w:marLeft w:val="0"/>
      <w:marRight w:val="0"/>
      <w:marTop w:val="0"/>
      <w:marBottom w:val="0"/>
      <w:divBdr>
        <w:top w:val="none" w:sz="0" w:space="0" w:color="auto"/>
        <w:left w:val="none" w:sz="0" w:space="0" w:color="auto"/>
        <w:bottom w:val="none" w:sz="0" w:space="0" w:color="auto"/>
        <w:right w:val="none" w:sz="0" w:space="0" w:color="auto"/>
      </w:divBdr>
      <w:divsChild>
        <w:div w:id="258369090">
          <w:marLeft w:val="0"/>
          <w:marRight w:val="0"/>
          <w:marTop w:val="0"/>
          <w:marBottom w:val="0"/>
          <w:divBdr>
            <w:top w:val="none" w:sz="0" w:space="0" w:color="auto"/>
            <w:left w:val="none" w:sz="0" w:space="0" w:color="auto"/>
            <w:bottom w:val="none" w:sz="0" w:space="0" w:color="auto"/>
            <w:right w:val="none" w:sz="0" w:space="0" w:color="auto"/>
          </w:divBdr>
        </w:div>
      </w:divsChild>
    </w:div>
    <w:div w:id="589698133">
      <w:marLeft w:val="0"/>
      <w:marRight w:val="0"/>
      <w:marTop w:val="0"/>
      <w:marBottom w:val="0"/>
      <w:divBdr>
        <w:top w:val="none" w:sz="0" w:space="0" w:color="auto"/>
        <w:left w:val="none" w:sz="0" w:space="0" w:color="auto"/>
        <w:bottom w:val="none" w:sz="0" w:space="0" w:color="auto"/>
        <w:right w:val="none" w:sz="0" w:space="0" w:color="auto"/>
      </w:divBdr>
    </w:div>
    <w:div w:id="592781158">
      <w:marLeft w:val="0"/>
      <w:marRight w:val="0"/>
      <w:marTop w:val="0"/>
      <w:marBottom w:val="0"/>
      <w:divBdr>
        <w:top w:val="none" w:sz="0" w:space="0" w:color="auto"/>
        <w:left w:val="none" w:sz="0" w:space="0" w:color="auto"/>
        <w:bottom w:val="none" w:sz="0" w:space="0" w:color="auto"/>
        <w:right w:val="none" w:sz="0" w:space="0" w:color="auto"/>
      </w:divBdr>
      <w:divsChild>
        <w:div w:id="46033932">
          <w:marLeft w:val="0"/>
          <w:marRight w:val="0"/>
          <w:marTop w:val="0"/>
          <w:marBottom w:val="0"/>
          <w:divBdr>
            <w:top w:val="none" w:sz="0" w:space="0" w:color="auto"/>
            <w:left w:val="none" w:sz="0" w:space="0" w:color="auto"/>
            <w:bottom w:val="none" w:sz="0" w:space="0" w:color="auto"/>
            <w:right w:val="none" w:sz="0" w:space="0" w:color="auto"/>
          </w:divBdr>
        </w:div>
      </w:divsChild>
    </w:div>
    <w:div w:id="596794173">
      <w:marLeft w:val="0"/>
      <w:marRight w:val="0"/>
      <w:marTop w:val="0"/>
      <w:marBottom w:val="0"/>
      <w:divBdr>
        <w:top w:val="none" w:sz="0" w:space="0" w:color="auto"/>
        <w:left w:val="none" w:sz="0" w:space="0" w:color="auto"/>
        <w:bottom w:val="none" w:sz="0" w:space="0" w:color="auto"/>
        <w:right w:val="none" w:sz="0" w:space="0" w:color="auto"/>
      </w:divBdr>
    </w:div>
    <w:div w:id="598757434">
      <w:marLeft w:val="0"/>
      <w:marRight w:val="0"/>
      <w:marTop w:val="0"/>
      <w:marBottom w:val="0"/>
      <w:divBdr>
        <w:top w:val="none" w:sz="0" w:space="0" w:color="auto"/>
        <w:left w:val="none" w:sz="0" w:space="0" w:color="auto"/>
        <w:bottom w:val="none" w:sz="0" w:space="0" w:color="auto"/>
        <w:right w:val="none" w:sz="0" w:space="0" w:color="auto"/>
      </w:divBdr>
    </w:div>
    <w:div w:id="612369510">
      <w:marLeft w:val="0"/>
      <w:marRight w:val="0"/>
      <w:marTop w:val="0"/>
      <w:marBottom w:val="0"/>
      <w:divBdr>
        <w:top w:val="none" w:sz="0" w:space="0" w:color="auto"/>
        <w:left w:val="none" w:sz="0" w:space="0" w:color="auto"/>
        <w:bottom w:val="none" w:sz="0" w:space="0" w:color="auto"/>
        <w:right w:val="none" w:sz="0" w:space="0" w:color="auto"/>
      </w:divBdr>
      <w:divsChild>
        <w:div w:id="1092971822">
          <w:marLeft w:val="0"/>
          <w:marRight w:val="0"/>
          <w:marTop w:val="0"/>
          <w:marBottom w:val="0"/>
          <w:divBdr>
            <w:top w:val="none" w:sz="0" w:space="0" w:color="auto"/>
            <w:left w:val="none" w:sz="0" w:space="0" w:color="auto"/>
            <w:bottom w:val="none" w:sz="0" w:space="0" w:color="auto"/>
            <w:right w:val="none" w:sz="0" w:space="0" w:color="auto"/>
          </w:divBdr>
          <w:divsChild>
            <w:div w:id="5547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7129">
      <w:marLeft w:val="0"/>
      <w:marRight w:val="0"/>
      <w:marTop w:val="0"/>
      <w:marBottom w:val="120"/>
      <w:divBdr>
        <w:top w:val="none" w:sz="0" w:space="0" w:color="auto"/>
        <w:left w:val="none" w:sz="0" w:space="0" w:color="auto"/>
        <w:bottom w:val="none" w:sz="0" w:space="0" w:color="auto"/>
        <w:right w:val="none" w:sz="0" w:space="0" w:color="auto"/>
      </w:divBdr>
    </w:div>
    <w:div w:id="613513416">
      <w:marLeft w:val="0"/>
      <w:marRight w:val="0"/>
      <w:marTop w:val="0"/>
      <w:marBottom w:val="0"/>
      <w:divBdr>
        <w:top w:val="none" w:sz="0" w:space="0" w:color="auto"/>
        <w:left w:val="none" w:sz="0" w:space="0" w:color="auto"/>
        <w:bottom w:val="none" w:sz="0" w:space="0" w:color="auto"/>
        <w:right w:val="none" w:sz="0" w:space="0" w:color="auto"/>
      </w:divBdr>
    </w:div>
    <w:div w:id="624194030">
      <w:marLeft w:val="0"/>
      <w:marRight w:val="0"/>
      <w:marTop w:val="0"/>
      <w:marBottom w:val="120"/>
      <w:divBdr>
        <w:top w:val="none" w:sz="0" w:space="0" w:color="auto"/>
        <w:left w:val="none" w:sz="0" w:space="0" w:color="auto"/>
        <w:bottom w:val="none" w:sz="0" w:space="0" w:color="auto"/>
        <w:right w:val="none" w:sz="0" w:space="0" w:color="auto"/>
      </w:divBdr>
    </w:div>
    <w:div w:id="632753014">
      <w:marLeft w:val="0"/>
      <w:marRight w:val="0"/>
      <w:marTop w:val="0"/>
      <w:marBottom w:val="0"/>
      <w:divBdr>
        <w:top w:val="none" w:sz="0" w:space="0" w:color="auto"/>
        <w:left w:val="none" w:sz="0" w:space="0" w:color="auto"/>
        <w:bottom w:val="none" w:sz="0" w:space="0" w:color="auto"/>
        <w:right w:val="none" w:sz="0" w:space="0" w:color="auto"/>
      </w:divBdr>
      <w:divsChild>
        <w:div w:id="624235629">
          <w:marLeft w:val="0"/>
          <w:marRight w:val="0"/>
          <w:marTop w:val="0"/>
          <w:marBottom w:val="0"/>
          <w:divBdr>
            <w:top w:val="none" w:sz="0" w:space="0" w:color="auto"/>
            <w:left w:val="none" w:sz="0" w:space="0" w:color="auto"/>
            <w:bottom w:val="none" w:sz="0" w:space="0" w:color="auto"/>
            <w:right w:val="none" w:sz="0" w:space="0" w:color="auto"/>
          </w:divBdr>
        </w:div>
      </w:divsChild>
    </w:div>
    <w:div w:id="644312938">
      <w:marLeft w:val="0"/>
      <w:marRight w:val="0"/>
      <w:marTop w:val="0"/>
      <w:marBottom w:val="0"/>
      <w:divBdr>
        <w:top w:val="none" w:sz="0" w:space="0" w:color="auto"/>
        <w:left w:val="none" w:sz="0" w:space="0" w:color="auto"/>
        <w:bottom w:val="none" w:sz="0" w:space="0" w:color="auto"/>
        <w:right w:val="none" w:sz="0" w:space="0" w:color="auto"/>
      </w:divBdr>
    </w:div>
    <w:div w:id="654993243">
      <w:marLeft w:val="0"/>
      <w:marRight w:val="0"/>
      <w:marTop w:val="0"/>
      <w:marBottom w:val="0"/>
      <w:divBdr>
        <w:top w:val="none" w:sz="0" w:space="0" w:color="auto"/>
        <w:left w:val="none" w:sz="0" w:space="0" w:color="auto"/>
        <w:bottom w:val="none" w:sz="0" w:space="0" w:color="auto"/>
        <w:right w:val="none" w:sz="0" w:space="0" w:color="auto"/>
      </w:divBdr>
      <w:divsChild>
        <w:div w:id="1693989436">
          <w:marLeft w:val="0"/>
          <w:marRight w:val="0"/>
          <w:marTop w:val="0"/>
          <w:marBottom w:val="0"/>
          <w:divBdr>
            <w:top w:val="none" w:sz="0" w:space="0" w:color="auto"/>
            <w:left w:val="none" w:sz="0" w:space="0" w:color="auto"/>
            <w:bottom w:val="none" w:sz="0" w:space="0" w:color="auto"/>
            <w:right w:val="none" w:sz="0" w:space="0" w:color="auto"/>
          </w:divBdr>
        </w:div>
      </w:divsChild>
    </w:div>
    <w:div w:id="655456487">
      <w:marLeft w:val="0"/>
      <w:marRight w:val="0"/>
      <w:marTop w:val="0"/>
      <w:marBottom w:val="0"/>
      <w:divBdr>
        <w:top w:val="none" w:sz="0" w:space="0" w:color="auto"/>
        <w:left w:val="none" w:sz="0" w:space="0" w:color="auto"/>
        <w:bottom w:val="none" w:sz="0" w:space="0" w:color="auto"/>
        <w:right w:val="none" w:sz="0" w:space="0" w:color="auto"/>
      </w:divBdr>
    </w:div>
    <w:div w:id="656148800">
      <w:marLeft w:val="0"/>
      <w:marRight w:val="0"/>
      <w:marTop w:val="0"/>
      <w:marBottom w:val="0"/>
      <w:divBdr>
        <w:top w:val="none" w:sz="0" w:space="0" w:color="auto"/>
        <w:left w:val="none" w:sz="0" w:space="0" w:color="auto"/>
        <w:bottom w:val="none" w:sz="0" w:space="0" w:color="auto"/>
        <w:right w:val="none" w:sz="0" w:space="0" w:color="auto"/>
      </w:divBdr>
    </w:div>
    <w:div w:id="658391431">
      <w:marLeft w:val="0"/>
      <w:marRight w:val="0"/>
      <w:marTop w:val="0"/>
      <w:marBottom w:val="0"/>
      <w:divBdr>
        <w:top w:val="none" w:sz="0" w:space="0" w:color="auto"/>
        <w:left w:val="none" w:sz="0" w:space="0" w:color="auto"/>
        <w:bottom w:val="none" w:sz="0" w:space="0" w:color="auto"/>
        <w:right w:val="none" w:sz="0" w:space="0" w:color="auto"/>
      </w:divBdr>
      <w:divsChild>
        <w:div w:id="1756658881">
          <w:marLeft w:val="0"/>
          <w:marRight w:val="0"/>
          <w:marTop w:val="0"/>
          <w:marBottom w:val="0"/>
          <w:divBdr>
            <w:top w:val="none" w:sz="0" w:space="0" w:color="auto"/>
            <w:left w:val="none" w:sz="0" w:space="0" w:color="auto"/>
            <w:bottom w:val="none" w:sz="0" w:space="0" w:color="auto"/>
            <w:right w:val="none" w:sz="0" w:space="0" w:color="auto"/>
          </w:divBdr>
        </w:div>
      </w:divsChild>
    </w:div>
    <w:div w:id="662271194">
      <w:marLeft w:val="0"/>
      <w:marRight w:val="0"/>
      <w:marTop w:val="0"/>
      <w:marBottom w:val="0"/>
      <w:divBdr>
        <w:top w:val="none" w:sz="0" w:space="0" w:color="auto"/>
        <w:left w:val="none" w:sz="0" w:space="0" w:color="auto"/>
        <w:bottom w:val="none" w:sz="0" w:space="0" w:color="auto"/>
        <w:right w:val="none" w:sz="0" w:space="0" w:color="auto"/>
      </w:divBdr>
      <w:divsChild>
        <w:div w:id="120880635">
          <w:marLeft w:val="0"/>
          <w:marRight w:val="0"/>
          <w:marTop w:val="0"/>
          <w:marBottom w:val="0"/>
          <w:divBdr>
            <w:top w:val="none" w:sz="0" w:space="0" w:color="auto"/>
            <w:left w:val="none" w:sz="0" w:space="0" w:color="auto"/>
            <w:bottom w:val="none" w:sz="0" w:space="0" w:color="auto"/>
            <w:right w:val="none" w:sz="0" w:space="0" w:color="auto"/>
          </w:divBdr>
        </w:div>
      </w:divsChild>
    </w:div>
    <w:div w:id="662316742">
      <w:marLeft w:val="0"/>
      <w:marRight w:val="0"/>
      <w:marTop w:val="0"/>
      <w:marBottom w:val="0"/>
      <w:divBdr>
        <w:top w:val="none" w:sz="0" w:space="0" w:color="auto"/>
        <w:left w:val="none" w:sz="0" w:space="0" w:color="auto"/>
        <w:bottom w:val="none" w:sz="0" w:space="0" w:color="auto"/>
        <w:right w:val="none" w:sz="0" w:space="0" w:color="auto"/>
      </w:divBdr>
    </w:div>
    <w:div w:id="663750922">
      <w:marLeft w:val="0"/>
      <w:marRight w:val="0"/>
      <w:marTop w:val="0"/>
      <w:marBottom w:val="0"/>
      <w:divBdr>
        <w:top w:val="none" w:sz="0" w:space="0" w:color="auto"/>
        <w:left w:val="none" w:sz="0" w:space="0" w:color="auto"/>
        <w:bottom w:val="none" w:sz="0" w:space="0" w:color="auto"/>
        <w:right w:val="none" w:sz="0" w:space="0" w:color="auto"/>
      </w:divBdr>
      <w:divsChild>
        <w:div w:id="1115716708">
          <w:marLeft w:val="0"/>
          <w:marRight w:val="0"/>
          <w:marTop w:val="0"/>
          <w:marBottom w:val="0"/>
          <w:divBdr>
            <w:top w:val="none" w:sz="0" w:space="0" w:color="auto"/>
            <w:left w:val="none" w:sz="0" w:space="0" w:color="auto"/>
            <w:bottom w:val="none" w:sz="0" w:space="0" w:color="auto"/>
            <w:right w:val="none" w:sz="0" w:space="0" w:color="auto"/>
          </w:divBdr>
        </w:div>
      </w:divsChild>
    </w:div>
    <w:div w:id="667946201">
      <w:marLeft w:val="0"/>
      <w:marRight w:val="0"/>
      <w:marTop w:val="0"/>
      <w:marBottom w:val="120"/>
      <w:divBdr>
        <w:top w:val="none" w:sz="0" w:space="0" w:color="auto"/>
        <w:left w:val="none" w:sz="0" w:space="0" w:color="auto"/>
        <w:bottom w:val="none" w:sz="0" w:space="0" w:color="auto"/>
        <w:right w:val="none" w:sz="0" w:space="0" w:color="auto"/>
      </w:divBdr>
      <w:divsChild>
        <w:div w:id="1898466150">
          <w:marLeft w:val="0"/>
          <w:marRight w:val="0"/>
          <w:marTop w:val="0"/>
          <w:marBottom w:val="0"/>
          <w:divBdr>
            <w:top w:val="none" w:sz="0" w:space="0" w:color="auto"/>
            <w:left w:val="none" w:sz="0" w:space="0" w:color="auto"/>
            <w:bottom w:val="none" w:sz="0" w:space="0" w:color="auto"/>
            <w:right w:val="none" w:sz="0" w:space="0" w:color="auto"/>
          </w:divBdr>
        </w:div>
        <w:div w:id="868567171">
          <w:marLeft w:val="0"/>
          <w:marRight w:val="0"/>
          <w:marTop w:val="0"/>
          <w:marBottom w:val="0"/>
          <w:divBdr>
            <w:top w:val="none" w:sz="0" w:space="0" w:color="auto"/>
            <w:left w:val="none" w:sz="0" w:space="0" w:color="auto"/>
            <w:bottom w:val="none" w:sz="0" w:space="0" w:color="auto"/>
            <w:right w:val="none" w:sz="0" w:space="0" w:color="auto"/>
          </w:divBdr>
        </w:div>
        <w:div w:id="1712150505">
          <w:marLeft w:val="0"/>
          <w:marRight w:val="0"/>
          <w:marTop w:val="0"/>
          <w:marBottom w:val="0"/>
          <w:divBdr>
            <w:top w:val="none" w:sz="0" w:space="0" w:color="auto"/>
            <w:left w:val="none" w:sz="0" w:space="0" w:color="auto"/>
            <w:bottom w:val="none" w:sz="0" w:space="0" w:color="auto"/>
            <w:right w:val="none" w:sz="0" w:space="0" w:color="auto"/>
          </w:divBdr>
        </w:div>
        <w:div w:id="917179160">
          <w:marLeft w:val="0"/>
          <w:marRight w:val="0"/>
          <w:marTop w:val="0"/>
          <w:marBottom w:val="0"/>
          <w:divBdr>
            <w:top w:val="none" w:sz="0" w:space="0" w:color="auto"/>
            <w:left w:val="none" w:sz="0" w:space="0" w:color="auto"/>
            <w:bottom w:val="none" w:sz="0" w:space="0" w:color="auto"/>
            <w:right w:val="none" w:sz="0" w:space="0" w:color="auto"/>
          </w:divBdr>
        </w:div>
        <w:div w:id="300354609">
          <w:marLeft w:val="0"/>
          <w:marRight w:val="0"/>
          <w:marTop w:val="0"/>
          <w:marBottom w:val="0"/>
          <w:divBdr>
            <w:top w:val="none" w:sz="0" w:space="0" w:color="auto"/>
            <w:left w:val="none" w:sz="0" w:space="0" w:color="auto"/>
            <w:bottom w:val="none" w:sz="0" w:space="0" w:color="auto"/>
            <w:right w:val="none" w:sz="0" w:space="0" w:color="auto"/>
          </w:divBdr>
        </w:div>
        <w:div w:id="1109085895">
          <w:marLeft w:val="0"/>
          <w:marRight w:val="0"/>
          <w:marTop w:val="0"/>
          <w:marBottom w:val="0"/>
          <w:divBdr>
            <w:top w:val="none" w:sz="0" w:space="0" w:color="auto"/>
            <w:left w:val="none" w:sz="0" w:space="0" w:color="auto"/>
            <w:bottom w:val="none" w:sz="0" w:space="0" w:color="auto"/>
            <w:right w:val="none" w:sz="0" w:space="0" w:color="auto"/>
          </w:divBdr>
        </w:div>
        <w:div w:id="1432048381">
          <w:marLeft w:val="0"/>
          <w:marRight w:val="0"/>
          <w:marTop w:val="0"/>
          <w:marBottom w:val="0"/>
          <w:divBdr>
            <w:top w:val="none" w:sz="0" w:space="0" w:color="auto"/>
            <w:left w:val="none" w:sz="0" w:space="0" w:color="auto"/>
            <w:bottom w:val="none" w:sz="0" w:space="0" w:color="auto"/>
            <w:right w:val="none" w:sz="0" w:space="0" w:color="auto"/>
          </w:divBdr>
        </w:div>
        <w:div w:id="1623535690">
          <w:marLeft w:val="0"/>
          <w:marRight w:val="0"/>
          <w:marTop w:val="0"/>
          <w:marBottom w:val="0"/>
          <w:divBdr>
            <w:top w:val="none" w:sz="0" w:space="0" w:color="auto"/>
            <w:left w:val="none" w:sz="0" w:space="0" w:color="auto"/>
            <w:bottom w:val="none" w:sz="0" w:space="0" w:color="auto"/>
            <w:right w:val="none" w:sz="0" w:space="0" w:color="auto"/>
          </w:divBdr>
        </w:div>
        <w:div w:id="669329270">
          <w:marLeft w:val="0"/>
          <w:marRight w:val="0"/>
          <w:marTop w:val="0"/>
          <w:marBottom w:val="0"/>
          <w:divBdr>
            <w:top w:val="none" w:sz="0" w:space="0" w:color="auto"/>
            <w:left w:val="none" w:sz="0" w:space="0" w:color="auto"/>
            <w:bottom w:val="none" w:sz="0" w:space="0" w:color="auto"/>
            <w:right w:val="none" w:sz="0" w:space="0" w:color="auto"/>
          </w:divBdr>
        </w:div>
        <w:div w:id="2131587573">
          <w:marLeft w:val="0"/>
          <w:marRight w:val="0"/>
          <w:marTop w:val="0"/>
          <w:marBottom w:val="0"/>
          <w:divBdr>
            <w:top w:val="none" w:sz="0" w:space="0" w:color="auto"/>
            <w:left w:val="none" w:sz="0" w:space="0" w:color="auto"/>
            <w:bottom w:val="none" w:sz="0" w:space="0" w:color="auto"/>
            <w:right w:val="none" w:sz="0" w:space="0" w:color="auto"/>
          </w:divBdr>
        </w:div>
        <w:div w:id="1883177026">
          <w:marLeft w:val="0"/>
          <w:marRight w:val="0"/>
          <w:marTop w:val="0"/>
          <w:marBottom w:val="0"/>
          <w:divBdr>
            <w:top w:val="none" w:sz="0" w:space="0" w:color="auto"/>
            <w:left w:val="none" w:sz="0" w:space="0" w:color="auto"/>
            <w:bottom w:val="none" w:sz="0" w:space="0" w:color="auto"/>
            <w:right w:val="none" w:sz="0" w:space="0" w:color="auto"/>
          </w:divBdr>
        </w:div>
        <w:div w:id="2088645078">
          <w:marLeft w:val="0"/>
          <w:marRight w:val="0"/>
          <w:marTop w:val="0"/>
          <w:marBottom w:val="0"/>
          <w:divBdr>
            <w:top w:val="none" w:sz="0" w:space="0" w:color="auto"/>
            <w:left w:val="none" w:sz="0" w:space="0" w:color="auto"/>
            <w:bottom w:val="none" w:sz="0" w:space="0" w:color="auto"/>
            <w:right w:val="none" w:sz="0" w:space="0" w:color="auto"/>
          </w:divBdr>
        </w:div>
        <w:div w:id="1682050567">
          <w:marLeft w:val="0"/>
          <w:marRight w:val="0"/>
          <w:marTop w:val="0"/>
          <w:marBottom w:val="0"/>
          <w:divBdr>
            <w:top w:val="none" w:sz="0" w:space="0" w:color="auto"/>
            <w:left w:val="none" w:sz="0" w:space="0" w:color="auto"/>
            <w:bottom w:val="none" w:sz="0" w:space="0" w:color="auto"/>
            <w:right w:val="none" w:sz="0" w:space="0" w:color="auto"/>
          </w:divBdr>
        </w:div>
        <w:div w:id="789203173">
          <w:marLeft w:val="0"/>
          <w:marRight w:val="0"/>
          <w:marTop w:val="0"/>
          <w:marBottom w:val="0"/>
          <w:divBdr>
            <w:top w:val="none" w:sz="0" w:space="0" w:color="auto"/>
            <w:left w:val="none" w:sz="0" w:space="0" w:color="auto"/>
            <w:bottom w:val="none" w:sz="0" w:space="0" w:color="auto"/>
            <w:right w:val="none" w:sz="0" w:space="0" w:color="auto"/>
          </w:divBdr>
        </w:div>
        <w:div w:id="627324353">
          <w:marLeft w:val="0"/>
          <w:marRight w:val="0"/>
          <w:marTop w:val="0"/>
          <w:marBottom w:val="0"/>
          <w:divBdr>
            <w:top w:val="none" w:sz="0" w:space="0" w:color="auto"/>
            <w:left w:val="none" w:sz="0" w:space="0" w:color="auto"/>
            <w:bottom w:val="none" w:sz="0" w:space="0" w:color="auto"/>
            <w:right w:val="none" w:sz="0" w:space="0" w:color="auto"/>
          </w:divBdr>
        </w:div>
        <w:div w:id="1340623622">
          <w:marLeft w:val="0"/>
          <w:marRight w:val="0"/>
          <w:marTop w:val="0"/>
          <w:marBottom w:val="0"/>
          <w:divBdr>
            <w:top w:val="none" w:sz="0" w:space="0" w:color="auto"/>
            <w:left w:val="none" w:sz="0" w:space="0" w:color="auto"/>
            <w:bottom w:val="none" w:sz="0" w:space="0" w:color="auto"/>
            <w:right w:val="none" w:sz="0" w:space="0" w:color="auto"/>
          </w:divBdr>
        </w:div>
        <w:div w:id="845634161">
          <w:marLeft w:val="0"/>
          <w:marRight w:val="0"/>
          <w:marTop w:val="0"/>
          <w:marBottom w:val="0"/>
          <w:divBdr>
            <w:top w:val="none" w:sz="0" w:space="0" w:color="auto"/>
            <w:left w:val="none" w:sz="0" w:space="0" w:color="auto"/>
            <w:bottom w:val="none" w:sz="0" w:space="0" w:color="auto"/>
            <w:right w:val="none" w:sz="0" w:space="0" w:color="auto"/>
          </w:divBdr>
        </w:div>
        <w:div w:id="1122767034">
          <w:marLeft w:val="0"/>
          <w:marRight w:val="0"/>
          <w:marTop w:val="0"/>
          <w:marBottom w:val="0"/>
          <w:divBdr>
            <w:top w:val="none" w:sz="0" w:space="0" w:color="auto"/>
            <w:left w:val="none" w:sz="0" w:space="0" w:color="auto"/>
            <w:bottom w:val="none" w:sz="0" w:space="0" w:color="auto"/>
            <w:right w:val="none" w:sz="0" w:space="0" w:color="auto"/>
          </w:divBdr>
        </w:div>
        <w:div w:id="1044674977">
          <w:marLeft w:val="0"/>
          <w:marRight w:val="0"/>
          <w:marTop w:val="0"/>
          <w:marBottom w:val="0"/>
          <w:divBdr>
            <w:top w:val="none" w:sz="0" w:space="0" w:color="auto"/>
            <w:left w:val="none" w:sz="0" w:space="0" w:color="auto"/>
            <w:bottom w:val="none" w:sz="0" w:space="0" w:color="auto"/>
            <w:right w:val="none" w:sz="0" w:space="0" w:color="auto"/>
          </w:divBdr>
        </w:div>
        <w:div w:id="1388340197">
          <w:marLeft w:val="0"/>
          <w:marRight w:val="0"/>
          <w:marTop w:val="0"/>
          <w:marBottom w:val="0"/>
          <w:divBdr>
            <w:top w:val="none" w:sz="0" w:space="0" w:color="auto"/>
            <w:left w:val="none" w:sz="0" w:space="0" w:color="auto"/>
            <w:bottom w:val="none" w:sz="0" w:space="0" w:color="auto"/>
            <w:right w:val="none" w:sz="0" w:space="0" w:color="auto"/>
          </w:divBdr>
        </w:div>
        <w:div w:id="1843542015">
          <w:marLeft w:val="0"/>
          <w:marRight w:val="0"/>
          <w:marTop w:val="0"/>
          <w:marBottom w:val="0"/>
          <w:divBdr>
            <w:top w:val="none" w:sz="0" w:space="0" w:color="auto"/>
            <w:left w:val="none" w:sz="0" w:space="0" w:color="auto"/>
            <w:bottom w:val="none" w:sz="0" w:space="0" w:color="auto"/>
            <w:right w:val="none" w:sz="0" w:space="0" w:color="auto"/>
          </w:divBdr>
        </w:div>
        <w:div w:id="1237667318">
          <w:marLeft w:val="0"/>
          <w:marRight w:val="0"/>
          <w:marTop w:val="0"/>
          <w:marBottom w:val="0"/>
          <w:divBdr>
            <w:top w:val="none" w:sz="0" w:space="0" w:color="auto"/>
            <w:left w:val="none" w:sz="0" w:space="0" w:color="auto"/>
            <w:bottom w:val="none" w:sz="0" w:space="0" w:color="auto"/>
            <w:right w:val="none" w:sz="0" w:space="0" w:color="auto"/>
          </w:divBdr>
        </w:div>
        <w:div w:id="2138452239">
          <w:marLeft w:val="0"/>
          <w:marRight w:val="0"/>
          <w:marTop w:val="0"/>
          <w:marBottom w:val="0"/>
          <w:divBdr>
            <w:top w:val="none" w:sz="0" w:space="0" w:color="auto"/>
            <w:left w:val="none" w:sz="0" w:space="0" w:color="auto"/>
            <w:bottom w:val="none" w:sz="0" w:space="0" w:color="auto"/>
            <w:right w:val="none" w:sz="0" w:space="0" w:color="auto"/>
          </w:divBdr>
        </w:div>
      </w:divsChild>
    </w:div>
    <w:div w:id="668363141">
      <w:marLeft w:val="0"/>
      <w:marRight w:val="0"/>
      <w:marTop w:val="0"/>
      <w:marBottom w:val="0"/>
      <w:divBdr>
        <w:top w:val="none" w:sz="0" w:space="0" w:color="auto"/>
        <w:left w:val="none" w:sz="0" w:space="0" w:color="auto"/>
        <w:bottom w:val="none" w:sz="0" w:space="0" w:color="auto"/>
        <w:right w:val="none" w:sz="0" w:space="0" w:color="auto"/>
      </w:divBdr>
      <w:divsChild>
        <w:div w:id="1835757423">
          <w:marLeft w:val="0"/>
          <w:marRight w:val="0"/>
          <w:marTop w:val="0"/>
          <w:marBottom w:val="0"/>
          <w:divBdr>
            <w:top w:val="none" w:sz="0" w:space="0" w:color="auto"/>
            <w:left w:val="none" w:sz="0" w:space="0" w:color="auto"/>
            <w:bottom w:val="none" w:sz="0" w:space="0" w:color="auto"/>
            <w:right w:val="none" w:sz="0" w:space="0" w:color="auto"/>
          </w:divBdr>
        </w:div>
      </w:divsChild>
    </w:div>
    <w:div w:id="669597832">
      <w:marLeft w:val="0"/>
      <w:marRight w:val="0"/>
      <w:marTop w:val="0"/>
      <w:marBottom w:val="0"/>
      <w:divBdr>
        <w:top w:val="none" w:sz="0" w:space="0" w:color="auto"/>
        <w:left w:val="none" w:sz="0" w:space="0" w:color="auto"/>
        <w:bottom w:val="none" w:sz="0" w:space="0" w:color="auto"/>
        <w:right w:val="none" w:sz="0" w:space="0" w:color="auto"/>
      </w:divBdr>
    </w:div>
    <w:div w:id="673411084">
      <w:marLeft w:val="0"/>
      <w:marRight w:val="0"/>
      <w:marTop w:val="0"/>
      <w:marBottom w:val="0"/>
      <w:divBdr>
        <w:top w:val="none" w:sz="0" w:space="0" w:color="auto"/>
        <w:left w:val="none" w:sz="0" w:space="0" w:color="auto"/>
        <w:bottom w:val="none" w:sz="0" w:space="0" w:color="auto"/>
        <w:right w:val="none" w:sz="0" w:space="0" w:color="auto"/>
      </w:divBdr>
      <w:divsChild>
        <w:div w:id="1351838809">
          <w:marLeft w:val="0"/>
          <w:marRight w:val="0"/>
          <w:marTop w:val="0"/>
          <w:marBottom w:val="0"/>
          <w:divBdr>
            <w:top w:val="none" w:sz="0" w:space="0" w:color="auto"/>
            <w:left w:val="none" w:sz="0" w:space="0" w:color="auto"/>
            <w:bottom w:val="none" w:sz="0" w:space="0" w:color="auto"/>
            <w:right w:val="none" w:sz="0" w:space="0" w:color="auto"/>
          </w:divBdr>
        </w:div>
      </w:divsChild>
    </w:div>
    <w:div w:id="674573042">
      <w:marLeft w:val="0"/>
      <w:marRight w:val="0"/>
      <w:marTop w:val="0"/>
      <w:marBottom w:val="120"/>
      <w:divBdr>
        <w:top w:val="none" w:sz="0" w:space="0" w:color="auto"/>
        <w:left w:val="none" w:sz="0" w:space="0" w:color="auto"/>
        <w:bottom w:val="none" w:sz="0" w:space="0" w:color="auto"/>
        <w:right w:val="none" w:sz="0" w:space="0" w:color="auto"/>
      </w:divBdr>
    </w:div>
    <w:div w:id="675349542">
      <w:marLeft w:val="0"/>
      <w:marRight w:val="0"/>
      <w:marTop w:val="0"/>
      <w:marBottom w:val="0"/>
      <w:divBdr>
        <w:top w:val="none" w:sz="0" w:space="0" w:color="auto"/>
        <w:left w:val="none" w:sz="0" w:space="0" w:color="auto"/>
        <w:bottom w:val="none" w:sz="0" w:space="0" w:color="auto"/>
        <w:right w:val="none" w:sz="0" w:space="0" w:color="auto"/>
      </w:divBdr>
      <w:divsChild>
        <w:div w:id="2071878276">
          <w:marLeft w:val="0"/>
          <w:marRight w:val="0"/>
          <w:marTop w:val="0"/>
          <w:marBottom w:val="0"/>
          <w:divBdr>
            <w:top w:val="none" w:sz="0" w:space="0" w:color="auto"/>
            <w:left w:val="none" w:sz="0" w:space="0" w:color="auto"/>
            <w:bottom w:val="none" w:sz="0" w:space="0" w:color="auto"/>
            <w:right w:val="none" w:sz="0" w:space="0" w:color="auto"/>
          </w:divBdr>
        </w:div>
      </w:divsChild>
    </w:div>
    <w:div w:id="675376825">
      <w:marLeft w:val="0"/>
      <w:marRight w:val="0"/>
      <w:marTop w:val="0"/>
      <w:marBottom w:val="120"/>
      <w:divBdr>
        <w:top w:val="none" w:sz="0" w:space="0" w:color="auto"/>
        <w:left w:val="none" w:sz="0" w:space="0" w:color="auto"/>
        <w:bottom w:val="none" w:sz="0" w:space="0" w:color="auto"/>
        <w:right w:val="none" w:sz="0" w:space="0" w:color="auto"/>
      </w:divBdr>
    </w:div>
    <w:div w:id="677584634">
      <w:marLeft w:val="0"/>
      <w:marRight w:val="0"/>
      <w:marTop w:val="0"/>
      <w:marBottom w:val="0"/>
      <w:divBdr>
        <w:top w:val="none" w:sz="0" w:space="0" w:color="auto"/>
        <w:left w:val="none" w:sz="0" w:space="0" w:color="auto"/>
        <w:bottom w:val="none" w:sz="0" w:space="0" w:color="auto"/>
        <w:right w:val="none" w:sz="0" w:space="0" w:color="auto"/>
      </w:divBdr>
    </w:div>
    <w:div w:id="681131654">
      <w:marLeft w:val="0"/>
      <w:marRight w:val="0"/>
      <w:marTop w:val="0"/>
      <w:marBottom w:val="120"/>
      <w:divBdr>
        <w:top w:val="none" w:sz="0" w:space="0" w:color="auto"/>
        <w:left w:val="none" w:sz="0" w:space="0" w:color="auto"/>
        <w:bottom w:val="none" w:sz="0" w:space="0" w:color="auto"/>
        <w:right w:val="none" w:sz="0" w:space="0" w:color="auto"/>
      </w:divBdr>
    </w:div>
    <w:div w:id="683744243">
      <w:marLeft w:val="0"/>
      <w:marRight w:val="0"/>
      <w:marTop w:val="0"/>
      <w:marBottom w:val="0"/>
      <w:divBdr>
        <w:top w:val="none" w:sz="0" w:space="0" w:color="auto"/>
        <w:left w:val="none" w:sz="0" w:space="0" w:color="auto"/>
        <w:bottom w:val="none" w:sz="0" w:space="0" w:color="auto"/>
        <w:right w:val="none" w:sz="0" w:space="0" w:color="auto"/>
      </w:divBdr>
    </w:div>
    <w:div w:id="689720929">
      <w:marLeft w:val="0"/>
      <w:marRight w:val="0"/>
      <w:marTop w:val="0"/>
      <w:marBottom w:val="0"/>
      <w:divBdr>
        <w:top w:val="none" w:sz="0" w:space="0" w:color="auto"/>
        <w:left w:val="none" w:sz="0" w:space="0" w:color="auto"/>
        <w:bottom w:val="none" w:sz="0" w:space="0" w:color="auto"/>
        <w:right w:val="none" w:sz="0" w:space="0" w:color="auto"/>
      </w:divBdr>
      <w:divsChild>
        <w:div w:id="807285344">
          <w:marLeft w:val="0"/>
          <w:marRight w:val="0"/>
          <w:marTop w:val="0"/>
          <w:marBottom w:val="0"/>
          <w:divBdr>
            <w:top w:val="none" w:sz="0" w:space="0" w:color="auto"/>
            <w:left w:val="none" w:sz="0" w:space="0" w:color="auto"/>
            <w:bottom w:val="none" w:sz="0" w:space="0" w:color="auto"/>
            <w:right w:val="none" w:sz="0" w:space="0" w:color="auto"/>
          </w:divBdr>
        </w:div>
      </w:divsChild>
    </w:div>
    <w:div w:id="691688808">
      <w:marLeft w:val="0"/>
      <w:marRight w:val="0"/>
      <w:marTop w:val="0"/>
      <w:marBottom w:val="0"/>
      <w:divBdr>
        <w:top w:val="none" w:sz="0" w:space="0" w:color="auto"/>
        <w:left w:val="none" w:sz="0" w:space="0" w:color="auto"/>
        <w:bottom w:val="none" w:sz="0" w:space="0" w:color="auto"/>
        <w:right w:val="none" w:sz="0" w:space="0" w:color="auto"/>
      </w:divBdr>
    </w:div>
    <w:div w:id="693380514">
      <w:marLeft w:val="0"/>
      <w:marRight w:val="0"/>
      <w:marTop w:val="0"/>
      <w:marBottom w:val="0"/>
      <w:divBdr>
        <w:top w:val="none" w:sz="0" w:space="0" w:color="auto"/>
        <w:left w:val="none" w:sz="0" w:space="0" w:color="auto"/>
        <w:bottom w:val="none" w:sz="0" w:space="0" w:color="auto"/>
        <w:right w:val="none" w:sz="0" w:space="0" w:color="auto"/>
      </w:divBdr>
      <w:divsChild>
        <w:div w:id="1942764152">
          <w:marLeft w:val="0"/>
          <w:marRight w:val="0"/>
          <w:marTop w:val="0"/>
          <w:marBottom w:val="0"/>
          <w:divBdr>
            <w:top w:val="none" w:sz="0" w:space="0" w:color="auto"/>
            <w:left w:val="none" w:sz="0" w:space="0" w:color="auto"/>
            <w:bottom w:val="none" w:sz="0" w:space="0" w:color="auto"/>
            <w:right w:val="none" w:sz="0" w:space="0" w:color="auto"/>
          </w:divBdr>
        </w:div>
      </w:divsChild>
    </w:div>
    <w:div w:id="694769114">
      <w:marLeft w:val="0"/>
      <w:marRight w:val="0"/>
      <w:marTop w:val="0"/>
      <w:marBottom w:val="0"/>
      <w:divBdr>
        <w:top w:val="none" w:sz="0" w:space="0" w:color="auto"/>
        <w:left w:val="none" w:sz="0" w:space="0" w:color="auto"/>
        <w:bottom w:val="none" w:sz="0" w:space="0" w:color="auto"/>
        <w:right w:val="none" w:sz="0" w:space="0" w:color="auto"/>
      </w:divBdr>
      <w:divsChild>
        <w:div w:id="189925634">
          <w:marLeft w:val="0"/>
          <w:marRight w:val="0"/>
          <w:marTop w:val="0"/>
          <w:marBottom w:val="0"/>
          <w:divBdr>
            <w:top w:val="none" w:sz="0" w:space="0" w:color="auto"/>
            <w:left w:val="none" w:sz="0" w:space="0" w:color="auto"/>
            <w:bottom w:val="none" w:sz="0" w:space="0" w:color="auto"/>
            <w:right w:val="none" w:sz="0" w:space="0" w:color="auto"/>
          </w:divBdr>
        </w:div>
      </w:divsChild>
    </w:div>
    <w:div w:id="699473810">
      <w:marLeft w:val="0"/>
      <w:marRight w:val="0"/>
      <w:marTop w:val="0"/>
      <w:marBottom w:val="0"/>
      <w:divBdr>
        <w:top w:val="none" w:sz="0" w:space="0" w:color="auto"/>
        <w:left w:val="none" w:sz="0" w:space="0" w:color="auto"/>
        <w:bottom w:val="none" w:sz="0" w:space="0" w:color="auto"/>
        <w:right w:val="none" w:sz="0" w:space="0" w:color="auto"/>
      </w:divBdr>
    </w:div>
    <w:div w:id="700590129">
      <w:marLeft w:val="0"/>
      <w:marRight w:val="0"/>
      <w:marTop w:val="0"/>
      <w:marBottom w:val="0"/>
      <w:divBdr>
        <w:top w:val="none" w:sz="0" w:space="0" w:color="auto"/>
        <w:left w:val="none" w:sz="0" w:space="0" w:color="auto"/>
        <w:bottom w:val="none" w:sz="0" w:space="0" w:color="auto"/>
        <w:right w:val="none" w:sz="0" w:space="0" w:color="auto"/>
      </w:divBdr>
      <w:divsChild>
        <w:div w:id="467819551">
          <w:marLeft w:val="0"/>
          <w:marRight w:val="0"/>
          <w:marTop w:val="0"/>
          <w:marBottom w:val="0"/>
          <w:divBdr>
            <w:top w:val="none" w:sz="0" w:space="0" w:color="auto"/>
            <w:left w:val="none" w:sz="0" w:space="0" w:color="auto"/>
            <w:bottom w:val="none" w:sz="0" w:space="0" w:color="auto"/>
            <w:right w:val="none" w:sz="0" w:space="0" w:color="auto"/>
          </w:divBdr>
        </w:div>
      </w:divsChild>
    </w:div>
    <w:div w:id="701125335">
      <w:marLeft w:val="0"/>
      <w:marRight w:val="0"/>
      <w:marTop w:val="0"/>
      <w:marBottom w:val="0"/>
      <w:divBdr>
        <w:top w:val="none" w:sz="0" w:space="0" w:color="auto"/>
        <w:left w:val="none" w:sz="0" w:space="0" w:color="auto"/>
        <w:bottom w:val="none" w:sz="0" w:space="0" w:color="auto"/>
        <w:right w:val="none" w:sz="0" w:space="0" w:color="auto"/>
      </w:divBdr>
    </w:div>
    <w:div w:id="702172130">
      <w:marLeft w:val="0"/>
      <w:marRight w:val="0"/>
      <w:marTop w:val="0"/>
      <w:marBottom w:val="0"/>
      <w:divBdr>
        <w:top w:val="none" w:sz="0" w:space="0" w:color="auto"/>
        <w:left w:val="none" w:sz="0" w:space="0" w:color="auto"/>
        <w:bottom w:val="none" w:sz="0" w:space="0" w:color="auto"/>
        <w:right w:val="none" w:sz="0" w:space="0" w:color="auto"/>
      </w:divBdr>
      <w:divsChild>
        <w:div w:id="175077329">
          <w:marLeft w:val="0"/>
          <w:marRight w:val="0"/>
          <w:marTop w:val="0"/>
          <w:marBottom w:val="0"/>
          <w:divBdr>
            <w:top w:val="none" w:sz="0" w:space="0" w:color="auto"/>
            <w:left w:val="none" w:sz="0" w:space="0" w:color="auto"/>
            <w:bottom w:val="none" w:sz="0" w:space="0" w:color="auto"/>
            <w:right w:val="none" w:sz="0" w:space="0" w:color="auto"/>
          </w:divBdr>
        </w:div>
      </w:divsChild>
    </w:div>
    <w:div w:id="708184436">
      <w:marLeft w:val="0"/>
      <w:marRight w:val="0"/>
      <w:marTop w:val="0"/>
      <w:marBottom w:val="0"/>
      <w:divBdr>
        <w:top w:val="none" w:sz="0" w:space="0" w:color="auto"/>
        <w:left w:val="none" w:sz="0" w:space="0" w:color="auto"/>
        <w:bottom w:val="none" w:sz="0" w:space="0" w:color="auto"/>
        <w:right w:val="none" w:sz="0" w:space="0" w:color="auto"/>
      </w:divBdr>
    </w:div>
    <w:div w:id="714701461">
      <w:marLeft w:val="0"/>
      <w:marRight w:val="0"/>
      <w:marTop w:val="0"/>
      <w:marBottom w:val="0"/>
      <w:divBdr>
        <w:top w:val="none" w:sz="0" w:space="0" w:color="auto"/>
        <w:left w:val="none" w:sz="0" w:space="0" w:color="auto"/>
        <w:bottom w:val="none" w:sz="0" w:space="0" w:color="auto"/>
        <w:right w:val="none" w:sz="0" w:space="0" w:color="auto"/>
      </w:divBdr>
      <w:divsChild>
        <w:div w:id="1268808914">
          <w:marLeft w:val="0"/>
          <w:marRight w:val="0"/>
          <w:marTop w:val="0"/>
          <w:marBottom w:val="0"/>
          <w:divBdr>
            <w:top w:val="none" w:sz="0" w:space="0" w:color="auto"/>
            <w:left w:val="none" w:sz="0" w:space="0" w:color="auto"/>
            <w:bottom w:val="none" w:sz="0" w:space="0" w:color="auto"/>
            <w:right w:val="none" w:sz="0" w:space="0" w:color="auto"/>
          </w:divBdr>
        </w:div>
      </w:divsChild>
    </w:div>
    <w:div w:id="722169305">
      <w:marLeft w:val="0"/>
      <w:marRight w:val="0"/>
      <w:marTop w:val="0"/>
      <w:marBottom w:val="0"/>
      <w:divBdr>
        <w:top w:val="none" w:sz="0" w:space="0" w:color="auto"/>
        <w:left w:val="none" w:sz="0" w:space="0" w:color="auto"/>
        <w:bottom w:val="none" w:sz="0" w:space="0" w:color="auto"/>
        <w:right w:val="none" w:sz="0" w:space="0" w:color="auto"/>
      </w:divBdr>
      <w:divsChild>
        <w:div w:id="716780232">
          <w:marLeft w:val="0"/>
          <w:marRight w:val="0"/>
          <w:marTop w:val="0"/>
          <w:marBottom w:val="0"/>
          <w:divBdr>
            <w:top w:val="none" w:sz="0" w:space="0" w:color="auto"/>
            <w:left w:val="none" w:sz="0" w:space="0" w:color="auto"/>
            <w:bottom w:val="none" w:sz="0" w:space="0" w:color="auto"/>
            <w:right w:val="none" w:sz="0" w:space="0" w:color="auto"/>
          </w:divBdr>
        </w:div>
      </w:divsChild>
    </w:div>
    <w:div w:id="726227849">
      <w:marLeft w:val="0"/>
      <w:marRight w:val="0"/>
      <w:marTop w:val="0"/>
      <w:marBottom w:val="0"/>
      <w:divBdr>
        <w:top w:val="none" w:sz="0" w:space="0" w:color="auto"/>
        <w:left w:val="none" w:sz="0" w:space="0" w:color="auto"/>
        <w:bottom w:val="none" w:sz="0" w:space="0" w:color="auto"/>
        <w:right w:val="none" w:sz="0" w:space="0" w:color="auto"/>
      </w:divBdr>
    </w:div>
    <w:div w:id="727804293">
      <w:marLeft w:val="0"/>
      <w:marRight w:val="0"/>
      <w:marTop w:val="0"/>
      <w:marBottom w:val="0"/>
      <w:divBdr>
        <w:top w:val="none" w:sz="0" w:space="0" w:color="auto"/>
        <w:left w:val="none" w:sz="0" w:space="0" w:color="auto"/>
        <w:bottom w:val="none" w:sz="0" w:space="0" w:color="auto"/>
        <w:right w:val="none" w:sz="0" w:space="0" w:color="auto"/>
      </w:divBdr>
    </w:div>
    <w:div w:id="728067753">
      <w:marLeft w:val="0"/>
      <w:marRight w:val="0"/>
      <w:marTop w:val="0"/>
      <w:marBottom w:val="0"/>
      <w:divBdr>
        <w:top w:val="none" w:sz="0" w:space="0" w:color="auto"/>
        <w:left w:val="none" w:sz="0" w:space="0" w:color="auto"/>
        <w:bottom w:val="none" w:sz="0" w:space="0" w:color="auto"/>
        <w:right w:val="none" w:sz="0" w:space="0" w:color="auto"/>
      </w:divBdr>
      <w:divsChild>
        <w:div w:id="995643989">
          <w:marLeft w:val="0"/>
          <w:marRight w:val="0"/>
          <w:marTop w:val="0"/>
          <w:marBottom w:val="0"/>
          <w:divBdr>
            <w:top w:val="none" w:sz="0" w:space="0" w:color="auto"/>
            <w:left w:val="none" w:sz="0" w:space="0" w:color="auto"/>
            <w:bottom w:val="none" w:sz="0" w:space="0" w:color="auto"/>
            <w:right w:val="none" w:sz="0" w:space="0" w:color="auto"/>
          </w:divBdr>
        </w:div>
      </w:divsChild>
    </w:div>
    <w:div w:id="728571707">
      <w:marLeft w:val="0"/>
      <w:marRight w:val="0"/>
      <w:marTop w:val="0"/>
      <w:marBottom w:val="0"/>
      <w:divBdr>
        <w:top w:val="none" w:sz="0" w:space="0" w:color="auto"/>
        <w:left w:val="none" w:sz="0" w:space="0" w:color="auto"/>
        <w:bottom w:val="none" w:sz="0" w:space="0" w:color="auto"/>
        <w:right w:val="none" w:sz="0" w:space="0" w:color="auto"/>
      </w:divBdr>
    </w:div>
    <w:div w:id="733360021">
      <w:marLeft w:val="0"/>
      <w:marRight w:val="0"/>
      <w:marTop w:val="0"/>
      <w:marBottom w:val="0"/>
      <w:divBdr>
        <w:top w:val="none" w:sz="0" w:space="0" w:color="auto"/>
        <w:left w:val="none" w:sz="0" w:space="0" w:color="auto"/>
        <w:bottom w:val="none" w:sz="0" w:space="0" w:color="auto"/>
        <w:right w:val="none" w:sz="0" w:space="0" w:color="auto"/>
      </w:divBdr>
    </w:div>
    <w:div w:id="738986698">
      <w:marLeft w:val="0"/>
      <w:marRight w:val="0"/>
      <w:marTop w:val="0"/>
      <w:marBottom w:val="0"/>
      <w:divBdr>
        <w:top w:val="none" w:sz="0" w:space="0" w:color="auto"/>
        <w:left w:val="none" w:sz="0" w:space="0" w:color="auto"/>
        <w:bottom w:val="none" w:sz="0" w:space="0" w:color="auto"/>
        <w:right w:val="none" w:sz="0" w:space="0" w:color="auto"/>
      </w:divBdr>
    </w:div>
    <w:div w:id="745883980">
      <w:marLeft w:val="0"/>
      <w:marRight w:val="0"/>
      <w:marTop w:val="0"/>
      <w:marBottom w:val="120"/>
      <w:divBdr>
        <w:top w:val="none" w:sz="0" w:space="0" w:color="auto"/>
        <w:left w:val="none" w:sz="0" w:space="0" w:color="auto"/>
        <w:bottom w:val="none" w:sz="0" w:space="0" w:color="auto"/>
        <w:right w:val="none" w:sz="0" w:space="0" w:color="auto"/>
      </w:divBdr>
    </w:div>
    <w:div w:id="746920360">
      <w:marLeft w:val="0"/>
      <w:marRight w:val="0"/>
      <w:marTop w:val="0"/>
      <w:marBottom w:val="0"/>
      <w:divBdr>
        <w:top w:val="none" w:sz="0" w:space="0" w:color="auto"/>
        <w:left w:val="none" w:sz="0" w:space="0" w:color="auto"/>
        <w:bottom w:val="none" w:sz="0" w:space="0" w:color="auto"/>
        <w:right w:val="none" w:sz="0" w:space="0" w:color="auto"/>
      </w:divBdr>
    </w:div>
    <w:div w:id="746997570">
      <w:marLeft w:val="0"/>
      <w:marRight w:val="0"/>
      <w:marTop w:val="0"/>
      <w:marBottom w:val="0"/>
      <w:divBdr>
        <w:top w:val="none" w:sz="0" w:space="0" w:color="auto"/>
        <w:left w:val="none" w:sz="0" w:space="0" w:color="auto"/>
        <w:bottom w:val="none" w:sz="0" w:space="0" w:color="auto"/>
        <w:right w:val="none" w:sz="0" w:space="0" w:color="auto"/>
      </w:divBdr>
    </w:div>
    <w:div w:id="747189182">
      <w:marLeft w:val="0"/>
      <w:marRight w:val="0"/>
      <w:marTop w:val="0"/>
      <w:marBottom w:val="0"/>
      <w:divBdr>
        <w:top w:val="none" w:sz="0" w:space="0" w:color="auto"/>
        <w:left w:val="none" w:sz="0" w:space="0" w:color="auto"/>
        <w:bottom w:val="none" w:sz="0" w:space="0" w:color="auto"/>
        <w:right w:val="none" w:sz="0" w:space="0" w:color="auto"/>
      </w:divBdr>
      <w:divsChild>
        <w:div w:id="531504324">
          <w:marLeft w:val="0"/>
          <w:marRight w:val="0"/>
          <w:marTop w:val="0"/>
          <w:marBottom w:val="0"/>
          <w:divBdr>
            <w:top w:val="none" w:sz="0" w:space="0" w:color="auto"/>
            <w:left w:val="none" w:sz="0" w:space="0" w:color="auto"/>
            <w:bottom w:val="none" w:sz="0" w:space="0" w:color="auto"/>
            <w:right w:val="none" w:sz="0" w:space="0" w:color="auto"/>
          </w:divBdr>
        </w:div>
      </w:divsChild>
    </w:div>
    <w:div w:id="752119808">
      <w:marLeft w:val="0"/>
      <w:marRight w:val="0"/>
      <w:marTop w:val="0"/>
      <w:marBottom w:val="0"/>
      <w:divBdr>
        <w:top w:val="none" w:sz="0" w:space="0" w:color="auto"/>
        <w:left w:val="none" w:sz="0" w:space="0" w:color="auto"/>
        <w:bottom w:val="none" w:sz="0" w:space="0" w:color="auto"/>
        <w:right w:val="none" w:sz="0" w:space="0" w:color="auto"/>
      </w:divBdr>
      <w:divsChild>
        <w:div w:id="883559089">
          <w:marLeft w:val="0"/>
          <w:marRight w:val="0"/>
          <w:marTop w:val="0"/>
          <w:marBottom w:val="0"/>
          <w:divBdr>
            <w:top w:val="none" w:sz="0" w:space="0" w:color="auto"/>
            <w:left w:val="none" w:sz="0" w:space="0" w:color="auto"/>
            <w:bottom w:val="none" w:sz="0" w:space="0" w:color="auto"/>
            <w:right w:val="none" w:sz="0" w:space="0" w:color="auto"/>
          </w:divBdr>
        </w:div>
      </w:divsChild>
    </w:div>
    <w:div w:id="753211204">
      <w:marLeft w:val="0"/>
      <w:marRight w:val="0"/>
      <w:marTop w:val="0"/>
      <w:marBottom w:val="0"/>
      <w:divBdr>
        <w:top w:val="none" w:sz="0" w:space="0" w:color="auto"/>
        <w:left w:val="none" w:sz="0" w:space="0" w:color="auto"/>
        <w:bottom w:val="none" w:sz="0" w:space="0" w:color="auto"/>
        <w:right w:val="none" w:sz="0" w:space="0" w:color="auto"/>
      </w:divBdr>
      <w:divsChild>
        <w:div w:id="1628975976">
          <w:marLeft w:val="0"/>
          <w:marRight w:val="0"/>
          <w:marTop w:val="0"/>
          <w:marBottom w:val="0"/>
          <w:divBdr>
            <w:top w:val="none" w:sz="0" w:space="0" w:color="auto"/>
            <w:left w:val="none" w:sz="0" w:space="0" w:color="auto"/>
            <w:bottom w:val="none" w:sz="0" w:space="0" w:color="auto"/>
            <w:right w:val="none" w:sz="0" w:space="0" w:color="auto"/>
          </w:divBdr>
        </w:div>
      </w:divsChild>
    </w:div>
    <w:div w:id="754671042">
      <w:marLeft w:val="0"/>
      <w:marRight w:val="0"/>
      <w:marTop w:val="0"/>
      <w:marBottom w:val="0"/>
      <w:divBdr>
        <w:top w:val="none" w:sz="0" w:space="0" w:color="auto"/>
        <w:left w:val="none" w:sz="0" w:space="0" w:color="auto"/>
        <w:bottom w:val="none" w:sz="0" w:space="0" w:color="auto"/>
        <w:right w:val="none" w:sz="0" w:space="0" w:color="auto"/>
      </w:divBdr>
      <w:divsChild>
        <w:div w:id="1393113767">
          <w:marLeft w:val="0"/>
          <w:marRight w:val="0"/>
          <w:marTop w:val="0"/>
          <w:marBottom w:val="0"/>
          <w:divBdr>
            <w:top w:val="none" w:sz="0" w:space="0" w:color="auto"/>
            <w:left w:val="none" w:sz="0" w:space="0" w:color="auto"/>
            <w:bottom w:val="none" w:sz="0" w:space="0" w:color="auto"/>
            <w:right w:val="none" w:sz="0" w:space="0" w:color="auto"/>
          </w:divBdr>
          <w:divsChild>
            <w:div w:id="16421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7217">
      <w:marLeft w:val="0"/>
      <w:marRight w:val="0"/>
      <w:marTop w:val="0"/>
      <w:marBottom w:val="0"/>
      <w:divBdr>
        <w:top w:val="none" w:sz="0" w:space="0" w:color="auto"/>
        <w:left w:val="none" w:sz="0" w:space="0" w:color="auto"/>
        <w:bottom w:val="none" w:sz="0" w:space="0" w:color="auto"/>
        <w:right w:val="none" w:sz="0" w:space="0" w:color="auto"/>
      </w:divBdr>
    </w:div>
    <w:div w:id="770858340">
      <w:marLeft w:val="0"/>
      <w:marRight w:val="0"/>
      <w:marTop w:val="0"/>
      <w:marBottom w:val="0"/>
      <w:divBdr>
        <w:top w:val="none" w:sz="0" w:space="0" w:color="auto"/>
        <w:left w:val="none" w:sz="0" w:space="0" w:color="auto"/>
        <w:bottom w:val="none" w:sz="0" w:space="0" w:color="auto"/>
        <w:right w:val="none" w:sz="0" w:space="0" w:color="auto"/>
      </w:divBdr>
      <w:divsChild>
        <w:div w:id="83917290">
          <w:marLeft w:val="0"/>
          <w:marRight w:val="0"/>
          <w:marTop w:val="0"/>
          <w:marBottom w:val="0"/>
          <w:divBdr>
            <w:top w:val="none" w:sz="0" w:space="0" w:color="auto"/>
            <w:left w:val="none" w:sz="0" w:space="0" w:color="auto"/>
            <w:bottom w:val="none" w:sz="0" w:space="0" w:color="auto"/>
            <w:right w:val="none" w:sz="0" w:space="0" w:color="auto"/>
          </w:divBdr>
        </w:div>
      </w:divsChild>
    </w:div>
    <w:div w:id="780301654">
      <w:marLeft w:val="0"/>
      <w:marRight w:val="0"/>
      <w:marTop w:val="0"/>
      <w:marBottom w:val="0"/>
      <w:divBdr>
        <w:top w:val="none" w:sz="0" w:space="0" w:color="auto"/>
        <w:left w:val="none" w:sz="0" w:space="0" w:color="auto"/>
        <w:bottom w:val="none" w:sz="0" w:space="0" w:color="auto"/>
        <w:right w:val="none" w:sz="0" w:space="0" w:color="auto"/>
      </w:divBdr>
    </w:div>
    <w:div w:id="792402167">
      <w:marLeft w:val="0"/>
      <w:marRight w:val="0"/>
      <w:marTop w:val="0"/>
      <w:marBottom w:val="0"/>
      <w:divBdr>
        <w:top w:val="none" w:sz="0" w:space="0" w:color="auto"/>
        <w:left w:val="none" w:sz="0" w:space="0" w:color="auto"/>
        <w:bottom w:val="none" w:sz="0" w:space="0" w:color="auto"/>
        <w:right w:val="none" w:sz="0" w:space="0" w:color="auto"/>
      </w:divBdr>
    </w:div>
    <w:div w:id="793597216">
      <w:marLeft w:val="0"/>
      <w:marRight w:val="0"/>
      <w:marTop w:val="0"/>
      <w:marBottom w:val="0"/>
      <w:divBdr>
        <w:top w:val="none" w:sz="0" w:space="0" w:color="auto"/>
        <w:left w:val="none" w:sz="0" w:space="0" w:color="auto"/>
        <w:bottom w:val="none" w:sz="0" w:space="0" w:color="auto"/>
        <w:right w:val="none" w:sz="0" w:space="0" w:color="auto"/>
      </w:divBdr>
      <w:divsChild>
        <w:div w:id="920412868">
          <w:marLeft w:val="0"/>
          <w:marRight w:val="0"/>
          <w:marTop w:val="0"/>
          <w:marBottom w:val="0"/>
          <w:divBdr>
            <w:top w:val="none" w:sz="0" w:space="0" w:color="auto"/>
            <w:left w:val="none" w:sz="0" w:space="0" w:color="auto"/>
            <w:bottom w:val="none" w:sz="0" w:space="0" w:color="auto"/>
            <w:right w:val="none" w:sz="0" w:space="0" w:color="auto"/>
          </w:divBdr>
        </w:div>
      </w:divsChild>
    </w:div>
    <w:div w:id="797340740">
      <w:marLeft w:val="0"/>
      <w:marRight w:val="0"/>
      <w:marTop w:val="0"/>
      <w:marBottom w:val="0"/>
      <w:divBdr>
        <w:top w:val="none" w:sz="0" w:space="0" w:color="auto"/>
        <w:left w:val="none" w:sz="0" w:space="0" w:color="auto"/>
        <w:bottom w:val="none" w:sz="0" w:space="0" w:color="auto"/>
        <w:right w:val="none" w:sz="0" w:space="0" w:color="auto"/>
      </w:divBdr>
    </w:div>
    <w:div w:id="797457914">
      <w:marLeft w:val="0"/>
      <w:marRight w:val="0"/>
      <w:marTop w:val="0"/>
      <w:marBottom w:val="0"/>
      <w:divBdr>
        <w:top w:val="none" w:sz="0" w:space="0" w:color="auto"/>
        <w:left w:val="none" w:sz="0" w:space="0" w:color="auto"/>
        <w:bottom w:val="none" w:sz="0" w:space="0" w:color="auto"/>
        <w:right w:val="none" w:sz="0" w:space="0" w:color="auto"/>
      </w:divBdr>
    </w:div>
    <w:div w:id="798574100">
      <w:marLeft w:val="0"/>
      <w:marRight w:val="0"/>
      <w:marTop w:val="0"/>
      <w:marBottom w:val="0"/>
      <w:divBdr>
        <w:top w:val="none" w:sz="0" w:space="0" w:color="auto"/>
        <w:left w:val="none" w:sz="0" w:space="0" w:color="auto"/>
        <w:bottom w:val="none" w:sz="0" w:space="0" w:color="auto"/>
        <w:right w:val="none" w:sz="0" w:space="0" w:color="auto"/>
      </w:divBdr>
    </w:div>
    <w:div w:id="800151583">
      <w:marLeft w:val="0"/>
      <w:marRight w:val="0"/>
      <w:marTop w:val="0"/>
      <w:marBottom w:val="0"/>
      <w:divBdr>
        <w:top w:val="none" w:sz="0" w:space="0" w:color="auto"/>
        <w:left w:val="none" w:sz="0" w:space="0" w:color="auto"/>
        <w:bottom w:val="none" w:sz="0" w:space="0" w:color="auto"/>
        <w:right w:val="none" w:sz="0" w:space="0" w:color="auto"/>
      </w:divBdr>
      <w:divsChild>
        <w:div w:id="760101520">
          <w:marLeft w:val="0"/>
          <w:marRight w:val="0"/>
          <w:marTop w:val="0"/>
          <w:marBottom w:val="0"/>
          <w:divBdr>
            <w:top w:val="none" w:sz="0" w:space="0" w:color="auto"/>
            <w:left w:val="none" w:sz="0" w:space="0" w:color="auto"/>
            <w:bottom w:val="none" w:sz="0" w:space="0" w:color="auto"/>
            <w:right w:val="none" w:sz="0" w:space="0" w:color="auto"/>
          </w:divBdr>
        </w:div>
      </w:divsChild>
    </w:div>
    <w:div w:id="802305216">
      <w:marLeft w:val="0"/>
      <w:marRight w:val="0"/>
      <w:marTop w:val="0"/>
      <w:marBottom w:val="0"/>
      <w:divBdr>
        <w:top w:val="none" w:sz="0" w:space="0" w:color="auto"/>
        <w:left w:val="none" w:sz="0" w:space="0" w:color="auto"/>
        <w:bottom w:val="none" w:sz="0" w:space="0" w:color="auto"/>
        <w:right w:val="none" w:sz="0" w:space="0" w:color="auto"/>
      </w:divBdr>
      <w:divsChild>
        <w:div w:id="1614433550">
          <w:marLeft w:val="0"/>
          <w:marRight w:val="0"/>
          <w:marTop w:val="0"/>
          <w:marBottom w:val="0"/>
          <w:divBdr>
            <w:top w:val="none" w:sz="0" w:space="0" w:color="auto"/>
            <w:left w:val="none" w:sz="0" w:space="0" w:color="auto"/>
            <w:bottom w:val="none" w:sz="0" w:space="0" w:color="auto"/>
            <w:right w:val="none" w:sz="0" w:space="0" w:color="auto"/>
          </w:divBdr>
        </w:div>
      </w:divsChild>
    </w:div>
    <w:div w:id="804464877">
      <w:marLeft w:val="0"/>
      <w:marRight w:val="0"/>
      <w:marTop w:val="0"/>
      <w:marBottom w:val="0"/>
      <w:divBdr>
        <w:top w:val="none" w:sz="0" w:space="0" w:color="auto"/>
        <w:left w:val="none" w:sz="0" w:space="0" w:color="auto"/>
        <w:bottom w:val="none" w:sz="0" w:space="0" w:color="auto"/>
        <w:right w:val="none" w:sz="0" w:space="0" w:color="auto"/>
      </w:divBdr>
    </w:div>
    <w:div w:id="807934377">
      <w:marLeft w:val="0"/>
      <w:marRight w:val="0"/>
      <w:marTop w:val="0"/>
      <w:marBottom w:val="0"/>
      <w:divBdr>
        <w:top w:val="none" w:sz="0" w:space="0" w:color="auto"/>
        <w:left w:val="none" w:sz="0" w:space="0" w:color="auto"/>
        <w:bottom w:val="none" w:sz="0" w:space="0" w:color="auto"/>
        <w:right w:val="none" w:sz="0" w:space="0" w:color="auto"/>
      </w:divBdr>
    </w:div>
    <w:div w:id="812329586">
      <w:marLeft w:val="0"/>
      <w:marRight w:val="0"/>
      <w:marTop w:val="0"/>
      <w:marBottom w:val="0"/>
      <w:divBdr>
        <w:top w:val="none" w:sz="0" w:space="0" w:color="auto"/>
        <w:left w:val="none" w:sz="0" w:space="0" w:color="auto"/>
        <w:bottom w:val="none" w:sz="0" w:space="0" w:color="auto"/>
        <w:right w:val="none" w:sz="0" w:space="0" w:color="auto"/>
      </w:divBdr>
    </w:div>
    <w:div w:id="813058634">
      <w:marLeft w:val="0"/>
      <w:marRight w:val="0"/>
      <w:marTop w:val="0"/>
      <w:marBottom w:val="0"/>
      <w:divBdr>
        <w:top w:val="none" w:sz="0" w:space="0" w:color="auto"/>
        <w:left w:val="none" w:sz="0" w:space="0" w:color="auto"/>
        <w:bottom w:val="none" w:sz="0" w:space="0" w:color="auto"/>
        <w:right w:val="none" w:sz="0" w:space="0" w:color="auto"/>
      </w:divBdr>
    </w:div>
    <w:div w:id="813568350">
      <w:marLeft w:val="0"/>
      <w:marRight w:val="0"/>
      <w:marTop w:val="0"/>
      <w:marBottom w:val="0"/>
      <w:divBdr>
        <w:top w:val="none" w:sz="0" w:space="0" w:color="auto"/>
        <w:left w:val="none" w:sz="0" w:space="0" w:color="auto"/>
        <w:bottom w:val="none" w:sz="0" w:space="0" w:color="auto"/>
        <w:right w:val="none" w:sz="0" w:space="0" w:color="auto"/>
      </w:divBdr>
    </w:div>
    <w:div w:id="821309695">
      <w:marLeft w:val="0"/>
      <w:marRight w:val="0"/>
      <w:marTop w:val="0"/>
      <w:marBottom w:val="120"/>
      <w:divBdr>
        <w:top w:val="none" w:sz="0" w:space="0" w:color="auto"/>
        <w:left w:val="none" w:sz="0" w:space="0" w:color="auto"/>
        <w:bottom w:val="none" w:sz="0" w:space="0" w:color="auto"/>
        <w:right w:val="none" w:sz="0" w:space="0" w:color="auto"/>
      </w:divBdr>
      <w:divsChild>
        <w:div w:id="1937208135">
          <w:marLeft w:val="0"/>
          <w:marRight w:val="0"/>
          <w:marTop w:val="0"/>
          <w:marBottom w:val="0"/>
          <w:divBdr>
            <w:top w:val="none" w:sz="0" w:space="0" w:color="auto"/>
            <w:left w:val="none" w:sz="0" w:space="0" w:color="auto"/>
            <w:bottom w:val="none" w:sz="0" w:space="0" w:color="auto"/>
            <w:right w:val="none" w:sz="0" w:space="0" w:color="auto"/>
          </w:divBdr>
        </w:div>
        <w:div w:id="287705564">
          <w:marLeft w:val="0"/>
          <w:marRight w:val="0"/>
          <w:marTop w:val="0"/>
          <w:marBottom w:val="0"/>
          <w:divBdr>
            <w:top w:val="none" w:sz="0" w:space="0" w:color="auto"/>
            <w:left w:val="none" w:sz="0" w:space="0" w:color="auto"/>
            <w:bottom w:val="none" w:sz="0" w:space="0" w:color="auto"/>
            <w:right w:val="none" w:sz="0" w:space="0" w:color="auto"/>
          </w:divBdr>
        </w:div>
        <w:div w:id="1387528902">
          <w:marLeft w:val="0"/>
          <w:marRight w:val="0"/>
          <w:marTop w:val="0"/>
          <w:marBottom w:val="0"/>
          <w:divBdr>
            <w:top w:val="none" w:sz="0" w:space="0" w:color="auto"/>
            <w:left w:val="none" w:sz="0" w:space="0" w:color="auto"/>
            <w:bottom w:val="none" w:sz="0" w:space="0" w:color="auto"/>
            <w:right w:val="none" w:sz="0" w:space="0" w:color="auto"/>
          </w:divBdr>
        </w:div>
        <w:div w:id="1823425087">
          <w:marLeft w:val="0"/>
          <w:marRight w:val="0"/>
          <w:marTop w:val="0"/>
          <w:marBottom w:val="0"/>
          <w:divBdr>
            <w:top w:val="none" w:sz="0" w:space="0" w:color="auto"/>
            <w:left w:val="none" w:sz="0" w:space="0" w:color="auto"/>
            <w:bottom w:val="none" w:sz="0" w:space="0" w:color="auto"/>
            <w:right w:val="none" w:sz="0" w:space="0" w:color="auto"/>
          </w:divBdr>
        </w:div>
        <w:div w:id="1942715353">
          <w:marLeft w:val="0"/>
          <w:marRight w:val="0"/>
          <w:marTop w:val="0"/>
          <w:marBottom w:val="0"/>
          <w:divBdr>
            <w:top w:val="none" w:sz="0" w:space="0" w:color="auto"/>
            <w:left w:val="none" w:sz="0" w:space="0" w:color="auto"/>
            <w:bottom w:val="none" w:sz="0" w:space="0" w:color="auto"/>
            <w:right w:val="none" w:sz="0" w:space="0" w:color="auto"/>
          </w:divBdr>
        </w:div>
      </w:divsChild>
    </w:div>
    <w:div w:id="831335126">
      <w:marLeft w:val="0"/>
      <w:marRight w:val="0"/>
      <w:marTop w:val="0"/>
      <w:marBottom w:val="0"/>
      <w:divBdr>
        <w:top w:val="none" w:sz="0" w:space="0" w:color="auto"/>
        <w:left w:val="none" w:sz="0" w:space="0" w:color="auto"/>
        <w:bottom w:val="none" w:sz="0" w:space="0" w:color="auto"/>
        <w:right w:val="none" w:sz="0" w:space="0" w:color="auto"/>
      </w:divBdr>
    </w:div>
    <w:div w:id="841550755">
      <w:marLeft w:val="0"/>
      <w:marRight w:val="0"/>
      <w:marTop w:val="0"/>
      <w:marBottom w:val="0"/>
      <w:divBdr>
        <w:top w:val="none" w:sz="0" w:space="0" w:color="auto"/>
        <w:left w:val="none" w:sz="0" w:space="0" w:color="auto"/>
        <w:bottom w:val="none" w:sz="0" w:space="0" w:color="auto"/>
        <w:right w:val="none" w:sz="0" w:space="0" w:color="auto"/>
      </w:divBdr>
    </w:div>
    <w:div w:id="847138832">
      <w:marLeft w:val="0"/>
      <w:marRight w:val="0"/>
      <w:marTop w:val="0"/>
      <w:marBottom w:val="0"/>
      <w:divBdr>
        <w:top w:val="none" w:sz="0" w:space="0" w:color="auto"/>
        <w:left w:val="none" w:sz="0" w:space="0" w:color="auto"/>
        <w:bottom w:val="none" w:sz="0" w:space="0" w:color="auto"/>
        <w:right w:val="none" w:sz="0" w:space="0" w:color="auto"/>
      </w:divBdr>
      <w:divsChild>
        <w:div w:id="1986087165">
          <w:marLeft w:val="0"/>
          <w:marRight w:val="0"/>
          <w:marTop w:val="0"/>
          <w:marBottom w:val="0"/>
          <w:divBdr>
            <w:top w:val="none" w:sz="0" w:space="0" w:color="auto"/>
            <w:left w:val="none" w:sz="0" w:space="0" w:color="auto"/>
            <w:bottom w:val="none" w:sz="0" w:space="0" w:color="auto"/>
            <w:right w:val="none" w:sz="0" w:space="0" w:color="auto"/>
          </w:divBdr>
        </w:div>
      </w:divsChild>
    </w:div>
    <w:div w:id="850798466">
      <w:marLeft w:val="0"/>
      <w:marRight w:val="0"/>
      <w:marTop w:val="0"/>
      <w:marBottom w:val="0"/>
      <w:divBdr>
        <w:top w:val="none" w:sz="0" w:space="0" w:color="auto"/>
        <w:left w:val="none" w:sz="0" w:space="0" w:color="auto"/>
        <w:bottom w:val="none" w:sz="0" w:space="0" w:color="auto"/>
        <w:right w:val="none" w:sz="0" w:space="0" w:color="auto"/>
      </w:divBdr>
    </w:div>
    <w:div w:id="855118601">
      <w:marLeft w:val="0"/>
      <w:marRight w:val="0"/>
      <w:marTop w:val="0"/>
      <w:marBottom w:val="0"/>
      <w:divBdr>
        <w:top w:val="none" w:sz="0" w:space="0" w:color="auto"/>
        <w:left w:val="none" w:sz="0" w:space="0" w:color="auto"/>
        <w:bottom w:val="none" w:sz="0" w:space="0" w:color="auto"/>
        <w:right w:val="none" w:sz="0" w:space="0" w:color="auto"/>
      </w:divBdr>
    </w:div>
    <w:div w:id="858391685">
      <w:marLeft w:val="0"/>
      <w:marRight w:val="0"/>
      <w:marTop w:val="0"/>
      <w:marBottom w:val="0"/>
      <w:divBdr>
        <w:top w:val="none" w:sz="0" w:space="0" w:color="auto"/>
        <w:left w:val="none" w:sz="0" w:space="0" w:color="auto"/>
        <w:bottom w:val="none" w:sz="0" w:space="0" w:color="auto"/>
        <w:right w:val="none" w:sz="0" w:space="0" w:color="auto"/>
      </w:divBdr>
      <w:divsChild>
        <w:div w:id="1721857013">
          <w:marLeft w:val="0"/>
          <w:marRight w:val="0"/>
          <w:marTop w:val="0"/>
          <w:marBottom w:val="0"/>
          <w:divBdr>
            <w:top w:val="none" w:sz="0" w:space="0" w:color="auto"/>
            <w:left w:val="none" w:sz="0" w:space="0" w:color="auto"/>
            <w:bottom w:val="none" w:sz="0" w:space="0" w:color="auto"/>
            <w:right w:val="none" w:sz="0" w:space="0" w:color="auto"/>
          </w:divBdr>
        </w:div>
      </w:divsChild>
    </w:div>
    <w:div w:id="861165671">
      <w:marLeft w:val="0"/>
      <w:marRight w:val="0"/>
      <w:marTop w:val="0"/>
      <w:marBottom w:val="0"/>
      <w:divBdr>
        <w:top w:val="none" w:sz="0" w:space="0" w:color="auto"/>
        <w:left w:val="none" w:sz="0" w:space="0" w:color="auto"/>
        <w:bottom w:val="none" w:sz="0" w:space="0" w:color="auto"/>
        <w:right w:val="none" w:sz="0" w:space="0" w:color="auto"/>
      </w:divBdr>
    </w:div>
    <w:div w:id="879169681">
      <w:marLeft w:val="0"/>
      <w:marRight w:val="0"/>
      <w:marTop w:val="0"/>
      <w:marBottom w:val="0"/>
      <w:divBdr>
        <w:top w:val="none" w:sz="0" w:space="0" w:color="auto"/>
        <w:left w:val="none" w:sz="0" w:space="0" w:color="auto"/>
        <w:bottom w:val="none" w:sz="0" w:space="0" w:color="auto"/>
        <w:right w:val="none" w:sz="0" w:space="0" w:color="auto"/>
      </w:divBdr>
    </w:div>
    <w:div w:id="879627304">
      <w:marLeft w:val="0"/>
      <w:marRight w:val="0"/>
      <w:marTop w:val="0"/>
      <w:marBottom w:val="0"/>
      <w:divBdr>
        <w:top w:val="none" w:sz="0" w:space="0" w:color="auto"/>
        <w:left w:val="none" w:sz="0" w:space="0" w:color="auto"/>
        <w:bottom w:val="none" w:sz="0" w:space="0" w:color="auto"/>
        <w:right w:val="none" w:sz="0" w:space="0" w:color="auto"/>
      </w:divBdr>
      <w:divsChild>
        <w:div w:id="1766808267">
          <w:marLeft w:val="0"/>
          <w:marRight w:val="0"/>
          <w:marTop w:val="0"/>
          <w:marBottom w:val="0"/>
          <w:divBdr>
            <w:top w:val="none" w:sz="0" w:space="0" w:color="auto"/>
            <w:left w:val="none" w:sz="0" w:space="0" w:color="auto"/>
            <w:bottom w:val="none" w:sz="0" w:space="0" w:color="auto"/>
            <w:right w:val="none" w:sz="0" w:space="0" w:color="auto"/>
          </w:divBdr>
        </w:div>
      </w:divsChild>
    </w:div>
    <w:div w:id="880366643">
      <w:marLeft w:val="0"/>
      <w:marRight w:val="0"/>
      <w:marTop w:val="0"/>
      <w:marBottom w:val="0"/>
      <w:divBdr>
        <w:top w:val="none" w:sz="0" w:space="0" w:color="auto"/>
        <w:left w:val="none" w:sz="0" w:space="0" w:color="auto"/>
        <w:bottom w:val="none" w:sz="0" w:space="0" w:color="auto"/>
        <w:right w:val="none" w:sz="0" w:space="0" w:color="auto"/>
      </w:divBdr>
      <w:divsChild>
        <w:div w:id="461966582">
          <w:marLeft w:val="0"/>
          <w:marRight w:val="0"/>
          <w:marTop w:val="0"/>
          <w:marBottom w:val="0"/>
          <w:divBdr>
            <w:top w:val="none" w:sz="0" w:space="0" w:color="auto"/>
            <w:left w:val="none" w:sz="0" w:space="0" w:color="auto"/>
            <w:bottom w:val="none" w:sz="0" w:space="0" w:color="auto"/>
            <w:right w:val="none" w:sz="0" w:space="0" w:color="auto"/>
          </w:divBdr>
        </w:div>
      </w:divsChild>
    </w:div>
    <w:div w:id="886844345">
      <w:marLeft w:val="0"/>
      <w:marRight w:val="0"/>
      <w:marTop w:val="0"/>
      <w:marBottom w:val="0"/>
      <w:divBdr>
        <w:top w:val="none" w:sz="0" w:space="0" w:color="auto"/>
        <w:left w:val="none" w:sz="0" w:space="0" w:color="auto"/>
        <w:bottom w:val="none" w:sz="0" w:space="0" w:color="auto"/>
        <w:right w:val="none" w:sz="0" w:space="0" w:color="auto"/>
      </w:divBdr>
    </w:div>
    <w:div w:id="889616417">
      <w:marLeft w:val="0"/>
      <w:marRight w:val="0"/>
      <w:marTop w:val="0"/>
      <w:marBottom w:val="120"/>
      <w:divBdr>
        <w:top w:val="none" w:sz="0" w:space="0" w:color="auto"/>
        <w:left w:val="none" w:sz="0" w:space="0" w:color="auto"/>
        <w:bottom w:val="none" w:sz="0" w:space="0" w:color="auto"/>
        <w:right w:val="none" w:sz="0" w:space="0" w:color="auto"/>
      </w:divBdr>
    </w:div>
    <w:div w:id="895512381">
      <w:marLeft w:val="0"/>
      <w:marRight w:val="0"/>
      <w:marTop w:val="0"/>
      <w:marBottom w:val="0"/>
      <w:divBdr>
        <w:top w:val="none" w:sz="0" w:space="0" w:color="auto"/>
        <w:left w:val="none" w:sz="0" w:space="0" w:color="auto"/>
        <w:bottom w:val="none" w:sz="0" w:space="0" w:color="auto"/>
        <w:right w:val="none" w:sz="0" w:space="0" w:color="auto"/>
      </w:divBdr>
      <w:divsChild>
        <w:div w:id="1752462359">
          <w:marLeft w:val="0"/>
          <w:marRight w:val="0"/>
          <w:marTop w:val="0"/>
          <w:marBottom w:val="0"/>
          <w:divBdr>
            <w:top w:val="none" w:sz="0" w:space="0" w:color="auto"/>
            <w:left w:val="none" w:sz="0" w:space="0" w:color="auto"/>
            <w:bottom w:val="none" w:sz="0" w:space="0" w:color="auto"/>
            <w:right w:val="none" w:sz="0" w:space="0" w:color="auto"/>
          </w:divBdr>
        </w:div>
      </w:divsChild>
    </w:div>
    <w:div w:id="899681339">
      <w:marLeft w:val="0"/>
      <w:marRight w:val="0"/>
      <w:marTop w:val="0"/>
      <w:marBottom w:val="0"/>
      <w:divBdr>
        <w:top w:val="none" w:sz="0" w:space="0" w:color="auto"/>
        <w:left w:val="none" w:sz="0" w:space="0" w:color="auto"/>
        <w:bottom w:val="none" w:sz="0" w:space="0" w:color="auto"/>
        <w:right w:val="none" w:sz="0" w:space="0" w:color="auto"/>
      </w:divBdr>
      <w:divsChild>
        <w:div w:id="637496869">
          <w:marLeft w:val="0"/>
          <w:marRight w:val="0"/>
          <w:marTop w:val="0"/>
          <w:marBottom w:val="0"/>
          <w:divBdr>
            <w:top w:val="none" w:sz="0" w:space="0" w:color="auto"/>
            <w:left w:val="none" w:sz="0" w:space="0" w:color="auto"/>
            <w:bottom w:val="none" w:sz="0" w:space="0" w:color="auto"/>
            <w:right w:val="none" w:sz="0" w:space="0" w:color="auto"/>
          </w:divBdr>
        </w:div>
      </w:divsChild>
    </w:div>
    <w:div w:id="906303194">
      <w:marLeft w:val="0"/>
      <w:marRight w:val="0"/>
      <w:marTop w:val="0"/>
      <w:marBottom w:val="0"/>
      <w:divBdr>
        <w:top w:val="none" w:sz="0" w:space="0" w:color="auto"/>
        <w:left w:val="none" w:sz="0" w:space="0" w:color="auto"/>
        <w:bottom w:val="none" w:sz="0" w:space="0" w:color="auto"/>
        <w:right w:val="none" w:sz="0" w:space="0" w:color="auto"/>
      </w:divBdr>
    </w:div>
    <w:div w:id="909273983">
      <w:marLeft w:val="0"/>
      <w:marRight w:val="0"/>
      <w:marTop w:val="0"/>
      <w:marBottom w:val="0"/>
      <w:divBdr>
        <w:top w:val="none" w:sz="0" w:space="0" w:color="auto"/>
        <w:left w:val="none" w:sz="0" w:space="0" w:color="auto"/>
        <w:bottom w:val="none" w:sz="0" w:space="0" w:color="auto"/>
        <w:right w:val="none" w:sz="0" w:space="0" w:color="auto"/>
      </w:divBdr>
    </w:div>
    <w:div w:id="914634543">
      <w:marLeft w:val="0"/>
      <w:marRight w:val="0"/>
      <w:marTop w:val="0"/>
      <w:marBottom w:val="120"/>
      <w:divBdr>
        <w:top w:val="none" w:sz="0" w:space="0" w:color="auto"/>
        <w:left w:val="none" w:sz="0" w:space="0" w:color="auto"/>
        <w:bottom w:val="none" w:sz="0" w:space="0" w:color="auto"/>
        <w:right w:val="none" w:sz="0" w:space="0" w:color="auto"/>
      </w:divBdr>
    </w:div>
    <w:div w:id="914820390">
      <w:marLeft w:val="0"/>
      <w:marRight w:val="0"/>
      <w:marTop w:val="0"/>
      <w:marBottom w:val="120"/>
      <w:divBdr>
        <w:top w:val="none" w:sz="0" w:space="0" w:color="auto"/>
        <w:left w:val="none" w:sz="0" w:space="0" w:color="auto"/>
        <w:bottom w:val="none" w:sz="0" w:space="0" w:color="auto"/>
        <w:right w:val="none" w:sz="0" w:space="0" w:color="auto"/>
      </w:divBdr>
    </w:div>
    <w:div w:id="917904578">
      <w:marLeft w:val="0"/>
      <w:marRight w:val="0"/>
      <w:marTop w:val="0"/>
      <w:marBottom w:val="0"/>
      <w:divBdr>
        <w:top w:val="none" w:sz="0" w:space="0" w:color="auto"/>
        <w:left w:val="none" w:sz="0" w:space="0" w:color="auto"/>
        <w:bottom w:val="none" w:sz="0" w:space="0" w:color="auto"/>
        <w:right w:val="none" w:sz="0" w:space="0" w:color="auto"/>
      </w:divBdr>
      <w:divsChild>
        <w:div w:id="1179731177">
          <w:marLeft w:val="0"/>
          <w:marRight w:val="0"/>
          <w:marTop w:val="0"/>
          <w:marBottom w:val="0"/>
          <w:divBdr>
            <w:top w:val="none" w:sz="0" w:space="0" w:color="auto"/>
            <w:left w:val="none" w:sz="0" w:space="0" w:color="auto"/>
            <w:bottom w:val="none" w:sz="0" w:space="0" w:color="auto"/>
            <w:right w:val="none" w:sz="0" w:space="0" w:color="auto"/>
          </w:divBdr>
        </w:div>
      </w:divsChild>
    </w:div>
    <w:div w:id="921136789">
      <w:marLeft w:val="0"/>
      <w:marRight w:val="0"/>
      <w:marTop w:val="0"/>
      <w:marBottom w:val="0"/>
      <w:divBdr>
        <w:top w:val="none" w:sz="0" w:space="0" w:color="auto"/>
        <w:left w:val="none" w:sz="0" w:space="0" w:color="auto"/>
        <w:bottom w:val="none" w:sz="0" w:space="0" w:color="auto"/>
        <w:right w:val="none" w:sz="0" w:space="0" w:color="auto"/>
      </w:divBdr>
      <w:divsChild>
        <w:div w:id="381247396">
          <w:marLeft w:val="0"/>
          <w:marRight w:val="0"/>
          <w:marTop w:val="0"/>
          <w:marBottom w:val="0"/>
          <w:divBdr>
            <w:top w:val="none" w:sz="0" w:space="0" w:color="auto"/>
            <w:left w:val="none" w:sz="0" w:space="0" w:color="auto"/>
            <w:bottom w:val="none" w:sz="0" w:space="0" w:color="auto"/>
            <w:right w:val="none" w:sz="0" w:space="0" w:color="auto"/>
          </w:divBdr>
        </w:div>
      </w:divsChild>
    </w:div>
    <w:div w:id="929310834">
      <w:marLeft w:val="0"/>
      <w:marRight w:val="0"/>
      <w:marTop w:val="0"/>
      <w:marBottom w:val="0"/>
      <w:divBdr>
        <w:top w:val="none" w:sz="0" w:space="0" w:color="auto"/>
        <w:left w:val="none" w:sz="0" w:space="0" w:color="auto"/>
        <w:bottom w:val="none" w:sz="0" w:space="0" w:color="auto"/>
        <w:right w:val="none" w:sz="0" w:space="0" w:color="auto"/>
      </w:divBdr>
      <w:divsChild>
        <w:div w:id="1085304761">
          <w:marLeft w:val="0"/>
          <w:marRight w:val="0"/>
          <w:marTop w:val="0"/>
          <w:marBottom w:val="0"/>
          <w:divBdr>
            <w:top w:val="none" w:sz="0" w:space="0" w:color="auto"/>
            <w:left w:val="none" w:sz="0" w:space="0" w:color="auto"/>
            <w:bottom w:val="none" w:sz="0" w:space="0" w:color="auto"/>
            <w:right w:val="none" w:sz="0" w:space="0" w:color="auto"/>
          </w:divBdr>
        </w:div>
      </w:divsChild>
    </w:div>
    <w:div w:id="929968436">
      <w:marLeft w:val="0"/>
      <w:marRight w:val="0"/>
      <w:marTop w:val="0"/>
      <w:marBottom w:val="120"/>
      <w:divBdr>
        <w:top w:val="none" w:sz="0" w:space="0" w:color="auto"/>
        <w:left w:val="none" w:sz="0" w:space="0" w:color="auto"/>
        <w:bottom w:val="none" w:sz="0" w:space="0" w:color="auto"/>
        <w:right w:val="none" w:sz="0" w:space="0" w:color="auto"/>
      </w:divBdr>
    </w:div>
    <w:div w:id="931428034">
      <w:marLeft w:val="0"/>
      <w:marRight w:val="0"/>
      <w:marTop w:val="0"/>
      <w:marBottom w:val="0"/>
      <w:divBdr>
        <w:top w:val="none" w:sz="0" w:space="0" w:color="auto"/>
        <w:left w:val="none" w:sz="0" w:space="0" w:color="auto"/>
        <w:bottom w:val="none" w:sz="0" w:space="0" w:color="auto"/>
        <w:right w:val="none" w:sz="0" w:space="0" w:color="auto"/>
      </w:divBdr>
    </w:div>
    <w:div w:id="942105570">
      <w:marLeft w:val="0"/>
      <w:marRight w:val="0"/>
      <w:marTop w:val="0"/>
      <w:marBottom w:val="0"/>
      <w:divBdr>
        <w:top w:val="none" w:sz="0" w:space="0" w:color="auto"/>
        <w:left w:val="none" w:sz="0" w:space="0" w:color="auto"/>
        <w:bottom w:val="none" w:sz="0" w:space="0" w:color="auto"/>
        <w:right w:val="none" w:sz="0" w:space="0" w:color="auto"/>
      </w:divBdr>
    </w:div>
    <w:div w:id="947463713">
      <w:marLeft w:val="0"/>
      <w:marRight w:val="0"/>
      <w:marTop w:val="0"/>
      <w:marBottom w:val="0"/>
      <w:divBdr>
        <w:top w:val="none" w:sz="0" w:space="0" w:color="auto"/>
        <w:left w:val="none" w:sz="0" w:space="0" w:color="auto"/>
        <w:bottom w:val="none" w:sz="0" w:space="0" w:color="auto"/>
        <w:right w:val="none" w:sz="0" w:space="0" w:color="auto"/>
      </w:divBdr>
    </w:div>
    <w:div w:id="954210752">
      <w:marLeft w:val="0"/>
      <w:marRight w:val="0"/>
      <w:marTop w:val="0"/>
      <w:marBottom w:val="0"/>
      <w:divBdr>
        <w:top w:val="none" w:sz="0" w:space="0" w:color="auto"/>
        <w:left w:val="none" w:sz="0" w:space="0" w:color="auto"/>
        <w:bottom w:val="none" w:sz="0" w:space="0" w:color="auto"/>
        <w:right w:val="none" w:sz="0" w:space="0" w:color="auto"/>
      </w:divBdr>
    </w:div>
    <w:div w:id="955209943">
      <w:marLeft w:val="0"/>
      <w:marRight w:val="0"/>
      <w:marTop w:val="0"/>
      <w:marBottom w:val="0"/>
      <w:divBdr>
        <w:top w:val="none" w:sz="0" w:space="0" w:color="auto"/>
        <w:left w:val="none" w:sz="0" w:space="0" w:color="auto"/>
        <w:bottom w:val="none" w:sz="0" w:space="0" w:color="auto"/>
        <w:right w:val="none" w:sz="0" w:space="0" w:color="auto"/>
      </w:divBdr>
      <w:divsChild>
        <w:div w:id="1058625193">
          <w:marLeft w:val="0"/>
          <w:marRight w:val="0"/>
          <w:marTop w:val="0"/>
          <w:marBottom w:val="0"/>
          <w:divBdr>
            <w:top w:val="none" w:sz="0" w:space="0" w:color="auto"/>
            <w:left w:val="none" w:sz="0" w:space="0" w:color="auto"/>
            <w:bottom w:val="none" w:sz="0" w:space="0" w:color="auto"/>
            <w:right w:val="none" w:sz="0" w:space="0" w:color="auto"/>
          </w:divBdr>
        </w:div>
      </w:divsChild>
    </w:div>
    <w:div w:id="957368107">
      <w:marLeft w:val="0"/>
      <w:marRight w:val="0"/>
      <w:marTop w:val="0"/>
      <w:marBottom w:val="120"/>
      <w:divBdr>
        <w:top w:val="none" w:sz="0" w:space="0" w:color="auto"/>
        <w:left w:val="none" w:sz="0" w:space="0" w:color="auto"/>
        <w:bottom w:val="none" w:sz="0" w:space="0" w:color="auto"/>
        <w:right w:val="none" w:sz="0" w:space="0" w:color="auto"/>
      </w:divBdr>
    </w:div>
    <w:div w:id="961348031">
      <w:marLeft w:val="0"/>
      <w:marRight w:val="0"/>
      <w:marTop w:val="0"/>
      <w:marBottom w:val="0"/>
      <w:divBdr>
        <w:top w:val="none" w:sz="0" w:space="0" w:color="auto"/>
        <w:left w:val="none" w:sz="0" w:space="0" w:color="auto"/>
        <w:bottom w:val="none" w:sz="0" w:space="0" w:color="auto"/>
        <w:right w:val="none" w:sz="0" w:space="0" w:color="auto"/>
      </w:divBdr>
      <w:divsChild>
        <w:div w:id="800731047">
          <w:marLeft w:val="0"/>
          <w:marRight w:val="0"/>
          <w:marTop w:val="0"/>
          <w:marBottom w:val="0"/>
          <w:divBdr>
            <w:top w:val="none" w:sz="0" w:space="0" w:color="auto"/>
            <w:left w:val="none" w:sz="0" w:space="0" w:color="auto"/>
            <w:bottom w:val="none" w:sz="0" w:space="0" w:color="auto"/>
            <w:right w:val="none" w:sz="0" w:space="0" w:color="auto"/>
          </w:divBdr>
        </w:div>
      </w:divsChild>
    </w:div>
    <w:div w:id="964896303">
      <w:marLeft w:val="0"/>
      <w:marRight w:val="0"/>
      <w:marTop w:val="0"/>
      <w:marBottom w:val="0"/>
      <w:divBdr>
        <w:top w:val="none" w:sz="0" w:space="0" w:color="auto"/>
        <w:left w:val="none" w:sz="0" w:space="0" w:color="auto"/>
        <w:bottom w:val="none" w:sz="0" w:space="0" w:color="auto"/>
        <w:right w:val="none" w:sz="0" w:space="0" w:color="auto"/>
      </w:divBdr>
    </w:div>
    <w:div w:id="965701302">
      <w:marLeft w:val="0"/>
      <w:marRight w:val="0"/>
      <w:marTop w:val="0"/>
      <w:marBottom w:val="0"/>
      <w:divBdr>
        <w:top w:val="none" w:sz="0" w:space="0" w:color="auto"/>
        <w:left w:val="none" w:sz="0" w:space="0" w:color="auto"/>
        <w:bottom w:val="none" w:sz="0" w:space="0" w:color="auto"/>
        <w:right w:val="none" w:sz="0" w:space="0" w:color="auto"/>
      </w:divBdr>
      <w:divsChild>
        <w:div w:id="1354652813">
          <w:marLeft w:val="0"/>
          <w:marRight w:val="0"/>
          <w:marTop w:val="0"/>
          <w:marBottom w:val="0"/>
          <w:divBdr>
            <w:top w:val="none" w:sz="0" w:space="0" w:color="auto"/>
            <w:left w:val="none" w:sz="0" w:space="0" w:color="auto"/>
            <w:bottom w:val="none" w:sz="0" w:space="0" w:color="auto"/>
            <w:right w:val="none" w:sz="0" w:space="0" w:color="auto"/>
          </w:divBdr>
        </w:div>
      </w:divsChild>
    </w:div>
    <w:div w:id="966741720">
      <w:marLeft w:val="0"/>
      <w:marRight w:val="0"/>
      <w:marTop w:val="0"/>
      <w:marBottom w:val="0"/>
      <w:divBdr>
        <w:top w:val="none" w:sz="0" w:space="0" w:color="auto"/>
        <w:left w:val="none" w:sz="0" w:space="0" w:color="auto"/>
        <w:bottom w:val="none" w:sz="0" w:space="0" w:color="auto"/>
        <w:right w:val="none" w:sz="0" w:space="0" w:color="auto"/>
      </w:divBdr>
    </w:div>
    <w:div w:id="970674224">
      <w:marLeft w:val="0"/>
      <w:marRight w:val="0"/>
      <w:marTop w:val="0"/>
      <w:marBottom w:val="0"/>
      <w:divBdr>
        <w:top w:val="none" w:sz="0" w:space="0" w:color="auto"/>
        <w:left w:val="none" w:sz="0" w:space="0" w:color="auto"/>
        <w:bottom w:val="none" w:sz="0" w:space="0" w:color="auto"/>
        <w:right w:val="none" w:sz="0" w:space="0" w:color="auto"/>
      </w:divBdr>
    </w:div>
    <w:div w:id="987435397">
      <w:marLeft w:val="0"/>
      <w:marRight w:val="0"/>
      <w:marTop w:val="0"/>
      <w:marBottom w:val="0"/>
      <w:divBdr>
        <w:top w:val="none" w:sz="0" w:space="0" w:color="auto"/>
        <w:left w:val="none" w:sz="0" w:space="0" w:color="auto"/>
        <w:bottom w:val="none" w:sz="0" w:space="0" w:color="auto"/>
        <w:right w:val="none" w:sz="0" w:space="0" w:color="auto"/>
      </w:divBdr>
    </w:div>
    <w:div w:id="989552509">
      <w:marLeft w:val="0"/>
      <w:marRight w:val="0"/>
      <w:marTop w:val="0"/>
      <w:marBottom w:val="0"/>
      <w:divBdr>
        <w:top w:val="none" w:sz="0" w:space="0" w:color="auto"/>
        <w:left w:val="none" w:sz="0" w:space="0" w:color="auto"/>
        <w:bottom w:val="none" w:sz="0" w:space="0" w:color="auto"/>
        <w:right w:val="none" w:sz="0" w:space="0" w:color="auto"/>
      </w:divBdr>
    </w:div>
    <w:div w:id="999042817">
      <w:marLeft w:val="0"/>
      <w:marRight w:val="0"/>
      <w:marTop w:val="0"/>
      <w:marBottom w:val="0"/>
      <w:divBdr>
        <w:top w:val="none" w:sz="0" w:space="0" w:color="auto"/>
        <w:left w:val="none" w:sz="0" w:space="0" w:color="auto"/>
        <w:bottom w:val="none" w:sz="0" w:space="0" w:color="auto"/>
        <w:right w:val="none" w:sz="0" w:space="0" w:color="auto"/>
      </w:divBdr>
    </w:div>
    <w:div w:id="1003431700">
      <w:marLeft w:val="0"/>
      <w:marRight w:val="0"/>
      <w:marTop w:val="0"/>
      <w:marBottom w:val="0"/>
      <w:divBdr>
        <w:top w:val="none" w:sz="0" w:space="0" w:color="auto"/>
        <w:left w:val="none" w:sz="0" w:space="0" w:color="auto"/>
        <w:bottom w:val="none" w:sz="0" w:space="0" w:color="auto"/>
        <w:right w:val="none" w:sz="0" w:space="0" w:color="auto"/>
      </w:divBdr>
    </w:div>
    <w:div w:id="1008874345">
      <w:marLeft w:val="0"/>
      <w:marRight w:val="0"/>
      <w:marTop w:val="0"/>
      <w:marBottom w:val="0"/>
      <w:divBdr>
        <w:top w:val="none" w:sz="0" w:space="0" w:color="auto"/>
        <w:left w:val="none" w:sz="0" w:space="0" w:color="auto"/>
        <w:bottom w:val="none" w:sz="0" w:space="0" w:color="auto"/>
        <w:right w:val="none" w:sz="0" w:space="0" w:color="auto"/>
      </w:divBdr>
      <w:divsChild>
        <w:div w:id="2017224062">
          <w:marLeft w:val="0"/>
          <w:marRight w:val="0"/>
          <w:marTop w:val="0"/>
          <w:marBottom w:val="0"/>
          <w:divBdr>
            <w:top w:val="none" w:sz="0" w:space="0" w:color="auto"/>
            <w:left w:val="none" w:sz="0" w:space="0" w:color="auto"/>
            <w:bottom w:val="none" w:sz="0" w:space="0" w:color="auto"/>
            <w:right w:val="none" w:sz="0" w:space="0" w:color="auto"/>
          </w:divBdr>
        </w:div>
      </w:divsChild>
    </w:div>
    <w:div w:id="1009408485">
      <w:marLeft w:val="0"/>
      <w:marRight w:val="0"/>
      <w:marTop w:val="0"/>
      <w:marBottom w:val="0"/>
      <w:divBdr>
        <w:top w:val="none" w:sz="0" w:space="0" w:color="auto"/>
        <w:left w:val="none" w:sz="0" w:space="0" w:color="auto"/>
        <w:bottom w:val="none" w:sz="0" w:space="0" w:color="auto"/>
        <w:right w:val="none" w:sz="0" w:space="0" w:color="auto"/>
      </w:divBdr>
      <w:divsChild>
        <w:div w:id="916208649">
          <w:marLeft w:val="0"/>
          <w:marRight w:val="0"/>
          <w:marTop w:val="0"/>
          <w:marBottom w:val="0"/>
          <w:divBdr>
            <w:top w:val="none" w:sz="0" w:space="0" w:color="auto"/>
            <w:left w:val="none" w:sz="0" w:space="0" w:color="auto"/>
            <w:bottom w:val="none" w:sz="0" w:space="0" w:color="auto"/>
            <w:right w:val="none" w:sz="0" w:space="0" w:color="auto"/>
          </w:divBdr>
        </w:div>
      </w:divsChild>
    </w:div>
    <w:div w:id="1011683737">
      <w:marLeft w:val="0"/>
      <w:marRight w:val="0"/>
      <w:marTop w:val="0"/>
      <w:marBottom w:val="0"/>
      <w:divBdr>
        <w:top w:val="none" w:sz="0" w:space="0" w:color="auto"/>
        <w:left w:val="none" w:sz="0" w:space="0" w:color="auto"/>
        <w:bottom w:val="none" w:sz="0" w:space="0" w:color="auto"/>
        <w:right w:val="none" w:sz="0" w:space="0" w:color="auto"/>
      </w:divBdr>
    </w:div>
    <w:div w:id="1018508585">
      <w:marLeft w:val="0"/>
      <w:marRight w:val="0"/>
      <w:marTop w:val="0"/>
      <w:marBottom w:val="120"/>
      <w:divBdr>
        <w:top w:val="none" w:sz="0" w:space="0" w:color="auto"/>
        <w:left w:val="none" w:sz="0" w:space="0" w:color="auto"/>
        <w:bottom w:val="none" w:sz="0" w:space="0" w:color="auto"/>
        <w:right w:val="none" w:sz="0" w:space="0" w:color="auto"/>
      </w:divBdr>
    </w:div>
    <w:div w:id="1031029425">
      <w:marLeft w:val="0"/>
      <w:marRight w:val="0"/>
      <w:marTop w:val="0"/>
      <w:marBottom w:val="0"/>
      <w:divBdr>
        <w:top w:val="none" w:sz="0" w:space="0" w:color="auto"/>
        <w:left w:val="none" w:sz="0" w:space="0" w:color="auto"/>
        <w:bottom w:val="none" w:sz="0" w:space="0" w:color="auto"/>
        <w:right w:val="none" w:sz="0" w:space="0" w:color="auto"/>
      </w:divBdr>
      <w:divsChild>
        <w:div w:id="588778512">
          <w:marLeft w:val="0"/>
          <w:marRight w:val="0"/>
          <w:marTop w:val="0"/>
          <w:marBottom w:val="0"/>
          <w:divBdr>
            <w:top w:val="none" w:sz="0" w:space="0" w:color="auto"/>
            <w:left w:val="none" w:sz="0" w:space="0" w:color="auto"/>
            <w:bottom w:val="none" w:sz="0" w:space="0" w:color="auto"/>
            <w:right w:val="none" w:sz="0" w:space="0" w:color="auto"/>
          </w:divBdr>
        </w:div>
      </w:divsChild>
    </w:div>
    <w:div w:id="1033657364">
      <w:marLeft w:val="0"/>
      <w:marRight w:val="0"/>
      <w:marTop w:val="0"/>
      <w:marBottom w:val="0"/>
      <w:divBdr>
        <w:top w:val="none" w:sz="0" w:space="0" w:color="auto"/>
        <w:left w:val="none" w:sz="0" w:space="0" w:color="auto"/>
        <w:bottom w:val="none" w:sz="0" w:space="0" w:color="auto"/>
        <w:right w:val="none" w:sz="0" w:space="0" w:color="auto"/>
      </w:divBdr>
    </w:div>
    <w:div w:id="1036545655">
      <w:marLeft w:val="0"/>
      <w:marRight w:val="0"/>
      <w:marTop w:val="0"/>
      <w:marBottom w:val="120"/>
      <w:divBdr>
        <w:top w:val="none" w:sz="0" w:space="0" w:color="auto"/>
        <w:left w:val="none" w:sz="0" w:space="0" w:color="auto"/>
        <w:bottom w:val="none" w:sz="0" w:space="0" w:color="auto"/>
        <w:right w:val="none" w:sz="0" w:space="0" w:color="auto"/>
      </w:divBdr>
    </w:div>
    <w:div w:id="1045102823">
      <w:marLeft w:val="0"/>
      <w:marRight w:val="0"/>
      <w:marTop w:val="0"/>
      <w:marBottom w:val="0"/>
      <w:divBdr>
        <w:top w:val="none" w:sz="0" w:space="0" w:color="auto"/>
        <w:left w:val="none" w:sz="0" w:space="0" w:color="auto"/>
        <w:bottom w:val="none" w:sz="0" w:space="0" w:color="auto"/>
        <w:right w:val="none" w:sz="0" w:space="0" w:color="auto"/>
      </w:divBdr>
      <w:divsChild>
        <w:div w:id="235357120">
          <w:marLeft w:val="0"/>
          <w:marRight w:val="0"/>
          <w:marTop w:val="0"/>
          <w:marBottom w:val="0"/>
          <w:divBdr>
            <w:top w:val="none" w:sz="0" w:space="0" w:color="auto"/>
            <w:left w:val="none" w:sz="0" w:space="0" w:color="auto"/>
            <w:bottom w:val="none" w:sz="0" w:space="0" w:color="auto"/>
            <w:right w:val="none" w:sz="0" w:space="0" w:color="auto"/>
          </w:divBdr>
        </w:div>
      </w:divsChild>
    </w:div>
    <w:div w:id="1045373027">
      <w:marLeft w:val="0"/>
      <w:marRight w:val="0"/>
      <w:marTop w:val="0"/>
      <w:marBottom w:val="0"/>
      <w:divBdr>
        <w:top w:val="none" w:sz="0" w:space="0" w:color="auto"/>
        <w:left w:val="none" w:sz="0" w:space="0" w:color="auto"/>
        <w:bottom w:val="none" w:sz="0" w:space="0" w:color="auto"/>
        <w:right w:val="none" w:sz="0" w:space="0" w:color="auto"/>
      </w:divBdr>
    </w:div>
    <w:div w:id="1048144040">
      <w:marLeft w:val="0"/>
      <w:marRight w:val="0"/>
      <w:marTop w:val="0"/>
      <w:marBottom w:val="0"/>
      <w:divBdr>
        <w:top w:val="none" w:sz="0" w:space="0" w:color="auto"/>
        <w:left w:val="none" w:sz="0" w:space="0" w:color="auto"/>
        <w:bottom w:val="none" w:sz="0" w:space="0" w:color="auto"/>
        <w:right w:val="none" w:sz="0" w:space="0" w:color="auto"/>
      </w:divBdr>
      <w:divsChild>
        <w:div w:id="1348098836">
          <w:marLeft w:val="0"/>
          <w:marRight w:val="0"/>
          <w:marTop w:val="0"/>
          <w:marBottom w:val="0"/>
          <w:divBdr>
            <w:top w:val="none" w:sz="0" w:space="0" w:color="auto"/>
            <w:left w:val="none" w:sz="0" w:space="0" w:color="auto"/>
            <w:bottom w:val="none" w:sz="0" w:space="0" w:color="auto"/>
            <w:right w:val="none" w:sz="0" w:space="0" w:color="auto"/>
          </w:divBdr>
        </w:div>
      </w:divsChild>
    </w:div>
    <w:div w:id="1049188074">
      <w:marLeft w:val="0"/>
      <w:marRight w:val="0"/>
      <w:marTop w:val="0"/>
      <w:marBottom w:val="0"/>
      <w:divBdr>
        <w:top w:val="none" w:sz="0" w:space="0" w:color="auto"/>
        <w:left w:val="none" w:sz="0" w:space="0" w:color="auto"/>
        <w:bottom w:val="none" w:sz="0" w:space="0" w:color="auto"/>
        <w:right w:val="none" w:sz="0" w:space="0" w:color="auto"/>
      </w:divBdr>
      <w:divsChild>
        <w:div w:id="1625506392">
          <w:marLeft w:val="0"/>
          <w:marRight w:val="0"/>
          <w:marTop w:val="0"/>
          <w:marBottom w:val="0"/>
          <w:divBdr>
            <w:top w:val="none" w:sz="0" w:space="0" w:color="auto"/>
            <w:left w:val="none" w:sz="0" w:space="0" w:color="auto"/>
            <w:bottom w:val="none" w:sz="0" w:space="0" w:color="auto"/>
            <w:right w:val="none" w:sz="0" w:space="0" w:color="auto"/>
          </w:divBdr>
        </w:div>
      </w:divsChild>
    </w:div>
    <w:div w:id="1049375378">
      <w:marLeft w:val="0"/>
      <w:marRight w:val="0"/>
      <w:marTop w:val="0"/>
      <w:marBottom w:val="0"/>
      <w:divBdr>
        <w:top w:val="none" w:sz="0" w:space="0" w:color="auto"/>
        <w:left w:val="none" w:sz="0" w:space="0" w:color="auto"/>
        <w:bottom w:val="none" w:sz="0" w:space="0" w:color="auto"/>
        <w:right w:val="none" w:sz="0" w:space="0" w:color="auto"/>
      </w:divBdr>
    </w:div>
    <w:div w:id="1054239638">
      <w:marLeft w:val="0"/>
      <w:marRight w:val="0"/>
      <w:marTop w:val="0"/>
      <w:marBottom w:val="0"/>
      <w:divBdr>
        <w:top w:val="none" w:sz="0" w:space="0" w:color="auto"/>
        <w:left w:val="none" w:sz="0" w:space="0" w:color="auto"/>
        <w:bottom w:val="none" w:sz="0" w:space="0" w:color="auto"/>
        <w:right w:val="none" w:sz="0" w:space="0" w:color="auto"/>
      </w:divBdr>
      <w:divsChild>
        <w:div w:id="898710997">
          <w:marLeft w:val="0"/>
          <w:marRight w:val="0"/>
          <w:marTop w:val="0"/>
          <w:marBottom w:val="0"/>
          <w:divBdr>
            <w:top w:val="none" w:sz="0" w:space="0" w:color="auto"/>
            <w:left w:val="none" w:sz="0" w:space="0" w:color="auto"/>
            <w:bottom w:val="none" w:sz="0" w:space="0" w:color="auto"/>
            <w:right w:val="none" w:sz="0" w:space="0" w:color="auto"/>
          </w:divBdr>
        </w:div>
      </w:divsChild>
    </w:div>
    <w:div w:id="1054937482">
      <w:marLeft w:val="0"/>
      <w:marRight w:val="0"/>
      <w:marTop w:val="0"/>
      <w:marBottom w:val="0"/>
      <w:divBdr>
        <w:top w:val="none" w:sz="0" w:space="0" w:color="auto"/>
        <w:left w:val="none" w:sz="0" w:space="0" w:color="auto"/>
        <w:bottom w:val="none" w:sz="0" w:space="0" w:color="auto"/>
        <w:right w:val="none" w:sz="0" w:space="0" w:color="auto"/>
      </w:divBdr>
      <w:divsChild>
        <w:div w:id="902060907">
          <w:marLeft w:val="0"/>
          <w:marRight w:val="0"/>
          <w:marTop w:val="0"/>
          <w:marBottom w:val="0"/>
          <w:divBdr>
            <w:top w:val="none" w:sz="0" w:space="0" w:color="auto"/>
            <w:left w:val="none" w:sz="0" w:space="0" w:color="auto"/>
            <w:bottom w:val="none" w:sz="0" w:space="0" w:color="auto"/>
            <w:right w:val="none" w:sz="0" w:space="0" w:color="auto"/>
          </w:divBdr>
        </w:div>
      </w:divsChild>
    </w:div>
    <w:div w:id="1061371981">
      <w:marLeft w:val="0"/>
      <w:marRight w:val="0"/>
      <w:marTop w:val="0"/>
      <w:marBottom w:val="120"/>
      <w:divBdr>
        <w:top w:val="none" w:sz="0" w:space="0" w:color="auto"/>
        <w:left w:val="none" w:sz="0" w:space="0" w:color="auto"/>
        <w:bottom w:val="none" w:sz="0" w:space="0" w:color="auto"/>
        <w:right w:val="none" w:sz="0" w:space="0" w:color="auto"/>
      </w:divBdr>
    </w:div>
    <w:div w:id="1062218256">
      <w:marLeft w:val="0"/>
      <w:marRight w:val="0"/>
      <w:marTop w:val="0"/>
      <w:marBottom w:val="0"/>
      <w:divBdr>
        <w:top w:val="none" w:sz="0" w:space="0" w:color="auto"/>
        <w:left w:val="none" w:sz="0" w:space="0" w:color="auto"/>
        <w:bottom w:val="none" w:sz="0" w:space="0" w:color="auto"/>
        <w:right w:val="none" w:sz="0" w:space="0" w:color="auto"/>
      </w:divBdr>
      <w:divsChild>
        <w:div w:id="1495997270">
          <w:marLeft w:val="0"/>
          <w:marRight w:val="0"/>
          <w:marTop w:val="0"/>
          <w:marBottom w:val="0"/>
          <w:divBdr>
            <w:top w:val="none" w:sz="0" w:space="0" w:color="auto"/>
            <w:left w:val="none" w:sz="0" w:space="0" w:color="auto"/>
            <w:bottom w:val="none" w:sz="0" w:space="0" w:color="auto"/>
            <w:right w:val="none" w:sz="0" w:space="0" w:color="auto"/>
          </w:divBdr>
        </w:div>
      </w:divsChild>
    </w:div>
    <w:div w:id="1065176878">
      <w:marLeft w:val="0"/>
      <w:marRight w:val="0"/>
      <w:marTop w:val="0"/>
      <w:marBottom w:val="120"/>
      <w:divBdr>
        <w:top w:val="none" w:sz="0" w:space="0" w:color="auto"/>
        <w:left w:val="none" w:sz="0" w:space="0" w:color="auto"/>
        <w:bottom w:val="none" w:sz="0" w:space="0" w:color="auto"/>
        <w:right w:val="none" w:sz="0" w:space="0" w:color="auto"/>
      </w:divBdr>
    </w:div>
    <w:div w:id="1065491147">
      <w:marLeft w:val="0"/>
      <w:marRight w:val="0"/>
      <w:marTop w:val="0"/>
      <w:marBottom w:val="0"/>
      <w:divBdr>
        <w:top w:val="none" w:sz="0" w:space="0" w:color="auto"/>
        <w:left w:val="none" w:sz="0" w:space="0" w:color="auto"/>
        <w:bottom w:val="none" w:sz="0" w:space="0" w:color="auto"/>
        <w:right w:val="none" w:sz="0" w:space="0" w:color="auto"/>
      </w:divBdr>
    </w:div>
    <w:div w:id="1072777153">
      <w:marLeft w:val="0"/>
      <w:marRight w:val="0"/>
      <w:marTop w:val="0"/>
      <w:marBottom w:val="0"/>
      <w:divBdr>
        <w:top w:val="none" w:sz="0" w:space="0" w:color="auto"/>
        <w:left w:val="none" w:sz="0" w:space="0" w:color="auto"/>
        <w:bottom w:val="none" w:sz="0" w:space="0" w:color="auto"/>
        <w:right w:val="none" w:sz="0" w:space="0" w:color="auto"/>
      </w:divBdr>
      <w:divsChild>
        <w:div w:id="884369347">
          <w:marLeft w:val="0"/>
          <w:marRight w:val="0"/>
          <w:marTop w:val="0"/>
          <w:marBottom w:val="0"/>
          <w:divBdr>
            <w:top w:val="none" w:sz="0" w:space="0" w:color="auto"/>
            <w:left w:val="none" w:sz="0" w:space="0" w:color="auto"/>
            <w:bottom w:val="none" w:sz="0" w:space="0" w:color="auto"/>
            <w:right w:val="none" w:sz="0" w:space="0" w:color="auto"/>
          </w:divBdr>
        </w:div>
      </w:divsChild>
    </w:div>
    <w:div w:id="1073309799">
      <w:marLeft w:val="0"/>
      <w:marRight w:val="0"/>
      <w:marTop w:val="0"/>
      <w:marBottom w:val="120"/>
      <w:divBdr>
        <w:top w:val="none" w:sz="0" w:space="0" w:color="auto"/>
        <w:left w:val="none" w:sz="0" w:space="0" w:color="auto"/>
        <w:bottom w:val="none" w:sz="0" w:space="0" w:color="auto"/>
        <w:right w:val="none" w:sz="0" w:space="0" w:color="auto"/>
      </w:divBdr>
    </w:div>
    <w:div w:id="1078944683">
      <w:marLeft w:val="0"/>
      <w:marRight w:val="0"/>
      <w:marTop w:val="0"/>
      <w:marBottom w:val="0"/>
      <w:divBdr>
        <w:top w:val="none" w:sz="0" w:space="0" w:color="auto"/>
        <w:left w:val="none" w:sz="0" w:space="0" w:color="auto"/>
        <w:bottom w:val="none" w:sz="0" w:space="0" w:color="auto"/>
        <w:right w:val="none" w:sz="0" w:space="0" w:color="auto"/>
      </w:divBdr>
      <w:divsChild>
        <w:div w:id="1056856092">
          <w:marLeft w:val="0"/>
          <w:marRight w:val="0"/>
          <w:marTop w:val="0"/>
          <w:marBottom w:val="0"/>
          <w:divBdr>
            <w:top w:val="none" w:sz="0" w:space="0" w:color="auto"/>
            <w:left w:val="none" w:sz="0" w:space="0" w:color="auto"/>
            <w:bottom w:val="none" w:sz="0" w:space="0" w:color="auto"/>
            <w:right w:val="none" w:sz="0" w:space="0" w:color="auto"/>
          </w:divBdr>
        </w:div>
      </w:divsChild>
    </w:div>
    <w:div w:id="1080175619">
      <w:marLeft w:val="0"/>
      <w:marRight w:val="0"/>
      <w:marTop w:val="0"/>
      <w:marBottom w:val="0"/>
      <w:divBdr>
        <w:top w:val="none" w:sz="0" w:space="0" w:color="auto"/>
        <w:left w:val="none" w:sz="0" w:space="0" w:color="auto"/>
        <w:bottom w:val="none" w:sz="0" w:space="0" w:color="auto"/>
        <w:right w:val="none" w:sz="0" w:space="0" w:color="auto"/>
      </w:divBdr>
      <w:divsChild>
        <w:div w:id="1272250980">
          <w:marLeft w:val="0"/>
          <w:marRight w:val="0"/>
          <w:marTop w:val="0"/>
          <w:marBottom w:val="0"/>
          <w:divBdr>
            <w:top w:val="none" w:sz="0" w:space="0" w:color="auto"/>
            <w:left w:val="none" w:sz="0" w:space="0" w:color="auto"/>
            <w:bottom w:val="none" w:sz="0" w:space="0" w:color="auto"/>
            <w:right w:val="none" w:sz="0" w:space="0" w:color="auto"/>
          </w:divBdr>
        </w:div>
      </w:divsChild>
    </w:div>
    <w:div w:id="1082987791">
      <w:marLeft w:val="0"/>
      <w:marRight w:val="0"/>
      <w:marTop w:val="0"/>
      <w:marBottom w:val="0"/>
      <w:divBdr>
        <w:top w:val="none" w:sz="0" w:space="0" w:color="auto"/>
        <w:left w:val="none" w:sz="0" w:space="0" w:color="auto"/>
        <w:bottom w:val="none" w:sz="0" w:space="0" w:color="auto"/>
        <w:right w:val="none" w:sz="0" w:space="0" w:color="auto"/>
      </w:divBdr>
      <w:divsChild>
        <w:div w:id="1927222151">
          <w:marLeft w:val="0"/>
          <w:marRight w:val="0"/>
          <w:marTop w:val="0"/>
          <w:marBottom w:val="0"/>
          <w:divBdr>
            <w:top w:val="none" w:sz="0" w:space="0" w:color="auto"/>
            <w:left w:val="none" w:sz="0" w:space="0" w:color="auto"/>
            <w:bottom w:val="none" w:sz="0" w:space="0" w:color="auto"/>
            <w:right w:val="none" w:sz="0" w:space="0" w:color="auto"/>
          </w:divBdr>
        </w:div>
      </w:divsChild>
    </w:div>
    <w:div w:id="1086416198">
      <w:marLeft w:val="0"/>
      <w:marRight w:val="0"/>
      <w:marTop w:val="0"/>
      <w:marBottom w:val="120"/>
      <w:divBdr>
        <w:top w:val="none" w:sz="0" w:space="0" w:color="auto"/>
        <w:left w:val="none" w:sz="0" w:space="0" w:color="auto"/>
        <w:bottom w:val="none" w:sz="0" w:space="0" w:color="auto"/>
        <w:right w:val="none" w:sz="0" w:space="0" w:color="auto"/>
      </w:divBdr>
    </w:div>
    <w:div w:id="1087506718">
      <w:marLeft w:val="0"/>
      <w:marRight w:val="0"/>
      <w:marTop w:val="0"/>
      <w:marBottom w:val="0"/>
      <w:divBdr>
        <w:top w:val="none" w:sz="0" w:space="0" w:color="auto"/>
        <w:left w:val="none" w:sz="0" w:space="0" w:color="auto"/>
        <w:bottom w:val="none" w:sz="0" w:space="0" w:color="auto"/>
        <w:right w:val="none" w:sz="0" w:space="0" w:color="auto"/>
      </w:divBdr>
    </w:div>
    <w:div w:id="1088844731">
      <w:marLeft w:val="0"/>
      <w:marRight w:val="0"/>
      <w:marTop w:val="0"/>
      <w:marBottom w:val="0"/>
      <w:divBdr>
        <w:top w:val="none" w:sz="0" w:space="0" w:color="auto"/>
        <w:left w:val="none" w:sz="0" w:space="0" w:color="auto"/>
        <w:bottom w:val="none" w:sz="0" w:space="0" w:color="auto"/>
        <w:right w:val="none" w:sz="0" w:space="0" w:color="auto"/>
      </w:divBdr>
      <w:divsChild>
        <w:div w:id="1583565127">
          <w:marLeft w:val="0"/>
          <w:marRight w:val="0"/>
          <w:marTop w:val="0"/>
          <w:marBottom w:val="0"/>
          <w:divBdr>
            <w:top w:val="none" w:sz="0" w:space="0" w:color="auto"/>
            <w:left w:val="none" w:sz="0" w:space="0" w:color="auto"/>
            <w:bottom w:val="none" w:sz="0" w:space="0" w:color="auto"/>
            <w:right w:val="none" w:sz="0" w:space="0" w:color="auto"/>
          </w:divBdr>
        </w:div>
      </w:divsChild>
    </w:div>
    <w:div w:id="1092511225">
      <w:marLeft w:val="0"/>
      <w:marRight w:val="0"/>
      <w:marTop w:val="0"/>
      <w:marBottom w:val="120"/>
      <w:divBdr>
        <w:top w:val="none" w:sz="0" w:space="0" w:color="auto"/>
        <w:left w:val="none" w:sz="0" w:space="0" w:color="auto"/>
        <w:bottom w:val="none" w:sz="0" w:space="0" w:color="auto"/>
        <w:right w:val="none" w:sz="0" w:space="0" w:color="auto"/>
      </w:divBdr>
    </w:div>
    <w:div w:id="1093278509">
      <w:marLeft w:val="0"/>
      <w:marRight w:val="0"/>
      <w:marTop w:val="0"/>
      <w:marBottom w:val="0"/>
      <w:divBdr>
        <w:top w:val="none" w:sz="0" w:space="0" w:color="auto"/>
        <w:left w:val="none" w:sz="0" w:space="0" w:color="auto"/>
        <w:bottom w:val="none" w:sz="0" w:space="0" w:color="auto"/>
        <w:right w:val="none" w:sz="0" w:space="0" w:color="auto"/>
      </w:divBdr>
      <w:divsChild>
        <w:div w:id="622617629">
          <w:marLeft w:val="0"/>
          <w:marRight w:val="0"/>
          <w:marTop w:val="0"/>
          <w:marBottom w:val="0"/>
          <w:divBdr>
            <w:top w:val="none" w:sz="0" w:space="0" w:color="auto"/>
            <w:left w:val="none" w:sz="0" w:space="0" w:color="auto"/>
            <w:bottom w:val="none" w:sz="0" w:space="0" w:color="auto"/>
            <w:right w:val="none" w:sz="0" w:space="0" w:color="auto"/>
          </w:divBdr>
        </w:div>
      </w:divsChild>
    </w:div>
    <w:div w:id="1101223620">
      <w:marLeft w:val="0"/>
      <w:marRight w:val="0"/>
      <w:marTop w:val="0"/>
      <w:marBottom w:val="0"/>
      <w:divBdr>
        <w:top w:val="none" w:sz="0" w:space="0" w:color="auto"/>
        <w:left w:val="none" w:sz="0" w:space="0" w:color="auto"/>
        <w:bottom w:val="none" w:sz="0" w:space="0" w:color="auto"/>
        <w:right w:val="none" w:sz="0" w:space="0" w:color="auto"/>
      </w:divBdr>
      <w:divsChild>
        <w:div w:id="1307272721">
          <w:marLeft w:val="0"/>
          <w:marRight w:val="0"/>
          <w:marTop w:val="0"/>
          <w:marBottom w:val="0"/>
          <w:divBdr>
            <w:top w:val="none" w:sz="0" w:space="0" w:color="auto"/>
            <w:left w:val="none" w:sz="0" w:space="0" w:color="auto"/>
            <w:bottom w:val="none" w:sz="0" w:space="0" w:color="auto"/>
            <w:right w:val="none" w:sz="0" w:space="0" w:color="auto"/>
          </w:divBdr>
        </w:div>
      </w:divsChild>
    </w:div>
    <w:div w:id="1105076220">
      <w:marLeft w:val="0"/>
      <w:marRight w:val="0"/>
      <w:marTop w:val="0"/>
      <w:marBottom w:val="0"/>
      <w:divBdr>
        <w:top w:val="none" w:sz="0" w:space="0" w:color="auto"/>
        <w:left w:val="none" w:sz="0" w:space="0" w:color="auto"/>
        <w:bottom w:val="none" w:sz="0" w:space="0" w:color="auto"/>
        <w:right w:val="none" w:sz="0" w:space="0" w:color="auto"/>
      </w:divBdr>
      <w:divsChild>
        <w:div w:id="1073772941">
          <w:marLeft w:val="0"/>
          <w:marRight w:val="0"/>
          <w:marTop w:val="0"/>
          <w:marBottom w:val="0"/>
          <w:divBdr>
            <w:top w:val="none" w:sz="0" w:space="0" w:color="auto"/>
            <w:left w:val="none" w:sz="0" w:space="0" w:color="auto"/>
            <w:bottom w:val="none" w:sz="0" w:space="0" w:color="auto"/>
            <w:right w:val="none" w:sz="0" w:space="0" w:color="auto"/>
          </w:divBdr>
        </w:div>
      </w:divsChild>
    </w:div>
    <w:div w:id="1105081326">
      <w:marLeft w:val="0"/>
      <w:marRight w:val="0"/>
      <w:marTop w:val="0"/>
      <w:marBottom w:val="0"/>
      <w:divBdr>
        <w:top w:val="none" w:sz="0" w:space="0" w:color="auto"/>
        <w:left w:val="none" w:sz="0" w:space="0" w:color="auto"/>
        <w:bottom w:val="none" w:sz="0" w:space="0" w:color="auto"/>
        <w:right w:val="none" w:sz="0" w:space="0" w:color="auto"/>
      </w:divBdr>
    </w:div>
    <w:div w:id="1105421278">
      <w:marLeft w:val="0"/>
      <w:marRight w:val="0"/>
      <w:marTop w:val="0"/>
      <w:marBottom w:val="0"/>
      <w:divBdr>
        <w:top w:val="none" w:sz="0" w:space="0" w:color="auto"/>
        <w:left w:val="none" w:sz="0" w:space="0" w:color="auto"/>
        <w:bottom w:val="none" w:sz="0" w:space="0" w:color="auto"/>
        <w:right w:val="none" w:sz="0" w:space="0" w:color="auto"/>
      </w:divBdr>
    </w:div>
    <w:div w:id="1106851133">
      <w:marLeft w:val="0"/>
      <w:marRight w:val="0"/>
      <w:marTop w:val="0"/>
      <w:marBottom w:val="0"/>
      <w:divBdr>
        <w:top w:val="none" w:sz="0" w:space="0" w:color="auto"/>
        <w:left w:val="none" w:sz="0" w:space="0" w:color="auto"/>
        <w:bottom w:val="none" w:sz="0" w:space="0" w:color="auto"/>
        <w:right w:val="none" w:sz="0" w:space="0" w:color="auto"/>
      </w:divBdr>
      <w:divsChild>
        <w:div w:id="1862474092">
          <w:marLeft w:val="0"/>
          <w:marRight w:val="0"/>
          <w:marTop w:val="0"/>
          <w:marBottom w:val="0"/>
          <w:divBdr>
            <w:top w:val="none" w:sz="0" w:space="0" w:color="auto"/>
            <w:left w:val="none" w:sz="0" w:space="0" w:color="auto"/>
            <w:bottom w:val="none" w:sz="0" w:space="0" w:color="auto"/>
            <w:right w:val="none" w:sz="0" w:space="0" w:color="auto"/>
          </w:divBdr>
        </w:div>
      </w:divsChild>
    </w:div>
    <w:div w:id="1108087081">
      <w:marLeft w:val="0"/>
      <w:marRight w:val="0"/>
      <w:marTop w:val="0"/>
      <w:marBottom w:val="120"/>
      <w:divBdr>
        <w:top w:val="none" w:sz="0" w:space="0" w:color="auto"/>
        <w:left w:val="none" w:sz="0" w:space="0" w:color="auto"/>
        <w:bottom w:val="none" w:sz="0" w:space="0" w:color="auto"/>
        <w:right w:val="none" w:sz="0" w:space="0" w:color="auto"/>
      </w:divBdr>
    </w:div>
    <w:div w:id="1110468880">
      <w:marLeft w:val="0"/>
      <w:marRight w:val="0"/>
      <w:marTop w:val="0"/>
      <w:marBottom w:val="0"/>
      <w:divBdr>
        <w:top w:val="none" w:sz="0" w:space="0" w:color="auto"/>
        <w:left w:val="none" w:sz="0" w:space="0" w:color="auto"/>
        <w:bottom w:val="none" w:sz="0" w:space="0" w:color="auto"/>
        <w:right w:val="none" w:sz="0" w:space="0" w:color="auto"/>
      </w:divBdr>
    </w:div>
    <w:div w:id="1113288178">
      <w:marLeft w:val="0"/>
      <w:marRight w:val="0"/>
      <w:marTop w:val="0"/>
      <w:marBottom w:val="120"/>
      <w:divBdr>
        <w:top w:val="none" w:sz="0" w:space="0" w:color="auto"/>
        <w:left w:val="none" w:sz="0" w:space="0" w:color="auto"/>
        <w:bottom w:val="none" w:sz="0" w:space="0" w:color="auto"/>
        <w:right w:val="none" w:sz="0" w:space="0" w:color="auto"/>
      </w:divBdr>
    </w:div>
    <w:div w:id="1118061171">
      <w:marLeft w:val="0"/>
      <w:marRight w:val="0"/>
      <w:marTop w:val="0"/>
      <w:marBottom w:val="0"/>
      <w:divBdr>
        <w:top w:val="none" w:sz="0" w:space="0" w:color="auto"/>
        <w:left w:val="none" w:sz="0" w:space="0" w:color="auto"/>
        <w:bottom w:val="none" w:sz="0" w:space="0" w:color="auto"/>
        <w:right w:val="none" w:sz="0" w:space="0" w:color="auto"/>
      </w:divBdr>
    </w:div>
    <w:div w:id="1118987758">
      <w:marLeft w:val="0"/>
      <w:marRight w:val="0"/>
      <w:marTop w:val="0"/>
      <w:marBottom w:val="0"/>
      <w:divBdr>
        <w:top w:val="none" w:sz="0" w:space="0" w:color="auto"/>
        <w:left w:val="none" w:sz="0" w:space="0" w:color="auto"/>
        <w:bottom w:val="none" w:sz="0" w:space="0" w:color="auto"/>
        <w:right w:val="none" w:sz="0" w:space="0" w:color="auto"/>
      </w:divBdr>
    </w:div>
    <w:div w:id="1120105568">
      <w:marLeft w:val="0"/>
      <w:marRight w:val="0"/>
      <w:marTop w:val="0"/>
      <w:marBottom w:val="0"/>
      <w:divBdr>
        <w:top w:val="none" w:sz="0" w:space="0" w:color="auto"/>
        <w:left w:val="none" w:sz="0" w:space="0" w:color="auto"/>
        <w:bottom w:val="none" w:sz="0" w:space="0" w:color="auto"/>
        <w:right w:val="none" w:sz="0" w:space="0" w:color="auto"/>
      </w:divBdr>
    </w:div>
    <w:div w:id="1126240296">
      <w:marLeft w:val="0"/>
      <w:marRight w:val="0"/>
      <w:marTop w:val="0"/>
      <w:marBottom w:val="0"/>
      <w:divBdr>
        <w:top w:val="none" w:sz="0" w:space="0" w:color="auto"/>
        <w:left w:val="none" w:sz="0" w:space="0" w:color="auto"/>
        <w:bottom w:val="none" w:sz="0" w:space="0" w:color="auto"/>
        <w:right w:val="none" w:sz="0" w:space="0" w:color="auto"/>
      </w:divBdr>
    </w:div>
    <w:div w:id="1133522631">
      <w:marLeft w:val="0"/>
      <w:marRight w:val="0"/>
      <w:marTop w:val="0"/>
      <w:marBottom w:val="0"/>
      <w:divBdr>
        <w:top w:val="none" w:sz="0" w:space="0" w:color="auto"/>
        <w:left w:val="none" w:sz="0" w:space="0" w:color="auto"/>
        <w:bottom w:val="none" w:sz="0" w:space="0" w:color="auto"/>
        <w:right w:val="none" w:sz="0" w:space="0" w:color="auto"/>
      </w:divBdr>
    </w:div>
    <w:div w:id="1146321168">
      <w:marLeft w:val="0"/>
      <w:marRight w:val="0"/>
      <w:marTop w:val="0"/>
      <w:marBottom w:val="0"/>
      <w:divBdr>
        <w:top w:val="none" w:sz="0" w:space="0" w:color="auto"/>
        <w:left w:val="none" w:sz="0" w:space="0" w:color="auto"/>
        <w:bottom w:val="none" w:sz="0" w:space="0" w:color="auto"/>
        <w:right w:val="none" w:sz="0" w:space="0" w:color="auto"/>
      </w:divBdr>
    </w:div>
    <w:div w:id="1151101103">
      <w:marLeft w:val="0"/>
      <w:marRight w:val="0"/>
      <w:marTop w:val="0"/>
      <w:marBottom w:val="0"/>
      <w:divBdr>
        <w:top w:val="none" w:sz="0" w:space="0" w:color="auto"/>
        <w:left w:val="none" w:sz="0" w:space="0" w:color="auto"/>
        <w:bottom w:val="none" w:sz="0" w:space="0" w:color="auto"/>
        <w:right w:val="none" w:sz="0" w:space="0" w:color="auto"/>
      </w:divBdr>
    </w:div>
    <w:div w:id="1152453329">
      <w:marLeft w:val="0"/>
      <w:marRight w:val="0"/>
      <w:marTop w:val="0"/>
      <w:marBottom w:val="120"/>
      <w:divBdr>
        <w:top w:val="none" w:sz="0" w:space="0" w:color="auto"/>
        <w:left w:val="none" w:sz="0" w:space="0" w:color="auto"/>
        <w:bottom w:val="none" w:sz="0" w:space="0" w:color="auto"/>
        <w:right w:val="none" w:sz="0" w:space="0" w:color="auto"/>
      </w:divBdr>
      <w:divsChild>
        <w:div w:id="1111585155">
          <w:marLeft w:val="0"/>
          <w:marRight w:val="0"/>
          <w:marTop w:val="0"/>
          <w:marBottom w:val="0"/>
          <w:divBdr>
            <w:top w:val="none" w:sz="0" w:space="0" w:color="auto"/>
            <w:left w:val="none" w:sz="0" w:space="0" w:color="auto"/>
            <w:bottom w:val="none" w:sz="0" w:space="0" w:color="auto"/>
            <w:right w:val="none" w:sz="0" w:space="0" w:color="auto"/>
          </w:divBdr>
        </w:div>
        <w:div w:id="1335382054">
          <w:marLeft w:val="0"/>
          <w:marRight w:val="0"/>
          <w:marTop w:val="0"/>
          <w:marBottom w:val="0"/>
          <w:divBdr>
            <w:top w:val="none" w:sz="0" w:space="0" w:color="auto"/>
            <w:left w:val="none" w:sz="0" w:space="0" w:color="auto"/>
            <w:bottom w:val="none" w:sz="0" w:space="0" w:color="auto"/>
            <w:right w:val="none" w:sz="0" w:space="0" w:color="auto"/>
          </w:divBdr>
        </w:div>
        <w:div w:id="1588230230">
          <w:marLeft w:val="0"/>
          <w:marRight w:val="0"/>
          <w:marTop w:val="0"/>
          <w:marBottom w:val="0"/>
          <w:divBdr>
            <w:top w:val="none" w:sz="0" w:space="0" w:color="auto"/>
            <w:left w:val="none" w:sz="0" w:space="0" w:color="auto"/>
            <w:bottom w:val="none" w:sz="0" w:space="0" w:color="auto"/>
            <w:right w:val="none" w:sz="0" w:space="0" w:color="auto"/>
          </w:divBdr>
        </w:div>
        <w:div w:id="588851577">
          <w:marLeft w:val="0"/>
          <w:marRight w:val="0"/>
          <w:marTop w:val="0"/>
          <w:marBottom w:val="0"/>
          <w:divBdr>
            <w:top w:val="none" w:sz="0" w:space="0" w:color="auto"/>
            <w:left w:val="none" w:sz="0" w:space="0" w:color="auto"/>
            <w:bottom w:val="none" w:sz="0" w:space="0" w:color="auto"/>
            <w:right w:val="none" w:sz="0" w:space="0" w:color="auto"/>
          </w:divBdr>
        </w:div>
        <w:div w:id="622148890">
          <w:marLeft w:val="0"/>
          <w:marRight w:val="0"/>
          <w:marTop w:val="0"/>
          <w:marBottom w:val="0"/>
          <w:divBdr>
            <w:top w:val="none" w:sz="0" w:space="0" w:color="auto"/>
            <w:left w:val="none" w:sz="0" w:space="0" w:color="auto"/>
            <w:bottom w:val="none" w:sz="0" w:space="0" w:color="auto"/>
            <w:right w:val="none" w:sz="0" w:space="0" w:color="auto"/>
          </w:divBdr>
        </w:div>
        <w:div w:id="609774061">
          <w:marLeft w:val="0"/>
          <w:marRight w:val="0"/>
          <w:marTop w:val="0"/>
          <w:marBottom w:val="0"/>
          <w:divBdr>
            <w:top w:val="none" w:sz="0" w:space="0" w:color="auto"/>
            <w:left w:val="none" w:sz="0" w:space="0" w:color="auto"/>
            <w:bottom w:val="none" w:sz="0" w:space="0" w:color="auto"/>
            <w:right w:val="none" w:sz="0" w:space="0" w:color="auto"/>
          </w:divBdr>
        </w:div>
        <w:div w:id="1519738751">
          <w:marLeft w:val="0"/>
          <w:marRight w:val="0"/>
          <w:marTop w:val="0"/>
          <w:marBottom w:val="0"/>
          <w:divBdr>
            <w:top w:val="none" w:sz="0" w:space="0" w:color="auto"/>
            <w:left w:val="none" w:sz="0" w:space="0" w:color="auto"/>
            <w:bottom w:val="none" w:sz="0" w:space="0" w:color="auto"/>
            <w:right w:val="none" w:sz="0" w:space="0" w:color="auto"/>
          </w:divBdr>
        </w:div>
        <w:div w:id="668405957">
          <w:marLeft w:val="0"/>
          <w:marRight w:val="0"/>
          <w:marTop w:val="0"/>
          <w:marBottom w:val="0"/>
          <w:divBdr>
            <w:top w:val="none" w:sz="0" w:space="0" w:color="auto"/>
            <w:left w:val="none" w:sz="0" w:space="0" w:color="auto"/>
            <w:bottom w:val="none" w:sz="0" w:space="0" w:color="auto"/>
            <w:right w:val="none" w:sz="0" w:space="0" w:color="auto"/>
          </w:divBdr>
        </w:div>
      </w:divsChild>
    </w:div>
    <w:div w:id="1156452592">
      <w:marLeft w:val="0"/>
      <w:marRight w:val="0"/>
      <w:marTop w:val="0"/>
      <w:marBottom w:val="0"/>
      <w:divBdr>
        <w:top w:val="none" w:sz="0" w:space="0" w:color="auto"/>
        <w:left w:val="none" w:sz="0" w:space="0" w:color="auto"/>
        <w:bottom w:val="none" w:sz="0" w:space="0" w:color="auto"/>
        <w:right w:val="none" w:sz="0" w:space="0" w:color="auto"/>
      </w:divBdr>
    </w:div>
    <w:div w:id="1157918782">
      <w:marLeft w:val="0"/>
      <w:marRight w:val="0"/>
      <w:marTop w:val="0"/>
      <w:marBottom w:val="0"/>
      <w:divBdr>
        <w:top w:val="none" w:sz="0" w:space="0" w:color="auto"/>
        <w:left w:val="none" w:sz="0" w:space="0" w:color="auto"/>
        <w:bottom w:val="none" w:sz="0" w:space="0" w:color="auto"/>
        <w:right w:val="none" w:sz="0" w:space="0" w:color="auto"/>
      </w:divBdr>
      <w:divsChild>
        <w:div w:id="635911861">
          <w:marLeft w:val="0"/>
          <w:marRight w:val="0"/>
          <w:marTop w:val="0"/>
          <w:marBottom w:val="0"/>
          <w:divBdr>
            <w:top w:val="none" w:sz="0" w:space="0" w:color="auto"/>
            <w:left w:val="none" w:sz="0" w:space="0" w:color="auto"/>
            <w:bottom w:val="none" w:sz="0" w:space="0" w:color="auto"/>
            <w:right w:val="none" w:sz="0" w:space="0" w:color="auto"/>
          </w:divBdr>
        </w:div>
      </w:divsChild>
    </w:div>
    <w:div w:id="1160148155">
      <w:marLeft w:val="0"/>
      <w:marRight w:val="0"/>
      <w:marTop w:val="0"/>
      <w:marBottom w:val="0"/>
      <w:divBdr>
        <w:top w:val="none" w:sz="0" w:space="0" w:color="auto"/>
        <w:left w:val="none" w:sz="0" w:space="0" w:color="auto"/>
        <w:bottom w:val="none" w:sz="0" w:space="0" w:color="auto"/>
        <w:right w:val="none" w:sz="0" w:space="0" w:color="auto"/>
      </w:divBdr>
    </w:div>
    <w:div w:id="1170289118">
      <w:marLeft w:val="0"/>
      <w:marRight w:val="0"/>
      <w:marTop w:val="0"/>
      <w:marBottom w:val="0"/>
      <w:divBdr>
        <w:top w:val="none" w:sz="0" w:space="0" w:color="auto"/>
        <w:left w:val="none" w:sz="0" w:space="0" w:color="auto"/>
        <w:bottom w:val="none" w:sz="0" w:space="0" w:color="auto"/>
        <w:right w:val="none" w:sz="0" w:space="0" w:color="auto"/>
      </w:divBdr>
      <w:divsChild>
        <w:div w:id="1844931580">
          <w:marLeft w:val="0"/>
          <w:marRight w:val="0"/>
          <w:marTop w:val="0"/>
          <w:marBottom w:val="0"/>
          <w:divBdr>
            <w:top w:val="none" w:sz="0" w:space="0" w:color="auto"/>
            <w:left w:val="none" w:sz="0" w:space="0" w:color="auto"/>
            <w:bottom w:val="none" w:sz="0" w:space="0" w:color="auto"/>
            <w:right w:val="none" w:sz="0" w:space="0" w:color="auto"/>
          </w:divBdr>
        </w:div>
      </w:divsChild>
    </w:div>
    <w:div w:id="1171796574">
      <w:marLeft w:val="0"/>
      <w:marRight w:val="0"/>
      <w:marTop w:val="0"/>
      <w:marBottom w:val="120"/>
      <w:divBdr>
        <w:top w:val="none" w:sz="0" w:space="0" w:color="auto"/>
        <w:left w:val="none" w:sz="0" w:space="0" w:color="auto"/>
        <w:bottom w:val="none" w:sz="0" w:space="0" w:color="auto"/>
        <w:right w:val="none" w:sz="0" w:space="0" w:color="auto"/>
      </w:divBdr>
    </w:div>
    <w:div w:id="1176116584">
      <w:marLeft w:val="0"/>
      <w:marRight w:val="0"/>
      <w:marTop w:val="0"/>
      <w:marBottom w:val="0"/>
      <w:divBdr>
        <w:top w:val="none" w:sz="0" w:space="0" w:color="auto"/>
        <w:left w:val="none" w:sz="0" w:space="0" w:color="auto"/>
        <w:bottom w:val="none" w:sz="0" w:space="0" w:color="auto"/>
        <w:right w:val="none" w:sz="0" w:space="0" w:color="auto"/>
      </w:divBdr>
      <w:divsChild>
        <w:div w:id="881600813">
          <w:marLeft w:val="0"/>
          <w:marRight w:val="0"/>
          <w:marTop w:val="0"/>
          <w:marBottom w:val="0"/>
          <w:divBdr>
            <w:top w:val="none" w:sz="0" w:space="0" w:color="auto"/>
            <w:left w:val="none" w:sz="0" w:space="0" w:color="auto"/>
            <w:bottom w:val="none" w:sz="0" w:space="0" w:color="auto"/>
            <w:right w:val="none" w:sz="0" w:space="0" w:color="auto"/>
          </w:divBdr>
        </w:div>
      </w:divsChild>
    </w:div>
    <w:div w:id="1183203406">
      <w:marLeft w:val="0"/>
      <w:marRight w:val="0"/>
      <w:marTop w:val="0"/>
      <w:marBottom w:val="0"/>
      <w:divBdr>
        <w:top w:val="none" w:sz="0" w:space="0" w:color="auto"/>
        <w:left w:val="none" w:sz="0" w:space="0" w:color="auto"/>
        <w:bottom w:val="none" w:sz="0" w:space="0" w:color="auto"/>
        <w:right w:val="none" w:sz="0" w:space="0" w:color="auto"/>
      </w:divBdr>
    </w:div>
    <w:div w:id="1188446171">
      <w:marLeft w:val="0"/>
      <w:marRight w:val="0"/>
      <w:marTop w:val="0"/>
      <w:marBottom w:val="0"/>
      <w:divBdr>
        <w:top w:val="none" w:sz="0" w:space="0" w:color="auto"/>
        <w:left w:val="none" w:sz="0" w:space="0" w:color="auto"/>
        <w:bottom w:val="none" w:sz="0" w:space="0" w:color="auto"/>
        <w:right w:val="none" w:sz="0" w:space="0" w:color="auto"/>
      </w:divBdr>
    </w:div>
    <w:div w:id="1190220606">
      <w:marLeft w:val="0"/>
      <w:marRight w:val="0"/>
      <w:marTop w:val="0"/>
      <w:marBottom w:val="0"/>
      <w:divBdr>
        <w:top w:val="none" w:sz="0" w:space="0" w:color="auto"/>
        <w:left w:val="none" w:sz="0" w:space="0" w:color="auto"/>
        <w:bottom w:val="none" w:sz="0" w:space="0" w:color="auto"/>
        <w:right w:val="none" w:sz="0" w:space="0" w:color="auto"/>
      </w:divBdr>
    </w:div>
    <w:div w:id="1195852028">
      <w:marLeft w:val="0"/>
      <w:marRight w:val="0"/>
      <w:marTop w:val="0"/>
      <w:marBottom w:val="0"/>
      <w:divBdr>
        <w:top w:val="none" w:sz="0" w:space="0" w:color="auto"/>
        <w:left w:val="none" w:sz="0" w:space="0" w:color="auto"/>
        <w:bottom w:val="none" w:sz="0" w:space="0" w:color="auto"/>
        <w:right w:val="none" w:sz="0" w:space="0" w:color="auto"/>
      </w:divBdr>
    </w:div>
    <w:div w:id="1203783930">
      <w:marLeft w:val="0"/>
      <w:marRight w:val="0"/>
      <w:marTop w:val="0"/>
      <w:marBottom w:val="0"/>
      <w:divBdr>
        <w:top w:val="none" w:sz="0" w:space="0" w:color="auto"/>
        <w:left w:val="none" w:sz="0" w:space="0" w:color="auto"/>
        <w:bottom w:val="none" w:sz="0" w:space="0" w:color="auto"/>
        <w:right w:val="none" w:sz="0" w:space="0" w:color="auto"/>
      </w:divBdr>
      <w:divsChild>
        <w:div w:id="181436013">
          <w:marLeft w:val="0"/>
          <w:marRight w:val="0"/>
          <w:marTop w:val="0"/>
          <w:marBottom w:val="0"/>
          <w:divBdr>
            <w:top w:val="none" w:sz="0" w:space="0" w:color="auto"/>
            <w:left w:val="none" w:sz="0" w:space="0" w:color="auto"/>
            <w:bottom w:val="none" w:sz="0" w:space="0" w:color="auto"/>
            <w:right w:val="none" w:sz="0" w:space="0" w:color="auto"/>
          </w:divBdr>
        </w:div>
      </w:divsChild>
    </w:div>
    <w:div w:id="1207568386">
      <w:marLeft w:val="0"/>
      <w:marRight w:val="0"/>
      <w:marTop w:val="0"/>
      <w:marBottom w:val="0"/>
      <w:divBdr>
        <w:top w:val="none" w:sz="0" w:space="0" w:color="auto"/>
        <w:left w:val="none" w:sz="0" w:space="0" w:color="auto"/>
        <w:bottom w:val="none" w:sz="0" w:space="0" w:color="auto"/>
        <w:right w:val="none" w:sz="0" w:space="0" w:color="auto"/>
      </w:divBdr>
    </w:div>
    <w:div w:id="1208180938">
      <w:marLeft w:val="0"/>
      <w:marRight w:val="0"/>
      <w:marTop w:val="0"/>
      <w:marBottom w:val="0"/>
      <w:divBdr>
        <w:top w:val="none" w:sz="0" w:space="0" w:color="auto"/>
        <w:left w:val="none" w:sz="0" w:space="0" w:color="auto"/>
        <w:bottom w:val="none" w:sz="0" w:space="0" w:color="auto"/>
        <w:right w:val="none" w:sz="0" w:space="0" w:color="auto"/>
      </w:divBdr>
    </w:div>
    <w:div w:id="1216544982">
      <w:marLeft w:val="0"/>
      <w:marRight w:val="0"/>
      <w:marTop w:val="0"/>
      <w:marBottom w:val="0"/>
      <w:divBdr>
        <w:top w:val="none" w:sz="0" w:space="0" w:color="auto"/>
        <w:left w:val="none" w:sz="0" w:space="0" w:color="auto"/>
        <w:bottom w:val="none" w:sz="0" w:space="0" w:color="auto"/>
        <w:right w:val="none" w:sz="0" w:space="0" w:color="auto"/>
      </w:divBdr>
      <w:divsChild>
        <w:div w:id="355892875">
          <w:marLeft w:val="0"/>
          <w:marRight w:val="0"/>
          <w:marTop w:val="0"/>
          <w:marBottom w:val="0"/>
          <w:divBdr>
            <w:top w:val="none" w:sz="0" w:space="0" w:color="auto"/>
            <w:left w:val="none" w:sz="0" w:space="0" w:color="auto"/>
            <w:bottom w:val="none" w:sz="0" w:space="0" w:color="auto"/>
            <w:right w:val="none" w:sz="0" w:space="0" w:color="auto"/>
          </w:divBdr>
        </w:div>
      </w:divsChild>
    </w:div>
    <w:div w:id="1217204673">
      <w:marLeft w:val="0"/>
      <w:marRight w:val="0"/>
      <w:marTop w:val="0"/>
      <w:marBottom w:val="0"/>
      <w:divBdr>
        <w:top w:val="none" w:sz="0" w:space="0" w:color="auto"/>
        <w:left w:val="none" w:sz="0" w:space="0" w:color="auto"/>
        <w:bottom w:val="none" w:sz="0" w:space="0" w:color="auto"/>
        <w:right w:val="none" w:sz="0" w:space="0" w:color="auto"/>
      </w:divBdr>
      <w:divsChild>
        <w:div w:id="1366254601">
          <w:marLeft w:val="0"/>
          <w:marRight w:val="0"/>
          <w:marTop w:val="0"/>
          <w:marBottom w:val="0"/>
          <w:divBdr>
            <w:top w:val="none" w:sz="0" w:space="0" w:color="auto"/>
            <w:left w:val="none" w:sz="0" w:space="0" w:color="auto"/>
            <w:bottom w:val="none" w:sz="0" w:space="0" w:color="auto"/>
            <w:right w:val="none" w:sz="0" w:space="0" w:color="auto"/>
          </w:divBdr>
        </w:div>
      </w:divsChild>
    </w:div>
    <w:div w:id="1227760320">
      <w:marLeft w:val="0"/>
      <w:marRight w:val="0"/>
      <w:marTop w:val="0"/>
      <w:marBottom w:val="0"/>
      <w:divBdr>
        <w:top w:val="none" w:sz="0" w:space="0" w:color="auto"/>
        <w:left w:val="none" w:sz="0" w:space="0" w:color="auto"/>
        <w:bottom w:val="none" w:sz="0" w:space="0" w:color="auto"/>
        <w:right w:val="none" w:sz="0" w:space="0" w:color="auto"/>
      </w:divBdr>
    </w:div>
    <w:div w:id="1230263827">
      <w:marLeft w:val="0"/>
      <w:marRight w:val="0"/>
      <w:marTop w:val="0"/>
      <w:marBottom w:val="0"/>
      <w:divBdr>
        <w:top w:val="none" w:sz="0" w:space="0" w:color="auto"/>
        <w:left w:val="none" w:sz="0" w:space="0" w:color="auto"/>
        <w:bottom w:val="none" w:sz="0" w:space="0" w:color="auto"/>
        <w:right w:val="none" w:sz="0" w:space="0" w:color="auto"/>
      </w:divBdr>
    </w:div>
    <w:div w:id="1231035772">
      <w:marLeft w:val="0"/>
      <w:marRight w:val="0"/>
      <w:marTop w:val="0"/>
      <w:marBottom w:val="0"/>
      <w:divBdr>
        <w:top w:val="none" w:sz="0" w:space="0" w:color="auto"/>
        <w:left w:val="none" w:sz="0" w:space="0" w:color="auto"/>
        <w:bottom w:val="none" w:sz="0" w:space="0" w:color="auto"/>
        <w:right w:val="none" w:sz="0" w:space="0" w:color="auto"/>
      </w:divBdr>
      <w:divsChild>
        <w:div w:id="1090740643">
          <w:marLeft w:val="0"/>
          <w:marRight w:val="0"/>
          <w:marTop w:val="0"/>
          <w:marBottom w:val="0"/>
          <w:divBdr>
            <w:top w:val="none" w:sz="0" w:space="0" w:color="auto"/>
            <w:left w:val="none" w:sz="0" w:space="0" w:color="auto"/>
            <w:bottom w:val="none" w:sz="0" w:space="0" w:color="auto"/>
            <w:right w:val="none" w:sz="0" w:space="0" w:color="auto"/>
          </w:divBdr>
        </w:div>
      </w:divsChild>
    </w:div>
    <w:div w:id="1232689746">
      <w:marLeft w:val="0"/>
      <w:marRight w:val="0"/>
      <w:marTop w:val="0"/>
      <w:marBottom w:val="120"/>
      <w:divBdr>
        <w:top w:val="none" w:sz="0" w:space="0" w:color="auto"/>
        <w:left w:val="none" w:sz="0" w:space="0" w:color="auto"/>
        <w:bottom w:val="none" w:sz="0" w:space="0" w:color="auto"/>
        <w:right w:val="none" w:sz="0" w:space="0" w:color="auto"/>
      </w:divBdr>
    </w:div>
    <w:div w:id="1237782315">
      <w:marLeft w:val="0"/>
      <w:marRight w:val="0"/>
      <w:marTop w:val="0"/>
      <w:marBottom w:val="0"/>
      <w:divBdr>
        <w:top w:val="none" w:sz="0" w:space="0" w:color="auto"/>
        <w:left w:val="none" w:sz="0" w:space="0" w:color="auto"/>
        <w:bottom w:val="none" w:sz="0" w:space="0" w:color="auto"/>
        <w:right w:val="none" w:sz="0" w:space="0" w:color="auto"/>
      </w:divBdr>
    </w:div>
    <w:div w:id="1238520652">
      <w:marLeft w:val="0"/>
      <w:marRight w:val="0"/>
      <w:marTop w:val="0"/>
      <w:marBottom w:val="120"/>
      <w:divBdr>
        <w:top w:val="none" w:sz="0" w:space="0" w:color="auto"/>
        <w:left w:val="none" w:sz="0" w:space="0" w:color="auto"/>
        <w:bottom w:val="none" w:sz="0" w:space="0" w:color="auto"/>
        <w:right w:val="none" w:sz="0" w:space="0" w:color="auto"/>
      </w:divBdr>
    </w:div>
    <w:div w:id="1252592351">
      <w:marLeft w:val="0"/>
      <w:marRight w:val="0"/>
      <w:marTop w:val="0"/>
      <w:marBottom w:val="0"/>
      <w:divBdr>
        <w:top w:val="none" w:sz="0" w:space="0" w:color="auto"/>
        <w:left w:val="none" w:sz="0" w:space="0" w:color="auto"/>
        <w:bottom w:val="none" w:sz="0" w:space="0" w:color="auto"/>
        <w:right w:val="none" w:sz="0" w:space="0" w:color="auto"/>
      </w:divBdr>
    </w:div>
    <w:div w:id="1253666922">
      <w:marLeft w:val="0"/>
      <w:marRight w:val="0"/>
      <w:marTop w:val="0"/>
      <w:marBottom w:val="0"/>
      <w:divBdr>
        <w:top w:val="none" w:sz="0" w:space="0" w:color="auto"/>
        <w:left w:val="none" w:sz="0" w:space="0" w:color="auto"/>
        <w:bottom w:val="none" w:sz="0" w:space="0" w:color="auto"/>
        <w:right w:val="none" w:sz="0" w:space="0" w:color="auto"/>
      </w:divBdr>
    </w:div>
    <w:div w:id="1257009745">
      <w:marLeft w:val="0"/>
      <w:marRight w:val="0"/>
      <w:marTop w:val="0"/>
      <w:marBottom w:val="0"/>
      <w:divBdr>
        <w:top w:val="none" w:sz="0" w:space="0" w:color="auto"/>
        <w:left w:val="none" w:sz="0" w:space="0" w:color="auto"/>
        <w:bottom w:val="none" w:sz="0" w:space="0" w:color="auto"/>
        <w:right w:val="none" w:sz="0" w:space="0" w:color="auto"/>
      </w:divBdr>
      <w:divsChild>
        <w:div w:id="401216959">
          <w:marLeft w:val="0"/>
          <w:marRight w:val="0"/>
          <w:marTop w:val="0"/>
          <w:marBottom w:val="0"/>
          <w:divBdr>
            <w:top w:val="none" w:sz="0" w:space="0" w:color="auto"/>
            <w:left w:val="none" w:sz="0" w:space="0" w:color="auto"/>
            <w:bottom w:val="none" w:sz="0" w:space="0" w:color="auto"/>
            <w:right w:val="none" w:sz="0" w:space="0" w:color="auto"/>
          </w:divBdr>
        </w:div>
      </w:divsChild>
    </w:div>
    <w:div w:id="1257521707">
      <w:marLeft w:val="0"/>
      <w:marRight w:val="0"/>
      <w:marTop w:val="0"/>
      <w:marBottom w:val="0"/>
      <w:divBdr>
        <w:top w:val="none" w:sz="0" w:space="0" w:color="auto"/>
        <w:left w:val="none" w:sz="0" w:space="0" w:color="auto"/>
        <w:bottom w:val="none" w:sz="0" w:space="0" w:color="auto"/>
        <w:right w:val="none" w:sz="0" w:space="0" w:color="auto"/>
      </w:divBdr>
    </w:div>
    <w:div w:id="1257863962">
      <w:marLeft w:val="0"/>
      <w:marRight w:val="0"/>
      <w:marTop w:val="0"/>
      <w:marBottom w:val="0"/>
      <w:divBdr>
        <w:top w:val="none" w:sz="0" w:space="0" w:color="auto"/>
        <w:left w:val="none" w:sz="0" w:space="0" w:color="auto"/>
        <w:bottom w:val="none" w:sz="0" w:space="0" w:color="auto"/>
        <w:right w:val="none" w:sz="0" w:space="0" w:color="auto"/>
      </w:divBdr>
    </w:div>
    <w:div w:id="1262101622">
      <w:marLeft w:val="0"/>
      <w:marRight w:val="0"/>
      <w:marTop w:val="0"/>
      <w:marBottom w:val="0"/>
      <w:divBdr>
        <w:top w:val="none" w:sz="0" w:space="0" w:color="auto"/>
        <w:left w:val="none" w:sz="0" w:space="0" w:color="auto"/>
        <w:bottom w:val="none" w:sz="0" w:space="0" w:color="auto"/>
        <w:right w:val="none" w:sz="0" w:space="0" w:color="auto"/>
      </w:divBdr>
    </w:div>
    <w:div w:id="1265458036">
      <w:marLeft w:val="0"/>
      <w:marRight w:val="0"/>
      <w:marTop w:val="0"/>
      <w:marBottom w:val="0"/>
      <w:divBdr>
        <w:top w:val="none" w:sz="0" w:space="0" w:color="auto"/>
        <w:left w:val="none" w:sz="0" w:space="0" w:color="auto"/>
        <w:bottom w:val="none" w:sz="0" w:space="0" w:color="auto"/>
        <w:right w:val="none" w:sz="0" w:space="0" w:color="auto"/>
      </w:divBdr>
    </w:div>
    <w:div w:id="1269041254">
      <w:marLeft w:val="0"/>
      <w:marRight w:val="0"/>
      <w:marTop w:val="0"/>
      <w:marBottom w:val="0"/>
      <w:divBdr>
        <w:top w:val="none" w:sz="0" w:space="0" w:color="auto"/>
        <w:left w:val="none" w:sz="0" w:space="0" w:color="auto"/>
        <w:bottom w:val="none" w:sz="0" w:space="0" w:color="auto"/>
        <w:right w:val="none" w:sz="0" w:space="0" w:color="auto"/>
      </w:divBdr>
    </w:div>
    <w:div w:id="1270353803">
      <w:marLeft w:val="0"/>
      <w:marRight w:val="0"/>
      <w:marTop w:val="0"/>
      <w:marBottom w:val="0"/>
      <w:divBdr>
        <w:top w:val="none" w:sz="0" w:space="0" w:color="auto"/>
        <w:left w:val="none" w:sz="0" w:space="0" w:color="auto"/>
        <w:bottom w:val="none" w:sz="0" w:space="0" w:color="auto"/>
        <w:right w:val="none" w:sz="0" w:space="0" w:color="auto"/>
      </w:divBdr>
      <w:divsChild>
        <w:div w:id="1431774072">
          <w:marLeft w:val="0"/>
          <w:marRight w:val="0"/>
          <w:marTop w:val="0"/>
          <w:marBottom w:val="0"/>
          <w:divBdr>
            <w:top w:val="none" w:sz="0" w:space="0" w:color="auto"/>
            <w:left w:val="none" w:sz="0" w:space="0" w:color="auto"/>
            <w:bottom w:val="none" w:sz="0" w:space="0" w:color="auto"/>
            <w:right w:val="none" w:sz="0" w:space="0" w:color="auto"/>
          </w:divBdr>
        </w:div>
      </w:divsChild>
    </w:div>
    <w:div w:id="1270428794">
      <w:marLeft w:val="0"/>
      <w:marRight w:val="0"/>
      <w:marTop w:val="0"/>
      <w:marBottom w:val="0"/>
      <w:divBdr>
        <w:top w:val="none" w:sz="0" w:space="0" w:color="auto"/>
        <w:left w:val="none" w:sz="0" w:space="0" w:color="auto"/>
        <w:bottom w:val="none" w:sz="0" w:space="0" w:color="auto"/>
        <w:right w:val="none" w:sz="0" w:space="0" w:color="auto"/>
      </w:divBdr>
    </w:div>
    <w:div w:id="1270894501">
      <w:marLeft w:val="0"/>
      <w:marRight w:val="0"/>
      <w:marTop w:val="0"/>
      <w:marBottom w:val="0"/>
      <w:divBdr>
        <w:top w:val="none" w:sz="0" w:space="0" w:color="auto"/>
        <w:left w:val="none" w:sz="0" w:space="0" w:color="auto"/>
        <w:bottom w:val="none" w:sz="0" w:space="0" w:color="auto"/>
        <w:right w:val="none" w:sz="0" w:space="0" w:color="auto"/>
      </w:divBdr>
    </w:div>
    <w:div w:id="1272206482">
      <w:marLeft w:val="0"/>
      <w:marRight w:val="0"/>
      <w:marTop w:val="0"/>
      <w:marBottom w:val="0"/>
      <w:divBdr>
        <w:top w:val="none" w:sz="0" w:space="0" w:color="auto"/>
        <w:left w:val="none" w:sz="0" w:space="0" w:color="auto"/>
        <w:bottom w:val="none" w:sz="0" w:space="0" w:color="auto"/>
        <w:right w:val="none" w:sz="0" w:space="0" w:color="auto"/>
      </w:divBdr>
    </w:div>
    <w:div w:id="1272709496">
      <w:marLeft w:val="0"/>
      <w:marRight w:val="0"/>
      <w:marTop w:val="0"/>
      <w:marBottom w:val="120"/>
      <w:divBdr>
        <w:top w:val="none" w:sz="0" w:space="0" w:color="auto"/>
        <w:left w:val="none" w:sz="0" w:space="0" w:color="auto"/>
        <w:bottom w:val="none" w:sz="0" w:space="0" w:color="auto"/>
        <w:right w:val="none" w:sz="0" w:space="0" w:color="auto"/>
      </w:divBdr>
      <w:divsChild>
        <w:div w:id="1759909110">
          <w:marLeft w:val="0"/>
          <w:marRight w:val="0"/>
          <w:marTop w:val="0"/>
          <w:marBottom w:val="0"/>
          <w:divBdr>
            <w:top w:val="none" w:sz="0" w:space="0" w:color="auto"/>
            <w:left w:val="none" w:sz="0" w:space="0" w:color="auto"/>
            <w:bottom w:val="none" w:sz="0" w:space="0" w:color="auto"/>
            <w:right w:val="none" w:sz="0" w:space="0" w:color="auto"/>
          </w:divBdr>
        </w:div>
        <w:div w:id="650793616">
          <w:marLeft w:val="0"/>
          <w:marRight w:val="0"/>
          <w:marTop w:val="0"/>
          <w:marBottom w:val="0"/>
          <w:divBdr>
            <w:top w:val="none" w:sz="0" w:space="0" w:color="auto"/>
            <w:left w:val="none" w:sz="0" w:space="0" w:color="auto"/>
            <w:bottom w:val="none" w:sz="0" w:space="0" w:color="auto"/>
            <w:right w:val="none" w:sz="0" w:space="0" w:color="auto"/>
          </w:divBdr>
        </w:div>
      </w:divsChild>
    </w:div>
    <w:div w:id="1277449940">
      <w:marLeft w:val="0"/>
      <w:marRight w:val="0"/>
      <w:marTop w:val="0"/>
      <w:marBottom w:val="0"/>
      <w:divBdr>
        <w:top w:val="none" w:sz="0" w:space="0" w:color="auto"/>
        <w:left w:val="none" w:sz="0" w:space="0" w:color="auto"/>
        <w:bottom w:val="none" w:sz="0" w:space="0" w:color="auto"/>
        <w:right w:val="none" w:sz="0" w:space="0" w:color="auto"/>
      </w:divBdr>
    </w:div>
    <w:div w:id="1283880055">
      <w:marLeft w:val="0"/>
      <w:marRight w:val="0"/>
      <w:marTop w:val="0"/>
      <w:marBottom w:val="0"/>
      <w:divBdr>
        <w:top w:val="none" w:sz="0" w:space="0" w:color="auto"/>
        <w:left w:val="none" w:sz="0" w:space="0" w:color="auto"/>
        <w:bottom w:val="none" w:sz="0" w:space="0" w:color="auto"/>
        <w:right w:val="none" w:sz="0" w:space="0" w:color="auto"/>
      </w:divBdr>
    </w:div>
    <w:div w:id="1288975420">
      <w:marLeft w:val="0"/>
      <w:marRight w:val="0"/>
      <w:marTop w:val="0"/>
      <w:marBottom w:val="0"/>
      <w:divBdr>
        <w:top w:val="none" w:sz="0" w:space="0" w:color="auto"/>
        <w:left w:val="none" w:sz="0" w:space="0" w:color="auto"/>
        <w:bottom w:val="none" w:sz="0" w:space="0" w:color="auto"/>
        <w:right w:val="none" w:sz="0" w:space="0" w:color="auto"/>
      </w:divBdr>
      <w:divsChild>
        <w:div w:id="551967939">
          <w:marLeft w:val="0"/>
          <w:marRight w:val="0"/>
          <w:marTop w:val="0"/>
          <w:marBottom w:val="0"/>
          <w:divBdr>
            <w:top w:val="none" w:sz="0" w:space="0" w:color="auto"/>
            <w:left w:val="none" w:sz="0" w:space="0" w:color="auto"/>
            <w:bottom w:val="none" w:sz="0" w:space="0" w:color="auto"/>
            <w:right w:val="none" w:sz="0" w:space="0" w:color="auto"/>
          </w:divBdr>
        </w:div>
      </w:divsChild>
    </w:div>
    <w:div w:id="1290625144">
      <w:marLeft w:val="0"/>
      <w:marRight w:val="0"/>
      <w:marTop w:val="0"/>
      <w:marBottom w:val="0"/>
      <w:divBdr>
        <w:top w:val="none" w:sz="0" w:space="0" w:color="auto"/>
        <w:left w:val="none" w:sz="0" w:space="0" w:color="auto"/>
        <w:bottom w:val="none" w:sz="0" w:space="0" w:color="auto"/>
        <w:right w:val="none" w:sz="0" w:space="0" w:color="auto"/>
      </w:divBdr>
      <w:divsChild>
        <w:div w:id="800457880">
          <w:marLeft w:val="0"/>
          <w:marRight w:val="0"/>
          <w:marTop w:val="0"/>
          <w:marBottom w:val="0"/>
          <w:divBdr>
            <w:top w:val="none" w:sz="0" w:space="0" w:color="auto"/>
            <w:left w:val="none" w:sz="0" w:space="0" w:color="auto"/>
            <w:bottom w:val="none" w:sz="0" w:space="0" w:color="auto"/>
            <w:right w:val="none" w:sz="0" w:space="0" w:color="auto"/>
          </w:divBdr>
        </w:div>
      </w:divsChild>
    </w:div>
    <w:div w:id="1295866353">
      <w:marLeft w:val="0"/>
      <w:marRight w:val="0"/>
      <w:marTop w:val="0"/>
      <w:marBottom w:val="0"/>
      <w:divBdr>
        <w:top w:val="none" w:sz="0" w:space="0" w:color="auto"/>
        <w:left w:val="none" w:sz="0" w:space="0" w:color="auto"/>
        <w:bottom w:val="none" w:sz="0" w:space="0" w:color="auto"/>
        <w:right w:val="none" w:sz="0" w:space="0" w:color="auto"/>
      </w:divBdr>
      <w:divsChild>
        <w:div w:id="844246598">
          <w:marLeft w:val="0"/>
          <w:marRight w:val="0"/>
          <w:marTop w:val="0"/>
          <w:marBottom w:val="0"/>
          <w:divBdr>
            <w:top w:val="none" w:sz="0" w:space="0" w:color="auto"/>
            <w:left w:val="none" w:sz="0" w:space="0" w:color="auto"/>
            <w:bottom w:val="none" w:sz="0" w:space="0" w:color="auto"/>
            <w:right w:val="none" w:sz="0" w:space="0" w:color="auto"/>
          </w:divBdr>
        </w:div>
      </w:divsChild>
    </w:div>
    <w:div w:id="1302155944">
      <w:marLeft w:val="0"/>
      <w:marRight w:val="0"/>
      <w:marTop w:val="0"/>
      <w:marBottom w:val="0"/>
      <w:divBdr>
        <w:top w:val="none" w:sz="0" w:space="0" w:color="auto"/>
        <w:left w:val="none" w:sz="0" w:space="0" w:color="auto"/>
        <w:bottom w:val="none" w:sz="0" w:space="0" w:color="auto"/>
        <w:right w:val="none" w:sz="0" w:space="0" w:color="auto"/>
      </w:divBdr>
      <w:divsChild>
        <w:div w:id="1055397708">
          <w:marLeft w:val="0"/>
          <w:marRight w:val="0"/>
          <w:marTop w:val="0"/>
          <w:marBottom w:val="0"/>
          <w:divBdr>
            <w:top w:val="none" w:sz="0" w:space="0" w:color="auto"/>
            <w:left w:val="none" w:sz="0" w:space="0" w:color="auto"/>
            <w:bottom w:val="none" w:sz="0" w:space="0" w:color="auto"/>
            <w:right w:val="none" w:sz="0" w:space="0" w:color="auto"/>
          </w:divBdr>
        </w:div>
      </w:divsChild>
    </w:div>
    <w:div w:id="1312294876">
      <w:marLeft w:val="0"/>
      <w:marRight w:val="0"/>
      <w:marTop w:val="0"/>
      <w:marBottom w:val="0"/>
      <w:divBdr>
        <w:top w:val="none" w:sz="0" w:space="0" w:color="auto"/>
        <w:left w:val="none" w:sz="0" w:space="0" w:color="auto"/>
        <w:bottom w:val="none" w:sz="0" w:space="0" w:color="auto"/>
        <w:right w:val="none" w:sz="0" w:space="0" w:color="auto"/>
      </w:divBdr>
    </w:div>
    <w:div w:id="1316491041">
      <w:marLeft w:val="0"/>
      <w:marRight w:val="0"/>
      <w:marTop w:val="0"/>
      <w:marBottom w:val="0"/>
      <w:divBdr>
        <w:top w:val="none" w:sz="0" w:space="0" w:color="auto"/>
        <w:left w:val="none" w:sz="0" w:space="0" w:color="auto"/>
        <w:bottom w:val="none" w:sz="0" w:space="0" w:color="auto"/>
        <w:right w:val="none" w:sz="0" w:space="0" w:color="auto"/>
      </w:divBdr>
    </w:div>
    <w:div w:id="1319722154">
      <w:marLeft w:val="0"/>
      <w:marRight w:val="0"/>
      <w:marTop w:val="0"/>
      <w:marBottom w:val="0"/>
      <w:divBdr>
        <w:top w:val="none" w:sz="0" w:space="0" w:color="auto"/>
        <w:left w:val="none" w:sz="0" w:space="0" w:color="auto"/>
        <w:bottom w:val="none" w:sz="0" w:space="0" w:color="auto"/>
        <w:right w:val="none" w:sz="0" w:space="0" w:color="auto"/>
      </w:divBdr>
      <w:divsChild>
        <w:div w:id="1121413917">
          <w:marLeft w:val="0"/>
          <w:marRight w:val="0"/>
          <w:marTop w:val="0"/>
          <w:marBottom w:val="0"/>
          <w:divBdr>
            <w:top w:val="none" w:sz="0" w:space="0" w:color="auto"/>
            <w:left w:val="none" w:sz="0" w:space="0" w:color="auto"/>
            <w:bottom w:val="none" w:sz="0" w:space="0" w:color="auto"/>
            <w:right w:val="none" w:sz="0" w:space="0" w:color="auto"/>
          </w:divBdr>
        </w:div>
      </w:divsChild>
    </w:div>
    <w:div w:id="1326083843">
      <w:marLeft w:val="0"/>
      <w:marRight w:val="0"/>
      <w:marTop w:val="0"/>
      <w:marBottom w:val="0"/>
      <w:divBdr>
        <w:top w:val="none" w:sz="0" w:space="0" w:color="auto"/>
        <w:left w:val="none" w:sz="0" w:space="0" w:color="auto"/>
        <w:bottom w:val="none" w:sz="0" w:space="0" w:color="auto"/>
        <w:right w:val="none" w:sz="0" w:space="0" w:color="auto"/>
      </w:divBdr>
    </w:div>
    <w:div w:id="1332561290">
      <w:marLeft w:val="0"/>
      <w:marRight w:val="0"/>
      <w:marTop w:val="0"/>
      <w:marBottom w:val="0"/>
      <w:divBdr>
        <w:top w:val="none" w:sz="0" w:space="0" w:color="auto"/>
        <w:left w:val="none" w:sz="0" w:space="0" w:color="auto"/>
        <w:bottom w:val="none" w:sz="0" w:space="0" w:color="auto"/>
        <w:right w:val="none" w:sz="0" w:space="0" w:color="auto"/>
      </w:divBdr>
    </w:div>
    <w:div w:id="1340153621">
      <w:marLeft w:val="0"/>
      <w:marRight w:val="0"/>
      <w:marTop w:val="0"/>
      <w:marBottom w:val="0"/>
      <w:divBdr>
        <w:top w:val="none" w:sz="0" w:space="0" w:color="auto"/>
        <w:left w:val="none" w:sz="0" w:space="0" w:color="auto"/>
        <w:bottom w:val="none" w:sz="0" w:space="0" w:color="auto"/>
        <w:right w:val="none" w:sz="0" w:space="0" w:color="auto"/>
      </w:divBdr>
    </w:div>
    <w:div w:id="1341274071">
      <w:marLeft w:val="0"/>
      <w:marRight w:val="0"/>
      <w:marTop w:val="0"/>
      <w:marBottom w:val="0"/>
      <w:divBdr>
        <w:top w:val="none" w:sz="0" w:space="0" w:color="auto"/>
        <w:left w:val="none" w:sz="0" w:space="0" w:color="auto"/>
        <w:bottom w:val="none" w:sz="0" w:space="0" w:color="auto"/>
        <w:right w:val="none" w:sz="0" w:space="0" w:color="auto"/>
      </w:divBdr>
      <w:divsChild>
        <w:div w:id="1743719413">
          <w:marLeft w:val="0"/>
          <w:marRight w:val="0"/>
          <w:marTop w:val="0"/>
          <w:marBottom w:val="0"/>
          <w:divBdr>
            <w:top w:val="none" w:sz="0" w:space="0" w:color="auto"/>
            <w:left w:val="none" w:sz="0" w:space="0" w:color="auto"/>
            <w:bottom w:val="none" w:sz="0" w:space="0" w:color="auto"/>
            <w:right w:val="none" w:sz="0" w:space="0" w:color="auto"/>
          </w:divBdr>
        </w:div>
      </w:divsChild>
    </w:div>
    <w:div w:id="1342779031">
      <w:marLeft w:val="0"/>
      <w:marRight w:val="0"/>
      <w:marTop w:val="0"/>
      <w:marBottom w:val="0"/>
      <w:divBdr>
        <w:top w:val="none" w:sz="0" w:space="0" w:color="auto"/>
        <w:left w:val="none" w:sz="0" w:space="0" w:color="auto"/>
        <w:bottom w:val="none" w:sz="0" w:space="0" w:color="auto"/>
        <w:right w:val="none" w:sz="0" w:space="0" w:color="auto"/>
      </w:divBdr>
    </w:div>
    <w:div w:id="1343388967">
      <w:marLeft w:val="0"/>
      <w:marRight w:val="0"/>
      <w:marTop w:val="0"/>
      <w:marBottom w:val="0"/>
      <w:divBdr>
        <w:top w:val="none" w:sz="0" w:space="0" w:color="auto"/>
        <w:left w:val="none" w:sz="0" w:space="0" w:color="auto"/>
        <w:bottom w:val="none" w:sz="0" w:space="0" w:color="auto"/>
        <w:right w:val="none" w:sz="0" w:space="0" w:color="auto"/>
      </w:divBdr>
      <w:divsChild>
        <w:div w:id="1608923362">
          <w:marLeft w:val="0"/>
          <w:marRight w:val="0"/>
          <w:marTop w:val="0"/>
          <w:marBottom w:val="0"/>
          <w:divBdr>
            <w:top w:val="none" w:sz="0" w:space="0" w:color="auto"/>
            <w:left w:val="none" w:sz="0" w:space="0" w:color="auto"/>
            <w:bottom w:val="none" w:sz="0" w:space="0" w:color="auto"/>
            <w:right w:val="none" w:sz="0" w:space="0" w:color="auto"/>
          </w:divBdr>
        </w:div>
      </w:divsChild>
    </w:div>
    <w:div w:id="1345745699">
      <w:marLeft w:val="0"/>
      <w:marRight w:val="0"/>
      <w:marTop w:val="0"/>
      <w:marBottom w:val="0"/>
      <w:divBdr>
        <w:top w:val="none" w:sz="0" w:space="0" w:color="auto"/>
        <w:left w:val="none" w:sz="0" w:space="0" w:color="auto"/>
        <w:bottom w:val="none" w:sz="0" w:space="0" w:color="auto"/>
        <w:right w:val="none" w:sz="0" w:space="0" w:color="auto"/>
      </w:divBdr>
    </w:div>
    <w:div w:id="1347711361">
      <w:marLeft w:val="0"/>
      <w:marRight w:val="0"/>
      <w:marTop w:val="0"/>
      <w:marBottom w:val="0"/>
      <w:divBdr>
        <w:top w:val="none" w:sz="0" w:space="0" w:color="auto"/>
        <w:left w:val="none" w:sz="0" w:space="0" w:color="auto"/>
        <w:bottom w:val="none" w:sz="0" w:space="0" w:color="auto"/>
        <w:right w:val="none" w:sz="0" w:space="0" w:color="auto"/>
      </w:divBdr>
    </w:div>
    <w:div w:id="1347900576">
      <w:marLeft w:val="0"/>
      <w:marRight w:val="0"/>
      <w:marTop w:val="0"/>
      <w:marBottom w:val="0"/>
      <w:divBdr>
        <w:top w:val="none" w:sz="0" w:space="0" w:color="auto"/>
        <w:left w:val="none" w:sz="0" w:space="0" w:color="auto"/>
        <w:bottom w:val="none" w:sz="0" w:space="0" w:color="auto"/>
        <w:right w:val="none" w:sz="0" w:space="0" w:color="auto"/>
      </w:divBdr>
    </w:div>
    <w:div w:id="1356076963">
      <w:marLeft w:val="0"/>
      <w:marRight w:val="0"/>
      <w:marTop w:val="0"/>
      <w:marBottom w:val="0"/>
      <w:divBdr>
        <w:top w:val="none" w:sz="0" w:space="0" w:color="auto"/>
        <w:left w:val="none" w:sz="0" w:space="0" w:color="auto"/>
        <w:bottom w:val="none" w:sz="0" w:space="0" w:color="auto"/>
        <w:right w:val="none" w:sz="0" w:space="0" w:color="auto"/>
      </w:divBdr>
      <w:divsChild>
        <w:div w:id="1894996203">
          <w:marLeft w:val="0"/>
          <w:marRight w:val="0"/>
          <w:marTop w:val="0"/>
          <w:marBottom w:val="0"/>
          <w:divBdr>
            <w:top w:val="none" w:sz="0" w:space="0" w:color="auto"/>
            <w:left w:val="none" w:sz="0" w:space="0" w:color="auto"/>
            <w:bottom w:val="none" w:sz="0" w:space="0" w:color="auto"/>
            <w:right w:val="none" w:sz="0" w:space="0" w:color="auto"/>
          </w:divBdr>
        </w:div>
      </w:divsChild>
    </w:div>
    <w:div w:id="1364138544">
      <w:marLeft w:val="0"/>
      <w:marRight w:val="0"/>
      <w:marTop w:val="0"/>
      <w:marBottom w:val="120"/>
      <w:divBdr>
        <w:top w:val="none" w:sz="0" w:space="0" w:color="auto"/>
        <w:left w:val="none" w:sz="0" w:space="0" w:color="auto"/>
        <w:bottom w:val="none" w:sz="0" w:space="0" w:color="auto"/>
        <w:right w:val="none" w:sz="0" w:space="0" w:color="auto"/>
      </w:divBdr>
    </w:div>
    <w:div w:id="1371103912">
      <w:marLeft w:val="0"/>
      <w:marRight w:val="0"/>
      <w:marTop w:val="0"/>
      <w:marBottom w:val="0"/>
      <w:divBdr>
        <w:top w:val="none" w:sz="0" w:space="0" w:color="auto"/>
        <w:left w:val="none" w:sz="0" w:space="0" w:color="auto"/>
        <w:bottom w:val="none" w:sz="0" w:space="0" w:color="auto"/>
        <w:right w:val="none" w:sz="0" w:space="0" w:color="auto"/>
      </w:divBdr>
    </w:div>
    <w:div w:id="1380400078">
      <w:marLeft w:val="0"/>
      <w:marRight w:val="0"/>
      <w:marTop w:val="0"/>
      <w:marBottom w:val="0"/>
      <w:divBdr>
        <w:top w:val="none" w:sz="0" w:space="0" w:color="auto"/>
        <w:left w:val="none" w:sz="0" w:space="0" w:color="auto"/>
        <w:bottom w:val="none" w:sz="0" w:space="0" w:color="auto"/>
        <w:right w:val="none" w:sz="0" w:space="0" w:color="auto"/>
      </w:divBdr>
      <w:divsChild>
        <w:div w:id="901059034">
          <w:marLeft w:val="0"/>
          <w:marRight w:val="0"/>
          <w:marTop w:val="0"/>
          <w:marBottom w:val="0"/>
          <w:divBdr>
            <w:top w:val="none" w:sz="0" w:space="0" w:color="auto"/>
            <w:left w:val="none" w:sz="0" w:space="0" w:color="auto"/>
            <w:bottom w:val="none" w:sz="0" w:space="0" w:color="auto"/>
            <w:right w:val="none" w:sz="0" w:space="0" w:color="auto"/>
          </w:divBdr>
        </w:div>
      </w:divsChild>
    </w:div>
    <w:div w:id="1385174948">
      <w:marLeft w:val="0"/>
      <w:marRight w:val="0"/>
      <w:marTop w:val="0"/>
      <w:marBottom w:val="0"/>
      <w:divBdr>
        <w:top w:val="none" w:sz="0" w:space="0" w:color="auto"/>
        <w:left w:val="none" w:sz="0" w:space="0" w:color="auto"/>
        <w:bottom w:val="none" w:sz="0" w:space="0" w:color="auto"/>
        <w:right w:val="none" w:sz="0" w:space="0" w:color="auto"/>
      </w:divBdr>
    </w:div>
    <w:div w:id="1385565345">
      <w:marLeft w:val="0"/>
      <w:marRight w:val="0"/>
      <w:marTop w:val="0"/>
      <w:marBottom w:val="120"/>
      <w:divBdr>
        <w:top w:val="none" w:sz="0" w:space="0" w:color="auto"/>
        <w:left w:val="none" w:sz="0" w:space="0" w:color="auto"/>
        <w:bottom w:val="none" w:sz="0" w:space="0" w:color="auto"/>
        <w:right w:val="none" w:sz="0" w:space="0" w:color="auto"/>
      </w:divBdr>
    </w:div>
    <w:div w:id="1385790958">
      <w:marLeft w:val="0"/>
      <w:marRight w:val="0"/>
      <w:marTop w:val="0"/>
      <w:marBottom w:val="0"/>
      <w:divBdr>
        <w:top w:val="none" w:sz="0" w:space="0" w:color="auto"/>
        <w:left w:val="none" w:sz="0" w:space="0" w:color="auto"/>
        <w:bottom w:val="none" w:sz="0" w:space="0" w:color="auto"/>
        <w:right w:val="none" w:sz="0" w:space="0" w:color="auto"/>
      </w:divBdr>
    </w:div>
    <w:div w:id="1386490881">
      <w:marLeft w:val="0"/>
      <w:marRight w:val="0"/>
      <w:marTop w:val="0"/>
      <w:marBottom w:val="0"/>
      <w:divBdr>
        <w:top w:val="none" w:sz="0" w:space="0" w:color="auto"/>
        <w:left w:val="none" w:sz="0" w:space="0" w:color="auto"/>
        <w:bottom w:val="none" w:sz="0" w:space="0" w:color="auto"/>
        <w:right w:val="none" w:sz="0" w:space="0" w:color="auto"/>
      </w:divBdr>
    </w:div>
    <w:div w:id="1388065951">
      <w:marLeft w:val="0"/>
      <w:marRight w:val="0"/>
      <w:marTop w:val="0"/>
      <w:marBottom w:val="0"/>
      <w:divBdr>
        <w:top w:val="none" w:sz="0" w:space="0" w:color="auto"/>
        <w:left w:val="none" w:sz="0" w:space="0" w:color="auto"/>
        <w:bottom w:val="none" w:sz="0" w:space="0" w:color="auto"/>
        <w:right w:val="none" w:sz="0" w:space="0" w:color="auto"/>
      </w:divBdr>
      <w:divsChild>
        <w:div w:id="1315913367">
          <w:marLeft w:val="0"/>
          <w:marRight w:val="0"/>
          <w:marTop w:val="0"/>
          <w:marBottom w:val="0"/>
          <w:divBdr>
            <w:top w:val="none" w:sz="0" w:space="0" w:color="auto"/>
            <w:left w:val="none" w:sz="0" w:space="0" w:color="auto"/>
            <w:bottom w:val="none" w:sz="0" w:space="0" w:color="auto"/>
            <w:right w:val="none" w:sz="0" w:space="0" w:color="auto"/>
          </w:divBdr>
        </w:div>
      </w:divsChild>
    </w:div>
    <w:div w:id="1389109606">
      <w:marLeft w:val="0"/>
      <w:marRight w:val="0"/>
      <w:marTop w:val="0"/>
      <w:marBottom w:val="0"/>
      <w:divBdr>
        <w:top w:val="none" w:sz="0" w:space="0" w:color="auto"/>
        <w:left w:val="none" w:sz="0" w:space="0" w:color="auto"/>
        <w:bottom w:val="none" w:sz="0" w:space="0" w:color="auto"/>
        <w:right w:val="none" w:sz="0" w:space="0" w:color="auto"/>
      </w:divBdr>
      <w:divsChild>
        <w:div w:id="1222516747">
          <w:marLeft w:val="0"/>
          <w:marRight w:val="0"/>
          <w:marTop w:val="0"/>
          <w:marBottom w:val="0"/>
          <w:divBdr>
            <w:top w:val="none" w:sz="0" w:space="0" w:color="auto"/>
            <w:left w:val="none" w:sz="0" w:space="0" w:color="auto"/>
            <w:bottom w:val="none" w:sz="0" w:space="0" w:color="auto"/>
            <w:right w:val="none" w:sz="0" w:space="0" w:color="auto"/>
          </w:divBdr>
        </w:div>
      </w:divsChild>
    </w:div>
    <w:div w:id="1397893261">
      <w:marLeft w:val="0"/>
      <w:marRight w:val="0"/>
      <w:marTop w:val="0"/>
      <w:marBottom w:val="0"/>
      <w:divBdr>
        <w:top w:val="none" w:sz="0" w:space="0" w:color="auto"/>
        <w:left w:val="none" w:sz="0" w:space="0" w:color="auto"/>
        <w:bottom w:val="none" w:sz="0" w:space="0" w:color="auto"/>
        <w:right w:val="none" w:sz="0" w:space="0" w:color="auto"/>
      </w:divBdr>
    </w:div>
    <w:div w:id="1413357778">
      <w:marLeft w:val="0"/>
      <w:marRight w:val="0"/>
      <w:marTop w:val="0"/>
      <w:marBottom w:val="0"/>
      <w:divBdr>
        <w:top w:val="none" w:sz="0" w:space="0" w:color="auto"/>
        <w:left w:val="none" w:sz="0" w:space="0" w:color="auto"/>
        <w:bottom w:val="none" w:sz="0" w:space="0" w:color="auto"/>
        <w:right w:val="none" w:sz="0" w:space="0" w:color="auto"/>
      </w:divBdr>
      <w:divsChild>
        <w:div w:id="1615988448">
          <w:marLeft w:val="0"/>
          <w:marRight w:val="0"/>
          <w:marTop w:val="0"/>
          <w:marBottom w:val="0"/>
          <w:divBdr>
            <w:top w:val="none" w:sz="0" w:space="0" w:color="auto"/>
            <w:left w:val="none" w:sz="0" w:space="0" w:color="auto"/>
            <w:bottom w:val="none" w:sz="0" w:space="0" w:color="auto"/>
            <w:right w:val="none" w:sz="0" w:space="0" w:color="auto"/>
          </w:divBdr>
        </w:div>
      </w:divsChild>
    </w:div>
    <w:div w:id="1413703032">
      <w:marLeft w:val="0"/>
      <w:marRight w:val="0"/>
      <w:marTop w:val="0"/>
      <w:marBottom w:val="0"/>
      <w:divBdr>
        <w:top w:val="none" w:sz="0" w:space="0" w:color="auto"/>
        <w:left w:val="none" w:sz="0" w:space="0" w:color="auto"/>
        <w:bottom w:val="none" w:sz="0" w:space="0" w:color="auto"/>
        <w:right w:val="none" w:sz="0" w:space="0" w:color="auto"/>
      </w:divBdr>
      <w:divsChild>
        <w:div w:id="1420832133">
          <w:marLeft w:val="0"/>
          <w:marRight w:val="0"/>
          <w:marTop w:val="0"/>
          <w:marBottom w:val="0"/>
          <w:divBdr>
            <w:top w:val="none" w:sz="0" w:space="0" w:color="auto"/>
            <w:left w:val="none" w:sz="0" w:space="0" w:color="auto"/>
            <w:bottom w:val="none" w:sz="0" w:space="0" w:color="auto"/>
            <w:right w:val="none" w:sz="0" w:space="0" w:color="auto"/>
          </w:divBdr>
        </w:div>
      </w:divsChild>
    </w:div>
    <w:div w:id="1418937366">
      <w:marLeft w:val="0"/>
      <w:marRight w:val="0"/>
      <w:marTop w:val="0"/>
      <w:marBottom w:val="0"/>
      <w:divBdr>
        <w:top w:val="none" w:sz="0" w:space="0" w:color="auto"/>
        <w:left w:val="none" w:sz="0" w:space="0" w:color="auto"/>
        <w:bottom w:val="none" w:sz="0" w:space="0" w:color="auto"/>
        <w:right w:val="none" w:sz="0" w:space="0" w:color="auto"/>
      </w:divBdr>
      <w:divsChild>
        <w:div w:id="1071268581">
          <w:marLeft w:val="0"/>
          <w:marRight w:val="0"/>
          <w:marTop w:val="0"/>
          <w:marBottom w:val="0"/>
          <w:divBdr>
            <w:top w:val="none" w:sz="0" w:space="0" w:color="auto"/>
            <w:left w:val="none" w:sz="0" w:space="0" w:color="auto"/>
            <w:bottom w:val="none" w:sz="0" w:space="0" w:color="auto"/>
            <w:right w:val="none" w:sz="0" w:space="0" w:color="auto"/>
          </w:divBdr>
        </w:div>
      </w:divsChild>
    </w:div>
    <w:div w:id="1421833649">
      <w:marLeft w:val="0"/>
      <w:marRight w:val="0"/>
      <w:marTop w:val="0"/>
      <w:marBottom w:val="0"/>
      <w:divBdr>
        <w:top w:val="none" w:sz="0" w:space="0" w:color="auto"/>
        <w:left w:val="none" w:sz="0" w:space="0" w:color="auto"/>
        <w:bottom w:val="none" w:sz="0" w:space="0" w:color="auto"/>
        <w:right w:val="none" w:sz="0" w:space="0" w:color="auto"/>
      </w:divBdr>
    </w:div>
    <w:div w:id="1427917015">
      <w:marLeft w:val="0"/>
      <w:marRight w:val="0"/>
      <w:marTop w:val="0"/>
      <w:marBottom w:val="0"/>
      <w:divBdr>
        <w:top w:val="none" w:sz="0" w:space="0" w:color="auto"/>
        <w:left w:val="none" w:sz="0" w:space="0" w:color="auto"/>
        <w:bottom w:val="none" w:sz="0" w:space="0" w:color="auto"/>
        <w:right w:val="none" w:sz="0" w:space="0" w:color="auto"/>
      </w:divBdr>
      <w:divsChild>
        <w:div w:id="1154105924">
          <w:marLeft w:val="0"/>
          <w:marRight w:val="0"/>
          <w:marTop w:val="0"/>
          <w:marBottom w:val="0"/>
          <w:divBdr>
            <w:top w:val="none" w:sz="0" w:space="0" w:color="auto"/>
            <w:left w:val="none" w:sz="0" w:space="0" w:color="auto"/>
            <w:bottom w:val="none" w:sz="0" w:space="0" w:color="auto"/>
            <w:right w:val="none" w:sz="0" w:space="0" w:color="auto"/>
          </w:divBdr>
        </w:div>
      </w:divsChild>
    </w:div>
    <w:div w:id="1431858042">
      <w:marLeft w:val="0"/>
      <w:marRight w:val="0"/>
      <w:marTop w:val="0"/>
      <w:marBottom w:val="0"/>
      <w:divBdr>
        <w:top w:val="none" w:sz="0" w:space="0" w:color="auto"/>
        <w:left w:val="none" w:sz="0" w:space="0" w:color="auto"/>
        <w:bottom w:val="none" w:sz="0" w:space="0" w:color="auto"/>
        <w:right w:val="none" w:sz="0" w:space="0" w:color="auto"/>
      </w:divBdr>
      <w:divsChild>
        <w:div w:id="1236278349">
          <w:marLeft w:val="0"/>
          <w:marRight w:val="0"/>
          <w:marTop w:val="0"/>
          <w:marBottom w:val="0"/>
          <w:divBdr>
            <w:top w:val="none" w:sz="0" w:space="0" w:color="auto"/>
            <w:left w:val="none" w:sz="0" w:space="0" w:color="auto"/>
            <w:bottom w:val="none" w:sz="0" w:space="0" w:color="auto"/>
            <w:right w:val="none" w:sz="0" w:space="0" w:color="auto"/>
          </w:divBdr>
        </w:div>
      </w:divsChild>
    </w:div>
    <w:div w:id="1434978865">
      <w:marLeft w:val="0"/>
      <w:marRight w:val="0"/>
      <w:marTop w:val="0"/>
      <w:marBottom w:val="0"/>
      <w:divBdr>
        <w:top w:val="none" w:sz="0" w:space="0" w:color="auto"/>
        <w:left w:val="none" w:sz="0" w:space="0" w:color="auto"/>
        <w:bottom w:val="none" w:sz="0" w:space="0" w:color="auto"/>
        <w:right w:val="none" w:sz="0" w:space="0" w:color="auto"/>
      </w:divBdr>
    </w:div>
    <w:div w:id="1437409683">
      <w:marLeft w:val="0"/>
      <w:marRight w:val="0"/>
      <w:marTop w:val="0"/>
      <w:marBottom w:val="0"/>
      <w:divBdr>
        <w:top w:val="none" w:sz="0" w:space="0" w:color="auto"/>
        <w:left w:val="none" w:sz="0" w:space="0" w:color="auto"/>
        <w:bottom w:val="none" w:sz="0" w:space="0" w:color="auto"/>
        <w:right w:val="none" w:sz="0" w:space="0" w:color="auto"/>
      </w:divBdr>
      <w:divsChild>
        <w:div w:id="1214079489">
          <w:marLeft w:val="0"/>
          <w:marRight w:val="0"/>
          <w:marTop w:val="0"/>
          <w:marBottom w:val="0"/>
          <w:divBdr>
            <w:top w:val="none" w:sz="0" w:space="0" w:color="auto"/>
            <w:left w:val="none" w:sz="0" w:space="0" w:color="auto"/>
            <w:bottom w:val="none" w:sz="0" w:space="0" w:color="auto"/>
            <w:right w:val="none" w:sz="0" w:space="0" w:color="auto"/>
          </w:divBdr>
        </w:div>
      </w:divsChild>
    </w:div>
    <w:div w:id="1439064047">
      <w:marLeft w:val="0"/>
      <w:marRight w:val="0"/>
      <w:marTop w:val="0"/>
      <w:marBottom w:val="0"/>
      <w:divBdr>
        <w:top w:val="none" w:sz="0" w:space="0" w:color="auto"/>
        <w:left w:val="none" w:sz="0" w:space="0" w:color="auto"/>
        <w:bottom w:val="none" w:sz="0" w:space="0" w:color="auto"/>
        <w:right w:val="none" w:sz="0" w:space="0" w:color="auto"/>
      </w:divBdr>
    </w:div>
    <w:div w:id="1440485350">
      <w:marLeft w:val="0"/>
      <w:marRight w:val="0"/>
      <w:marTop w:val="0"/>
      <w:marBottom w:val="0"/>
      <w:divBdr>
        <w:top w:val="none" w:sz="0" w:space="0" w:color="auto"/>
        <w:left w:val="none" w:sz="0" w:space="0" w:color="auto"/>
        <w:bottom w:val="none" w:sz="0" w:space="0" w:color="auto"/>
        <w:right w:val="none" w:sz="0" w:space="0" w:color="auto"/>
      </w:divBdr>
    </w:div>
    <w:div w:id="1451166982">
      <w:marLeft w:val="0"/>
      <w:marRight w:val="0"/>
      <w:marTop w:val="0"/>
      <w:marBottom w:val="120"/>
      <w:divBdr>
        <w:top w:val="none" w:sz="0" w:space="0" w:color="auto"/>
        <w:left w:val="none" w:sz="0" w:space="0" w:color="auto"/>
        <w:bottom w:val="none" w:sz="0" w:space="0" w:color="auto"/>
        <w:right w:val="none" w:sz="0" w:space="0" w:color="auto"/>
      </w:divBdr>
    </w:div>
    <w:div w:id="1453553286">
      <w:marLeft w:val="0"/>
      <w:marRight w:val="0"/>
      <w:marTop w:val="0"/>
      <w:marBottom w:val="0"/>
      <w:divBdr>
        <w:top w:val="none" w:sz="0" w:space="0" w:color="auto"/>
        <w:left w:val="none" w:sz="0" w:space="0" w:color="auto"/>
        <w:bottom w:val="none" w:sz="0" w:space="0" w:color="auto"/>
        <w:right w:val="none" w:sz="0" w:space="0" w:color="auto"/>
      </w:divBdr>
    </w:div>
    <w:div w:id="1454789963">
      <w:marLeft w:val="0"/>
      <w:marRight w:val="0"/>
      <w:marTop w:val="0"/>
      <w:marBottom w:val="0"/>
      <w:divBdr>
        <w:top w:val="none" w:sz="0" w:space="0" w:color="auto"/>
        <w:left w:val="none" w:sz="0" w:space="0" w:color="auto"/>
        <w:bottom w:val="none" w:sz="0" w:space="0" w:color="auto"/>
        <w:right w:val="none" w:sz="0" w:space="0" w:color="auto"/>
      </w:divBdr>
      <w:divsChild>
        <w:div w:id="1752314972">
          <w:marLeft w:val="0"/>
          <w:marRight w:val="0"/>
          <w:marTop w:val="0"/>
          <w:marBottom w:val="0"/>
          <w:divBdr>
            <w:top w:val="none" w:sz="0" w:space="0" w:color="auto"/>
            <w:left w:val="none" w:sz="0" w:space="0" w:color="auto"/>
            <w:bottom w:val="none" w:sz="0" w:space="0" w:color="auto"/>
            <w:right w:val="none" w:sz="0" w:space="0" w:color="auto"/>
          </w:divBdr>
        </w:div>
      </w:divsChild>
    </w:div>
    <w:div w:id="1457523320">
      <w:marLeft w:val="0"/>
      <w:marRight w:val="0"/>
      <w:marTop w:val="0"/>
      <w:marBottom w:val="0"/>
      <w:divBdr>
        <w:top w:val="none" w:sz="0" w:space="0" w:color="auto"/>
        <w:left w:val="none" w:sz="0" w:space="0" w:color="auto"/>
        <w:bottom w:val="none" w:sz="0" w:space="0" w:color="auto"/>
        <w:right w:val="none" w:sz="0" w:space="0" w:color="auto"/>
      </w:divBdr>
    </w:div>
    <w:div w:id="1462188654">
      <w:marLeft w:val="0"/>
      <w:marRight w:val="0"/>
      <w:marTop w:val="0"/>
      <w:marBottom w:val="120"/>
      <w:divBdr>
        <w:top w:val="none" w:sz="0" w:space="0" w:color="auto"/>
        <w:left w:val="none" w:sz="0" w:space="0" w:color="auto"/>
        <w:bottom w:val="none" w:sz="0" w:space="0" w:color="auto"/>
        <w:right w:val="none" w:sz="0" w:space="0" w:color="auto"/>
      </w:divBdr>
    </w:div>
    <w:div w:id="1466384823">
      <w:marLeft w:val="0"/>
      <w:marRight w:val="0"/>
      <w:marTop w:val="0"/>
      <w:marBottom w:val="0"/>
      <w:divBdr>
        <w:top w:val="none" w:sz="0" w:space="0" w:color="auto"/>
        <w:left w:val="none" w:sz="0" w:space="0" w:color="auto"/>
        <w:bottom w:val="none" w:sz="0" w:space="0" w:color="auto"/>
        <w:right w:val="none" w:sz="0" w:space="0" w:color="auto"/>
      </w:divBdr>
      <w:divsChild>
        <w:div w:id="1656491682">
          <w:marLeft w:val="0"/>
          <w:marRight w:val="0"/>
          <w:marTop w:val="0"/>
          <w:marBottom w:val="0"/>
          <w:divBdr>
            <w:top w:val="none" w:sz="0" w:space="0" w:color="auto"/>
            <w:left w:val="none" w:sz="0" w:space="0" w:color="auto"/>
            <w:bottom w:val="none" w:sz="0" w:space="0" w:color="auto"/>
            <w:right w:val="none" w:sz="0" w:space="0" w:color="auto"/>
          </w:divBdr>
        </w:div>
      </w:divsChild>
    </w:div>
    <w:div w:id="1466508549">
      <w:marLeft w:val="0"/>
      <w:marRight w:val="0"/>
      <w:marTop w:val="0"/>
      <w:marBottom w:val="0"/>
      <w:divBdr>
        <w:top w:val="none" w:sz="0" w:space="0" w:color="auto"/>
        <w:left w:val="none" w:sz="0" w:space="0" w:color="auto"/>
        <w:bottom w:val="none" w:sz="0" w:space="0" w:color="auto"/>
        <w:right w:val="none" w:sz="0" w:space="0" w:color="auto"/>
      </w:divBdr>
      <w:divsChild>
        <w:div w:id="2127652293">
          <w:marLeft w:val="0"/>
          <w:marRight w:val="0"/>
          <w:marTop w:val="0"/>
          <w:marBottom w:val="0"/>
          <w:divBdr>
            <w:top w:val="none" w:sz="0" w:space="0" w:color="auto"/>
            <w:left w:val="none" w:sz="0" w:space="0" w:color="auto"/>
            <w:bottom w:val="none" w:sz="0" w:space="0" w:color="auto"/>
            <w:right w:val="none" w:sz="0" w:space="0" w:color="auto"/>
          </w:divBdr>
        </w:div>
      </w:divsChild>
    </w:div>
    <w:div w:id="1469739373">
      <w:marLeft w:val="0"/>
      <w:marRight w:val="0"/>
      <w:marTop w:val="0"/>
      <w:marBottom w:val="0"/>
      <w:divBdr>
        <w:top w:val="none" w:sz="0" w:space="0" w:color="auto"/>
        <w:left w:val="none" w:sz="0" w:space="0" w:color="auto"/>
        <w:bottom w:val="none" w:sz="0" w:space="0" w:color="auto"/>
        <w:right w:val="none" w:sz="0" w:space="0" w:color="auto"/>
      </w:divBdr>
      <w:divsChild>
        <w:div w:id="1194683812">
          <w:marLeft w:val="0"/>
          <w:marRight w:val="0"/>
          <w:marTop w:val="0"/>
          <w:marBottom w:val="0"/>
          <w:divBdr>
            <w:top w:val="none" w:sz="0" w:space="0" w:color="auto"/>
            <w:left w:val="none" w:sz="0" w:space="0" w:color="auto"/>
            <w:bottom w:val="none" w:sz="0" w:space="0" w:color="auto"/>
            <w:right w:val="none" w:sz="0" w:space="0" w:color="auto"/>
          </w:divBdr>
        </w:div>
      </w:divsChild>
    </w:div>
    <w:div w:id="1471097455">
      <w:marLeft w:val="0"/>
      <w:marRight w:val="0"/>
      <w:marTop w:val="0"/>
      <w:marBottom w:val="0"/>
      <w:divBdr>
        <w:top w:val="none" w:sz="0" w:space="0" w:color="auto"/>
        <w:left w:val="none" w:sz="0" w:space="0" w:color="auto"/>
        <w:bottom w:val="none" w:sz="0" w:space="0" w:color="auto"/>
        <w:right w:val="none" w:sz="0" w:space="0" w:color="auto"/>
      </w:divBdr>
    </w:div>
    <w:div w:id="1473401057">
      <w:marLeft w:val="0"/>
      <w:marRight w:val="0"/>
      <w:marTop w:val="0"/>
      <w:marBottom w:val="0"/>
      <w:divBdr>
        <w:top w:val="none" w:sz="0" w:space="0" w:color="auto"/>
        <w:left w:val="none" w:sz="0" w:space="0" w:color="auto"/>
        <w:bottom w:val="none" w:sz="0" w:space="0" w:color="auto"/>
        <w:right w:val="none" w:sz="0" w:space="0" w:color="auto"/>
      </w:divBdr>
      <w:divsChild>
        <w:div w:id="903226366">
          <w:marLeft w:val="0"/>
          <w:marRight w:val="0"/>
          <w:marTop w:val="0"/>
          <w:marBottom w:val="0"/>
          <w:divBdr>
            <w:top w:val="none" w:sz="0" w:space="0" w:color="auto"/>
            <w:left w:val="none" w:sz="0" w:space="0" w:color="auto"/>
            <w:bottom w:val="none" w:sz="0" w:space="0" w:color="auto"/>
            <w:right w:val="none" w:sz="0" w:space="0" w:color="auto"/>
          </w:divBdr>
        </w:div>
      </w:divsChild>
    </w:div>
    <w:div w:id="1474061055">
      <w:marLeft w:val="0"/>
      <w:marRight w:val="0"/>
      <w:marTop w:val="0"/>
      <w:marBottom w:val="0"/>
      <w:divBdr>
        <w:top w:val="none" w:sz="0" w:space="0" w:color="auto"/>
        <w:left w:val="none" w:sz="0" w:space="0" w:color="auto"/>
        <w:bottom w:val="none" w:sz="0" w:space="0" w:color="auto"/>
        <w:right w:val="none" w:sz="0" w:space="0" w:color="auto"/>
      </w:divBdr>
    </w:div>
    <w:div w:id="1481732448">
      <w:marLeft w:val="0"/>
      <w:marRight w:val="0"/>
      <w:marTop w:val="0"/>
      <w:marBottom w:val="0"/>
      <w:divBdr>
        <w:top w:val="none" w:sz="0" w:space="0" w:color="auto"/>
        <w:left w:val="none" w:sz="0" w:space="0" w:color="auto"/>
        <w:bottom w:val="none" w:sz="0" w:space="0" w:color="auto"/>
        <w:right w:val="none" w:sz="0" w:space="0" w:color="auto"/>
      </w:divBdr>
    </w:div>
    <w:div w:id="1487740531">
      <w:marLeft w:val="0"/>
      <w:marRight w:val="0"/>
      <w:marTop w:val="0"/>
      <w:marBottom w:val="0"/>
      <w:divBdr>
        <w:top w:val="none" w:sz="0" w:space="0" w:color="auto"/>
        <w:left w:val="none" w:sz="0" w:space="0" w:color="auto"/>
        <w:bottom w:val="none" w:sz="0" w:space="0" w:color="auto"/>
        <w:right w:val="none" w:sz="0" w:space="0" w:color="auto"/>
      </w:divBdr>
    </w:div>
    <w:div w:id="1492520977">
      <w:marLeft w:val="0"/>
      <w:marRight w:val="0"/>
      <w:marTop w:val="0"/>
      <w:marBottom w:val="0"/>
      <w:divBdr>
        <w:top w:val="none" w:sz="0" w:space="0" w:color="auto"/>
        <w:left w:val="none" w:sz="0" w:space="0" w:color="auto"/>
        <w:bottom w:val="none" w:sz="0" w:space="0" w:color="auto"/>
        <w:right w:val="none" w:sz="0" w:space="0" w:color="auto"/>
      </w:divBdr>
    </w:div>
    <w:div w:id="1499735318">
      <w:marLeft w:val="0"/>
      <w:marRight w:val="0"/>
      <w:marTop w:val="0"/>
      <w:marBottom w:val="0"/>
      <w:divBdr>
        <w:top w:val="none" w:sz="0" w:space="0" w:color="auto"/>
        <w:left w:val="none" w:sz="0" w:space="0" w:color="auto"/>
        <w:bottom w:val="none" w:sz="0" w:space="0" w:color="auto"/>
        <w:right w:val="none" w:sz="0" w:space="0" w:color="auto"/>
      </w:divBdr>
    </w:div>
    <w:div w:id="1503466981">
      <w:marLeft w:val="0"/>
      <w:marRight w:val="0"/>
      <w:marTop w:val="0"/>
      <w:marBottom w:val="0"/>
      <w:divBdr>
        <w:top w:val="none" w:sz="0" w:space="0" w:color="auto"/>
        <w:left w:val="none" w:sz="0" w:space="0" w:color="auto"/>
        <w:bottom w:val="none" w:sz="0" w:space="0" w:color="auto"/>
        <w:right w:val="none" w:sz="0" w:space="0" w:color="auto"/>
      </w:divBdr>
    </w:div>
    <w:div w:id="1504852493">
      <w:marLeft w:val="0"/>
      <w:marRight w:val="0"/>
      <w:marTop w:val="0"/>
      <w:marBottom w:val="0"/>
      <w:divBdr>
        <w:top w:val="none" w:sz="0" w:space="0" w:color="auto"/>
        <w:left w:val="none" w:sz="0" w:space="0" w:color="auto"/>
        <w:bottom w:val="none" w:sz="0" w:space="0" w:color="auto"/>
        <w:right w:val="none" w:sz="0" w:space="0" w:color="auto"/>
      </w:divBdr>
    </w:div>
    <w:div w:id="1509177252">
      <w:marLeft w:val="0"/>
      <w:marRight w:val="0"/>
      <w:marTop w:val="0"/>
      <w:marBottom w:val="0"/>
      <w:divBdr>
        <w:top w:val="none" w:sz="0" w:space="0" w:color="auto"/>
        <w:left w:val="none" w:sz="0" w:space="0" w:color="auto"/>
        <w:bottom w:val="none" w:sz="0" w:space="0" w:color="auto"/>
        <w:right w:val="none" w:sz="0" w:space="0" w:color="auto"/>
      </w:divBdr>
      <w:divsChild>
        <w:div w:id="129784320">
          <w:marLeft w:val="0"/>
          <w:marRight w:val="0"/>
          <w:marTop w:val="0"/>
          <w:marBottom w:val="0"/>
          <w:divBdr>
            <w:top w:val="none" w:sz="0" w:space="0" w:color="auto"/>
            <w:left w:val="none" w:sz="0" w:space="0" w:color="auto"/>
            <w:bottom w:val="none" w:sz="0" w:space="0" w:color="auto"/>
            <w:right w:val="none" w:sz="0" w:space="0" w:color="auto"/>
          </w:divBdr>
        </w:div>
      </w:divsChild>
    </w:div>
    <w:div w:id="1509635103">
      <w:marLeft w:val="0"/>
      <w:marRight w:val="0"/>
      <w:marTop w:val="0"/>
      <w:marBottom w:val="0"/>
      <w:divBdr>
        <w:top w:val="none" w:sz="0" w:space="0" w:color="auto"/>
        <w:left w:val="none" w:sz="0" w:space="0" w:color="auto"/>
        <w:bottom w:val="none" w:sz="0" w:space="0" w:color="auto"/>
        <w:right w:val="none" w:sz="0" w:space="0" w:color="auto"/>
      </w:divBdr>
      <w:divsChild>
        <w:div w:id="1368334547">
          <w:marLeft w:val="0"/>
          <w:marRight w:val="0"/>
          <w:marTop w:val="0"/>
          <w:marBottom w:val="0"/>
          <w:divBdr>
            <w:top w:val="none" w:sz="0" w:space="0" w:color="auto"/>
            <w:left w:val="none" w:sz="0" w:space="0" w:color="auto"/>
            <w:bottom w:val="none" w:sz="0" w:space="0" w:color="auto"/>
            <w:right w:val="none" w:sz="0" w:space="0" w:color="auto"/>
          </w:divBdr>
        </w:div>
      </w:divsChild>
    </w:div>
    <w:div w:id="1514104785">
      <w:marLeft w:val="0"/>
      <w:marRight w:val="0"/>
      <w:marTop w:val="0"/>
      <w:marBottom w:val="0"/>
      <w:divBdr>
        <w:top w:val="none" w:sz="0" w:space="0" w:color="auto"/>
        <w:left w:val="none" w:sz="0" w:space="0" w:color="auto"/>
        <w:bottom w:val="none" w:sz="0" w:space="0" w:color="auto"/>
        <w:right w:val="none" w:sz="0" w:space="0" w:color="auto"/>
      </w:divBdr>
    </w:div>
    <w:div w:id="1515145788">
      <w:marLeft w:val="0"/>
      <w:marRight w:val="0"/>
      <w:marTop w:val="0"/>
      <w:marBottom w:val="0"/>
      <w:divBdr>
        <w:top w:val="none" w:sz="0" w:space="0" w:color="auto"/>
        <w:left w:val="none" w:sz="0" w:space="0" w:color="auto"/>
        <w:bottom w:val="none" w:sz="0" w:space="0" w:color="auto"/>
        <w:right w:val="none" w:sz="0" w:space="0" w:color="auto"/>
      </w:divBdr>
    </w:div>
    <w:div w:id="1515265422">
      <w:marLeft w:val="0"/>
      <w:marRight w:val="0"/>
      <w:marTop w:val="0"/>
      <w:marBottom w:val="0"/>
      <w:divBdr>
        <w:top w:val="none" w:sz="0" w:space="0" w:color="auto"/>
        <w:left w:val="none" w:sz="0" w:space="0" w:color="auto"/>
        <w:bottom w:val="none" w:sz="0" w:space="0" w:color="auto"/>
        <w:right w:val="none" w:sz="0" w:space="0" w:color="auto"/>
      </w:divBdr>
      <w:divsChild>
        <w:div w:id="45297686">
          <w:marLeft w:val="0"/>
          <w:marRight w:val="0"/>
          <w:marTop w:val="0"/>
          <w:marBottom w:val="0"/>
          <w:divBdr>
            <w:top w:val="none" w:sz="0" w:space="0" w:color="auto"/>
            <w:left w:val="none" w:sz="0" w:space="0" w:color="auto"/>
            <w:bottom w:val="none" w:sz="0" w:space="0" w:color="auto"/>
            <w:right w:val="none" w:sz="0" w:space="0" w:color="auto"/>
          </w:divBdr>
        </w:div>
      </w:divsChild>
    </w:div>
    <w:div w:id="1520241360">
      <w:marLeft w:val="0"/>
      <w:marRight w:val="0"/>
      <w:marTop w:val="0"/>
      <w:marBottom w:val="0"/>
      <w:divBdr>
        <w:top w:val="none" w:sz="0" w:space="0" w:color="auto"/>
        <w:left w:val="none" w:sz="0" w:space="0" w:color="auto"/>
        <w:bottom w:val="none" w:sz="0" w:space="0" w:color="auto"/>
        <w:right w:val="none" w:sz="0" w:space="0" w:color="auto"/>
      </w:divBdr>
      <w:divsChild>
        <w:div w:id="531192100">
          <w:marLeft w:val="0"/>
          <w:marRight w:val="0"/>
          <w:marTop w:val="0"/>
          <w:marBottom w:val="0"/>
          <w:divBdr>
            <w:top w:val="none" w:sz="0" w:space="0" w:color="auto"/>
            <w:left w:val="none" w:sz="0" w:space="0" w:color="auto"/>
            <w:bottom w:val="none" w:sz="0" w:space="0" w:color="auto"/>
            <w:right w:val="none" w:sz="0" w:space="0" w:color="auto"/>
          </w:divBdr>
        </w:div>
      </w:divsChild>
    </w:div>
    <w:div w:id="1524587755">
      <w:marLeft w:val="0"/>
      <w:marRight w:val="0"/>
      <w:marTop w:val="0"/>
      <w:marBottom w:val="0"/>
      <w:divBdr>
        <w:top w:val="none" w:sz="0" w:space="0" w:color="auto"/>
        <w:left w:val="none" w:sz="0" w:space="0" w:color="auto"/>
        <w:bottom w:val="none" w:sz="0" w:space="0" w:color="auto"/>
        <w:right w:val="none" w:sz="0" w:space="0" w:color="auto"/>
      </w:divBdr>
      <w:divsChild>
        <w:div w:id="544559192">
          <w:marLeft w:val="0"/>
          <w:marRight w:val="0"/>
          <w:marTop w:val="0"/>
          <w:marBottom w:val="0"/>
          <w:divBdr>
            <w:top w:val="none" w:sz="0" w:space="0" w:color="auto"/>
            <w:left w:val="none" w:sz="0" w:space="0" w:color="auto"/>
            <w:bottom w:val="none" w:sz="0" w:space="0" w:color="auto"/>
            <w:right w:val="none" w:sz="0" w:space="0" w:color="auto"/>
          </w:divBdr>
        </w:div>
      </w:divsChild>
    </w:div>
    <w:div w:id="1528828649">
      <w:marLeft w:val="0"/>
      <w:marRight w:val="0"/>
      <w:marTop w:val="0"/>
      <w:marBottom w:val="0"/>
      <w:divBdr>
        <w:top w:val="none" w:sz="0" w:space="0" w:color="auto"/>
        <w:left w:val="none" w:sz="0" w:space="0" w:color="auto"/>
        <w:bottom w:val="none" w:sz="0" w:space="0" w:color="auto"/>
        <w:right w:val="none" w:sz="0" w:space="0" w:color="auto"/>
      </w:divBdr>
    </w:div>
    <w:div w:id="1533691815">
      <w:marLeft w:val="0"/>
      <w:marRight w:val="0"/>
      <w:marTop w:val="0"/>
      <w:marBottom w:val="0"/>
      <w:divBdr>
        <w:top w:val="none" w:sz="0" w:space="0" w:color="auto"/>
        <w:left w:val="none" w:sz="0" w:space="0" w:color="auto"/>
        <w:bottom w:val="none" w:sz="0" w:space="0" w:color="auto"/>
        <w:right w:val="none" w:sz="0" w:space="0" w:color="auto"/>
      </w:divBdr>
    </w:div>
    <w:div w:id="1535540416">
      <w:marLeft w:val="0"/>
      <w:marRight w:val="0"/>
      <w:marTop w:val="0"/>
      <w:marBottom w:val="0"/>
      <w:divBdr>
        <w:top w:val="none" w:sz="0" w:space="0" w:color="auto"/>
        <w:left w:val="none" w:sz="0" w:space="0" w:color="auto"/>
        <w:bottom w:val="none" w:sz="0" w:space="0" w:color="auto"/>
        <w:right w:val="none" w:sz="0" w:space="0" w:color="auto"/>
      </w:divBdr>
    </w:div>
    <w:div w:id="1537354961">
      <w:marLeft w:val="0"/>
      <w:marRight w:val="0"/>
      <w:marTop w:val="0"/>
      <w:marBottom w:val="0"/>
      <w:divBdr>
        <w:top w:val="none" w:sz="0" w:space="0" w:color="auto"/>
        <w:left w:val="none" w:sz="0" w:space="0" w:color="auto"/>
        <w:bottom w:val="none" w:sz="0" w:space="0" w:color="auto"/>
        <w:right w:val="none" w:sz="0" w:space="0" w:color="auto"/>
      </w:divBdr>
    </w:div>
    <w:div w:id="1543052908">
      <w:marLeft w:val="0"/>
      <w:marRight w:val="0"/>
      <w:marTop w:val="0"/>
      <w:marBottom w:val="0"/>
      <w:divBdr>
        <w:top w:val="none" w:sz="0" w:space="0" w:color="auto"/>
        <w:left w:val="none" w:sz="0" w:space="0" w:color="auto"/>
        <w:bottom w:val="none" w:sz="0" w:space="0" w:color="auto"/>
        <w:right w:val="none" w:sz="0" w:space="0" w:color="auto"/>
      </w:divBdr>
      <w:divsChild>
        <w:div w:id="100729658">
          <w:marLeft w:val="0"/>
          <w:marRight w:val="0"/>
          <w:marTop w:val="0"/>
          <w:marBottom w:val="0"/>
          <w:divBdr>
            <w:top w:val="none" w:sz="0" w:space="0" w:color="auto"/>
            <w:left w:val="none" w:sz="0" w:space="0" w:color="auto"/>
            <w:bottom w:val="none" w:sz="0" w:space="0" w:color="auto"/>
            <w:right w:val="none" w:sz="0" w:space="0" w:color="auto"/>
          </w:divBdr>
        </w:div>
      </w:divsChild>
    </w:div>
    <w:div w:id="1549876257">
      <w:marLeft w:val="0"/>
      <w:marRight w:val="0"/>
      <w:marTop w:val="0"/>
      <w:marBottom w:val="0"/>
      <w:divBdr>
        <w:top w:val="none" w:sz="0" w:space="0" w:color="auto"/>
        <w:left w:val="none" w:sz="0" w:space="0" w:color="auto"/>
        <w:bottom w:val="none" w:sz="0" w:space="0" w:color="auto"/>
        <w:right w:val="none" w:sz="0" w:space="0" w:color="auto"/>
      </w:divBdr>
    </w:div>
    <w:div w:id="1551959693">
      <w:marLeft w:val="0"/>
      <w:marRight w:val="0"/>
      <w:marTop w:val="0"/>
      <w:marBottom w:val="0"/>
      <w:divBdr>
        <w:top w:val="none" w:sz="0" w:space="0" w:color="auto"/>
        <w:left w:val="none" w:sz="0" w:space="0" w:color="auto"/>
        <w:bottom w:val="none" w:sz="0" w:space="0" w:color="auto"/>
        <w:right w:val="none" w:sz="0" w:space="0" w:color="auto"/>
      </w:divBdr>
    </w:div>
    <w:div w:id="1552351510">
      <w:marLeft w:val="0"/>
      <w:marRight w:val="0"/>
      <w:marTop w:val="0"/>
      <w:marBottom w:val="0"/>
      <w:divBdr>
        <w:top w:val="none" w:sz="0" w:space="0" w:color="auto"/>
        <w:left w:val="none" w:sz="0" w:space="0" w:color="auto"/>
        <w:bottom w:val="none" w:sz="0" w:space="0" w:color="auto"/>
        <w:right w:val="none" w:sz="0" w:space="0" w:color="auto"/>
      </w:divBdr>
    </w:div>
    <w:div w:id="1554805674">
      <w:marLeft w:val="0"/>
      <w:marRight w:val="0"/>
      <w:marTop w:val="0"/>
      <w:marBottom w:val="0"/>
      <w:divBdr>
        <w:top w:val="none" w:sz="0" w:space="0" w:color="auto"/>
        <w:left w:val="none" w:sz="0" w:space="0" w:color="auto"/>
        <w:bottom w:val="none" w:sz="0" w:space="0" w:color="auto"/>
        <w:right w:val="none" w:sz="0" w:space="0" w:color="auto"/>
      </w:divBdr>
      <w:divsChild>
        <w:div w:id="839613067">
          <w:marLeft w:val="0"/>
          <w:marRight w:val="0"/>
          <w:marTop w:val="0"/>
          <w:marBottom w:val="0"/>
          <w:divBdr>
            <w:top w:val="none" w:sz="0" w:space="0" w:color="auto"/>
            <w:left w:val="none" w:sz="0" w:space="0" w:color="auto"/>
            <w:bottom w:val="none" w:sz="0" w:space="0" w:color="auto"/>
            <w:right w:val="none" w:sz="0" w:space="0" w:color="auto"/>
          </w:divBdr>
        </w:div>
      </w:divsChild>
    </w:div>
    <w:div w:id="1559130547">
      <w:marLeft w:val="0"/>
      <w:marRight w:val="0"/>
      <w:marTop w:val="0"/>
      <w:marBottom w:val="0"/>
      <w:divBdr>
        <w:top w:val="none" w:sz="0" w:space="0" w:color="auto"/>
        <w:left w:val="none" w:sz="0" w:space="0" w:color="auto"/>
        <w:bottom w:val="none" w:sz="0" w:space="0" w:color="auto"/>
        <w:right w:val="none" w:sz="0" w:space="0" w:color="auto"/>
      </w:divBdr>
    </w:div>
    <w:div w:id="1563053439">
      <w:marLeft w:val="0"/>
      <w:marRight w:val="0"/>
      <w:marTop w:val="0"/>
      <w:marBottom w:val="0"/>
      <w:divBdr>
        <w:top w:val="none" w:sz="0" w:space="0" w:color="auto"/>
        <w:left w:val="none" w:sz="0" w:space="0" w:color="auto"/>
        <w:bottom w:val="none" w:sz="0" w:space="0" w:color="auto"/>
        <w:right w:val="none" w:sz="0" w:space="0" w:color="auto"/>
      </w:divBdr>
    </w:div>
    <w:div w:id="1564951506">
      <w:marLeft w:val="0"/>
      <w:marRight w:val="0"/>
      <w:marTop w:val="60"/>
      <w:marBottom w:val="120"/>
      <w:divBdr>
        <w:top w:val="none" w:sz="0" w:space="0" w:color="auto"/>
        <w:left w:val="none" w:sz="0" w:space="0" w:color="auto"/>
        <w:bottom w:val="none" w:sz="0" w:space="0" w:color="auto"/>
        <w:right w:val="none" w:sz="0" w:space="0" w:color="auto"/>
      </w:divBdr>
    </w:div>
    <w:div w:id="1571885079">
      <w:marLeft w:val="0"/>
      <w:marRight w:val="0"/>
      <w:marTop w:val="0"/>
      <w:marBottom w:val="0"/>
      <w:divBdr>
        <w:top w:val="none" w:sz="0" w:space="0" w:color="auto"/>
        <w:left w:val="none" w:sz="0" w:space="0" w:color="auto"/>
        <w:bottom w:val="none" w:sz="0" w:space="0" w:color="auto"/>
        <w:right w:val="none" w:sz="0" w:space="0" w:color="auto"/>
      </w:divBdr>
    </w:div>
    <w:div w:id="1590431665">
      <w:marLeft w:val="0"/>
      <w:marRight w:val="0"/>
      <w:marTop w:val="0"/>
      <w:marBottom w:val="0"/>
      <w:divBdr>
        <w:top w:val="none" w:sz="0" w:space="0" w:color="auto"/>
        <w:left w:val="none" w:sz="0" w:space="0" w:color="auto"/>
        <w:bottom w:val="none" w:sz="0" w:space="0" w:color="auto"/>
        <w:right w:val="none" w:sz="0" w:space="0" w:color="auto"/>
      </w:divBdr>
      <w:divsChild>
        <w:div w:id="1152481087">
          <w:marLeft w:val="0"/>
          <w:marRight w:val="0"/>
          <w:marTop w:val="0"/>
          <w:marBottom w:val="0"/>
          <w:divBdr>
            <w:top w:val="none" w:sz="0" w:space="0" w:color="auto"/>
            <w:left w:val="none" w:sz="0" w:space="0" w:color="auto"/>
            <w:bottom w:val="none" w:sz="0" w:space="0" w:color="auto"/>
            <w:right w:val="none" w:sz="0" w:space="0" w:color="auto"/>
          </w:divBdr>
        </w:div>
      </w:divsChild>
    </w:div>
    <w:div w:id="1596595431">
      <w:marLeft w:val="0"/>
      <w:marRight w:val="0"/>
      <w:marTop w:val="0"/>
      <w:marBottom w:val="0"/>
      <w:divBdr>
        <w:top w:val="none" w:sz="0" w:space="0" w:color="auto"/>
        <w:left w:val="none" w:sz="0" w:space="0" w:color="auto"/>
        <w:bottom w:val="none" w:sz="0" w:space="0" w:color="auto"/>
        <w:right w:val="none" w:sz="0" w:space="0" w:color="auto"/>
      </w:divBdr>
    </w:div>
    <w:div w:id="1597666619">
      <w:marLeft w:val="0"/>
      <w:marRight w:val="0"/>
      <w:marTop w:val="0"/>
      <w:marBottom w:val="0"/>
      <w:divBdr>
        <w:top w:val="none" w:sz="0" w:space="0" w:color="auto"/>
        <w:left w:val="none" w:sz="0" w:space="0" w:color="auto"/>
        <w:bottom w:val="none" w:sz="0" w:space="0" w:color="auto"/>
        <w:right w:val="none" w:sz="0" w:space="0" w:color="auto"/>
      </w:divBdr>
    </w:div>
    <w:div w:id="1597787975">
      <w:marLeft w:val="0"/>
      <w:marRight w:val="0"/>
      <w:marTop w:val="0"/>
      <w:marBottom w:val="0"/>
      <w:divBdr>
        <w:top w:val="none" w:sz="0" w:space="0" w:color="auto"/>
        <w:left w:val="none" w:sz="0" w:space="0" w:color="auto"/>
        <w:bottom w:val="none" w:sz="0" w:space="0" w:color="auto"/>
        <w:right w:val="none" w:sz="0" w:space="0" w:color="auto"/>
      </w:divBdr>
      <w:divsChild>
        <w:div w:id="418715619">
          <w:marLeft w:val="0"/>
          <w:marRight w:val="0"/>
          <w:marTop w:val="0"/>
          <w:marBottom w:val="0"/>
          <w:divBdr>
            <w:top w:val="none" w:sz="0" w:space="0" w:color="auto"/>
            <w:left w:val="none" w:sz="0" w:space="0" w:color="auto"/>
            <w:bottom w:val="none" w:sz="0" w:space="0" w:color="auto"/>
            <w:right w:val="none" w:sz="0" w:space="0" w:color="auto"/>
          </w:divBdr>
        </w:div>
      </w:divsChild>
    </w:div>
    <w:div w:id="1610039168">
      <w:marLeft w:val="0"/>
      <w:marRight w:val="0"/>
      <w:marTop w:val="0"/>
      <w:marBottom w:val="0"/>
      <w:divBdr>
        <w:top w:val="none" w:sz="0" w:space="0" w:color="auto"/>
        <w:left w:val="none" w:sz="0" w:space="0" w:color="auto"/>
        <w:bottom w:val="none" w:sz="0" w:space="0" w:color="auto"/>
        <w:right w:val="none" w:sz="0" w:space="0" w:color="auto"/>
      </w:divBdr>
    </w:div>
    <w:div w:id="1611232270">
      <w:marLeft w:val="0"/>
      <w:marRight w:val="0"/>
      <w:marTop w:val="0"/>
      <w:marBottom w:val="0"/>
      <w:divBdr>
        <w:top w:val="none" w:sz="0" w:space="0" w:color="auto"/>
        <w:left w:val="none" w:sz="0" w:space="0" w:color="auto"/>
        <w:bottom w:val="none" w:sz="0" w:space="0" w:color="auto"/>
        <w:right w:val="none" w:sz="0" w:space="0" w:color="auto"/>
      </w:divBdr>
    </w:div>
    <w:div w:id="1611814764">
      <w:marLeft w:val="0"/>
      <w:marRight w:val="0"/>
      <w:marTop w:val="0"/>
      <w:marBottom w:val="0"/>
      <w:divBdr>
        <w:top w:val="none" w:sz="0" w:space="0" w:color="auto"/>
        <w:left w:val="none" w:sz="0" w:space="0" w:color="auto"/>
        <w:bottom w:val="none" w:sz="0" w:space="0" w:color="auto"/>
        <w:right w:val="none" w:sz="0" w:space="0" w:color="auto"/>
      </w:divBdr>
    </w:div>
    <w:div w:id="1633294219">
      <w:marLeft w:val="0"/>
      <w:marRight w:val="0"/>
      <w:marTop w:val="0"/>
      <w:marBottom w:val="0"/>
      <w:divBdr>
        <w:top w:val="none" w:sz="0" w:space="0" w:color="auto"/>
        <w:left w:val="none" w:sz="0" w:space="0" w:color="auto"/>
        <w:bottom w:val="none" w:sz="0" w:space="0" w:color="auto"/>
        <w:right w:val="none" w:sz="0" w:space="0" w:color="auto"/>
      </w:divBdr>
    </w:div>
    <w:div w:id="1633517214">
      <w:marLeft w:val="0"/>
      <w:marRight w:val="0"/>
      <w:marTop w:val="0"/>
      <w:marBottom w:val="0"/>
      <w:divBdr>
        <w:top w:val="none" w:sz="0" w:space="0" w:color="auto"/>
        <w:left w:val="none" w:sz="0" w:space="0" w:color="auto"/>
        <w:bottom w:val="none" w:sz="0" w:space="0" w:color="auto"/>
        <w:right w:val="none" w:sz="0" w:space="0" w:color="auto"/>
      </w:divBdr>
    </w:div>
    <w:div w:id="1636639728">
      <w:marLeft w:val="0"/>
      <w:marRight w:val="0"/>
      <w:marTop w:val="0"/>
      <w:marBottom w:val="0"/>
      <w:divBdr>
        <w:top w:val="none" w:sz="0" w:space="0" w:color="auto"/>
        <w:left w:val="none" w:sz="0" w:space="0" w:color="auto"/>
        <w:bottom w:val="none" w:sz="0" w:space="0" w:color="auto"/>
        <w:right w:val="none" w:sz="0" w:space="0" w:color="auto"/>
      </w:divBdr>
    </w:div>
    <w:div w:id="1638992145">
      <w:marLeft w:val="0"/>
      <w:marRight w:val="0"/>
      <w:marTop w:val="0"/>
      <w:marBottom w:val="0"/>
      <w:divBdr>
        <w:top w:val="none" w:sz="0" w:space="0" w:color="auto"/>
        <w:left w:val="none" w:sz="0" w:space="0" w:color="auto"/>
        <w:bottom w:val="none" w:sz="0" w:space="0" w:color="auto"/>
        <w:right w:val="none" w:sz="0" w:space="0" w:color="auto"/>
      </w:divBdr>
      <w:divsChild>
        <w:div w:id="1783917735">
          <w:marLeft w:val="0"/>
          <w:marRight w:val="0"/>
          <w:marTop w:val="0"/>
          <w:marBottom w:val="0"/>
          <w:divBdr>
            <w:top w:val="none" w:sz="0" w:space="0" w:color="auto"/>
            <w:left w:val="none" w:sz="0" w:space="0" w:color="auto"/>
            <w:bottom w:val="none" w:sz="0" w:space="0" w:color="auto"/>
            <w:right w:val="none" w:sz="0" w:space="0" w:color="auto"/>
          </w:divBdr>
        </w:div>
      </w:divsChild>
    </w:div>
    <w:div w:id="1640379196">
      <w:marLeft w:val="0"/>
      <w:marRight w:val="0"/>
      <w:marTop w:val="0"/>
      <w:marBottom w:val="0"/>
      <w:divBdr>
        <w:top w:val="none" w:sz="0" w:space="0" w:color="auto"/>
        <w:left w:val="none" w:sz="0" w:space="0" w:color="auto"/>
        <w:bottom w:val="none" w:sz="0" w:space="0" w:color="auto"/>
        <w:right w:val="none" w:sz="0" w:space="0" w:color="auto"/>
      </w:divBdr>
    </w:div>
    <w:div w:id="1642076330">
      <w:marLeft w:val="0"/>
      <w:marRight w:val="0"/>
      <w:marTop w:val="0"/>
      <w:marBottom w:val="0"/>
      <w:divBdr>
        <w:top w:val="none" w:sz="0" w:space="0" w:color="auto"/>
        <w:left w:val="none" w:sz="0" w:space="0" w:color="auto"/>
        <w:bottom w:val="none" w:sz="0" w:space="0" w:color="auto"/>
        <w:right w:val="none" w:sz="0" w:space="0" w:color="auto"/>
      </w:divBdr>
      <w:divsChild>
        <w:div w:id="1932545349">
          <w:marLeft w:val="0"/>
          <w:marRight w:val="0"/>
          <w:marTop w:val="0"/>
          <w:marBottom w:val="0"/>
          <w:divBdr>
            <w:top w:val="none" w:sz="0" w:space="0" w:color="auto"/>
            <w:left w:val="none" w:sz="0" w:space="0" w:color="auto"/>
            <w:bottom w:val="none" w:sz="0" w:space="0" w:color="auto"/>
            <w:right w:val="none" w:sz="0" w:space="0" w:color="auto"/>
          </w:divBdr>
        </w:div>
      </w:divsChild>
    </w:div>
    <w:div w:id="1644967936">
      <w:marLeft w:val="0"/>
      <w:marRight w:val="0"/>
      <w:marTop w:val="0"/>
      <w:marBottom w:val="0"/>
      <w:divBdr>
        <w:top w:val="none" w:sz="0" w:space="0" w:color="auto"/>
        <w:left w:val="none" w:sz="0" w:space="0" w:color="auto"/>
        <w:bottom w:val="none" w:sz="0" w:space="0" w:color="auto"/>
        <w:right w:val="none" w:sz="0" w:space="0" w:color="auto"/>
      </w:divBdr>
    </w:div>
    <w:div w:id="1644969159">
      <w:marLeft w:val="0"/>
      <w:marRight w:val="0"/>
      <w:marTop w:val="0"/>
      <w:marBottom w:val="0"/>
      <w:divBdr>
        <w:top w:val="none" w:sz="0" w:space="0" w:color="auto"/>
        <w:left w:val="none" w:sz="0" w:space="0" w:color="auto"/>
        <w:bottom w:val="none" w:sz="0" w:space="0" w:color="auto"/>
        <w:right w:val="none" w:sz="0" w:space="0" w:color="auto"/>
      </w:divBdr>
    </w:div>
    <w:div w:id="1645620849">
      <w:marLeft w:val="0"/>
      <w:marRight w:val="0"/>
      <w:marTop w:val="0"/>
      <w:marBottom w:val="120"/>
      <w:divBdr>
        <w:top w:val="none" w:sz="0" w:space="0" w:color="auto"/>
        <w:left w:val="none" w:sz="0" w:space="0" w:color="auto"/>
        <w:bottom w:val="none" w:sz="0" w:space="0" w:color="auto"/>
        <w:right w:val="none" w:sz="0" w:space="0" w:color="auto"/>
      </w:divBdr>
    </w:div>
    <w:div w:id="1646156613">
      <w:marLeft w:val="0"/>
      <w:marRight w:val="0"/>
      <w:marTop w:val="0"/>
      <w:marBottom w:val="0"/>
      <w:divBdr>
        <w:top w:val="none" w:sz="0" w:space="0" w:color="auto"/>
        <w:left w:val="none" w:sz="0" w:space="0" w:color="auto"/>
        <w:bottom w:val="none" w:sz="0" w:space="0" w:color="auto"/>
        <w:right w:val="none" w:sz="0" w:space="0" w:color="auto"/>
      </w:divBdr>
      <w:divsChild>
        <w:div w:id="1575160298">
          <w:marLeft w:val="0"/>
          <w:marRight w:val="0"/>
          <w:marTop w:val="0"/>
          <w:marBottom w:val="0"/>
          <w:divBdr>
            <w:top w:val="none" w:sz="0" w:space="0" w:color="auto"/>
            <w:left w:val="none" w:sz="0" w:space="0" w:color="auto"/>
            <w:bottom w:val="none" w:sz="0" w:space="0" w:color="auto"/>
            <w:right w:val="none" w:sz="0" w:space="0" w:color="auto"/>
          </w:divBdr>
        </w:div>
      </w:divsChild>
    </w:div>
    <w:div w:id="1647970169">
      <w:marLeft w:val="0"/>
      <w:marRight w:val="0"/>
      <w:marTop w:val="0"/>
      <w:marBottom w:val="120"/>
      <w:divBdr>
        <w:top w:val="none" w:sz="0" w:space="0" w:color="auto"/>
        <w:left w:val="none" w:sz="0" w:space="0" w:color="auto"/>
        <w:bottom w:val="none" w:sz="0" w:space="0" w:color="auto"/>
        <w:right w:val="none" w:sz="0" w:space="0" w:color="auto"/>
      </w:divBdr>
      <w:divsChild>
        <w:div w:id="42485335">
          <w:marLeft w:val="0"/>
          <w:marRight w:val="0"/>
          <w:marTop w:val="0"/>
          <w:marBottom w:val="0"/>
          <w:divBdr>
            <w:top w:val="none" w:sz="0" w:space="0" w:color="auto"/>
            <w:left w:val="none" w:sz="0" w:space="0" w:color="auto"/>
            <w:bottom w:val="none" w:sz="0" w:space="0" w:color="auto"/>
            <w:right w:val="none" w:sz="0" w:space="0" w:color="auto"/>
          </w:divBdr>
        </w:div>
        <w:div w:id="541212617">
          <w:marLeft w:val="0"/>
          <w:marRight w:val="0"/>
          <w:marTop w:val="0"/>
          <w:marBottom w:val="0"/>
          <w:divBdr>
            <w:top w:val="none" w:sz="0" w:space="0" w:color="auto"/>
            <w:left w:val="none" w:sz="0" w:space="0" w:color="auto"/>
            <w:bottom w:val="none" w:sz="0" w:space="0" w:color="auto"/>
            <w:right w:val="none" w:sz="0" w:space="0" w:color="auto"/>
          </w:divBdr>
        </w:div>
        <w:div w:id="287056799">
          <w:marLeft w:val="0"/>
          <w:marRight w:val="0"/>
          <w:marTop w:val="0"/>
          <w:marBottom w:val="0"/>
          <w:divBdr>
            <w:top w:val="none" w:sz="0" w:space="0" w:color="auto"/>
            <w:left w:val="none" w:sz="0" w:space="0" w:color="auto"/>
            <w:bottom w:val="none" w:sz="0" w:space="0" w:color="auto"/>
            <w:right w:val="none" w:sz="0" w:space="0" w:color="auto"/>
          </w:divBdr>
        </w:div>
      </w:divsChild>
    </w:div>
    <w:div w:id="1650792799">
      <w:marLeft w:val="0"/>
      <w:marRight w:val="0"/>
      <w:marTop w:val="0"/>
      <w:marBottom w:val="0"/>
      <w:divBdr>
        <w:top w:val="none" w:sz="0" w:space="0" w:color="auto"/>
        <w:left w:val="none" w:sz="0" w:space="0" w:color="auto"/>
        <w:bottom w:val="none" w:sz="0" w:space="0" w:color="auto"/>
        <w:right w:val="none" w:sz="0" w:space="0" w:color="auto"/>
      </w:divBdr>
    </w:div>
    <w:div w:id="1651061678">
      <w:marLeft w:val="0"/>
      <w:marRight w:val="0"/>
      <w:marTop w:val="0"/>
      <w:marBottom w:val="0"/>
      <w:divBdr>
        <w:top w:val="none" w:sz="0" w:space="0" w:color="auto"/>
        <w:left w:val="none" w:sz="0" w:space="0" w:color="auto"/>
        <w:bottom w:val="none" w:sz="0" w:space="0" w:color="auto"/>
        <w:right w:val="none" w:sz="0" w:space="0" w:color="auto"/>
      </w:divBdr>
      <w:divsChild>
        <w:div w:id="2066684575">
          <w:marLeft w:val="0"/>
          <w:marRight w:val="0"/>
          <w:marTop w:val="0"/>
          <w:marBottom w:val="0"/>
          <w:divBdr>
            <w:top w:val="none" w:sz="0" w:space="0" w:color="auto"/>
            <w:left w:val="none" w:sz="0" w:space="0" w:color="auto"/>
            <w:bottom w:val="none" w:sz="0" w:space="0" w:color="auto"/>
            <w:right w:val="none" w:sz="0" w:space="0" w:color="auto"/>
          </w:divBdr>
        </w:div>
      </w:divsChild>
    </w:div>
    <w:div w:id="1651210577">
      <w:marLeft w:val="0"/>
      <w:marRight w:val="0"/>
      <w:marTop w:val="0"/>
      <w:marBottom w:val="0"/>
      <w:divBdr>
        <w:top w:val="none" w:sz="0" w:space="0" w:color="auto"/>
        <w:left w:val="none" w:sz="0" w:space="0" w:color="auto"/>
        <w:bottom w:val="none" w:sz="0" w:space="0" w:color="auto"/>
        <w:right w:val="none" w:sz="0" w:space="0" w:color="auto"/>
      </w:divBdr>
      <w:divsChild>
        <w:div w:id="1751462341">
          <w:marLeft w:val="0"/>
          <w:marRight w:val="0"/>
          <w:marTop w:val="0"/>
          <w:marBottom w:val="0"/>
          <w:divBdr>
            <w:top w:val="none" w:sz="0" w:space="0" w:color="auto"/>
            <w:left w:val="none" w:sz="0" w:space="0" w:color="auto"/>
            <w:bottom w:val="none" w:sz="0" w:space="0" w:color="auto"/>
            <w:right w:val="none" w:sz="0" w:space="0" w:color="auto"/>
          </w:divBdr>
        </w:div>
      </w:divsChild>
    </w:div>
    <w:div w:id="1658998857">
      <w:marLeft w:val="0"/>
      <w:marRight w:val="0"/>
      <w:marTop w:val="0"/>
      <w:marBottom w:val="0"/>
      <w:divBdr>
        <w:top w:val="none" w:sz="0" w:space="0" w:color="auto"/>
        <w:left w:val="none" w:sz="0" w:space="0" w:color="auto"/>
        <w:bottom w:val="none" w:sz="0" w:space="0" w:color="auto"/>
        <w:right w:val="none" w:sz="0" w:space="0" w:color="auto"/>
      </w:divBdr>
      <w:divsChild>
        <w:div w:id="724765716">
          <w:marLeft w:val="0"/>
          <w:marRight w:val="0"/>
          <w:marTop w:val="0"/>
          <w:marBottom w:val="0"/>
          <w:divBdr>
            <w:top w:val="none" w:sz="0" w:space="0" w:color="auto"/>
            <w:left w:val="none" w:sz="0" w:space="0" w:color="auto"/>
            <w:bottom w:val="none" w:sz="0" w:space="0" w:color="auto"/>
            <w:right w:val="none" w:sz="0" w:space="0" w:color="auto"/>
          </w:divBdr>
        </w:div>
      </w:divsChild>
    </w:div>
    <w:div w:id="1661499501">
      <w:marLeft w:val="0"/>
      <w:marRight w:val="0"/>
      <w:marTop w:val="0"/>
      <w:marBottom w:val="0"/>
      <w:divBdr>
        <w:top w:val="none" w:sz="0" w:space="0" w:color="auto"/>
        <w:left w:val="none" w:sz="0" w:space="0" w:color="auto"/>
        <w:bottom w:val="none" w:sz="0" w:space="0" w:color="auto"/>
        <w:right w:val="none" w:sz="0" w:space="0" w:color="auto"/>
      </w:divBdr>
    </w:div>
    <w:div w:id="1663966612">
      <w:marLeft w:val="0"/>
      <w:marRight w:val="0"/>
      <w:marTop w:val="0"/>
      <w:marBottom w:val="120"/>
      <w:divBdr>
        <w:top w:val="none" w:sz="0" w:space="0" w:color="auto"/>
        <w:left w:val="none" w:sz="0" w:space="0" w:color="auto"/>
        <w:bottom w:val="none" w:sz="0" w:space="0" w:color="auto"/>
        <w:right w:val="none" w:sz="0" w:space="0" w:color="auto"/>
      </w:divBdr>
    </w:div>
    <w:div w:id="1667786486">
      <w:marLeft w:val="0"/>
      <w:marRight w:val="0"/>
      <w:marTop w:val="0"/>
      <w:marBottom w:val="0"/>
      <w:divBdr>
        <w:top w:val="none" w:sz="0" w:space="0" w:color="auto"/>
        <w:left w:val="none" w:sz="0" w:space="0" w:color="auto"/>
        <w:bottom w:val="none" w:sz="0" w:space="0" w:color="auto"/>
        <w:right w:val="none" w:sz="0" w:space="0" w:color="auto"/>
      </w:divBdr>
    </w:div>
    <w:div w:id="1669941787">
      <w:marLeft w:val="0"/>
      <w:marRight w:val="0"/>
      <w:marTop w:val="0"/>
      <w:marBottom w:val="0"/>
      <w:divBdr>
        <w:top w:val="none" w:sz="0" w:space="0" w:color="auto"/>
        <w:left w:val="none" w:sz="0" w:space="0" w:color="auto"/>
        <w:bottom w:val="none" w:sz="0" w:space="0" w:color="auto"/>
        <w:right w:val="none" w:sz="0" w:space="0" w:color="auto"/>
      </w:divBdr>
    </w:div>
    <w:div w:id="1670910525">
      <w:marLeft w:val="0"/>
      <w:marRight w:val="0"/>
      <w:marTop w:val="0"/>
      <w:marBottom w:val="0"/>
      <w:divBdr>
        <w:top w:val="none" w:sz="0" w:space="0" w:color="auto"/>
        <w:left w:val="none" w:sz="0" w:space="0" w:color="auto"/>
        <w:bottom w:val="none" w:sz="0" w:space="0" w:color="auto"/>
        <w:right w:val="none" w:sz="0" w:space="0" w:color="auto"/>
      </w:divBdr>
      <w:divsChild>
        <w:div w:id="1145394084">
          <w:marLeft w:val="0"/>
          <w:marRight w:val="0"/>
          <w:marTop w:val="0"/>
          <w:marBottom w:val="0"/>
          <w:divBdr>
            <w:top w:val="none" w:sz="0" w:space="0" w:color="auto"/>
            <w:left w:val="none" w:sz="0" w:space="0" w:color="auto"/>
            <w:bottom w:val="none" w:sz="0" w:space="0" w:color="auto"/>
            <w:right w:val="none" w:sz="0" w:space="0" w:color="auto"/>
          </w:divBdr>
        </w:div>
      </w:divsChild>
    </w:div>
    <w:div w:id="1681005051">
      <w:marLeft w:val="0"/>
      <w:marRight w:val="0"/>
      <w:marTop w:val="0"/>
      <w:marBottom w:val="0"/>
      <w:divBdr>
        <w:top w:val="none" w:sz="0" w:space="0" w:color="auto"/>
        <w:left w:val="none" w:sz="0" w:space="0" w:color="auto"/>
        <w:bottom w:val="none" w:sz="0" w:space="0" w:color="auto"/>
        <w:right w:val="none" w:sz="0" w:space="0" w:color="auto"/>
      </w:divBdr>
    </w:div>
    <w:div w:id="1682774073">
      <w:marLeft w:val="0"/>
      <w:marRight w:val="0"/>
      <w:marTop w:val="0"/>
      <w:marBottom w:val="120"/>
      <w:divBdr>
        <w:top w:val="none" w:sz="0" w:space="0" w:color="auto"/>
        <w:left w:val="none" w:sz="0" w:space="0" w:color="auto"/>
        <w:bottom w:val="none" w:sz="0" w:space="0" w:color="auto"/>
        <w:right w:val="none" w:sz="0" w:space="0" w:color="auto"/>
      </w:divBdr>
    </w:div>
    <w:div w:id="1687251477">
      <w:marLeft w:val="0"/>
      <w:marRight w:val="0"/>
      <w:marTop w:val="0"/>
      <w:marBottom w:val="0"/>
      <w:divBdr>
        <w:top w:val="none" w:sz="0" w:space="0" w:color="auto"/>
        <w:left w:val="none" w:sz="0" w:space="0" w:color="auto"/>
        <w:bottom w:val="none" w:sz="0" w:space="0" w:color="auto"/>
        <w:right w:val="none" w:sz="0" w:space="0" w:color="auto"/>
      </w:divBdr>
    </w:div>
    <w:div w:id="1690521473">
      <w:marLeft w:val="0"/>
      <w:marRight w:val="0"/>
      <w:marTop w:val="0"/>
      <w:marBottom w:val="0"/>
      <w:divBdr>
        <w:top w:val="none" w:sz="0" w:space="0" w:color="auto"/>
        <w:left w:val="none" w:sz="0" w:space="0" w:color="auto"/>
        <w:bottom w:val="none" w:sz="0" w:space="0" w:color="auto"/>
        <w:right w:val="none" w:sz="0" w:space="0" w:color="auto"/>
      </w:divBdr>
    </w:div>
    <w:div w:id="1695964102">
      <w:marLeft w:val="0"/>
      <w:marRight w:val="0"/>
      <w:marTop w:val="0"/>
      <w:marBottom w:val="0"/>
      <w:divBdr>
        <w:top w:val="none" w:sz="0" w:space="0" w:color="auto"/>
        <w:left w:val="none" w:sz="0" w:space="0" w:color="auto"/>
        <w:bottom w:val="none" w:sz="0" w:space="0" w:color="auto"/>
        <w:right w:val="none" w:sz="0" w:space="0" w:color="auto"/>
      </w:divBdr>
    </w:div>
    <w:div w:id="1703163258">
      <w:marLeft w:val="0"/>
      <w:marRight w:val="0"/>
      <w:marTop w:val="0"/>
      <w:marBottom w:val="0"/>
      <w:divBdr>
        <w:top w:val="none" w:sz="0" w:space="0" w:color="auto"/>
        <w:left w:val="none" w:sz="0" w:space="0" w:color="auto"/>
        <w:bottom w:val="none" w:sz="0" w:space="0" w:color="auto"/>
        <w:right w:val="none" w:sz="0" w:space="0" w:color="auto"/>
      </w:divBdr>
      <w:divsChild>
        <w:div w:id="189496171">
          <w:marLeft w:val="0"/>
          <w:marRight w:val="0"/>
          <w:marTop w:val="0"/>
          <w:marBottom w:val="0"/>
          <w:divBdr>
            <w:top w:val="none" w:sz="0" w:space="0" w:color="auto"/>
            <w:left w:val="none" w:sz="0" w:space="0" w:color="auto"/>
            <w:bottom w:val="none" w:sz="0" w:space="0" w:color="auto"/>
            <w:right w:val="none" w:sz="0" w:space="0" w:color="auto"/>
          </w:divBdr>
        </w:div>
      </w:divsChild>
    </w:div>
    <w:div w:id="1705910363">
      <w:marLeft w:val="0"/>
      <w:marRight w:val="0"/>
      <w:marTop w:val="0"/>
      <w:marBottom w:val="0"/>
      <w:divBdr>
        <w:top w:val="none" w:sz="0" w:space="0" w:color="auto"/>
        <w:left w:val="none" w:sz="0" w:space="0" w:color="auto"/>
        <w:bottom w:val="none" w:sz="0" w:space="0" w:color="auto"/>
        <w:right w:val="none" w:sz="0" w:space="0" w:color="auto"/>
      </w:divBdr>
      <w:divsChild>
        <w:div w:id="1890725076">
          <w:marLeft w:val="0"/>
          <w:marRight w:val="0"/>
          <w:marTop w:val="0"/>
          <w:marBottom w:val="0"/>
          <w:divBdr>
            <w:top w:val="none" w:sz="0" w:space="0" w:color="auto"/>
            <w:left w:val="none" w:sz="0" w:space="0" w:color="auto"/>
            <w:bottom w:val="none" w:sz="0" w:space="0" w:color="auto"/>
            <w:right w:val="none" w:sz="0" w:space="0" w:color="auto"/>
          </w:divBdr>
        </w:div>
      </w:divsChild>
    </w:div>
    <w:div w:id="1706247220">
      <w:marLeft w:val="0"/>
      <w:marRight w:val="0"/>
      <w:marTop w:val="0"/>
      <w:marBottom w:val="0"/>
      <w:divBdr>
        <w:top w:val="none" w:sz="0" w:space="0" w:color="auto"/>
        <w:left w:val="none" w:sz="0" w:space="0" w:color="auto"/>
        <w:bottom w:val="none" w:sz="0" w:space="0" w:color="auto"/>
        <w:right w:val="none" w:sz="0" w:space="0" w:color="auto"/>
      </w:divBdr>
      <w:divsChild>
        <w:div w:id="984964766">
          <w:marLeft w:val="0"/>
          <w:marRight w:val="0"/>
          <w:marTop w:val="0"/>
          <w:marBottom w:val="0"/>
          <w:divBdr>
            <w:top w:val="none" w:sz="0" w:space="0" w:color="auto"/>
            <w:left w:val="none" w:sz="0" w:space="0" w:color="auto"/>
            <w:bottom w:val="none" w:sz="0" w:space="0" w:color="auto"/>
            <w:right w:val="none" w:sz="0" w:space="0" w:color="auto"/>
          </w:divBdr>
        </w:div>
      </w:divsChild>
    </w:div>
    <w:div w:id="1706633583">
      <w:marLeft w:val="0"/>
      <w:marRight w:val="0"/>
      <w:marTop w:val="0"/>
      <w:marBottom w:val="0"/>
      <w:divBdr>
        <w:top w:val="none" w:sz="0" w:space="0" w:color="auto"/>
        <w:left w:val="none" w:sz="0" w:space="0" w:color="auto"/>
        <w:bottom w:val="none" w:sz="0" w:space="0" w:color="auto"/>
        <w:right w:val="none" w:sz="0" w:space="0" w:color="auto"/>
      </w:divBdr>
    </w:div>
    <w:div w:id="1707215128">
      <w:marLeft w:val="0"/>
      <w:marRight w:val="0"/>
      <w:marTop w:val="0"/>
      <w:marBottom w:val="0"/>
      <w:divBdr>
        <w:top w:val="none" w:sz="0" w:space="0" w:color="auto"/>
        <w:left w:val="none" w:sz="0" w:space="0" w:color="auto"/>
        <w:bottom w:val="none" w:sz="0" w:space="0" w:color="auto"/>
        <w:right w:val="none" w:sz="0" w:space="0" w:color="auto"/>
      </w:divBdr>
    </w:div>
    <w:div w:id="1707943166">
      <w:marLeft w:val="0"/>
      <w:marRight w:val="0"/>
      <w:marTop w:val="0"/>
      <w:marBottom w:val="0"/>
      <w:divBdr>
        <w:top w:val="none" w:sz="0" w:space="0" w:color="auto"/>
        <w:left w:val="none" w:sz="0" w:space="0" w:color="auto"/>
        <w:bottom w:val="none" w:sz="0" w:space="0" w:color="auto"/>
        <w:right w:val="none" w:sz="0" w:space="0" w:color="auto"/>
      </w:divBdr>
    </w:div>
    <w:div w:id="1709405801">
      <w:marLeft w:val="0"/>
      <w:marRight w:val="0"/>
      <w:marTop w:val="0"/>
      <w:marBottom w:val="0"/>
      <w:divBdr>
        <w:top w:val="none" w:sz="0" w:space="0" w:color="auto"/>
        <w:left w:val="none" w:sz="0" w:space="0" w:color="auto"/>
        <w:bottom w:val="none" w:sz="0" w:space="0" w:color="auto"/>
        <w:right w:val="none" w:sz="0" w:space="0" w:color="auto"/>
      </w:divBdr>
    </w:div>
    <w:div w:id="1712071144">
      <w:marLeft w:val="0"/>
      <w:marRight w:val="0"/>
      <w:marTop w:val="0"/>
      <w:marBottom w:val="120"/>
      <w:divBdr>
        <w:top w:val="none" w:sz="0" w:space="0" w:color="auto"/>
        <w:left w:val="none" w:sz="0" w:space="0" w:color="auto"/>
        <w:bottom w:val="none" w:sz="0" w:space="0" w:color="auto"/>
        <w:right w:val="none" w:sz="0" w:space="0" w:color="auto"/>
      </w:divBdr>
    </w:div>
    <w:div w:id="1714228150">
      <w:marLeft w:val="0"/>
      <w:marRight w:val="0"/>
      <w:marTop w:val="0"/>
      <w:marBottom w:val="0"/>
      <w:divBdr>
        <w:top w:val="none" w:sz="0" w:space="0" w:color="auto"/>
        <w:left w:val="none" w:sz="0" w:space="0" w:color="auto"/>
        <w:bottom w:val="none" w:sz="0" w:space="0" w:color="auto"/>
        <w:right w:val="none" w:sz="0" w:space="0" w:color="auto"/>
      </w:divBdr>
      <w:divsChild>
        <w:div w:id="1033313358">
          <w:marLeft w:val="0"/>
          <w:marRight w:val="0"/>
          <w:marTop w:val="0"/>
          <w:marBottom w:val="0"/>
          <w:divBdr>
            <w:top w:val="none" w:sz="0" w:space="0" w:color="auto"/>
            <w:left w:val="none" w:sz="0" w:space="0" w:color="auto"/>
            <w:bottom w:val="none" w:sz="0" w:space="0" w:color="auto"/>
            <w:right w:val="none" w:sz="0" w:space="0" w:color="auto"/>
          </w:divBdr>
        </w:div>
      </w:divsChild>
    </w:div>
    <w:div w:id="1715957940">
      <w:marLeft w:val="0"/>
      <w:marRight w:val="0"/>
      <w:marTop w:val="0"/>
      <w:marBottom w:val="0"/>
      <w:divBdr>
        <w:top w:val="none" w:sz="0" w:space="0" w:color="auto"/>
        <w:left w:val="none" w:sz="0" w:space="0" w:color="auto"/>
        <w:bottom w:val="none" w:sz="0" w:space="0" w:color="auto"/>
        <w:right w:val="none" w:sz="0" w:space="0" w:color="auto"/>
      </w:divBdr>
      <w:divsChild>
        <w:div w:id="1546025305">
          <w:marLeft w:val="0"/>
          <w:marRight w:val="0"/>
          <w:marTop w:val="0"/>
          <w:marBottom w:val="0"/>
          <w:divBdr>
            <w:top w:val="none" w:sz="0" w:space="0" w:color="auto"/>
            <w:left w:val="none" w:sz="0" w:space="0" w:color="auto"/>
            <w:bottom w:val="none" w:sz="0" w:space="0" w:color="auto"/>
            <w:right w:val="none" w:sz="0" w:space="0" w:color="auto"/>
          </w:divBdr>
        </w:div>
      </w:divsChild>
    </w:div>
    <w:div w:id="1717968130">
      <w:marLeft w:val="0"/>
      <w:marRight w:val="0"/>
      <w:marTop w:val="0"/>
      <w:marBottom w:val="120"/>
      <w:divBdr>
        <w:top w:val="none" w:sz="0" w:space="0" w:color="auto"/>
        <w:left w:val="none" w:sz="0" w:space="0" w:color="auto"/>
        <w:bottom w:val="none" w:sz="0" w:space="0" w:color="auto"/>
        <w:right w:val="none" w:sz="0" w:space="0" w:color="auto"/>
      </w:divBdr>
      <w:divsChild>
        <w:div w:id="436753146">
          <w:marLeft w:val="0"/>
          <w:marRight w:val="0"/>
          <w:marTop w:val="0"/>
          <w:marBottom w:val="0"/>
          <w:divBdr>
            <w:top w:val="none" w:sz="0" w:space="0" w:color="auto"/>
            <w:left w:val="none" w:sz="0" w:space="0" w:color="auto"/>
            <w:bottom w:val="none" w:sz="0" w:space="0" w:color="auto"/>
            <w:right w:val="none" w:sz="0" w:space="0" w:color="auto"/>
          </w:divBdr>
        </w:div>
      </w:divsChild>
    </w:div>
    <w:div w:id="1721899663">
      <w:marLeft w:val="0"/>
      <w:marRight w:val="0"/>
      <w:marTop w:val="0"/>
      <w:marBottom w:val="0"/>
      <w:divBdr>
        <w:top w:val="none" w:sz="0" w:space="0" w:color="auto"/>
        <w:left w:val="none" w:sz="0" w:space="0" w:color="auto"/>
        <w:bottom w:val="none" w:sz="0" w:space="0" w:color="auto"/>
        <w:right w:val="none" w:sz="0" w:space="0" w:color="auto"/>
      </w:divBdr>
      <w:divsChild>
        <w:div w:id="1318218872">
          <w:marLeft w:val="0"/>
          <w:marRight w:val="0"/>
          <w:marTop w:val="0"/>
          <w:marBottom w:val="0"/>
          <w:divBdr>
            <w:top w:val="none" w:sz="0" w:space="0" w:color="auto"/>
            <w:left w:val="none" w:sz="0" w:space="0" w:color="auto"/>
            <w:bottom w:val="none" w:sz="0" w:space="0" w:color="auto"/>
            <w:right w:val="none" w:sz="0" w:space="0" w:color="auto"/>
          </w:divBdr>
        </w:div>
      </w:divsChild>
    </w:div>
    <w:div w:id="1724056836">
      <w:marLeft w:val="0"/>
      <w:marRight w:val="0"/>
      <w:marTop w:val="0"/>
      <w:marBottom w:val="120"/>
      <w:divBdr>
        <w:top w:val="none" w:sz="0" w:space="0" w:color="auto"/>
        <w:left w:val="none" w:sz="0" w:space="0" w:color="auto"/>
        <w:bottom w:val="none" w:sz="0" w:space="0" w:color="auto"/>
        <w:right w:val="none" w:sz="0" w:space="0" w:color="auto"/>
      </w:divBdr>
      <w:divsChild>
        <w:div w:id="587933175">
          <w:marLeft w:val="0"/>
          <w:marRight w:val="0"/>
          <w:marTop w:val="0"/>
          <w:marBottom w:val="0"/>
          <w:divBdr>
            <w:top w:val="none" w:sz="0" w:space="0" w:color="auto"/>
            <w:left w:val="none" w:sz="0" w:space="0" w:color="auto"/>
            <w:bottom w:val="none" w:sz="0" w:space="0" w:color="auto"/>
            <w:right w:val="none" w:sz="0" w:space="0" w:color="auto"/>
          </w:divBdr>
        </w:div>
        <w:div w:id="187767224">
          <w:marLeft w:val="0"/>
          <w:marRight w:val="0"/>
          <w:marTop w:val="0"/>
          <w:marBottom w:val="0"/>
          <w:divBdr>
            <w:top w:val="none" w:sz="0" w:space="0" w:color="auto"/>
            <w:left w:val="none" w:sz="0" w:space="0" w:color="auto"/>
            <w:bottom w:val="none" w:sz="0" w:space="0" w:color="auto"/>
            <w:right w:val="none" w:sz="0" w:space="0" w:color="auto"/>
          </w:divBdr>
        </w:div>
        <w:div w:id="1155222015">
          <w:marLeft w:val="0"/>
          <w:marRight w:val="0"/>
          <w:marTop w:val="0"/>
          <w:marBottom w:val="0"/>
          <w:divBdr>
            <w:top w:val="none" w:sz="0" w:space="0" w:color="auto"/>
            <w:left w:val="none" w:sz="0" w:space="0" w:color="auto"/>
            <w:bottom w:val="none" w:sz="0" w:space="0" w:color="auto"/>
            <w:right w:val="none" w:sz="0" w:space="0" w:color="auto"/>
          </w:divBdr>
        </w:div>
        <w:div w:id="1286160974">
          <w:marLeft w:val="0"/>
          <w:marRight w:val="0"/>
          <w:marTop w:val="0"/>
          <w:marBottom w:val="0"/>
          <w:divBdr>
            <w:top w:val="none" w:sz="0" w:space="0" w:color="auto"/>
            <w:left w:val="none" w:sz="0" w:space="0" w:color="auto"/>
            <w:bottom w:val="none" w:sz="0" w:space="0" w:color="auto"/>
            <w:right w:val="none" w:sz="0" w:space="0" w:color="auto"/>
          </w:divBdr>
        </w:div>
        <w:div w:id="1070544951">
          <w:marLeft w:val="0"/>
          <w:marRight w:val="0"/>
          <w:marTop w:val="0"/>
          <w:marBottom w:val="0"/>
          <w:divBdr>
            <w:top w:val="none" w:sz="0" w:space="0" w:color="auto"/>
            <w:left w:val="none" w:sz="0" w:space="0" w:color="auto"/>
            <w:bottom w:val="none" w:sz="0" w:space="0" w:color="auto"/>
            <w:right w:val="none" w:sz="0" w:space="0" w:color="auto"/>
          </w:divBdr>
        </w:div>
        <w:div w:id="710768807">
          <w:marLeft w:val="0"/>
          <w:marRight w:val="0"/>
          <w:marTop w:val="0"/>
          <w:marBottom w:val="0"/>
          <w:divBdr>
            <w:top w:val="none" w:sz="0" w:space="0" w:color="auto"/>
            <w:left w:val="none" w:sz="0" w:space="0" w:color="auto"/>
            <w:bottom w:val="none" w:sz="0" w:space="0" w:color="auto"/>
            <w:right w:val="none" w:sz="0" w:space="0" w:color="auto"/>
          </w:divBdr>
        </w:div>
        <w:div w:id="1316180201">
          <w:marLeft w:val="0"/>
          <w:marRight w:val="0"/>
          <w:marTop w:val="0"/>
          <w:marBottom w:val="0"/>
          <w:divBdr>
            <w:top w:val="none" w:sz="0" w:space="0" w:color="auto"/>
            <w:left w:val="none" w:sz="0" w:space="0" w:color="auto"/>
            <w:bottom w:val="none" w:sz="0" w:space="0" w:color="auto"/>
            <w:right w:val="none" w:sz="0" w:space="0" w:color="auto"/>
          </w:divBdr>
        </w:div>
        <w:div w:id="690423544">
          <w:marLeft w:val="0"/>
          <w:marRight w:val="0"/>
          <w:marTop w:val="0"/>
          <w:marBottom w:val="0"/>
          <w:divBdr>
            <w:top w:val="none" w:sz="0" w:space="0" w:color="auto"/>
            <w:left w:val="none" w:sz="0" w:space="0" w:color="auto"/>
            <w:bottom w:val="none" w:sz="0" w:space="0" w:color="auto"/>
            <w:right w:val="none" w:sz="0" w:space="0" w:color="auto"/>
          </w:divBdr>
        </w:div>
        <w:div w:id="1579051526">
          <w:marLeft w:val="0"/>
          <w:marRight w:val="0"/>
          <w:marTop w:val="0"/>
          <w:marBottom w:val="0"/>
          <w:divBdr>
            <w:top w:val="none" w:sz="0" w:space="0" w:color="auto"/>
            <w:left w:val="none" w:sz="0" w:space="0" w:color="auto"/>
            <w:bottom w:val="none" w:sz="0" w:space="0" w:color="auto"/>
            <w:right w:val="none" w:sz="0" w:space="0" w:color="auto"/>
          </w:divBdr>
        </w:div>
        <w:div w:id="458111587">
          <w:marLeft w:val="0"/>
          <w:marRight w:val="0"/>
          <w:marTop w:val="0"/>
          <w:marBottom w:val="0"/>
          <w:divBdr>
            <w:top w:val="none" w:sz="0" w:space="0" w:color="auto"/>
            <w:left w:val="none" w:sz="0" w:space="0" w:color="auto"/>
            <w:bottom w:val="none" w:sz="0" w:space="0" w:color="auto"/>
            <w:right w:val="none" w:sz="0" w:space="0" w:color="auto"/>
          </w:divBdr>
        </w:div>
        <w:div w:id="1869247165">
          <w:marLeft w:val="0"/>
          <w:marRight w:val="0"/>
          <w:marTop w:val="0"/>
          <w:marBottom w:val="0"/>
          <w:divBdr>
            <w:top w:val="none" w:sz="0" w:space="0" w:color="auto"/>
            <w:left w:val="none" w:sz="0" w:space="0" w:color="auto"/>
            <w:bottom w:val="none" w:sz="0" w:space="0" w:color="auto"/>
            <w:right w:val="none" w:sz="0" w:space="0" w:color="auto"/>
          </w:divBdr>
        </w:div>
        <w:div w:id="1789742842">
          <w:marLeft w:val="0"/>
          <w:marRight w:val="0"/>
          <w:marTop w:val="0"/>
          <w:marBottom w:val="0"/>
          <w:divBdr>
            <w:top w:val="none" w:sz="0" w:space="0" w:color="auto"/>
            <w:left w:val="none" w:sz="0" w:space="0" w:color="auto"/>
            <w:bottom w:val="none" w:sz="0" w:space="0" w:color="auto"/>
            <w:right w:val="none" w:sz="0" w:space="0" w:color="auto"/>
          </w:divBdr>
        </w:div>
        <w:div w:id="1612662054">
          <w:marLeft w:val="0"/>
          <w:marRight w:val="0"/>
          <w:marTop w:val="0"/>
          <w:marBottom w:val="0"/>
          <w:divBdr>
            <w:top w:val="none" w:sz="0" w:space="0" w:color="auto"/>
            <w:left w:val="none" w:sz="0" w:space="0" w:color="auto"/>
            <w:bottom w:val="none" w:sz="0" w:space="0" w:color="auto"/>
            <w:right w:val="none" w:sz="0" w:space="0" w:color="auto"/>
          </w:divBdr>
        </w:div>
        <w:div w:id="1867593111">
          <w:marLeft w:val="0"/>
          <w:marRight w:val="0"/>
          <w:marTop w:val="0"/>
          <w:marBottom w:val="0"/>
          <w:divBdr>
            <w:top w:val="none" w:sz="0" w:space="0" w:color="auto"/>
            <w:left w:val="none" w:sz="0" w:space="0" w:color="auto"/>
            <w:bottom w:val="none" w:sz="0" w:space="0" w:color="auto"/>
            <w:right w:val="none" w:sz="0" w:space="0" w:color="auto"/>
          </w:divBdr>
        </w:div>
        <w:div w:id="1879316715">
          <w:marLeft w:val="0"/>
          <w:marRight w:val="0"/>
          <w:marTop w:val="0"/>
          <w:marBottom w:val="0"/>
          <w:divBdr>
            <w:top w:val="none" w:sz="0" w:space="0" w:color="auto"/>
            <w:left w:val="none" w:sz="0" w:space="0" w:color="auto"/>
            <w:bottom w:val="none" w:sz="0" w:space="0" w:color="auto"/>
            <w:right w:val="none" w:sz="0" w:space="0" w:color="auto"/>
          </w:divBdr>
        </w:div>
        <w:div w:id="2025815481">
          <w:marLeft w:val="0"/>
          <w:marRight w:val="0"/>
          <w:marTop w:val="0"/>
          <w:marBottom w:val="0"/>
          <w:divBdr>
            <w:top w:val="none" w:sz="0" w:space="0" w:color="auto"/>
            <w:left w:val="none" w:sz="0" w:space="0" w:color="auto"/>
            <w:bottom w:val="none" w:sz="0" w:space="0" w:color="auto"/>
            <w:right w:val="none" w:sz="0" w:space="0" w:color="auto"/>
          </w:divBdr>
        </w:div>
        <w:div w:id="1538811807">
          <w:marLeft w:val="0"/>
          <w:marRight w:val="0"/>
          <w:marTop w:val="0"/>
          <w:marBottom w:val="0"/>
          <w:divBdr>
            <w:top w:val="none" w:sz="0" w:space="0" w:color="auto"/>
            <w:left w:val="none" w:sz="0" w:space="0" w:color="auto"/>
            <w:bottom w:val="none" w:sz="0" w:space="0" w:color="auto"/>
            <w:right w:val="none" w:sz="0" w:space="0" w:color="auto"/>
          </w:divBdr>
        </w:div>
        <w:div w:id="1429154060">
          <w:marLeft w:val="0"/>
          <w:marRight w:val="0"/>
          <w:marTop w:val="0"/>
          <w:marBottom w:val="0"/>
          <w:divBdr>
            <w:top w:val="none" w:sz="0" w:space="0" w:color="auto"/>
            <w:left w:val="none" w:sz="0" w:space="0" w:color="auto"/>
            <w:bottom w:val="none" w:sz="0" w:space="0" w:color="auto"/>
            <w:right w:val="none" w:sz="0" w:space="0" w:color="auto"/>
          </w:divBdr>
        </w:div>
        <w:div w:id="1292320503">
          <w:marLeft w:val="0"/>
          <w:marRight w:val="0"/>
          <w:marTop w:val="0"/>
          <w:marBottom w:val="0"/>
          <w:divBdr>
            <w:top w:val="none" w:sz="0" w:space="0" w:color="auto"/>
            <w:left w:val="none" w:sz="0" w:space="0" w:color="auto"/>
            <w:bottom w:val="none" w:sz="0" w:space="0" w:color="auto"/>
            <w:right w:val="none" w:sz="0" w:space="0" w:color="auto"/>
          </w:divBdr>
        </w:div>
        <w:div w:id="561867851">
          <w:marLeft w:val="0"/>
          <w:marRight w:val="0"/>
          <w:marTop w:val="0"/>
          <w:marBottom w:val="0"/>
          <w:divBdr>
            <w:top w:val="none" w:sz="0" w:space="0" w:color="auto"/>
            <w:left w:val="none" w:sz="0" w:space="0" w:color="auto"/>
            <w:bottom w:val="none" w:sz="0" w:space="0" w:color="auto"/>
            <w:right w:val="none" w:sz="0" w:space="0" w:color="auto"/>
          </w:divBdr>
        </w:div>
        <w:div w:id="748962364">
          <w:marLeft w:val="0"/>
          <w:marRight w:val="0"/>
          <w:marTop w:val="0"/>
          <w:marBottom w:val="0"/>
          <w:divBdr>
            <w:top w:val="none" w:sz="0" w:space="0" w:color="auto"/>
            <w:left w:val="none" w:sz="0" w:space="0" w:color="auto"/>
            <w:bottom w:val="none" w:sz="0" w:space="0" w:color="auto"/>
            <w:right w:val="none" w:sz="0" w:space="0" w:color="auto"/>
          </w:divBdr>
        </w:div>
        <w:div w:id="331028146">
          <w:marLeft w:val="0"/>
          <w:marRight w:val="0"/>
          <w:marTop w:val="0"/>
          <w:marBottom w:val="0"/>
          <w:divBdr>
            <w:top w:val="none" w:sz="0" w:space="0" w:color="auto"/>
            <w:left w:val="none" w:sz="0" w:space="0" w:color="auto"/>
            <w:bottom w:val="none" w:sz="0" w:space="0" w:color="auto"/>
            <w:right w:val="none" w:sz="0" w:space="0" w:color="auto"/>
          </w:divBdr>
        </w:div>
        <w:div w:id="848525217">
          <w:marLeft w:val="0"/>
          <w:marRight w:val="0"/>
          <w:marTop w:val="0"/>
          <w:marBottom w:val="0"/>
          <w:divBdr>
            <w:top w:val="none" w:sz="0" w:space="0" w:color="auto"/>
            <w:left w:val="none" w:sz="0" w:space="0" w:color="auto"/>
            <w:bottom w:val="none" w:sz="0" w:space="0" w:color="auto"/>
            <w:right w:val="none" w:sz="0" w:space="0" w:color="auto"/>
          </w:divBdr>
        </w:div>
        <w:div w:id="113066099">
          <w:marLeft w:val="0"/>
          <w:marRight w:val="0"/>
          <w:marTop w:val="0"/>
          <w:marBottom w:val="0"/>
          <w:divBdr>
            <w:top w:val="none" w:sz="0" w:space="0" w:color="auto"/>
            <w:left w:val="none" w:sz="0" w:space="0" w:color="auto"/>
            <w:bottom w:val="none" w:sz="0" w:space="0" w:color="auto"/>
            <w:right w:val="none" w:sz="0" w:space="0" w:color="auto"/>
          </w:divBdr>
        </w:div>
        <w:div w:id="629438735">
          <w:marLeft w:val="0"/>
          <w:marRight w:val="0"/>
          <w:marTop w:val="0"/>
          <w:marBottom w:val="0"/>
          <w:divBdr>
            <w:top w:val="none" w:sz="0" w:space="0" w:color="auto"/>
            <w:left w:val="none" w:sz="0" w:space="0" w:color="auto"/>
            <w:bottom w:val="none" w:sz="0" w:space="0" w:color="auto"/>
            <w:right w:val="none" w:sz="0" w:space="0" w:color="auto"/>
          </w:divBdr>
        </w:div>
        <w:div w:id="1866821867">
          <w:marLeft w:val="0"/>
          <w:marRight w:val="0"/>
          <w:marTop w:val="0"/>
          <w:marBottom w:val="0"/>
          <w:divBdr>
            <w:top w:val="none" w:sz="0" w:space="0" w:color="auto"/>
            <w:left w:val="none" w:sz="0" w:space="0" w:color="auto"/>
            <w:bottom w:val="none" w:sz="0" w:space="0" w:color="auto"/>
            <w:right w:val="none" w:sz="0" w:space="0" w:color="auto"/>
          </w:divBdr>
        </w:div>
        <w:div w:id="360668638">
          <w:marLeft w:val="0"/>
          <w:marRight w:val="0"/>
          <w:marTop w:val="0"/>
          <w:marBottom w:val="0"/>
          <w:divBdr>
            <w:top w:val="none" w:sz="0" w:space="0" w:color="auto"/>
            <w:left w:val="none" w:sz="0" w:space="0" w:color="auto"/>
            <w:bottom w:val="none" w:sz="0" w:space="0" w:color="auto"/>
            <w:right w:val="none" w:sz="0" w:space="0" w:color="auto"/>
          </w:divBdr>
        </w:div>
        <w:div w:id="954824748">
          <w:marLeft w:val="0"/>
          <w:marRight w:val="0"/>
          <w:marTop w:val="0"/>
          <w:marBottom w:val="0"/>
          <w:divBdr>
            <w:top w:val="none" w:sz="0" w:space="0" w:color="auto"/>
            <w:left w:val="none" w:sz="0" w:space="0" w:color="auto"/>
            <w:bottom w:val="none" w:sz="0" w:space="0" w:color="auto"/>
            <w:right w:val="none" w:sz="0" w:space="0" w:color="auto"/>
          </w:divBdr>
        </w:div>
        <w:div w:id="1687512669">
          <w:marLeft w:val="0"/>
          <w:marRight w:val="0"/>
          <w:marTop w:val="0"/>
          <w:marBottom w:val="0"/>
          <w:divBdr>
            <w:top w:val="none" w:sz="0" w:space="0" w:color="auto"/>
            <w:left w:val="none" w:sz="0" w:space="0" w:color="auto"/>
            <w:bottom w:val="none" w:sz="0" w:space="0" w:color="auto"/>
            <w:right w:val="none" w:sz="0" w:space="0" w:color="auto"/>
          </w:divBdr>
        </w:div>
        <w:div w:id="349454583">
          <w:marLeft w:val="0"/>
          <w:marRight w:val="0"/>
          <w:marTop w:val="0"/>
          <w:marBottom w:val="0"/>
          <w:divBdr>
            <w:top w:val="none" w:sz="0" w:space="0" w:color="auto"/>
            <w:left w:val="none" w:sz="0" w:space="0" w:color="auto"/>
            <w:bottom w:val="none" w:sz="0" w:space="0" w:color="auto"/>
            <w:right w:val="none" w:sz="0" w:space="0" w:color="auto"/>
          </w:divBdr>
        </w:div>
        <w:div w:id="1467158458">
          <w:marLeft w:val="0"/>
          <w:marRight w:val="0"/>
          <w:marTop w:val="0"/>
          <w:marBottom w:val="0"/>
          <w:divBdr>
            <w:top w:val="none" w:sz="0" w:space="0" w:color="auto"/>
            <w:left w:val="none" w:sz="0" w:space="0" w:color="auto"/>
            <w:bottom w:val="none" w:sz="0" w:space="0" w:color="auto"/>
            <w:right w:val="none" w:sz="0" w:space="0" w:color="auto"/>
          </w:divBdr>
        </w:div>
        <w:div w:id="1411736494">
          <w:marLeft w:val="0"/>
          <w:marRight w:val="0"/>
          <w:marTop w:val="0"/>
          <w:marBottom w:val="0"/>
          <w:divBdr>
            <w:top w:val="none" w:sz="0" w:space="0" w:color="auto"/>
            <w:left w:val="none" w:sz="0" w:space="0" w:color="auto"/>
            <w:bottom w:val="none" w:sz="0" w:space="0" w:color="auto"/>
            <w:right w:val="none" w:sz="0" w:space="0" w:color="auto"/>
          </w:divBdr>
        </w:div>
        <w:div w:id="693580840">
          <w:marLeft w:val="0"/>
          <w:marRight w:val="0"/>
          <w:marTop w:val="0"/>
          <w:marBottom w:val="0"/>
          <w:divBdr>
            <w:top w:val="none" w:sz="0" w:space="0" w:color="auto"/>
            <w:left w:val="none" w:sz="0" w:space="0" w:color="auto"/>
            <w:bottom w:val="none" w:sz="0" w:space="0" w:color="auto"/>
            <w:right w:val="none" w:sz="0" w:space="0" w:color="auto"/>
          </w:divBdr>
        </w:div>
        <w:div w:id="1873033153">
          <w:marLeft w:val="0"/>
          <w:marRight w:val="0"/>
          <w:marTop w:val="0"/>
          <w:marBottom w:val="0"/>
          <w:divBdr>
            <w:top w:val="none" w:sz="0" w:space="0" w:color="auto"/>
            <w:left w:val="none" w:sz="0" w:space="0" w:color="auto"/>
            <w:bottom w:val="none" w:sz="0" w:space="0" w:color="auto"/>
            <w:right w:val="none" w:sz="0" w:space="0" w:color="auto"/>
          </w:divBdr>
        </w:div>
        <w:div w:id="2106531644">
          <w:marLeft w:val="0"/>
          <w:marRight w:val="0"/>
          <w:marTop w:val="0"/>
          <w:marBottom w:val="0"/>
          <w:divBdr>
            <w:top w:val="none" w:sz="0" w:space="0" w:color="auto"/>
            <w:left w:val="none" w:sz="0" w:space="0" w:color="auto"/>
            <w:bottom w:val="none" w:sz="0" w:space="0" w:color="auto"/>
            <w:right w:val="none" w:sz="0" w:space="0" w:color="auto"/>
          </w:divBdr>
        </w:div>
        <w:div w:id="1396927727">
          <w:marLeft w:val="0"/>
          <w:marRight w:val="0"/>
          <w:marTop w:val="0"/>
          <w:marBottom w:val="0"/>
          <w:divBdr>
            <w:top w:val="none" w:sz="0" w:space="0" w:color="auto"/>
            <w:left w:val="none" w:sz="0" w:space="0" w:color="auto"/>
            <w:bottom w:val="none" w:sz="0" w:space="0" w:color="auto"/>
            <w:right w:val="none" w:sz="0" w:space="0" w:color="auto"/>
          </w:divBdr>
        </w:div>
        <w:div w:id="595871429">
          <w:marLeft w:val="0"/>
          <w:marRight w:val="0"/>
          <w:marTop w:val="0"/>
          <w:marBottom w:val="0"/>
          <w:divBdr>
            <w:top w:val="none" w:sz="0" w:space="0" w:color="auto"/>
            <w:left w:val="none" w:sz="0" w:space="0" w:color="auto"/>
            <w:bottom w:val="none" w:sz="0" w:space="0" w:color="auto"/>
            <w:right w:val="none" w:sz="0" w:space="0" w:color="auto"/>
          </w:divBdr>
        </w:div>
        <w:div w:id="2109426641">
          <w:marLeft w:val="0"/>
          <w:marRight w:val="0"/>
          <w:marTop w:val="0"/>
          <w:marBottom w:val="0"/>
          <w:divBdr>
            <w:top w:val="none" w:sz="0" w:space="0" w:color="auto"/>
            <w:left w:val="none" w:sz="0" w:space="0" w:color="auto"/>
            <w:bottom w:val="none" w:sz="0" w:space="0" w:color="auto"/>
            <w:right w:val="none" w:sz="0" w:space="0" w:color="auto"/>
          </w:divBdr>
        </w:div>
        <w:div w:id="740248562">
          <w:marLeft w:val="0"/>
          <w:marRight w:val="0"/>
          <w:marTop w:val="0"/>
          <w:marBottom w:val="0"/>
          <w:divBdr>
            <w:top w:val="none" w:sz="0" w:space="0" w:color="auto"/>
            <w:left w:val="none" w:sz="0" w:space="0" w:color="auto"/>
            <w:bottom w:val="none" w:sz="0" w:space="0" w:color="auto"/>
            <w:right w:val="none" w:sz="0" w:space="0" w:color="auto"/>
          </w:divBdr>
        </w:div>
        <w:div w:id="855122764">
          <w:marLeft w:val="0"/>
          <w:marRight w:val="0"/>
          <w:marTop w:val="0"/>
          <w:marBottom w:val="0"/>
          <w:divBdr>
            <w:top w:val="none" w:sz="0" w:space="0" w:color="auto"/>
            <w:left w:val="none" w:sz="0" w:space="0" w:color="auto"/>
            <w:bottom w:val="none" w:sz="0" w:space="0" w:color="auto"/>
            <w:right w:val="none" w:sz="0" w:space="0" w:color="auto"/>
          </w:divBdr>
        </w:div>
        <w:div w:id="797069230">
          <w:marLeft w:val="0"/>
          <w:marRight w:val="0"/>
          <w:marTop w:val="0"/>
          <w:marBottom w:val="0"/>
          <w:divBdr>
            <w:top w:val="none" w:sz="0" w:space="0" w:color="auto"/>
            <w:left w:val="none" w:sz="0" w:space="0" w:color="auto"/>
            <w:bottom w:val="none" w:sz="0" w:space="0" w:color="auto"/>
            <w:right w:val="none" w:sz="0" w:space="0" w:color="auto"/>
          </w:divBdr>
        </w:div>
        <w:div w:id="1842622272">
          <w:marLeft w:val="0"/>
          <w:marRight w:val="0"/>
          <w:marTop w:val="0"/>
          <w:marBottom w:val="0"/>
          <w:divBdr>
            <w:top w:val="none" w:sz="0" w:space="0" w:color="auto"/>
            <w:left w:val="none" w:sz="0" w:space="0" w:color="auto"/>
            <w:bottom w:val="none" w:sz="0" w:space="0" w:color="auto"/>
            <w:right w:val="none" w:sz="0" w:space="0" w:color="auto"/>
          </w:divBdr>
        </w:div>
        <w:div w:id="775367585">
          <w:marLeft w:val="0"/>
          <w:marRight w:val="0"/>
          <w:marTop w:val="0"/>
          <w:marBottom w:val="0"/>
          <w:divBdr>
            <w:top w:val="none" w:sz="0" w:space="0" w:color="auto"/>
            <w:left w:val="none" w:sz="0" w:space="0" w:color="auto"/>
            <w:bottom w:val="none" w:sz="0" w:space="0" w:color="auto"/>
            <w:right w:val="none" w:sz="0" w:space="0" w:color="auto"/>
          </w:divBdr>
        </w:div>
        <w:div w:id="1170557685">
          <w:marLeft w:val="0"/>
          <w:marRight w:val="0"/>
          <w:marTop w:val="0"/>
          <w:marBottom w:val="0"/>
          <w:divBdr>
            <w:top w:val="none" w:sz="0" w:space="0" w:color="auto"/>
            <w:left w:val="none" w:sz="0" w:space="0" w:color="auto"/>
            <w:bottom w:val="none" w:sz="0" w:space="0" w:color="auto"/>
            <w:right w:val="none" w:sz="0" w:space="0" w:color="auto"/>
          </w:divBdr>
        </w:div>
        <w:div w:id="770248187">
          <w:marLeft w:val="0"/>
          <w:marRight w:val="0"/>
          <w:marTop w:val="0"/>
          <w:marBottom w:val="0"/>
          <w:divBdr>
            <w:top w:val="none" w:sz="0" w:space="0" w:color="auto"/>
            <w:left w:val="none" w:sz="0" w:space="0" w:color="auto"/>
            <w:bottom w:val="none" w:sz="0" w:space="0" w:color="auto"/>
            <w:right w:val="none" w:sz="0" w:space="0" w:color="auto"/>
          </w:divBdr>
        </w:div>
        <w:div w:id="1562593261">
          <w:marLeft w:val="0"/>
          <w:marRight w:val="0"/>
          <w:marTop w:val="0"/>
          <w:marBottom w:val="0"/>
          <w:divBdr>
            <w:top w:val="none" w:sz="0" w:space="0" w:color="auto"/>
            <w:left w:val="none" w:sz="0" w:space="0" w:color="auto"/>
            <w:bottom w:val="none" w:sz="0" w:space="0" w:color="auto"/>
            <w:right w:val="none" w:sz="0" w:space="0" w:color="auto"/>
          </w:divBdr>
        </w:div>
        <w:div w:id="1740177563">
          <w:marLeft w:val="0"/>
          <w:marRight w:val="0"/>
          <w:marTop w:val="0"/>
          <w:marBottom w:val="0"/>
          <w:divBdr>
            <w:top w:val="none" w:sz="0" w:space="0" w:color="auto"/>
            <w:left w:val="none" w:sz="0" w:space="0" w:color="auto"/>
            <w:bottom w:val="none" w:sz="0" w:space="0" w:color="auto"/>
            <w:right w:val="none" w:sz="0" w:space="0" w:color="auto"/>
          </w:divBdr>
        </w:div>
        <w:div w:id="798768916">
          <w:marLeft w:val="0"/>
          <w:marRight w:val="0"/>
          <w:marTop w:val="0"/>
          <w:marBottom w:val="0"/>
          <w:divBdr>
            <w:top w:val="none" w:sz="0" w:space="0" w:color="auto"/>
            <w:left w:val="none" w:sz="0" w:space="0" w:color="auto"/>
            <w:bottom w:val="none" w:sz="0" w:space="0" w:color="auto"/>
            <w:right w:val="none" w:sz="0" w:space="0" w:color="auto"/>
          </w:divBdr>
        </w:div>
      </w:divsChild>
    </w:div>
    <w:div w:id="1730416415">
      <w:marLeft w:val="0"/>
      <w:marRight w:val="0"/>
      <w:marTop w:val="0"/>
      <w:marBottom w:val="0"/>
      <w:divBdr>
        <w:top w:val="none" w:sz="0" w:space="0" w:color="auto"/>
        <w:left w:val="none" w:sz="0" w:space="0" w:color="auto"/>
        <w:bottom w:val="none" w:sz="0" w:space="0" w:color="auto"/>
        <w:right w:val="none" w:sz="0" w:space="0" w:color="auto"/>
      </w:divBdr>
    </w:div>
    <w:div w:id="1749573120">
      <w:marLeft w:val="0"/>
      <w:marRight w:val="0"/>
      <w:marTop w:val="0"/>
      <w:marBottom w:val="120"/>
      <w:divBdr>
        <w:top w:val="none" w:sz="0" w:space="0" w:color="auto"/>
        <w:left w:val="none" w:sz="0" w:space="0" w:color="auto"/>
        <w:bottom w:val="none" w:sz="0" w:space="0" w:color="auto"/>
        <w:right w:val="none" w:sz="0" w:space="0" w:color="auto"/>
      </w:divBdr>
    </w:div>
    <w:div w:id="1759905541">
      <w:marLeft w:val="0"/>
      <w:marRight w:val="0"/>
      <w:marTop w:val="0"/>
      <w:marBottom w:val="0"/>
      <w:divBdr>
        <w:top w:val="none" w:sz="0" w:space="0" w:color="auto"/>
        <w:left w:val="none" w:sz="0" w:space="0" w:color="auto"/>
        <w:bottom w:val="none" w:sz="0" w:space="0" w:color="auto"/>
        <w:right w:val="none" w:sz="0" w:space="0" w:color="auto"/>
      </w:divBdr>
    </w:div>
    <w:div w:id="1765876100">
      <w:marLeft w:val="0"/>
      <w:marRight w:val="0"/>
      <w:marTop w:val="0"/>
      <w:marBottom w:val="0"/>
      <w:divBdr>
        <w:top w:val="none" w:sz="0" w:space="0" w:color="auto"/>
        <w:left w:val="none" w:sz="0" w:space="0" w:color="auto"/>
        <w:bottom w:val="none" w:sz="0" w:space="0" w:color="auto"/>
        <w:right w:val="none" w:sz="0" w:space="0" w:color="auto"/>
      </w:divBdr>
    </w:div>
    <w:div w:id="1766223457">
      <w:marLeft w:val="0"/>
      <w:marRight w:val="0"/>
      <w:marTop w:val="0"/>
      <w:marBottom w:val="0"/>
      <w:divBdr>
        <w:top w:val="none" w:sz="0" w:space="0" w:color="auto"/>
        <w:left w:val="none" w:sz="0" w:space="0" w:color="auto"/>
        <w:bottom w:val="none" w:sz="0" w:space="0" w:color="auto"/>
        <w:right w:val="none" w:sz="0" w:space="0" w:color="auto"/>
      </w:divBdr>
    </w:div>
    <w:div w:id="1776319182">
      <w:marLeft w:val="0"/>
      <w:marRight w:val="0"/>
      <w:marTop w:val="0"/>
      <w:marBottom w:val="0"/>
      <w:divBdr>
        <w:top w:val="none" w:sz="0" w:space="0" w:color="auto"/>
        <w:left w:val="none" w:sz="0" w:space="0" w:color="auto"/>
        <w:bottom w:val="none" w:sz="0" w:space="0" w:color="auto"/>
        <w:right w:val="none" w:sz="0" w:space="0" w:color="auto"/>
      </w:divBdr>
    </w:div>
    <w:div w:id="1776516166">
      <w:marLeft w:val="0"/>
      <w:marRight w:val="0"/>
      <w:marTop w:val="0"/>
      <w:marBottom w:val="0"/>
      <w:divBdr>
        <w:top w:val="none" w:sz="0" w:space="0" w:color="auto"/>
        <w:left w:val="none" w:sz="0" w:space="0" w:color="auto"/>
        <w:bottom w:val="none" w:sz="0" w:space="0" w:color="auto"/>
        <w:right w:val="none" w:sz="0" w:space="0" w:color="auto"/>
      </w:divBdr>
    </w:div>
    <w:div w:id="1778215214">
      <w:marLeft w:val="0"/>
      <w:marRight w:val="0"/>
      <w:marTop w:val="0"/>
      <w:marBottom w:val="120"/>
      <w:divBdr>
        <w:top w:val="none" w:sz="0" w:space="0" w:color="auto"/>
        <w:left w:val="none" w:sz="0" w:space="0" w:color="auto"/>
        <w:bottom w:val="none" w:sz="0" w:space="0" w:color="auto"/>
        <w:right w:val="none" w:sz="0" w:space="0" w:color="auto"/>
      </w:divBdr>
    </w:div>
    <w:div w:id="1780947372">
      <w:marLeft w:val="0"/>
      <w:marRight w:val="0"/>
      <w:marTop w:val="0"/>
      <w:marBottom w:val="0"/>
      <w:divBdr>
        <w:top w:val="none" w:sz="0" w:space="0" w:color="auto"/>
        <w:left w:val="none" w:sz="0" w:space="0" w:color="auto"/>
        <w:bottom w:val="none" w:sz="0" w:space="0" w:color="auto"/>
        <w:right w:val="none" w:sz="0" w:space="0" w:color="auto"/>
      </w:divBdr>
    </w:div>
    <w:div w:id="1783066266">
      <w:marLeft w:val="0"/>
      <w:marRight w:val="0"/>
      <w:marTop w:val="0"/>
      <w:marBottom w:val="0"/>
      <w:divBdr>
        <w:top w:val="none" w:sz="0" w:space="0" w:color="auto"/>
        <w:left w:val="none" w:sz="0" w:space="0" w:color="auto"/>
        <w:bottom w:val="none" w:sz="0" w:space="0" w:color="auto"/>
        <w:right w:val="none" w:sz="0" w:space="0" w:color="auto"/>
      </w:divBdr>
    </w:div>
    <w:div w:id="1785735820">
      <w:marLeft w:val="0"/>
      <w:marRight w:val="0"/>
      <w:marTop w:val="0"/>
      <w:marBottom w:val="0"/>
      <w:divBdr>
        <w:top w:val="none" w:sz="0" w:space="0" w:color="auto"/>
        <w:left w:val="none" w:sz="0" w:space="0" w:color="auto"/>
        <w:bottom w:val="none" w:sz="0" w:space="0" w:color="auto"/>
        <w:right w:val="none" w:sz="0" w:space="0" w:color="auto"/>
      </w:divBdr>
    </w:div>
    <w:div w:id="1787314861">
      <w:marLeft w:val="0"/>
      <w:marRight w:val="0"/>
      <w:marTop w:val="0"/>
      <w:marBottom w:val="0"/>
      <w:divBdr>
        <w:top w:val="none" w:sz="0" w:space="0" w:color="auto"/>
        <w:left w:val="none" w:sz="0" w:space="0" w:color="auto"/>
        <w:bottom w:val="none" w:sz="0" w:space="0" w:color="auto"/>
        <w:right w:val="none" w:sz="0" w:space="0" w:color="auto"/>
      </w:divBdr>
      <w:divsChild>
        <w:div w:id="1575890646">
          <w:marLeft w:val="0"/>
          <w:marRight w:val="0"/>
          <w:marTop w:val="0"/>
          <w:marBottom w:val="0"/>
          <w:divBdr>
            <w:top w:val="none" w:sz="0" w:space="0" w:color="auto"/>
            <w:left w:val="none" w:sz="0" w:space="0" w:color="auto"/>
            <w:bottom w:val="none" w:sz="0" w:space="0" w:color="auto"/>
            <w:right w:val="none" w:sz="0" w:space="0" w:color="auto"/>
          </w:divBdr>
        </w:div>
      </w:divsChild>
    </w:div>
    <w:div w:id="1787700503">
      <w:marLeft w:val="0"/>
      <w:marRight w:val="0"/>
      <w:marTop w:val="0"/>
      <w:marBottom w:val="0"/>
      <w:divBdr>
        <w:top w:val="none" w:sz="0" w:space="0" w:color="auto"/>
        <w:left w:val="none" w:sz="0" w:space="0" w:color="auto"/>
        <w:bottom w:val="none" w:sz="0" w:space="0" w:color="auto"/>
        <w:right w:val="none" w:sz="0" w:space="0" w:color="auto"/>
      </w:divBdr>
    </w:div>
    <w:div w:id="1792632678">
      <w:marLeft w:val="0"/>
      <w:marRight w:val="0"/>
      <w:marTop w:val="0"/>
      <w:marBottom w:val="0"/>
      <w:divBdr>
        <w:top w:val="none" w:sz="0" w:space="0" w:color="auto"/>
        <w:left w:val="none" w:sz="0" w:space="0" w:color="auto"/>
        <w:bottom w:val="none" w:sz="0" w:space="0" w:color="auto"/>
        <w:right w:val="none" w:sz="0" w:space="0" w:color="auto"/>
      </w:divBdr>
      <w:divsChild>
        <w:div w:id="557714732">
          <w:marLeft w:val="0"/>
          <w:marRight w:val="0"/>
          <w:marTop w:val="0"/>
          <w:marBottom w:val="0"/>
          <w:divBdr>
            <w:top w:val="none" w:sz="0" w:space="0" w:color="auto"/>
            <w:left w:val="none" w:sz="0" w:space="0" w:color="auto"/>
            <w:bottom w:val="none" w:sz="0" w:space="0" w:color="auto"/>
            <w:right w:val="none" w:sz="0" w:space="0" w:color="auto"/>
          </w:divBdr>
        </w:div>
      </w:divsChild>
    </w:div>
    <w:div w:id="1793790156">
      <w:marLeft w:val="0"/>
      <w:marRight w:val="0"/>
      <w:marTop w:val="0"/>
      <w:marBottom w:val="0"/>
      <w:divBdr>
        <w:top w:val="none" w:sz="0" w:space="0" w:color="auto"/>
        <w:left w:val="none" w:sz="0" w:space="0" w:color="auto"/>
        <w:bottom w:val="none" w:sz="0" w:space="0" w:color="auto"/>
        <w:right w:val="none" w:sz="0" w:space="0" w:color="auto"/>
      </w:divBdr>
      <w:divsChild>
        <w:div w:id="276720537">
          <w:marLeft w:val="0"/>
          <w:marRight w:val="0"/>
          <w:marTop w:val="0"/>
          <w:marBottom w:val="0"/>
          <w:divBdr>
            <w:top w:val="none" w:sz="0" w:space="0" w:color="auto"/>
            <w:left w:val="none" w:sz="0" w:space="0" w:color="auto"/>
            <w:bottom w:val="none" w:sz="0" w:space="0" w:color="auto"/>
            <w:right w:val="none" w:sz="0" w:space="0" w:color="auto"/>
          </w:divBdr>
        </w:div>
      </w:divsChild>
    </w:div>
    <w:div w:id="1795904568">
      <w:marLeft w:val="0"/>
      <w:marRight w:val="0"/>
      <w:marTop w:val="0"/>
      <w:marBottom w:val="0"/>
      <w:divBdr>
        <w:top w:val="none" w:sz="0" w:space="0" w:color="auto"/>
        <w:left w:val="none" w:sz="0" w:space="0" w:color="auto"/>
        <w:bottom w:val="none" w:sz="0" w:space="0" w:color="auto"/>
        <w:right w:val="none" w:sz="0" w:space="0" w:color="auto"/>
      </w:divBdr>
    </w:div>
    <w:div w:id="1806508525">
      <w:marLeft w:val="0"/>
      <w:marRight w:val="0"/>
      <w:marTop w:val="0"/>
      <w:marBottom w:val="0"/>
      <w:divBdr>
        <w:top w:val="none" w:sz="0" w:space="0" w:color="auto"/>
        <w:left w:val="none" w:sz="0" w:space="0" w:color="auto"/>
        <w:bottom w:val="none" w:sz="0" w:space="0" w:color="auto"/>
        <w:right w:val="none" w:sz="0" w:space="0" w:color="auto"/>
      </w:divBdr>
    </w:div>
    <w:div w:id="1806701893">
      <w:marLeft w:val="0"/>
      <w:marRight w:val="0"/>
      <w:marTop w:val="0"/>
      <w:marBottom w:val="120"/>
      <w:divBdr>
        <w:top w:val="none" w:sz="0" w:space="0" w:color="auto"/>
        <w:left w:val="none" w:sz="0" w:space="0" w:color="auto"/>
        <w:bottom w:val="none" w:sz="0" w:space="0" w:color="auto"/>
        <w:right w:val="none" w:sz="0" w:space="0" w:color="auto"/>
      </w:divBdr>
    </w:div>
    <w:div w:id="1807043917">
      <w:marLeft w:val="0"/>
      <w:marRight w:val="0"/>
      <w:marTop w:val="0"/>
      <w:marBottom w:val="0"/>
      <w:divBdr>
        <w:top w:val="none" w:sz="0" w:space="0" w:color="auto"/>
        <w:left w:val="none" w:sz="0" w:space="0" w:color="auto"/>
        <w:bottom w:val="none" w:sz="0" w:space="0" w:color="auto"/>
        <w:right w:val="none" w:sz="0" w:space="0" w:color="auto"/>
      </w:divBdr>
      <w:divsChild>
        <w:div w:id="1167088245">
          <w:marLeft w:val="0"/>
          <w:marRight w:val="0"/>
          <w:marTop w:val="0"/>
          <w:marBottom w:val="0"/>
          <w:divBdr>
            <w:top w:val="none" w:sz="0" w:space="0" w:color="auto"/>
            <w:left w:val="none" w:sz="0" w:space="0" w:color="auto"/>
            <w:bottom w:val="none" w:sz="0" w:space="0" w:color="auto"/>
            <w:right w:val="none" w:sz="0" w:space="0" w:color="auto"/>
          </w:divBdr>
        </w:div>
      </w:divsChild>
    </w:div>
    <w:div w:id="1807162122">
      <w:marLeft w:val="0"/>
      <w:marRight w:val="0"/>
      <w:marTop w:val="0"/>
      <w:marBottom w:val="0"/>
      <w:divBdr>
        <w:top w:val="none" w:sz="0" w:space="0" w:color="auto"/>
        <w:left w:val="none" w:sz="0" w:space="0" w:color="auto"/>
        <w:bottom w:val="none" w:sz="0" w:space="0" w:color="auto"/>
        <w:right w:val="none" w:sz="0" w:space="0" w:color="auto"/>
      </w:divBdr>
    </w:div>
    <w:div w:id="1810054204">
      <w:marLeft w:val="0"/>
      <w:marRight w:val="0"/>
      <w:marTop w:val="0"/>
      <w:marBottom w:val="0"/>
      <w:divBdr>
        <w:top w:val="none" w:sz="0" w:space="0" w:color="auto"/>
        <w:left w:val="none" w:sz="0" w:space="0" w:color="auto"/>
        <w:bottom w:val="none" w:sz="0" w:space="0" w:color="auto"/>
        <w:right w:val="none" w:sz="0" w:space="0" w:color="auto"/>
      </w:divBdr>
    </w:div>
    <w:div w:id="1813521767">
      <w:marLeft w:val="0"/>
      <w:marRight w:val="0"/>
      <w:marTop w:val="0"/>
      <w:marBottom w:val="0"/>
      <w:divBdr>
        <w:top w:val="none" w:sz="0" w:space="0" w:color="auto"/>
        <w:left w:val="none" w:sz="0" w:space="0" w:color="auto"/>
        <w:bottom w:val="none" w:sz="0" w:space="0" w:color="auto"/>
        <w:right w:val="none" w:sz="0" w:space="0" w:color="auto"/>
      </w:divBdr>
      <w:divsChild>
        <w:div w:id="1263952172">
          <w:marLeft w:val="0"/>
          <w:marRight w:val="0"/>
          <w:marTop w:val="0"/>
          <w:marBottom w:val="0"/>
          <w:divBdr>
            <w:top w:val="none" w:sz="0" w:space="0" w:color="auto"/>
            <w:left w:val="none" w:sz="0" w:space="0" w:color="auto"/>
            <w:bottom w:val="none" w:sz="0" w:space="0" w:color="auto"/>
            <w:right w:val="none" w:sz="0" w:space="0" w:color="auto"/>
          </w:divBdr>
        </w:div>
      </w:divsChild>
    </w:div>
    <w:div w:id="1814717443">
      <w:marLeft w:val="0"/>
      <w:marRight w:val="0"/>
      <w:marTop w:val="0"/>
      <w:marBottom w:val="0"/>
      <w:divBdr>
        <w:top w:val="none" w:sz="0" w:space="0" w:color="auto"/>
        <w:left w:val="none" w:sz="0" w:space="0" w:color="auto"/>
        <w:bottom w:val="none" w:sz="0" w:space="0" w:color="auto"/>
        <w:right w:val="none" w:sz="0" w:space="0" w:color="auto"/>
      </w:divBdr>
    </w:div>
    <w:div w:id="1815414226">
      <w:marLeft w:val="0"/>
      <w:marRight w:val="0"/>
      <w:marTop w:val="0"/>
      <w:marBottom w:val="0"/>
      <w:divBdr>
        <w:top w:val="none" w:sz="0" w:space="0" w:color="auto"/>
        <w:left w:val="none" w:sz="0" w:space="0" w:color="auto"/>
        <w:bottom w:val="none" w:sz="0" w:space="0" w:color="auto"/>
        <w:right w:val="none" w:sz="0" w:space="0" w:color="auto"/>
      </w:divBdr>
    </w:div>
    <w:div w:id="1815760040">
      <w:marLeft w:val="0"/>
      <w:marRight w:val="0"/>
      <w:marTop w:val="0"/>
      <w:marBottom w:val="0"/>
      <w:divBdr>
        <w:top w:val="none" w:sz="0" w:space="0" w:color="auto"/>
        <w:left w:val="none" w:sz="0" w:space="0" w:color="auto"/>
        <w:bottom w:val="none" w:sz="0" w:space="0" w:color="auto"/>
        <w:right w:val="none" w:sz="0" w:space="0" w:color="auto"/>
      </w:divBdr>
    </w:div>
    <w:div w:id="1818568664">
      <w:marLeft w:val="0"/>
      <w:marRight w:val="0"/>
      <w:marTop w:val="0"/>
      <w:marBottom w:val="120"/>
      <w:divBdr>
        <w:top w:val="none" w:sz="0" w:space="0" w:color="auto"/>
        <w:left w:val="none" w:sz="0" w:space="0" w:color="auto"/>
        <w:bottom w:val="none" w:sz="0" w:space="0" w:color="auto"/>
        <w:right w:val="none" w:sz="0" w:space="0" w:color="auto"/>
      </w:divBdr>
      <w:divsChild>
        <w:div w:id="524832874">
          <w:marLeft w:val="0"/>
          <w:marRight w:val="0"/>
          <w:marTop w:val="0"/>
          <w:marBottom w:val="0"/>
          <w:divBdr>
            <w:top w:val="none" w:sz="0" w:space="0" w:color="auto"/>
            <w:left w:val="none" w:sz="0" w:space="0" w:color="auto"/>
            <w:bottom w:val="none" w:sz="0" w:space="0" w:color="auto"/>
            <w:right w:val="none" w:sz="0" w:space="0" w:color="auto"/>
          </w:divBdr>
        </w:div>
      </w:divsChild>
    </w:div>
    <w:div w:id="1821311356">
      <w:marLeft w:val="0"/>
      <w:marRight w:val="0"/>
      <w:marTop w:val="0"/>
      <w:marBottom w:val="120"/>
      <w:divBdr>
        <w:top w:val="none" w:sz="0" w:space="0" w:color="auto"/>
        <w:left w:val="none" w:sz="0" w:space="0" w:color="auto"/>
        <w:bottom w:val="none" w:sz="0" w:space="0" w:color="auto"/>
        <w:right w:val="none" w:sz="0" w:space="0" w:color="auto"/>
      </w:divBdr>
    </w:div>
    <w:div w:id="1824856748">
      <w:marLeft w:val="0"/>
      <w:marRight w:val="0"/>
      <w:marTop w:val="0"/>
      <w:marBottom w:val="0"/>
      <w:divBdr>
        <w:top w:val="none" w:sz="0" w:space="0" w:color="auto"/>
        <w:left w:val="none" w:sz="0" w:space="0" w:color="auto"/>
        <w:bottom w:val="none" w:sz="0" w:space="0" w:color="auto"/>
        <w:right w:val="none" w:sz="0" w:space="0" w:color="auto"/>
      </w:divBdr>
      <w:divsChild>
        <w:div w:id="1173374136">
          <w:marLeft w:val="0"/>
          <w:marRight w:val="0"/>
          <w:marTop w:val="0"/>
          <w:marBottom w:val="0"/>
          <w:divBdr>
            <w:top w:val="none" w:sz="0" w:space="0" w:color="auto"/>
            <w:left w:val="none" w:sz="0" w:space="0" w:color="auto"/>
            <w:bottom w:val="none" w:sz="0" w:space="0" w:color="auto"/>
            <w:right w:val="none" w:sz="0" w:space="0" w:color="auto"/>
          </w:divBdr>
        </w:div>
      </w:divsChild>
    </w:div>
    <w:div w:id="1827893888">
      <w:marLeft w:val="0"/>
      <w:marRight w:val="0"/>
      <w:marTop w:val="0"/>
      <w:marBottom w:val="0"/>
      <w:divBdr>
        <w:top w:val="none" w:sz="0" w:space="0" w:color="auto"/>
        <w:left w:val="none" w:sz="0" w:space="0" w:color="auto"/>
        <w:bottom w:val="none" w:sz="0" w:space="0" w:color="auto"/>
        <w:right w:val="none" w:sz="0" w:space="0" w:color="auto"/>
      </w:divBdr>
    </w:div>
    <w:div w:id="1834181616">
      <w:marLeft w:val="0"/>
      <w:marRight w:val="0"/>
      <w:marTop w:val="0"/>
      <w:marBottom w:val="0"/>
      <w:divBdr>
        <w:top w:val="none" w:sz="0" w:space="0" w:color="auto"/>
        <w:left w:val="none" w:sz="0" w:space="0" w:color="auto"/>
        <w:bottom w:val="none" w:sz="0" w:space="0" w:color="auto"/>
        <w:right w:val="none" w:sz="0" w:space="0" w:color="auto"/>
      </w:divBdr>
    </w:div>
    <w:div w:id="1836067791">
      <w:marLeft w:val="0"/>
      <w:marRight w:val="0"/>
      <w:marTop w:val="0"/>
      <w:marBottom w:val="0"/>
      <w:divBdr>
        <w:top w:val="none" w:sz="0" w:space="0" w:color="auto"/>
        <w:left w:val="none" w:sz="0" w:space="0" w:color="auto"/>
        <w:bottom w:val="none" w:sz="0" w:space="0" w:color="auto"/>
        <w:right w:val="none" w:sz="0" w:space="0" w:color="auto"/>
      </w:divBdr>
      <w:divsChild>
        <w:div w:id="596134870">
          <w:marLeft w:val="0"/>
          <w:marRight w:val="0"/>
          <w:marTop w:val="0"/>
          <w:marBottom w:val="0"/>
          <w:divBdr>
            <w:top w:val="none" w:sz="0" w:space="0" w:color="auto"/>
            <w:left w:val="none" w:sz="0" w:space="0" w:color="auto"/>
            <w:bottom w:val="none" w:sz="0" w:space="0" w:color="auto"/>
            <w:right w:val="none" w:sz="0" w:space="0" w:color="auto"/>
          </w:divBdr>
        </w:div>
      </w:divsChild>
    </w:div>
    <w:div w:id="1838155238">
      <w:marLeft w:val="0"/>
      <w:marRight w:val="0"/>
      <w:marTop w:val="0"/>
      <w:marBottom w:val="0"/>
      <w:divBdr>
        <w:top w:val="none" w:sz="0" w:space="0" w:color="auto"/>
        <w:left w:val="none" w:sz="0" w:space="0" w:color="auto"/>
        <w:bottom w:val="none" w:sz="0" w:space="0" w:color="auto"/>
        <w:right w:val="none" w:sz="0" w:space="0" w:color="auto"/>
      </w:divBdr>
    </w:div>
    <w:div w:id="1838955572">
      <w:marLeft w:val="0"/>
      <w:marRight w:val="0"/>
      <w:marTop w:val="0"/>
      <w:marBottom w:val="120"/>
      <w:divBdr>
        <w:top w:val="none" w:sz="0" w:space="0" w:color="auto"/>
        <w:left w:val="none" w:sz="0" w:space="0" w:color="auto"/>
        <w:bottom w:val="none" w:sz="0" w:space="0" w:color="auto"/>
        <w:right w:val="none" w:sz="0" w:space="0" w:color="auto"/>
      </w:divBdr>
    </w:div>
    <w:div w:id="1851407837">
      <w:marLeft w:val="0"/>
      <w:marRight w:val="0"/>
      <w:marTop w:val="0"/>
      <w:marBottom w:val="120"/>
      <w:divBdr>
        <w:top w:val="none" w:sz="0" w:space="0" w:color="auto"/>
        <w:left w:val="none" w:sz="0" w:space="0" w:color="auto"/>
        <w:bottom w:val="none" w:sz="0" w:space="0" w:color="auto"/>
        <w:right w:val="none" w:sz="0" w:space="0" w:color="auto"/>
      </w:divBdr>
      <w:divsChild>
        <w:div w:id="714546612">
          <w:marLeft w:val="0"/>
          <w:marRight w:val="0"/>
          <w:marTop w:val="0"/>
          <w:marBottom w:val="0"/>
          <w:divBdr>
            <w:top w:val="none" w:sz="0" w:space="0" w:color="auto"/>
            <w:left w:val="none" w:sz="0" w:space="0" w:color="auto"/>
            <w:bottom w:val="none" w:sz="0" w:space="0" w:color="auto"/>
            <w:right w:val="none" w:sz="0" w:space="0" w:color="auto"/>
          </w:divBdr>
        </w:div>
      </w:divsChild>
    </w:div>
    <w:div w:id="1853837767">
      <w:marLeft w:val="0"/>
      <w:marRight w:val="0"/>
      <w:marTop w:val="0"/>
      <w:marBottom w:val="0"/>
      <w:divBdr>
        <w:top w:val="none" w:sz="0" w:space="0" w:color="auto"/>
        <w:left w:val="none" w:sz="0" w:space="0" w:color="auto"/>
        <w:bottom w:val="none" w:sz="0" w:space="0" w:color="auto"/>
        <w:right w:val="none" w:sz="0" w:space="0" w:color="auto"/>
      </w:divBdr>
    </w:div>
    <w:div w:id="1861316151">
      <w:marLeft w:val="0"/>
      <w:marRight w:val="0"/>
      <w:marTop w:val="0"/>
      <w:marBottom w:val="0"/>
      <w:divBdr>
        <w:top w:val="none" w:sz="0" w:space="0" w:color="auto"/>
        <w:left w:val="none" w:sz="0" w:space="0" w:color="auto"/>
        <w:bottom w:val="none" w:sz="0" w:space="0" w:color="auto"/>
        <w:right w:val="none" w:sz="0" w:space="0" w:color="auto"/>
      </w:divBdr>
    </w:div>
    <w:div w:id="1867480183">
      <w:marLeft w:val="0"/>
      <w:marRight w:val="0"/>
      <w:marTop w:val="0"/>
      <w:marBottom w:val="0"/>
      <w:divBdr>
        <w:top w:val="none" w:sz="0" w:space="0" w:color="auto"/>
        <w:left w:val="none" w:sz="0" w:space="0" w:color="auto"/>
        <w:bottom w:val="none" w:sz="0" w:space="0" w:color="auto"/>
        <w:right w:val="none" w:sz="0" w:space="0" w:color="auto"/>
      </w:divBdr>
      <w:divsChild>
        <w:div w:id="798112965">
          <w:marLeft w:val="0"/>
          <w:marRight w:val="0"/>
          <w:marTop w:val="0"/>
          <w:marBottom w:val="0"/>
          <w:divBdr>
            <w:top w:val="none" w:sz="0" w:space="0" w:color="auto"/>
            <w:left w:val="none" w:sz="0" w:space="0" w:color="auto"/>
            <w:bottom w:val="none" w:sz="0" w:space="0" w:color="auto"/>
            <w:right w:val="none" w:sz="0" w:space="0" w:color="auto"/>
          </w:divBdr>
        </w:div>
      </w:divsChild>
    </w:div>
    <w:div w:id="1870407048">
      <w:marLeft w:val="0"/>
      <w:marRight w:val="0"/>
      <w:marTop w:val="0"/>
      <w:marBottom w:val="120"/>
      <w:divBdr>
        <w:top w:val="none" w:sz="0" w:space="0" w:color="auto"/>
        <w:left w:val="none" w:sz="0" w:space="0" w:color="auto"/>
        <w:bottom w:val="none" w:sz="0" w:space="0" w:color="auto"/>
        <w:right w:val="none" w:sz="0" w:space="0" w:color="auto"/>
      </w:divBdr>
      <w:divsChild>
        <w:div w:id="205334109">
          <w:marLeft w:val="0"/>
          <w:marRight w:val="0"/>
          <w:marTop w:val="0"/>
          <w:marBottom w:val="0"/>
          <w:divBdr>
            <w:top w:val="none" w:sz="0" w:space="0" w:color="auto"/>
            <w:left w:val="none" w:sz="0" w:space="0" w:color="auto"/>
            <w:bottom w:val="none" w:sz="0" w:space="0" w:color="auto"/>
            <w:right w:val="none" w:sz="0" w:space="0" w:color="auto"/>
          </w:divBdr>
        </w:div>
        <w:div w:id="1331518818">
          <w:marLeft w:val="0"/>
          <w:marRight w:val="0"/>
          <w:marTop w:val="0"/>
          <w:marBottom w:val="0"/>
          <w:divBdr>
            <w:top w:val="none" w:sz="0" w:space="0" w:color="auto"/>
            <w:left w:val="none" w:sz="0" w:space="0" w:color="auto"/>
            <w:bottom w:val="none" w:sz="0" w:space="0" w:color="auto"/>
            <w:right w:val="none" w:sz="0" w:space="0" w:color="auto"/>
          </w:divBdr>
        </w:div>
        <w:div w:id="237792842">
          <w:marLeft w:val="0"/>
          <w:marRight w:val="0"/>
          <w:marTop w:val="0"/>
          <w:marBottom w:val="0"/>
          <w:divBdr>
            <w:top w:val="none" w:sz="0" w:space="0" w:color="auto"/>
            <w:left w:val="none" w:sz="0" w:space="0" w:color="auto"/>
            <w:bottom w:val="none" w:sz="0" w:space="0" w:color="auto"/>
            <w:right w:val="none" w:sz="0" w:space="0" w:color="auto"/>
          </w:divBdr>
        </w:div>
        <w:div w:id="916522254">
          <w:marLeft w:val="0"/>
          <w:marRight w:val="0"/>
          <w:marTop w:val="0"/>
          <w:marBottom w:val="0"/>
          <w:divBdr>
            <w:top w:val="none" w:sz="0" w:space="0" w:color="auto"/>
            <w:left w:val="none" w:sz="0" w:space="0" w:color="auto"/>
            <w:bottom w:val="none" w:sz="0" w:space="0" w:color="auto"/>
            <w:right w:val="none" w:sz="0" w:space="0" w:color="auto"/>
          </w:divBdr>
        </w:div>
        <w:div w:id="1645620048">
          <w:marLeft w:val="0"/>
          <w:marRight w:val="0"/>
          <w:marTop w:val="0"/>
          <w:marBottom w:val="0"/>
          <w:divBdr>
            <w:top w:val="none" w:sz="0" w:space="0" w:color="auto"/>
            <w:left w:val="none" w:sz="0" w:space="0" w:color="auto"/>
            <w:bottom w:val="none" w:sz="0" w:space="0" w:color="auto"/>
            <w:right w:val="none" w:sz="0" w:space="0" w:color="auto"/>
          </w:divBdr>
        </w:div>
        <w:div w:id="1048257613">
          <w:marLeft w:val="0"/>
          <w:marRight w:val="0"/>
          <w:marTop w:val="0"/>
          <w:marBottom w:val="0"/>
          <w:divBdr>
            <w:top w:val="none" w:sz="0" w:space="0" w:color="auto"/>
            <w:left w:val="none" w:sz="0" w:space="0" w:color="auto"/>
            <w:bottom w:val="none" w:sz="0" w:space="0" w:color="auto"/>
            <w:right w:val="none" w:sz="0" w:space="0" w:color="auto"/>
          </w:divBdr>
        </w:div>
        <w:div w:id="529026710">
          <w:marLeft w:val="0"/>
          <w:marRight w:val="0"/>
          <w:marTop w:val="0"/>
          <w:marBottom w:val="0"/>
          <w:divBdr>
            <w:top w:val="none" w:sz="0" w:space="0" w:color="auto"/>
            <w:left w:val="none" w:sz="0" w:space="0" w:color="auto"/>
            <w:bottom w:val="none" w:sz="0" w:space="0" w:color="auto"/>
            <w:right w:val="none" w:sz="0" w:space="0" w:color="auto"/>
          </w:divBdr>
        </w:div>
        <w:div w:id="2063291051">
          <w:marLeft w:val="0"/>
          <w:marRight w:val="0"/>
          <w:marTop w:val="0"/>
          <w:marBottom w:val="0"/>
          <w:divBdr>
            <w:top w:val="none" w:sz="0" w:space="0" w:color="auto"/>
            <w:left w:val="none" w:sz="0" w:space="0" w:color="auto"/>
            <w:bottom w:val="none" w:sz="0" w:space="0" w:color="auto"/>
            <w:right w:val="none" w:sz="0" w:space="0" w:color="auto"/>
          </w:divBdr>
        </w:div>
        <w:div w:id="469982912">
          <w:marLeft w:val="0"/>
          <w:marRight w:val="0"/>
          <w:marTop w:val="0"/>
          <w:marBottom w:val="0"/>
          <w:divBdr>
            <w:top w:val="none" w:sz="0" w:space="0" w:color="auto"/>
            <w:left w:val="none" w:sz="0" w:space="0" w:color="auto"/>
            <w:bottom w:val="none" w:sz="0" w:space="0" w:color="auto"/>
            <w:right w:val="none" w:sz="0" w:space="0" w:color="auto"/>
          </w:divBdr>
        </w:div>
        <w:div w:id="159925451">
          <w:marLeft w:val="0"/>
          <w:marRight w:val="0"/>
          <w:marTop w:val="0"/>
          <w:marBottom w:val="0"/>
          <w:divBdr>
            <w:top w:val="none" w:sz="0" w:space="0" w:color="auto"/>
            <w:left w:val="none" w:sz="0" w:space="0" w:color="auto"/>
            <w:bottom w:val="none" w:sz="0" w:space="0" w:color="auto"/>
            <w:right w:val="none" w:sz="0" w:space="0" w:color="auto"/>
          </w:divBdr>
        </w:div>
        <w:div w:id="820459924">
          <w:marLeft w:val="0"/>
          <w:marRight w:val="0"/>
          <w:marTop w:val="0"/>
          <w:marBottom w:val="0"/>
          <w:divBdr>
            <w:top w:val="none" w:sz="0" w:space="0" w:color="auto"/>
            <w:left w:val="none" w:sz="0" w:space="0" w:color="auto"/>
            <w:bottom w:val="none" w:sz="0" w:space="0" w:color="auto"/>
            <w:right w:val="none" w:sz="0" w:space="0" w:color="auto"/>
          </w:divBdr>
        </w:div>
        <w:div w:id="163976769">
          <w:marLeft w:val="0"/>
          <w:marRight w:val="0"/>
          <w:marTop w:val="0"/>
          <w:marBottom w:val="0"/>
          <w:divBdr>
            <w:top w:val="none" w:sz="0" w:space="0" w:color="auto"/>
            <w:left w:val="none" w:sz="0" w:space="0" w:color="auto"/>
            <w:bottom w:val="none" w:sz="0" w:space="0" w:color="auto"/>
            <w:right w:val="none" w:sz="0" w:space="0" w:color="auto"/>
          </w:divBdr>
        </w:div>
        <w:div w:id="1536961832">
          <w:marLeft w:val="0"/>
          <w:marRight w:val="0"/>
          <w:marTop w:val="0"/>
          <w:marBottom w:val="0"/>
          <w:divBdr>
            <w:top w:val="none" w:sz="0" w:space="0" w:color="auto"/>
            <w:left w:val="none" w:sz="0" w:space="0" w:color="auto"/>
            <w:bottom w:val="none" w:sz="0" w:space="0" w:color="auto"/>
            <w:right w:val="none" w:sz="0" w:space="0" w:color="auto"/>
          </w:divBdr>
        </w:div>
        <w:div w:id="1892425011">
          <w:marLeft w:val="0"/>
          <w:marRight w:val="0"/>
          <w:marTop w:val="0"/>
          <w:marBottom w:val="0"/>
          <w:divBdr>
            <w:top w:val="none" w:sz="0" w:space="0" w:color="auto"/>
            <w:left w:val="none" w:sz="0" w:space="0" w:color="auto"/>
            <w:bottom w:val="none" w:sz="0" w:space="0" w:color="auto"/>
            <w:right w:val="none" w:sz="0" w:space="0" w:color="auto"/>
          </w:divBdr>
        </w:div>
        <w:div w:id="742416379">
          <w:marLeft w:val="0"/>
          <w:marRight w:val="0"/>
          <w:marTop w:val="0"/>
          <w:marBottom w:val="0"/>
          <w:divBdr>
            <w:top w:val="none" w:sz="0" w:space="0" w:color="auto"/>
            <w:left w:val="none" w:sz="0" w:space="0" w:color="auto"/>
            <w:bottom w:val="none" w:sz="0" w:space="0" w:color="auto"/>
            <w:right w:val="none" w:sz="0" w:space="0" w:color="auto"/>
          </w:divBdr>
        </w:div>
        <w:div w:id="862326000">
          <w:marLeft w:val="0"/>
          <w:marRight w:val="0"/>
          <w:marTop w:val="0"/>
          <w:marBottom w:val="0"/>
          <w:divBdr>
            <w:top w:val="none" w:sz="0" w:space="0" w:color="auto"/>
            <w:left w:val="none" w:sz="0" w:space="0" w:color="auto"/>
            <w:bottom w:val="none" w:sz="0" w:space="0" w:color="auto"/>
            <w:right w:val="none" w:sz="0" w:space="0" w:color="auto"/>
          </w:divBdr>
        </w:div>
        <w:div w:id="1648241899">
          <w:marLeft w:val="0"/>
          <w:marRight w:val="0"/>
          <w:marTop w:val="0"/>
          <w:marBottom w:val="0"/>
          <w:divBdr>
            <w:top w:val="none" w:sz="0" w:space="0" w:color="auto"/>
            <w:left w:val="none" w:sz="0" w:space="0" w:color="auto"/>
            <w:bottom w:val="none" w:sz="0" w:space="0" w:color="auto"/>
            <w:right w:val="none" w:sz="0" w:space="0" w:color="auto"/>
          </w:divBdr>
        </w:div>
        <w:div w:id="1382897064">
          <w:marLeft w:val="0"/>
          <w:marRight w:val="0"/>
          <w:marTop w:val="0"/>
          <w:marBottom w:val="0"/>
          <w:divBdr>
            <w:top w:val="none" w:sz="0" w:space="0" w:color="auto"/>
            <w:left w:val="none" w:sz="0" w:space="0" w:color="auto"/>
            <w:bottom w:val="none" w:sz="0" w:space="0" w:color="auto"/>
            <w:right w:val="none" w:sz="0" w:space="0" w:color="auto"/>
          </w:divBdr>
        </w:div>
        <w:div w:id="690910744">
          <w:marLeft w:val="0"/>
          <w:marRight w:val="0"/>
          <w:marTop w:val="0"/>
          <w:marBottom w:val="0"/>
          <w:divBdr>
            <w:top w:val="none" w:sz="0" w:space="0" w:color="auto"/>
            <w:left w:val="none" w:sz="0" w:space="0" w:color="auto"/>
            <w:bottom w:val="none" w:sz="0" w:space="0" w:color="auto"/>
            <w:right w:val="none" w:sz="0" w:space="0" w:color="auto"/>
          </w:divBdr>
        </w:div>
        <w:div w:id="415984661">
          <w:marLeft w:val="0"/>
          <w:marRight w:val="0"/>
          <w:marTop w:val="0"/>
          <w:marBottom w:val="0"/>
          <w:divBdr>
            <w:top w:val="none" w:sz="0" w:space="0" w:color="auto"/>
            <w:left w:val="none" w:sz="0" w:space="0" w:color="auto"/>
            <w:bottom w:val="none" w:sz="0" w:space="0" w:color="auto"/>
            <w:right w:val="none" w:sz="0" w:space="0" w:color="auto"/>
          </w:divBdr>
        </w:div>
        <w:div w:id="257107680">
          <w:marLeft w:val="0"/>
          <w:marRight w:val="0"/>
          <w:marTop w:val="0"/>
          <w:marBottom w:val="0"/>
          <w:divBdr>
            <w:top w:val="none" w:sz="0" w:space="0" w:color="auto"/>
            <w:left w:val="none" w:sz="0" w:space="0" w:color="auto"/>
            <w:bottom w:val="none" w:sz="0" w:space="0" w:color="auto"/>
            <w:right w:val="none" w:sz="0" w:space="0" w:color="auto"/>
          </w:divBdr>
        </w:div>
        <w:div w:id="2042583263">
          <w:marLeft w:val="0"/>
          <w:marRight w:val="0"/>
          <w:marTop w:val="0"/>
          <w:marBottom w:val="0"/>
          <w:divBdr>
            <w:top w:val="none" w:sz="0" w:space="0" w:color="auto"/>
            <w:left w:val="none" w:sz="0" w:space="0" w:color="auto"/>
            <w:bottom w:val="none" w:sz="0" w:space="0" w:color="auto"/>
            <w:right w:val="none" w:sz="0" w:space="0" w:color="auto"/>
          </w:divBdr>
        </w:div>
        <w:div w:id="94180677">
          <w:marLeft w:val="0"/>
          <w:marRight w:val="0"/>
          <w:marTop w:val="0"/>
          <w:marBottom w:val="0"/>
          <w:divBdr>
            <w:top w:val="none" w:sz="0" w:space="0" w:color="auto"/>
            <w:left w:val="none" w:sz="0" w:space="0" w:color="auto"/>
            <w:bottom w:val="none" w:sz="0" w:space="0" w:color="auto"/>
            <w:right w:val="none" w:sz="0" w:space="0" w:color="auto"/>
          </w:divBdr>
        </w:div>
        <w:div w:id="2130932385">
          <w:marLeft w:val="0"/>
          <w:marRight w:val="0"/>
          <w:marTop w:val="0"/>
          <w:marBottom w:val="0"/>
          <w:divBdr>
            <w:top w:val="none" w:sz="0" w:space="0" w:color="auto"/>
            <w:left w:val="none" w:sz="0" w:space="0" w:color="auto"/>
            <w:bottom w:val="none" w:sz="0" w:space="0" w:color="auto"/>
            <w:right w:val="none" w:sz="0" w:space="0" w:color="auto"/>
          </w:divBdr>
        </w:div>
        <w:div w:id="1186018108">
          <w:marLeft w:val="0"/>
          <w:marRight w:val="0"/>
          <w:marTop w:val="0"/>
          <w:marBottom w:val="0"/>
          <w:divBdr>
            <w:top w:val="none" w:sz="0" w:space="0" w:color="auto"/>
            <w:left w:val="none" w:sz="0" w:space="0" w:color="auto"/>
            <w:bottom w:val="none" w:sz="0" w:space="0" w:color="auto"/>
            <w:right w:val="none" w:sz="0" w:space="0" w:color="auto"/>
          </w:divBdr>
        </w:div>
        <w:div w:id="197402755">
          <w:marLeft w:val="0"/>
          <w:marRight w:val="0"/>
          <w:marTop w:val="0"/>
          <w:marBottom w:val="0"/>
          <w:divBdr>
            <w:top w:val="none" w:sz="0" w:space="0" w:color="auto"/>
            <w:left w:val="none" w:sz="0" w:space="0" w:color="auto"/>
            <w:bottom w:val="none" w:sz="0" w:space="0" w:color="auto"/>
            <w:right w:val="none" w:sz="0" w:space="0" w:color="auto"/>
          </w:divBdr>
        </w:div>
        <w:div w:id="1112476219">
          <w:marLeft w:val="0"/>
          <w:marRight w:val="0"/>
          <w:marTop w:val="0"/>
          <w:marBottom w:val="0"/>
          <w:divBdr>
            <w:top w:val="none" w:sz="0" w:space="0" w:color="auto"/>
            <w:left w:val="none" w:sz="0" w:space="0" w:color="auto"/>
            <w:bottom w:val="none" w:sz="0" w:space="0" w:color="auto"/>
            <w:right w:val="none" w:sz="0" w:space="0" w:color="auto"/>
          </w:divBdr>
        </w:div>
        <w:div w:id="376469535">
          <w:marLeft w:val="0"/>
          <w:marRight w:val="0"/>
          <w:marTop w:val="0"/>
          <w:marBottom w:val="0"/>
          <w:divBdr>
            <w:top w:val="none" w:sz="0" w:space="0" w:color="auto"/>
            <w:left w:val="none" w:sz="0" w:space="0" w:color="auto"/>
            <w:bottom w:val="none" w:sz="0" w:space="0" w:color="auto"/>
            <w:right w:val="none" w:sz="0" w:space="0" w:color="auto"/>
          </w:divBdr>
        </w:div>
        <w:div w:id="1631665230">
          <w:marLeft w:val="0"/>
          <w:marRight w:val="0"/>
          <w:marTop w:val="0"/>
          <w:marBottom w:val="0"/>
          <w:divBdr>
            <w:top w:val="none" w:sz="0" w:space="0" w:color="auto"/>
            <w:left w:val="none" w:sz="0" w:space="0" w:color="auto"/>
            <w:bottom w:val="none" w:sz="0" w:space="0" w:color="auto"/>
            <w:right w:val="none" w:sz="0" w:space="0" w:color="auto"/>
          </w:divBdr>
        </w:div>
        <w:div w:id="679430598">
          <w:marLeft w:val="0"/>
          <w:marRight w:val="0"/>
          <w:marTop w:val="0"/>
          <w:marBottom w:val="0"/>
          <w:divBdr>
            <w:top w:val="none" w:sz="0" w:space="0" w:color="auto"/>
            <w:left w:val="none" w:sz="0" w:space="0" w:color="auto"/>
            <w:bottom w:val="none" w:sz="0" w:space="0" w:color="auto"/>
            <w:right w:val="none" w:sz="0" w:space="0" w:color="auto"/>
          </w:divBdr>
        </w:div>
        <w:div w:id="1597907022">
          <w:marLeft w:val="0"/>
          <w:marRight w:val="0"/>
          <w:marTop w:val="0"/>
          <w:marBottom w:val="0"/>
          <w:divBdr>
            <w:top w:val="none" w:sz="0" w:space="0" w:color="auto"/>
            <w:left w:val="none" w:sz="0" w:space="0" w:color="auto"/>
            <w:bottom w:val="none" w:sz="0" w:space="0" w:color="auto"/>
            <w:right w:val="none" w:sz="0" w:space="0" w:color="auto"/>
          </w:divBdr>
        </w:div>
        <w:div w:id="1864399286">
          <w:marLeft w:val="0"/>
          <w:marRight w:val="0"/>
          <w:marTop w:val="0"/>
          <w:marBottom w:val="0"/>
          <w:divBdr>
            <w:top w:val="none" w:sz="0" w:space="0" w:color="auto"/>
            <w:left w:val="none" w:sz="0" w:space="0" w:color="auto"/>
            <w:bottom w:val="none" w:sz="0" w:space="0" w:color="auto"/>
            <w:right w:val="none" w:sz="0" w:space="0" w:color="auto"/>
          </w:divBdr>
        </w:div>
        <w:div w:id="1818449936">
          <w:marLeft w:val="0"/>
          <w:marRight w:val="0"/>
          <w:marTop w:val="0"/>
          <w:marBottom w:val="0"/>
          <w:divBdr>
            <w:top w:val="none" w:sz="0" w:space="0" w:color="auto"/>
            <w:left w:val="none" w:sz="0" w:space="0" w:color="auto"/>
            <w:bottom w:val="none" w:sz="0" w:space="0" w:color="auto"/>
            <w:right w:val="none" w:sz="0" w:space="0" w:color="auto"/>
          </w:divBdr>
        </w:div>
        <w:div w:id="179583482">
          <w:marLeft w:val="0"/>
          <w:marRight w:val="0"/>
          <w:marTop w:val="0"/>
          <w:marBottom w:val="0"/>
          <w:divBdr>
            <w:top w:val="none" w:sz="0" w:space="0" w:color="auto"/>
            <w:left w:val="none" w:sz="0" w:space="0" w:color="auto"/>
            <w:bottom w:val="none" w:sz="0" w:space="0" w:color="auto"/>
            <w:right w:val="none" w:sz="0" w:space="0" w:color="auto"/>
          </w:divBdr>
        </w:div>
      </w:divsChild>
    </w:div>
    <w:div w:id="1878929737">
      <w:marLeft w:val="0"/>
      <w:marRight w:val="0"/>
      <w:marTop w:val="0"/>
      <w:marBottom w:val="0"/>
      <w:divBdr>
        <w:top w:val="none" w:sz="0" w:space="0" w:color="auto"/>
        <w:left w:val="none" w:sz="0" w:space="0" w:color="auto"/>
        <w:bottom w:val="none" w:sz="0" w:space="0" w:color="auto"/>
        <w:right w:val="none" w:sz="0" w:space="0" w:color="auto"/>
      </w:divBdr>
    </w:div>
    <w:div w:id="1880125446">
      <w:marLeft w:val="0"/>
      <w:marRight w:val="0"/>
      <w:marTop w:val="0"/>
      <w:marBottom w:val="200"/>
      <w:divBdr>
        <w:top w:val="none" w:sz="0" w:space="0" w:color="auto"/>
        <w:left w:val="none" w:sz="0" w:space="0" w:color="auto"/>
        <w:bottom w:val="none" w:sz="0" w:space="0" w:color="auto"/>
        <w:right w:val="none" w:sz="0" w:space="0" w:color="auto"/>
      </w:divBdr>
    </w:div>
    <w:div w:id="1882285820">
      <w:marLeft w:val="0"/>
      <w:marRight w:val="0"/>
      <w:marTop w:val="0"/>
      <w:marBottom w:val="0"/>
      <w:divBdr>
        <w:top w:val="none" w:sz="0" w:space="0" w:color="auto"/>
        <w:left w:val="none" w:sz="0" w:space="0" w:color="auto"/>
        <w:bottom w:val="none" w:sz="0" w:space="0" w:color="auto"/>
        <w:right w:val="none" w:sz="0" w:space="0" w:color="auto"/>
      </w:divBdr>
      <w:divsChild>
        <w:div w:id="1540582537">
          <w:marLeft w:val="0"/>
          <w:marRight w:val="0"/>
          <w:marTop w:val="0"/>
          <w:marBottom w:val="0"/>
          <w:divBdr>
            <w:top w:val="none" w:sz="0" w:space="0" w:color="auto"/>
            <w:left w:val="none" w:sz="0" w:space="0" w:color="auto"/>
            <w:bottom w:val="none" w:sz="0" w:space="0" w:color="auto"/>
            <w:right w:val="none" w:sz="0" w:space="0" w:color="auto"/>
          </w:divBdr>
        </w:div>
      </w:divsChild>
    </w:div>
    <w:div w:id="1885099618">
      <w:marLeft w:val="0"/>
      <w:marRight w:val="0"/>
      <w:marTop w:val="0"/>
      <w:marBottom w:val="0"/>
      <w:divBdr>
        <w:top w:val="none" w:sz="0" w:space="0" w:color="auto"/>
        <w:left w:val="none" w:sz="0" w:space="0" w:color="auto"/>
        <w:bottom w:val="none" w:sz="0" w:space="0" w:color="auto"/>
        <w:right w:val="none" w:sz="0" w:space="0" w:color="auto"/>
      </w:divBdr>
      <w:divsChild>
        <w:div w:id="107043496">
          <w:marLeft w:val="0"/>
          <w:marRight w:val="0"/>
          <w:marTop w:val="0"/>
          <w:marBottom w:val="0"/>
          <w:divBdr>
            <w:top w:val="none" w:sz="0" w:space="0" w:color="auto"/>
            <w:left w:val="none" w:sz="0" w:space="0" w:color="auto"/>
            <w:bottom w:val="none" w:sz="0" w:space="0" w:color="auto"/>
            <w:right w:val="none" w:sz="0" w:space="0" w:color="auto"/>
          </w:divBdr>
        </w:div>
      </w:divsChild>
    </w:div>
    <w:div w:id="1888756063">
      <w:marLeft w:val="0"/>
      <w:marRight w:val="0"/>
      <w:marTop w:val="0"/>
      <w:marBottom w:val="0"/>
      <w:divBdr>
        <w:top w:val="none" w:sz="0" w:space="0" w:color="auto"/>
        <w:left w:val="none" w:sz="0" w:space="0" w:color="auto"/>
        <w:bottom w:val="none" w:sz="0" w:space="0" w:color="auto"/>
        <w:right w:val="none" w:sz="0" w:space="0" w:color="auto"/>
      </w:divBdr>
    </w:div>
    <w:div w:id="1890728991">
      <w:marLeft w:val="0"/>
      <w:marRight w:val="0"/>
      <w:marTop w:val="0"/>
      <w:marBottom w:val="0"/>
      <w:divBdr>
        <w:top w:val="none" w:sz="0" w:space="0" w:color="auto"/>
        <w:left w:val="none" w:sz="0" w:space="0" w:color="auto"/>
        <w:bottom w:val="none" w:sz="0" w:space="0" w:color="auto"/>
        <w:right w:val="none" w:sz="0" w:space="0" w:color="auto"/>
      </w:divBdr>
    </w:div>
    <w:div w:id="1892686359">
      <w:marLeft w:val="0"/>
      <w:marRight w:val="0"/>
      <w:marTop w:val="0"/>
      <w:marBottom w:val="0"/>
      <w:divBdr>
        <w:top w:val="none" w:sz="0" w:space="0" w:color="auto"/>
        <w:left w:val="none" w:sz="0" w:space="0" w:color="auto"/>
        <w:bottom w:val="none" w:sz="0" w:space="0" w:color="auto"/>
        <w:right w:val="none" w:sz="0" w:space="0" w:color="auto"/>
      </w:divBdr>
    </w:div>
    <w:div w:id="1898855974">
      <w:marLeft w:val="0"/>
      <w:marRight w:val="0"/>
      <w:marTop w:val="0"/>
      <w:marBottom w:val="0"/>
      <w:divBdr>
        <w:top w:val="none" w:sz="0" w:space="0" w:color="auto"/>
        <w:left w:val="none" w:sz="0" w:space="0" w:color="auto"/>
        <w:bottom w:val="none" w:sz="0" w:space="0" w:color="auto"/>
        <w:right w:val="none" w:sz="0" w:space="0" w:color="auto"/>
      </w:divBdr>
    </w:div>
    <w:div w:id="1899128687">
      <w:marLeft w:val="0"/>
      <w:marRight w:val="0"/>
      <w:marTop w:val="0"/>
      <w:marBottom w:val="120"/>
      <w:divBdr>
        <w:top w:val="none" w:sz="0" w:space="0" w:color="auto"/>
        <w:left w:val="none" w:sz="0" w:space="0" w:color="auto"/>
        <w:bottom w:val="none" w:sz="0" w:space="0" w:color="auto"/>
        <w:right w:val="none" w:sz="0" w:space="0" w:color="auto"/>
      </w:divBdr>
    </w:div>
    <w:div w:id="1901477851">
      <w:marLeft w:val="0"/>
      <w:marRight w:val="0"/>
      <w:marTop w:val="0"/>
      <w:marBottom w:val="0"/>
      <w:divBdr>
        <w:top w:val="none" w:sz="0" w:space="0" w:color="auto"/>
        <w:left w:val="none" w:sz="0" w:space="0" w:color="auto"/>
        <w:bottom w:val="none" w:sz="0" w:space="0" w:color="auto"/>
        <w:right w:val="none" w:sz="0" w:space="0" w:color="auto"/>
      </w:divBdr>
    </w:div>
    <w:div w:id="1918393674">
      <w:marLeft w:val="0"/>
      <w:marRight w:val="0"/>
      <w:marTop w:val="0"/>
      <w:marBottom w:val="0"/>
      <w:divBdr>
        <w:top w:val="none" w:sz="0" w:space="0" w:color="auto"/>
        <w:left w:val="none" w:sz="0" w:space="0" w:color="auto"/>
        <w:bottom w:val="none" w:sz="0" w:space="0" w:color="auto"/>
        <w:right w:val="none" w:sz="0" w:space="0" w:color="auto"/>
      </w:divBdr>
    </w:div>
    <w:div w:id="1919436473">
      <w:marLeft w:val="0"/>
      <w:marRight w:val="0"/>
      <w:marTop w:val="0"/>
      <w:marBottom w:val="0"/>
      <w:divBdr>
        <w:top w:val="none" w:sz="0" w:space="0" w:color="auto"/>
        <w:left w:val="none" w:sz="0" w:space="0" w:color="auto"/>
        <w:bottom w:val="none" w:sz="0" w:space="0" w:color="auto"/>
        <w:right w:val="none" w:sz="0" w:space="0" w:color="auto"/>
      </w:divBdr>
    </w:div>
    <w:div w:id="1919900961">
      <w:marLeft w:val="0"/>
      <w:marRight w:val="0"/>
      <w:marTop w:val="0"/>
      <w:marBottom w:val="0"/>
      <w:divBdr>
        <w:top w:val="none" w:sz="0" w:space="0" w:color="auto"/>
        <w:left w:val="none" w:sz="0" w:space="0" w:color="auto"/>
        <w:bottom w:val="none" w:sz="0" w:space="0" w:color="auto"/>
        <w:right w:val="none" w:sz="0" w:space="0" w:color="auto"/>
      </w:divBdr>
    </w:div>
    <w:div w:id="1921596051">
      <w:marLeft w:val="0"/>
      <w:marRight w:val="0"/>
      <w:marTop w:val="0"/>
      <w:marBottom w:val="0"/>
      <w:divBdr>
        <w:top w:val="none" w:sz="0" w:space="0" w:color="auto"/>
        <w:left w:val="none" w:sz="0" w:space="0" w:color="auto"/>
        <w:bottom w:val="none" w:sz="0" w:space="0" w:color="auto"/>
        <w:right w:val="none" w:sz="0" w:space="0" w:color="auto"/>
      </w:divBdr>
      <w:divsChild>
        <w:div w:id="1337878645">
          <w:marLeft w:val="0"/>
          <w:marRight w:val="0"/>
          <w:marTop w:val="0"/>
          <w:marBottom w:val="0"/>
          <w:divBdr>
            <w:top w:val="none" w:sz="0" w:space="0" w:color="auto"/>
            <w:left w:val="none" w:sz="0" w:space="0" w:color="auto"/>
            <w:bottom w:val="none" w:sz="0" w:space="0" w:color="auto"/>
            <w:right w:val="none" w:sz="0" w:space="0" w:color="auto"/>
          </w:divBdr>
        </w:div>
      </w:divsChild>
    </w:div>
    <w:div w:id="1923296971">
      <w:marLeft w:val="0"/>
      <w:marRight w:val="0"/>
      <w:marTop w:val="0"/>
      <w:marBottom w:val="0"/>
      <w:divBdr>
        <w:top w:val="none" w:sz="0" w:space="0" w:color="auto"/>
        <w:left w:val="none" w:sz="0" w:space="0" w:color="auto"/>
        <w:bottom w:val="none" w:sz="0" w:space="0" w:color="auto"/>
        <w:right w:val="none" w:sz="0" w:space="0" w:color="auto"/>
      </w:divBdr>
      <w:divsChild>
        <w:div w:id="1532375763">
          <w:marLeft w:val="0"/>
          <w:marRight w:val="0"/>
          <w:marTop w:val="0"/>
          <w:marBottom w:val="0"/>
          <w:divBdr>
            <w:top w:val="none" w:sz="0" w:space="0" w:color="auto"/>
            <w:left w:val="none" w:sz="0" w:space="0" w:color="auto"/>
            <w:bottom w:val="none" w:sz="0" w:space="0" w:color="auto"/>
            <w:right w:val="none" w:sz="0" w:space="0" w:color="auto"/>
          </w:divBdr>
        </w:div>
      </w:divsChild>
    </w:div>
    <w:div w:id="1927419810">
      <w:marLeft w:val="0"/>
      <w:marRight w:val="0"/>
      <w:marTop w:val="0"/>
      <w:marBottom w:val="0"/>
      <w:divBdr>
        <w:top w:val="none" w:sz="0" w:space="0" w:color="auto"/>
        <w:left w:val="none" w:sz="0" w:space="0" w:color="auto"/>
        <w:bottom w:val="none" w:sz="0" w:space="0" w:color="auto"/>
        <w:right w:val="none" w:sz="0" w:space="0" w:color="auto"/>
      </w:divBdr>
    </w:div>
    <w:div w:id="1931771379">
      <w:marLeft w:val="0"/>
      <w:marRight w:val="0"/>
      <w:marTop w:val="0"/>
      <w:marBottom w:val="0"/>
      <w:divBdr>
        <w:top w:val="none" w:sz="0" w:space="0" w:color="auto"/>
        <w:left w:val="none" w:sz="0" w:space="0" w:color="auto"/>
        <w:bottom w:val="none" w:sz="0" w:space="0" w:color="auto"/>
        <w:right w:val="none" w:sz="0" w:space="0" w:color="auto"/>
      </w:divBdr>
      <w:divsChild>
        <w:div w:id="1596326535">
          <w:marLeft w:val="0"/>
          <w:marRight w:val="0"/>
          <w:marTop w:val="0"/>
          <w:marBottom w:val="0"/>
          <w:divBdr>
            <w:top w:val="none" w:sz="0" w:space="0" w:color="auto"/>
            <w:left w:val="none" w:sz="0" w:space="0" w:color="auto"/>
            <w:bottom w:val="none" w:sz="0" w:space="0" w:color="auto"/>
            <w:right w:val="none" w:sz="0" w:space="0" w:color="auto"/>
          </w:divBdr>
        </w:div>
      </w:divsChild>
    </w:div>
    <w:div w:id="1943760399">
      <w:marLeft w:val="0"/>
      <w:marRight w:val="0"/>
      <w:marTop w:val="0"/>
      <w:marBottom w:val="0"/>
      <w:divBdr>
        <w:top w:val="none" w:sz="0" w:space="0" w:color="auto"/>
        <w:left w:val="none" w:sz="0" w:space="0" w:color="auto"/>
        <w:bottom w:val="none" w:sz="0" w:space="0" w:color="auto"/>
        <w:right w:val="none" w:sz="0" w:space="0" w:color="auto"/>
      </w:divBdr>
    </w:div>
    <w:div w:id="1951160567">
      <w:marLeft w:val="0"/>
      <w:marRight w:val="0"/>
      <w:marTop w:val="0"/>
      <w:marBottom w:val="0"/>
      <w:divBdr>
        <w:top w:val="none" w:sz="0" w:space="0" w:color="auto"/>
        <w:left w:val="none" w:sz="0" w:space="0" w:color="auto"/>
        <w:bottom w:val="none" w:sz="0" w:space="0" w:color="auto"/>
        <w:right w:val="none" w:sz="0" w:space="0" w:color="auto"/>
      </w:divBdr>
      <w:divsChild>
        <w:div w:id="174421150">
          <w:marLeft w:val="0"/>
          <w:marRight w:val="0"/>
          <w:marTop w:val="0"/>
          <w:marBottom w:val="0"/>
          <w:divBdr>
            <w:top w:val="none" w:sz="0" w:space="0" w:color="auto"/>
            <w:left w:val="none" w:sz="0" w:space="0" w:color="auto"/>
            <w:bottom w:val="none" w:sz="0" w:space="0" w:color="auto"/>
            <w:right w:val="none" w:sz="0" w:space="0" w:color="auto"/>
          </w:divBdr>
        </w:div>
      </w:divsChild>
    </w:div>
    <w:div w:id="1973360231">
      <w:marLeft w:val="0"/>
      <w:marRight w:val="0"/>
      <w:marTop w:val="0"/>
      <w:marBottom w:val="0"/>
      <w:divBdr>
        <w:top w:val="none" w:sz="0" w:space="0" w:color="auto"/>
        <w:left w:val="none" w:sz="0" w:space="0" w:color="auto"/>
        <w:bottom w:val="none" w:sz="0" w:space="0" w:color="auto"/>
        <w:right w:val="none" w:sz="0" w:space="0" w:color="auto"/>
      </w:divBdr>
    </w:div>
    <w:div w:id="1975478800">
      <w:marLeft w:val="0"/>
      <w:marRight w:val="0"/>
      <w:marTop w:val="0"/>
      <w:marBottom w:val="0"/>
      <w:divBdr>
        <w:top w:val="none" w:sz="0" w:space="0" w:color="auto"/>
        <w:left w:val="none" w:sz="0" w:space="0" w:color="auto"/>
        <w:bottom w:val="none" w:sz="0" w:space="0" w:color="auto"/>
        <w:right w:val="none" w:sz="0" w:space="0" w:color="auto"/>
      </w:divBdr>
      <w:divsChild>
        <w:div w:id="182326023">
          <w:marLeft w:val="0"/>
          <w:marRight w:val="0"/>
          <w:marTop w:val="0"/>
          <w:marBottom w:val="0"/>
          <w:divBdr>
            <w:top w:val="none" w:sz="0" w:space="0" w:color="auto"/>
            <w:left w:val="none" w:sz="0" w:space="0" w:color="auto"/>
            <w:bottom w:val="none" w:sz="0" w:space="0" w:color="auto"/>
            <w:right w:val="none" w:sz="0" w:space="0" w:color="auto"/>
          </w:divBdr>
        </w:div>
      </w:divsChild>
    </w:div>
    <w:div w:id="1975715177">
      <w:marLeft w:val="0"/>
      <w:marRight w:val="0"/>
      <w:marTop w:val="0"/>
      <w:marBottom w:val="0"/>
      <w:divBdr>
        <w:top w:val="none" w:sz="0" w:space="0" w:color="auto"/>
        <w:left w:val="none" w:sz="0" w:space="0" w:color="auto"/>
        <w:bottom w:val="none" w:sz="0" w:space="0" w:color="auto"/>
        <w:right w:val="none" w:sz="0" w:space="0" w:color="auto"/>
      </w:divBdr>
    </w:div>
    <w:div w:id="1976331794">
      <w:marLeft w:val="0"/>
      <w:marRight w:val="0"/>
      <w:marTop w:val="0"/>
      <w:marBottom w:val="0"/>
      <w:divBdr>
        <w:top w:val="none" w:sz="0" w:space="0" w:color="auto"/>
        <w:left w:val="none" w:sz="0" w:space="0" w:color="auto"/>
        <w:bottom w:val="none" w:sz="0" w:space="0" w:color="auto"/>
        <w:right w:val="none" w:sz="0" w:space="0" w:color="auto"/>
      </w:divBdr>
    </w:div>
    <w:div w:id="1991640473">
      <w:marLeft w:val="0"/>
      <w:marRight w:val="0"/>
      <w:marTop w:val="0"/>
      <w:marBottom w:val="0"/>
      <w:divBdr>
        <w:top w:val="none" w:sz="0" w:space="0" w:color="auto"/>
        <w:left w:val="none" w:sz="0" w:space="0" w:color="auto"/>
        <w:bottom w:val="none" w:sz="0" w:space="0" w:color="auto"/>
        <w:right w:val="none" w:sz="0" w:space="0" w:color="auto"/>
      </w:divBdr>
      <w:divsChild>
        <w:div w:id="2105956675">
          <w:marLeft w:val="0"/>
          <w:marRight w:val="0"/>
          <w:marTop w:val="0"/>
          <w:marBottom w:val="0"/>
          <w:divBdr>
            <w:top w:val="none" w:sz="0" w:space="0" w:color="auto"/>
            <w:left w:val="none" w:sz="0" w:space="0" w:color="auto"/>
            <w:bottom w:val="none" w:sz="0" w:space="0" w:color="auto"/>
            <w:right w:val="none" w:sz="0" w:space="0" w:color="auto"/>
          </w:divBdr>
        </w:div>
      </w:divsChild>
    </w:div>
    <w:div w:id="1991985122">
      <w:marLeft w:val="0"/>
      <w:marRight w:val="0"/>
      <w:marTop w:val="0"/>
      <w:marBottom w:val="0"/>
      <w:divBdr>
        <w:top w:val="none" w:sz="0" w:space="0" w:color="auto"/>
        <w:left w:val="none" w:sz="0" w:space="0" w:color="auto"/>
        <w:bottom w:val="none" w:sz="0" w:space="0" w:color="auto"/>
        <w:right w:val="none" w:sz="0" w:space="0" w:color="auto"/>
      </w:divBdr>
    </w:div>
    <w:div w:id="1994141303">
      <w:marLeft w:val="0"/>
      <w:marRight w:val="0"/>
      <w:marTop w:val="0"/>
      <w:marBottom w:val="0"/>
      <w:divBdr>
        <w:top w:val="none" w:sz="0" w:space="0" w:color="auto"/>
        <w:left w:val="none" w:sz="0" w:space="0" w:color="auto"/>
        <w:bottom w:val="none" w:sz="0" w:space="0" w:color="auto"/>
        <w:right w:val="none" w:sz="0" w:space="0" w:color="auto"/>
      </w:divBdr>
      <w:divsChild>
        <w:div w:id="1412846664">
          <w:marLeft w:val="0"/>
          <w:marRight w:val="0"/>
          <w:marTop w:val="0"/>
          <w:marBottom w:val="0"/>
          <w:divBdr>
            <w:top w:val="none" w:sz="0" w:space="0" w:color="auto"/>
            <w:left w:val="none" w:sz="0" w:space="0" w:color="auto"/>
            <w:bottom w:val="none" w:sz="0" w:space="0" w:color="auto"/>
            <w:right w:val="none" w:sz="0" w:space="0" w:color="auto"/>
          </w:divBdr>
        </w:div>
      </w:divsChild>
    </w:div>
    <w:div w:id="2004316712">
      <w:marLeft w:val="0"/>
      <w:marRight w:val="0"/>
      <w:marTop w:val="0"/>
      <w:marBottom w:val="0"/>
      <w:divBdr>
        <w:top w:val="none" w:sz="0" w:space="0" w:color="auto"/>
        <w:left w:val="none" w:sz="0" w:space="0" w:color="auto"/>
        <w:bottom w:val="none" w:sz="0" w:space="0" w:color="auto"/>
        <w:right w:val="none" w:sz="0" w:space="0" w:color="auto"/>
      </w:divBdr>
    </w:div>
    <w:div w:id="2008946662">
      <w:marLeft w:val="0"/>
      <w:marRight w:val="0"/>
      <w:marTop w:val="0"/>
      <w:marBottom w:val="0"/>
      <w:divBdr>
        <w:top w:val="none" w:sz="0" w:space="0" w:color="auto"/>
        <w:left w:val="none" w:sz="0" w:space="0" w:color="auto"/>
        <w:bottom w:val="none" w:sz="0" w:space="0" w:color="auto"/>
        <w:right w:val="none" w:sz="0" w:space="0" w:color="auto"/>
      </w:divBdr>
    </w:div>
    <w:div w:id="2013684519">
      <w:marLeft w:val="0"/>
      <w:marRight w:val="0"/>
      <w:marTop w:val="0"/>
      <w:marBottom w:val="0"/>
      <w:divBdr>
        <w:top w:val="none" w:sz="0" w:space="0" w:color="auto"/>
        <w:left w:val="none" w:sz="0" w:space="0" w:color="auto"/>
        <w:bottom w:val="none" w:sz="0" w:space="0" w:color="auto"/>
        <w:right w:val="none" w:sz="0" w:space="0" w:color="auto"/>
      </w:divBdr>
      <w:divsChild>
        <w:div w:id="1949387351">
          <w:marLeft w:val="0"/>
          <w:marRight w:val="0"/>
          <w:marTop w:val="0"/>
          <w:marBottom w:val="0"/>
          <w:divBdr>
            <w:top w:val="none" w:sz="0" w:space="0" w:color="auto"/>
            <w:left w:val="none" w:sz="0" w:space="0" w:color="auto"/>
            <w:bottom w:val="none" w:sz="0" w:space="0" w:color="auto"/>
            <w:right w:val="none" w:sz="0" w:space="0" w:color="auto"/>
          </w:divBdr>
        </w:div>
      </w:divsChild>
    </w:div>
    <w:div w:id="2017462083">
      <w:marLeft w:val="0"/>
      <w:marRight w:val="0"/>
      <w:marTop w:val="0"/>
      <w:marBottom w:val="0"/>
      <w:divBdr>
        <w:top w:val="none" w:sz="0" w:space="0" w:color="auto"/>
        <w:left w:val="none" w:sz="0" w:space="0" w:color="auto"/>
        <w:bottom w:val="none" w:sz="0" w:space="0" w:color="auto"/>
        <w:right w:val="none" w:sz="0" w:space="0" w:color="auto"/>
      </w:divBdr>
      <w:divsChild>
        <w:div w:id="1624387447">
          <w:marLeft w:val="0"/>
          <w:marRight w:val="0"/>
          <w:marTop w:val="0"/>
          <w:marBottom w:val="0"/>
          <w:divBdr>
            <w:top w:val="none" w:sz="0" w:space="0" w:color="auto"/>
            <w:left w:val="none" w:sz="0" w:space="0" w:color="auto"/>
            <w:bottom w:val="none" w:sz="0" w:space="0" w:color="auto"/>
            <w:right w:val="none" w:sz="0" w:space="0" w:color="auto"/>
          </w:divBdr>
        </w:div>
      </w:divsChild>
    </w:div>
    <w:div w:id="2020497614">
      <w:marLeft w:val="0"/>
      <w:marRight w:val="0"/>
      <w:marTop w:val="0"/>
      <w:marBottom w:val="0"/>
      <w:divBdr>
        <w:top w:val="none" w:sz="0" w:space="0" w:color="auto"/>
        <w:left w:val="none" w:sz="0" w:space="0" w:color="auto"/>
        <w:bottom w:val="none" w:sz="0" w:space="0" w:color="auto"/>
        <w:right w:val="none" w:sz="0" w:space="0" w:color="auto"/>
      </w:divBdr>
    </w:div>
    <w:div w:id="2023124398">
      <w:marLeft w:val="0"/>
      <w:marRight w:val="0"/>
      <w:marTop w:val="0"/>
      <w:marBottom w:val="0"/>
      <w:divBdr>
        <w:top w:val="none" w:sz="0" w:space="0" w:color="auto"/>
        <w:left w:val="none" w:sz="0" w:space="0" w:color="auto"/>
        <w:bottom w:val="none" w:sz="0" w:space="0" w:color="auto"/>
        <w:right w:val="none" w:sz="0" w:space="0" w:color="auto"/>
      </w:divBdr>
    </w:div>
    <w:div w:id="2026783078">
      <w:marLeft w:val="0"/>
      <w:marRight w:val="0"/>
      <w:marTop w:val="0"/>
      <w:marBottom w:val="0"/>
      <w:divBdr>
        <w:top w:val="none" w:sz="0" w:space="0" w:color="auto"/>
        <w:left w:val="none" w:sz="0" w:space="0" w:color="auto"/>
        <w:bottom w:val="none" w:sz="0" w:space="0" w:color="auto"/>
        <w:right w:val="none" w:sz="0" w:space="0" w:color="auto"/>
      </w:divBdr>
    </w:div>
    <w:div w:id="2033919850">
      <w:marLeft w:val="0"/>
      <w:marRight w:val="0"/>
      <w:marTop w:val="0"/>
      <w:marBottom w:val="0"/>
      <w:divBdr>
        <w:top w:val="none" w:sz="0" w:space="0" w:color="auto"/>
        <w:left w:val="none" w:sz="0" w:space="0" w:color="auto"/>
        <w:bottom w:val="none" w:sz="0" w:space="0" w:color="auto"/>
        <w:right w:val="none" w:sz="0" w:space="0" w:color="auto"/>
      </w:divBdr>
    </w:div>
    <w:div w:id="2043628377">
      <w:marLeft w:val="0"/>
      <w:marRight w:val="0"/>
      <w:marTop w:val="0"/>
      <w:marBottom w:val="0"/>
      <w:divBdr>
        <w:top w:val="none" w:sz="0" w:space="0" w:color="auto"/>
        <w:left w:val="none" w:sz="0" w:space="0" w:color="auto"/>
        <w:bottom w:val="none" w:sz="0" w:space="0" w:color="auto"/>
        <w:right w:val="none" w:sz="0" w:space="0" w:color="auto"/>
      </w:divBdr>
    </w:div>
    <w:div w:id="2044862056">
      <w:marLeft w:val="0"/>
      <w:marRight w:val="0"/>
      <w:marTop w:val="0"/>
      <w:marBottom w:val="0"/>
      <w:divBdr>
        <w:top w:val="none" w:sz="0" w:space="0" w:color="auto"/>
        <w:left w:val="none" w:sz="0" w:space="0" w:color="auto"/>
        <w:bottom w:val="none" w:sz="0" w:space="0" w:color="auto"/>
        <w:right w:val="none" w:sz="0" w:space="0" w:color="auto"/>
      </w:divBdr>
    </w:div>
    <w:div w:id="2045247861">
      <w:marLeft w:val="0"/>
      <w:marRight w:val="0"/>
      <w:marTop w:val="0"/>
      <w:marBottom w:val="120"/>
      <w:divBdr>
        <w:top w:val="none" w:sz="0" w:space="0" w:color="auto"/>
        <w:left w:val="none" w:sz="0" w:space="0" w:color="auto"/>
        <w:bottom w:val="none" w:sz="0" w:space="0" w:color="auto"/>
        <w:right w:val="none" w:sz="0" w:space="0" w:color="auto"/>
      </w:divBdr>
    </w:div>
    <w:div w:id="2046053619">
      <w:marLeft w:val="0"/>
      <w:marRight w:val="0"/>
      <w:marTop w:val="0"/>
      <w:marBottom w:val="120"/>
      <w:divBdr>
        <w:top w:val="none" w:sz="0" w:space="0" w:color="auto"/>
        <w:left w:val="none" w:sz="0" w:space="0" w:color="auto"/>
        <w:bottom w:val="none" w:sz="0" w:space="0" w:color="auto"/>
        <w:right w:val="none" w:sz="0" w:space="0" w:color="auto"/>
      </w:divBdr>
      <w:divsChild>
        <w:div w:id="434713588">
          <w:marLeft w:val="0"/>
          <w:marRight w:val="0"/>
          <w:marTop w:val="0"/>
          <w:marBottom w:val="0"/>
          <w:divBdr>
            <w:top w:val="none" w:sz="0" w:space="0" w:color="auto"/>
            <w:left w:val="none" w:sz="0" w:space="0" w:color="auto"/>
            <w:bottom w:val="none" w:sz="0" w:space="0" w:color="auto"/>
            <w:right w:val="none" w:sz="0" w:space="0" w:color="auto"/>
          </w:divBdr>
        </w:div>
      </w:divsChild>
    </w:div>
    <w:div w:id="2049210220">
      <w:marLeft w:val="0"/>
      <w:marRight w:val="0"/>
      <w:marTop w:val="0"/>
      <w:marBottom w:val="0"/>
      <w:divBdr>
        <w:top w:val="none" w:sz="0" w:space="0" w:color="auto"/>
        <w:left w:val="none" w:sz="0" w:space="0" w:color="auto"/>
        <w:bottom w:val="none" w:sz="0" w:space="0" w:color="auto"/>
        <w:right w:val="none" w:sz="0" w:space="0" w:color="auto"/>
      </w:divBdr>
      <w:divsChild>
        <w:div w:id="2131165444">
          <w:marLeft w:val="0"/>
          <w:marRight w:val="0"/>
          <w:marTop w:val="0"/>
          <w:marBottom w:val="0"/>
          <w:divBdr>
            <w:top w:val="none" w:sz="0" w:space="0" w:color="auto"/>
            <w:left w:val="none" w:sz="0" w:space="0" w:color="auto"/>
            <w:bottom w:val="none" w:sz="0" w:space="0" w:color="auto"/>
            <w:right w:val="none" w:sz="0" w:space="0" w:color="auto"/>
          </w:divBdr>
        </w:div>
      </w:divsChild>
    </w:div>
    <w:div w:id="2054377600">
      <w:marLeft w:val="0"/>
      <w:marRight w:val="0"/>
      <w:marTop w:val="0"/>
      <w:marBottom w:val="0"/>
      <w:divBdr>
        <w:top w:val="none" w:sz="0" w:space="0" w:color="auto"/>
        <w:left w:val="none" w:sz="0" w:space="0" w:color="auto"/>
        <w:bottom w:val="none" w:sz="0" w:space="0" w:color="auto"/>
        <w:right w:val="none" w:sz="0" w:space="0" w:color="auto"/>
      </w:divBdr>
      <w:divsChild>
        <w:div w:id="706370653">
          <w:marLeft w:val="0"/>
          <w:marRight w:val="0"/>
          <w:marTop w:val="0"/>
          <w:marBottom w:val="0"/>
          <w:divBdr>
            <w:top w:val="none" w:sz="0" w:space="0" w:color="auto"/>
            <w:left w:val="none" w:sz="0" w:space="0" w:color="auto"/>
            <w:bottom w:val="none" w:sz="0" w:space="0" w:color="auto"/>
            <w:right w:val="none" w:sz="0" w:space="0" w:color="auto"/>
          </w:divBdr>
        </w:div>
      </w:divsChild>
    </w:div>
    <w:div w:id="2067145486">
      <w:marLeft w:val="0"/>
      <w:marRight w:val="0"/>
      <w:marTop w:val="0"/>
      <w:marBottom w:val="0"/>
      <w:divBdr>
        <w:top w:val="none" w:sz="0" w:space="0" w:color="auto"/>
        <w:left w:val="none" w:sz="0" w:space="0" w:color="auto"/>
        <w:bottom w:val="none" w:sz="0" w:space="0" w:color="auto"/>
        <w:right w:val="none" w:sz="0" w:space="0" w:color="auto"/>
      </w:divBdr>
    </w:div>
    <w:div w:id="2068912351">
      <w:marLeft w:val="0"/>
      <w:marRight w:val="0"/>
      <w:marTop w:val="0"/>
      <w:marBottom w:val="0"/>
      <w:divBdr>
        <w:top w:val="none" w:sz="0" w:space="0" w:color="auto"/>
        <w:left w:val="none" w:sz="0" w:space="0" w:color="auto"/>
        <w:bottom w:val="none" w:sz="0" w:space="0" w:color="auto"/>
        <w:right w:val="none" w:sz="0" w:space="0" w:color="auto"/>
      </w:divBdr>
      <w:divsChild>
        <w:div w:id="1975058505">
          <w:marLeft w:val="0"/>
          <w:marRight w:val="0"/>
          <w:marTop w:val="0"/>
          <w:marBottom w:val="0"/>
          <w:divBdr>
            <w:top w:val="none" w:sz="0" w:space="0" w:color="auto"/>
            <w:left w:val="none" w:sz="0" w:space="0" w:color="auto"/>
            <w:bottom w:val="none" w:sz="0" w:space="0" w:color="auto"/>
            <w:right w:val="none" w:sz="0" w:space="0" w:color="auto"/>
          </w:divBdr>
        </w:div>
      </w:divsChild>
    </w:div>
    <w:div w:id="2068995687">
      <w:marLeft w:val="0"/>
      <w:marRight w:val="0"/>
      <w:marTop w:val="0"/>
      <w:marBottom w:val="0"/>
      <w:divBdr>
        <w:top w:val="none" w:sz="0" w:space="0" w:color="auto"/>
        <w:left w:val="none" w:sz="0" w:space="0" w:color="auto"/>
        <w:bottom w:val="none" w:sz="0" w:space="0" w:color="auto"/>
        <w:right w:val="none" w:sz="0" w:space="0" w:color="auto"/>
      </w:divBdr>
    </w:div>
    <w:div w:id="2069768672">
      <w:marLeft w:val="0"/>
      <w:marRight w:val="0"/>
      <w:marTop w:val="0"/>
      <w:marBottom w:val="120"/>
      <w:divBdr>
        <w:top w:val="none" w:sz="0" w:space="0" w:color="auto"/>
        <w:left w:val="none" w:sz="0" w:space="0" w:color="auto"/>
        <w:bottom w:val="none" w:sz="0" w:space="0" w:color="auto"/>
        <w:right w:val="none" w:sz="0" w:space="0" w:color="auto"/>
      </w:divBdr>
    </w:div>
    <w:div w:id="2074886508">
      <w:marLeft w:val="0"/>
      <w:marRight w:val="0"/>
      <w:marTop w:val="0"/>
      <w:marBottom w:val="0"/>
      <w:divBdr>
        <w:top w:val="none" w:sz="0" w:space="0" w:color="auto"/>
        <w:left w:val="none" w:sz="0" w:space="0" w:color="auto"/>
        <w:bottom w:val="none" w:sz="0" w:space="0" w:color="auto"/>
        <w:right w:val="none" w:sz="0" w:space="0" w:color="auto"/>
      </w:divBdr>
      <w:divsChild>
        <w:div w:id="1203438135">
          <w:marLeft w:val="0"/>
          <w:marRight w:val="0"/>
          <w:marTop w:val="0"/>
          <w:marBottom w:val="0"/>
          <w:divBdr>
            <w:top w:val="none" w:sz="0" w:space="0" w:color="auto"/>
            <w:left w:val="none" w:sz="0" w:space="0" w:color="auto"/>
            <w:bottom w:val="none" w:sz="0" w:space="0" w:color="auto"/>
            <w:right w:val="none" w:sz="0" w:space="0" w:color="auto"/>
          </w:divBdr>
        </w:div>
      </w:divsChild>
    </w:div>
    <w:div w:id="2079742520">
      <w:marLeft w:val="0"/>
      <w:marRight w:val="0"/>
      <w:marTop w:val="0"/>
      <w:marBottom w:val="0"/>
      <w:divBdr>
        <w:top w:val="none" w:sz="0" w:space="0" w:color="auto"/>
        <w:left w:val="none" w:sz="0" w:space="0" w:color="auto"/>
        <w:bottom w:val="none" w:sz="0" w:space="0" w:color="auto"/>
        <w:right w:val="none" w:sz="0" w:space="0" w:color="auto"/>
      </w:divBdr>
      <w:divsChild>
        <w:div w:id="834031071">
          <w:marLeft w:val="0"/>
          <w:marRight w:val="0"/>
          <w:marTop w:val="0"/>
          <w:marBottom w:val="0"/>
          <w:divBdr>
            <w:top w:val="none" w:sz="0" w:space="0" w:color="auto"/>
            <w:left w:val="none" w:sz="0" w:space="0" w:color="auto"/>
            <w:bottom w:val="none" w:sz="0" w:space="0" w:color="auto"/>
            <w:right w:val="none" w:sz="0" w:space="0" w:color="auto"/>
          </w:divBdr>
        </w:div>
      </w:divsChild>
    </w:div>
    <w:div w:id="2082288218">
      <w:marLeft w:val="0"/>
      <w:marRight w:val="0"/>
      <w:marTop w:val="0"/>
      <w:marBottom w:val="0"/>
      <w:divBdr>
        <w:top w:val="none" w:sz="0" w:space="0" w:color="auto"/>
        <w:left w:val="none" w:sz="0" w:space="0" w:color="auto"/>
        <w:bottom w:val="none" w:sz="0" w:space="0" w:color="auto"/>
        <w:right w:val="none" w:sz="0" w:space="0" w:color="auto"/>
      </w:divBdr>
      <w:divsChild>
        <w:div w:id="841700951">
          <w:marLeft w:val="0"/>
          <w:marRight w:val="0"/>
          <w:marTop w:val="0"/>
          <w:marBottom w:val="0"/>
          <w:divBdr>
            <w:top w:val="none" w:sz="0" w:space="0" w:color="auto"/>
            <w:left w:val="none" w:sz="0" w:space="0" w:color="auto"/>
            <w:bottom w:val="none" w:sz="0" w:space="0" w:color="auto"/>
            <w:right w:val="none" w:sz="0" w:space="0" w:color="auto"/>
          </w:divBdr>
        </w:div>
      </w:divsChild>
    </w:div>
    <w:div w:id="2088727723">
      <w:marLeft w:val="0"/>
      <w:marRight w:val="0"/>
      <w:marTop w:val="0"/>
      <w:marBottom w:val="0"/>
      <w:divBdr>
        <w:top w:val="none" w:sz="0" w:space="0" w:color="auto"/>
        <w:left w:val="none" w:sz="0" w:space="0" w:color="auto"/>
        <w:bottom w:val="none" w:sz="0" w:space="0" w:color="auto"/>
        <w:right w:val="none" w:sz="0" w:space="0" w:color="auto"/>
      </w:divBdr>
    </w:div>
    <w:div w:id="2103380902">
      <w:marLeft w:val="0"/>
      <w:marRight w:val="0"/>
      <w:marTop w:val="0"/>
      <w:marBottom w:val="0"/>
      <w:divBdr>
        <w:top w:val="none" w:sz="0" w:space="0" w:color="auto"/>
        <w:left w:val="none" w:sz="0" w:space="0" w:color="auto"/>
        <w:bottom w:val="none" w:sz="0" w:space="0" w:color="auto"/>
        <w:right w:val="none" w:sz="0" w:space="0" w:color="auto"/>
      </w:divBdr>
    </w:div>
    <w:div w:id="2110538564">
      <w:marLeft w:val="0"/>
      <w:marRight w:val="0"/>
      <w:marTop w:val="0"/>
      <w:marBottom w:val="0"/>
      <w:divBdr>
        <w:top w:val="none" w:sz="0" w:space="0" w:color="auto"/>
        <w:left w:val="none" w:sz="0" w:space="0" w:color="auto"/>
        <w:bottom w:val="none" w:sz="0" w:space="0" w:color="auto"/>
        <w:right w:val="none" w:sz="0" w:space="0" w:color="auto"/>
      </w:divBdr>
      <w:divsChild>
        <w:div w:id="2060664312">
          <w:marLeft w:val="0"/>
          <w:marRight w:val="0"/>
          <w:marTop w:val="0"/>
          <w:marBottom w:val="0"/>
          <w:divBdr>
            <w:top w:val="none" w:sz="0" w:space="0" w:color="auto"/>
            <w:left w:val="none" w:sz="0" w:space="0" w:color="auto"/>
            <w:bottom w:val="none" w:sz="0" w:space="0" w:color="auto"/>
            <w:right w:val="none" w:sz="0" w:space="0" w:color="auto"/>
          </w:divBdr>
        </w:div>
      </w:divsChild>
    </w:div>
    <w:div w:id="2111117534">
      <w:marLeft w:val="0"/>
      <w:marRight w:val="0"/>
      <w:marTop w:val="0"/>
      <w:marBottom w:val="120"/>
      <w:divBdr>
        <w:top w:val="none" w:sz="0" w:space="0" w:color="auto"/>
        <w:left w:val="none" w:sz="0" w:space="0" w:color="auto"/>
        <w:bottom w:val="none" w:sz="0" w:space="0" w:color="auto"/>
        <w:right w:val="none" w:sz="0" w:space="0" w:color="auto"/>
      </w:divBdr>
    </w:div>
    <w:div w:id="2122265499">
      <w:marLeft w:val="0"/>
      <w:marRight w:val="0"/>
      <w:marTop w:val="0"/>
      <w:marBottom w:val="0"/>
      <w:divBdr>
        <w:top w:val="none" w:sz="0" w:space="0" w:color="auto"/>
        <w:left w:val="none" w:sz="0" w:space="0" w:color="auto"/>
        <w:bottom w:val="none" w:sz="0" w:space="0" w:color="auto"/>
        <w:right w:val="none" w:sz="0" w:space="0" w:color="auto"/>
      </w:divBdr>
    </w:div>
    <w:div w:id="2129736093">
      <w:marLeft w:val="0"/>
      <w:marRight w:val="0"/>
      <w:marTop w:val="0"/>
      <w:marBottom w:val="0"/>
      <w:divBdr>
        <w:top w:val="none" w:sz="0" w:space="0" w:color="auto"/>
        <w:left w:val="none" w:sz="0" w:space="0" w:color="auto"/>
        <w:bottom w:val="none" w:sz="0" w:space="0" w:color="auto"/>
        <w:right w:val="none" w:sz="0" w:space="0" w:color="auto"/>
      </w:divBdr>
      <w:divsChild>
        <w:div w:id="957952871">
          <w:marLeft w:val="0"/>
          <w:marRight w:val="0"/>
          <w:marTop w:val="0"/>
          <w:marBottom w:val="0"/>
          <w:divBdr>
            <w:top w:val="none" w:sz="0" w:space="0" w:color="auto"/>
            <w:left w:val="none" w:sz="0" w:space="0" w:color="auto"/>
            <w:bottom w:val="none" w:sz="0" w:space="0" w:color="auto"/>
            <w:right w:val="none" w:sz="0" w:space="0" w:color="auto"/>
          </w:divBdr>
        </w:div>
      </w:divsChild>
    </w:div>
    <w:div w:id="2133287128">
      <w:marLeft w:val="0"/>
      <w:marRight w:val="0"/>
      <w:marTop w:val="0"/>
      <w:marBottom w:val="0"/>
      <w:divBdr>
        <w:top w:val="none" w:sz="0" w:space="0" w:color="auto"/>
        <w:left w:val="none" w:sz="0" w:space="0" w:color="auto"/>
        <w:bottom w:val="none" w:sz="0" w:space="0" w:color="auto"/>
        <w:right w:val="none" w:sz="0" w:space="0" w:color="auto"/>
      </w:divBdr>
    </w:div>
    <w:div w:id="2134713520">
      <w:marLeft w:val="0"/>
      <w:marRight w:val="0"/>
      <w:marTop w:val="0"/>
      <w:marBottom w:val="0"/>
      <w:divBdr>
        <w:top w:val="none" w:sz="0" w:space="0" w:color="auto"/>
        <w:left w:val="none" w:sz="0" w:space="0" w:color="auto"/>
        <w:bottom w:val="none" w:sz="0" w:space="0" w:color="auto"/>
        <w:right w:val="none" w:sz="0" w:space="0" w:color="auto"/>
      </w:divBdr>
    </w:div>
    <w:div w:id="2135828865">
      <w:marLeft w:val="0"/>
      <w:marRight w:val="0"/>
      <w:marTop w:val="0"/>
      <w:marBottom w:val="0"/>
      <w:divBdr>
        <w:top w:val="none" w:sz="0" w:space="0" w:color="auto"/>
        <w:left w:val="none" w:sz="0" w:space="0" w:color="auto"/>
        <w:bottom w:val="none" w:sz="0" w:space="0" w:color="auto"/>
        <w:right w:val="none" w:sz="0" w:space="0" w:color="auto"/>
      </w:divBdr>
      <w:divsChild>
        <w:div w:id="201877423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916365/000136231008001146/c72557exv10w45.htm" TargetMode="External"/><Relationship Id="rId21" Type="http://schemas.openxmlformats.org/officeDocument/2006/relationships/hyperlink" Target="http://www.sec.gov/Archives/edgar/data/916365/000118811204000294/tex10_53-1784b.txt" TargetMode="External"/><Relationship Id="rId42" Type="http://schemas.openxmlformats.org/officeDocument/2006/relationships/hyperlink" Target="http://www.sec.gov/Archives/edgar/data/916365/000091636517000081/ex101-incrementaltermloana.htm" TargetMode="External"/><Relationship Id="rId47" Type="http://schemas.openxmlformats.org/officeDocument/2006/relationships/hyperlink" Target="http://www.sec.gov/Archives/edgar/data/916365/000091636518000093/q2201810qex102formofnonqua.htm" TargetMode="External"/><Relationship Id="rId63" Type="http://schemas.openxmlformats.org/officeDocument/2006/relationships/hyperlink" Target="http://www.sec.gov/Archives/edgar/data/916365/000091636519000164/a102-changeincontrolag.htm" TargetMode="External"/><Relationship Id="rId68" Type="http://schemas.openxmlformats.org/officeDocument/2006/relationships/hyperlink" Target="http://www.sec.gov/Archives/edgar/data/916365/000091636520000059/ex101-incrementalterml.htm" TargetMode="External"/><Relationship Id="rId84" Type="http://schemas.openxmlformats.org/officeDocument/2006/relationships/hyperlink" Target="a202010-kex32q4.htm" TargetMode="External"/><Relationship Id="rId16" Type="http://schemas.openxmlformats.org/officeDocument/2006/relationships/hyperlink" Target="http://www.sec.gov/Archives/edgar/data/916365/000119312520282282/d63980dex42.htm" TargetMode="External"/><Relationship Id="rId11" Type="http://schemas.openxmlformats.org/officeDocument/2006/relationships/hyperlink" Target="http://www.sec.gov/Archives/edgar/data/916365/000091636520000188/ex43-formofsubordinate.htm" TargetMode="External"/><Relationship Id="rId32" Type="http://schemas.openxmlformats.org/officeDocument/2006/relationships/hyperlink" Target="http://www.sec.gov/Archives/edgar/data/916365/000095012309029586/c88667exv10w45.htm" TargetMode="External"/><Relationship Id="rId37" Type="http://schemas.openxmlformats.org/officeDocument/2006/relationships/hyperlink" Target="http://www.sec.gov/Archives/edgar/data/916365/000091636511000030/ex10_42.htm" TargetMode="External"/><Relationship Id="rId53" Type="http://schemas.openxmlformats.org/officeDocument/2006/relationships/hyperlink" Target="http://www.sec.gov/Archives/edgar/data/916365/000091636519000035/a201810-kex1041formofrestr.htm" TargetMode="External"/><Relationship Id="rId58" Type="http://schemas.openxmlformats.org/officeDocument/2006/relationships/hyperlink" Target="http://www.sec.gov/Archives/edgar/data/916365/000091636519000143/exhibit101-employmenta.htm" TargetMode="External"/><Relationship Id="rId74" Type="http://schemas.openxmlformats.org/officeDocument/2006/relationships/hyperlink" Target="http://www.sec.gov/Archives/edgar/data/916365/000091636520000184/firstamendmenttonotepu.htm" TargetMode="External"/><Relationship Id="rId79" Type="http://schemas.openxmlformats.org/officeDocument/2006/relationships/hyperlink" Target="ex1061nonqualifiedstockopt.htm" TargetMode="External"/><Relationship Id="rId5" Type="http://schemas.openxmlformats.org/officeDocument/2006/relationships/image" Target="file:///E:\projects\LLMs\new_data_collection\data_new\htm\TRACTOR%20SUPPLY%20CO\tsco-20201226_g2.jpg" TargetMode="External"/><Relationship Id="rId19" Type="http://schemas.openxmlformats.org/officeDocument/2006/relationships/hyperlink" Target="http://www.sec.gov/Archives/edgar/data/916365/0000950144-96-005860.txt" TargetMode="External"/><Relationship Id="rId14" Type="http://schemas.openxmlformats.org/officeDocument/2006/relationships/hyperlink" Target="http://www.sec.gov/Archives/edgar/data/916365/000119312520282282/d63980dex41.htm" TargetMode="External"/><Relationship Id="rId22" Type="http://schemas.openxmlformats.org/officeDocument/2006/relationships/hyperlink" Target="http://www.sec.gov/Archives/edgar/data/916365/000095014401003865/g67748ex10-57.txt" TargetMode="External"/><Relationship Id="rId27" Type="http://schemas.openxmlformats.org/officeDocument/2006/relationships/hyperlink" Target="http://www.sec.gov/Archives/edgar/data/916365/000129993306002914/exhibit1.htm" TargetMode="External"/><Relationship Id="rId30" Type="http://schemas.openxmlformats.org/officeDocument/2006/relationships/hyperlink" Target="http://www.sec.gov/Archives/edgar/data/916365/000095014409003170/g18571exv99w1.htm" TargetMode="External"/><Relationship Id="rId35" Type="http://schemas.openxmlformats.org/officeDocument/2006/relationships/hyperlink" Target="http://www.sec.gov/Archives/edgar/data/916365/000095012309056222/c91703exv10w49.htm" TargetMode="External"/><Relationship Id="rId43" Type="http://schemas.openxmlformats.org/officeDocument/2006/relationships/hyperlink" Target="http://www.sec.gov/Archives/edgar/data/916365/000091636517000094/exhibit101notepurchaseandp.htm" TargetMode="External"/><Relationship Id="rId48" Type="http://schemas.openxmlformats.org/officeDocument/2006/relationships/hyperlink" Target="http://www.sec.gov/Archives/edgar/data/916365/000091636518000093/q2201810qex103formofrestri.htm" TargetMode="External"/><Relationship Id="rId56" Type="http://schemas.openxmlformats.org/officeDocument/2006/relationships/hyperlink" Target="http://www.sec.gov/Archives/edgar/data/916365/000091636519000038/exhibit101formofchangeinco.htm" TargetMode="External"/><Relationship Id="rId64" Type="http://schemas.openxmlformats.org/officeDocument/2006/relationships/hyperlink" Target="http://www.sec.gov/Archives/edgar/data/916365/000091636519000170/a101-transitionagreeme.htm" TargetMode="External"/><Relationship Id="rId69" Type="http://schemas.openxmlformats.org/officeDocument/2006/relationships/hyperlink" Target="http://www.sec.gov/Archives/edgar/data/916365/000091636520000083/secondamendmenttocredi.htm" TargetMode="External"/><Relationship Id="rId77" Type="http://schemas.openxmlformats.org/officeDocument/2006/relationships/hyperlink" Target="ex1059performanceshareunit.htm" TargetMode="External"/><Relationship Id="rId8" Type="http://schemas.openxmlformats.org/officeDocument/2006/relationships/hyperlink" Target="http://www.sec.gov/Archives/edgar/data/916365/000091636520000107/ex31-fifthamendedandre.htm" TargetMode="External"/><Relationship Id="rId51" Type="http://schemas.openxmlformats.org/officeDocument/2006/relationships/hyperlink" Target="http://www.sec.gov/Archives/edgar/data/916365/000091636519000035/a201810-kex1039formofperfo.htm" TargetMode="External"/><Relationship Id="rId72" Type="http://schemas.openxmlformats.org/officeDocument/2006/relationships/hyperlink" Target="http://www.sec.gov/Archives/edgar/data/916365/000091636520000170/exhibit101transitionag.htm" TargetMode="External"/><Relationship Id="rId80" Type="http://schemas.openxmlformats.org/officeDocument/2006/relationships/hyperlink" Target="a202010-kex21q4.htm" TargetMode="External"/><Relationship Id="rId85"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sec.gov/Archives/edgar/data/916365/000091636520000188/ex43-formofsubordinate.htm" TargetMode="External"/><Relationship Id="rId17" Type="http://schemas.openxmlformats.org/officeDocument/2006/relationships/hyperlink" Target="ex46-descriptionofsecuriti.htm" TargetMode="External"/><Relationship Id="rId25" Type="http://schemas.openxmlformats.org/officeDocument/2006/relationships/hyperlink" Target="http://www.sec.gov/Archives/edgar/data/916365/000118811207000534/ex10-39.txt" TargetMode="External"/><Relationship Id="rId33" Type="http://schemas.openxmlformats.org/officeDocument/2006/relationships/hyperlink" Target="http://www.sec.gov/Archives/edgar/data/916365/000095012309029586/c88667exv10w46.htm" TargetMode="External"/><Relationship Id="rId38" Type="http://schemas.openxmlformats.org/officeDocument/2006/relationships/hyperlink" Target="http://www.sec.gov/Archives/edgar/data/916365/000091636511000051/creditagreement.htm" TargetMode="External"/><Relationship Id="rId46" Type="http://schemas.openxmlformats.org/officeDocument/2006/relationships/hyperlink" Target="http://www.sec.gov/Archives/edgar/data/916365/000091636518000036/a2018proxy-def14a.htm" TargetMode="External"/><Relationship Id="rId59" Type="http://schemas.openxmlformats.org/officeDocument/2006/relationships/hyperlink" Target="http://www.sec.gov/Archives/edgar/data/916365/000091636519000143/exhibit101-employmenta.htm" TargetMode="External"/><Relationship Id="rId67" Type="http://schemas.openxmlformats.org/officeDocument/2006/relationships/hyperlink" Target="http://www.sec.gov/Archives/edgar/data/916365/000091636520000050/a201910-kex1049.htm" TargetMode="External"/><Relationship Id="rId20" Type="http://schemas.openxmlformats.org/officeDocument/2006/relationships/hyperlink" Target="http://www.sec.gov/Archives/edgar/data/916365/0000950123-97-007736.txt" TargetMode="External"/><Relationship Id="rId41" Type="http://schemas.openxmlformats.org/officeDocument/2006/relationships/hyperlink" Target="http://www.sec.gov/Archives/edgar/data/916365/000091636516000138/creditagreement-tractorsup.htm" TargetMode="External"/><Relationship Id="rId54" Type="http://schemas.openxmlformats.org/officeDocument/2006/relationships/hyperlink" Target="http://www.sec.gov/Archives/edgar/data/916365/000091636519000035/a201810-kex1042formofnonqu.htm" TargetMode="External"/><Relationship Id="rId62" Type="http://schemas.openxmlformats.org/officeDocument/2006/relationships/hyperlink" Target="http://www.sec.gov/Archives/edgar/data/916365/000091636519000164/a101-employmentagreeme.htm" TargetMode="External"/><Relationship Id="rId70" Type="http://schemas.openxmlformats.org/officeDocument/2006/relationships/hyperlink" Target="http://www.sec.gov/Archives/edgar/data/916365/000091636520000083/incrementaltermloanagr.htm" TargetMode="External"/><Relationship Id="rId75" Type="http://schemas.openxmlformats.org/officeDocument/2006/relationships/hyperlink" Target="http://www.sec.gov/Archives/edgar/data/916365/000091636520000200/amendedandrestatedcred.htm" TargetMode="External"/><Relationship Id="rId83" Type="http://schemas.openxmlformats.org/officeDocument/2006/relationships/hyperlink" Target="a202010-kex312q4.htm" TargetMode="External"/><Relationship Id="rId1" Type="http://schemas.openxmlformats.org/officeDocument/2006/relationships/styles" Target="styles.xml"/><Relationship Id="rId6" Type="http://schemas.openxmlformats.org/officeDocument/2006/relationships/hyperlink" Target="http://www.sec.gov/Archives/edgar/data/916365/000119312520279209/d29870dex11.htm" TargetMode="External"/><Relationship Id="rId15" Type="http://schemas.openxmlformats.org/officeDocument/2006/relationships/hyperlink" Target="http://www.sec.gov/Archives/edgar/data/916365/000119312520282282/d63980dex42.htm" TargetMode="External"/><Relationship Id="rId23" Type="http://schemas.openxmlformats.org/officeDocument/2006/relationships/hyperlink" Target="http://www.sec.gov/Archives/edgar/data/916365/0000950123-97-007736.txt" TargetMode="External"/><Relationship Id="rId28" Type="http://schemas.openxmlformats.org/officeDocument/2006/relationships/hyperlink" Target="http://www.sec.gov/Archives/edgar/data/916365/000118811207000534/ex10-38.txt" TargetMode="External"/><Relationship Id="rId36" Type="http://schemas.openxmlformats.org/officeDocument/2006/relationships/hyperlink" Target="http://www.sec.gov/Archives/edgar/data/916365/000095012309056222/c91703exv10w50.htm" TargetMode="External"/><Relationship Id="rId49" Type="http://schemas.openxmlformats.org/officeDocument/2006/relationships/hyperlink" Target="http://www.sec.gov/Archives/edgar/data/916365/000091636518000093/q2201810qex104formofperfor.htm" TargetMode="External"/><Relationship Id="rId57" Type="http://schemas.openxmlformats.org/officeDocument/2006/relationships/hyperlink" Target="http://www.sec.gov/Archives/edgar/data/916365/000091636519000143/exhibit101-employmenta.htm" TargetMode="External"/><Relationship Id="rId10" Type="http://schemas.openxmlformats.org/officeDocument/2006/relationships/hyperlink" Target="http://www.sec.gov/Archives/edgar/data/916365/000091636520000107/ex31-fifthamendedandre.htm" TargetMode="External"/><Relationship Id="rId31" Type="http://schemas.openxmlformats.org/officeDocument/2006/relationships/hyperlink" Target="http://www.sec.gov/Archives/edgar/data/916365/000095012309029586/c88667exv10w44.htm" TargetMode="External"/><Relationship Id="rId44" Type="http://schemas.openxmlformats.org/officeDocument/2006/relationships/hyperlink" Target="http://www.sec.gov/Archives/edgar/data/916365/000091636518000031/a201710-kex1033performance.htm" TargetMode="External"/><Relationship Id="rId52" Type="http://schemas.openxmlformats.org/officeDocument/2006/relationships/hyperlink" Target="http://www.sec.gov/Archives/edgar/data/916365/000091636519000035/a201810-kex1040formofperfo.htm" TargetMode="External"/><Relationship Id="rId60" Type="http://schemas.openxmlformats.org/officeDocument/2006/relationships/hyperlink" Target="http://www.sec.gov/Archives/edgar/data/916365/000091636519000145/exhibit101-transitiona.htm" TargetMode="External"/><Relationship Id="rId65" Type="http://schemas.openxmlformats.org/officeDocument/2006/relationships/hyperlink" Target="http://www.sec.gov/Archives/edgar/data/916365/000091636519000038/exhibit101formofchangeinco.htm" TargetMode="External"/><Relationship Id="rId73" Type="http://schemas.openxmlformats.org/officeDocument/2006/relationships/hyperlink" Target="http://www.sec.gov/Archives/edgar/data/916365/000091636520000184/thirdamendmenttocredit.htm" TargetMode="External"/><Relationship Id="rId78" Type="http://schemas.openxmlformats.org/officeDocument/2006/relationships/hyperlink" Target="ex1060restrictedshareunita.htm" TargetMode="External"/><Relationship Id="rId81" Type="http://schemas.openxmlformats.org/officeDocument/2006/relationships/hyperlink" Target="a202010-kex23q4.htm" TargetMode="External"/><Relationship Id="rId86" Type="http://schemas.openxmlformats.org/officeDocument/2006/relationships/theme" Target="theme/theme1.xml"/><Relationship Id="rId4" Type="http://schemas.openxmlformats.org/officeDocument/2006/relationships/image" Target="file:///E:\projects\LLMs\new_data_collection\data_new\htm\TRACTOR%20SUPPLY%20CO\tsco-20201226_g1.jpg" TargetMode="External"/><Relationship Id="rId9" Type="http://schemas.openxmlformats.org/officeDocument/2006/relationships/hyperlink" Target="http://www.sec.gov/Archives/edgar/data/916365/000091636520000107/ex31-fifthamendedandre.htm" TargetMode="External"/><Relationship Id="rId13" Type="http://schemas.openxmlformats.org/officeDocument/2006/relationships/hyperlink" Target="http://www.sec.gov/Archives/edgar/data/916365/000091636520000188/ex43-formofsubordinate.htm" TargetMode="External"/><Relationship Id="rId18" Type="http://schemas.openxmlformats.org/officeDocument/2006/relationships/hyperlink" Target="ex46-descriptionofsecuriti.htm" TargetMode="External"/><Relationship Id="rId39" Type="http://schemas.openxmlformats.org/officeDocument/2006/relationships/hyperlink" Target="http://www.sec.gov/Archives/edgar/data/916365/000091636514000110/a052114-creditagreementex1.htm" TargetMode="External"/><Relationship Id="rId34" Type="http://schemas.openxmlformats.org/officeDocument/2006/relationships/hyperlink" Target="http://www.sec.gov/Archives/edgar/data/916365/000095012309056222/c91703exv10w48.htm" TargetMode="External"/><Relationship Id="rId50" Type="http://schemas.openxmlformats.org/officeDocument/2006/relationships/hyperlink" Target="http://www.sec.gov/Archives/edgar/data/916365/000091636518000119/a11142018tsco-ex101.htm" TargetMode="External"/><Relationship Id="rId55" Type="http://schemas.openxmlformats.org/officeDocument/2006/relationships/hyperlink" Target="http://www.sec.gov/Archives/edgar/data/916365/000091636519000038/exhibit101formofchangeinco.htm" TargetMode="External"/><Relationship Id="rId76" Type="http://schemas.openxmlformats.org/officeDocument/2006/relationships/hyperlink" Target="http://www.sec.gov/Archives/edgar/data/916365/000091636520000200/secondamendment.htm" TargetMode="External"/><Relationship Id="rId7" Type="http://schemas.openxmlformats.org/officeDocument/2006/relationships/hyperlink" Target="http://www.sec.gov/Archives/edgar/data/916365/000091636520000184/restatedcertificateofi.htm" TargetMode="External"/><Relationship Id="rId71" Type="http://schemas.openxmlformats.org/officeDocument/2006/relationships/hyperlink" Target="http://www.sec.gov/Archives/edgar/data/916365/000091636519000038/exhibit101formofchangeinco.htm" TargetMode="External"/><Relationship Id="rId2" Type="http://schemas.openxmlformats.org/officeDocument/2006/relationships/settings" Target="settings.xml"/><Relationship Id="rId29" Type="http://schemas.openxmlformats.org/officeDocument/2006/relationships/hyperlink" Target="http://www.sec.gov/Archives/edgar/data/916365/000136231009002757/c81596exv10w41.htm" TargetMode="External"/><Relationship Id="rId24" Type="http://schemas.openxmlformats.org/officeDocument/2006/relationships/hyperlink" Target="http://www.sec.gov/Archives/edgar/data/916365/000095014402005220/g76225ex10-58.txt" TargetMode="External"/><Relationship Id="rId40" Type="http://schemas.openxmlformats.org/officeDocument/2006/relationships/hyperlink" Target="http://www.sec.gov/Archives/edgar/data/916365/000091636515000042/a201410-kex1034.htm" TargetMode="External"/><Relationship Id="rId45" Type="http://schemas.openxmlformats.org/officeDocument/2006/relationships/hyperlink" Target="http://www.sec.gov/Archives/edgar/data/916365/000091636518000031/a201710-kex1034performance.htm" TargetMode="External"/><Relationship Id="rId66" Type="http://schemas.openxmlformats.org/officeDocument/2006/relationships/hyperlink" Target="http://www.sec.gov/Archives/edgar/data/916365/000091636520000050/a201910-kex1048.htm" TargetMode="External"/><Relationship Id="rId61" Type="http://schemas.openxmlformats.org/officeDocument/2006/relationships/hyperlink" Target="http://www.sec.gov/Archives/edgar/data/916365/000091636519000158/exhibit101-tractorsupp.htm" TargetMode="External"/><Relationship Id="rId82" Type="http://schemas.openxmlformats.org/officeDocument/2006/relationships/hyperlink" Target="a202010-kex311q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55610</Words>
  <Characters>316977</Characters>
  <Application>Microsoft Office Word</Application>
  <DocSecurity>0</DocSecurity>
  <Lines>2641</Lines>
  <Paragraphs>743</Paragraphs>
  <ScaleCrop>false</ScaleCrop>
  <Company/>
  <LinksUpToDate>false</LinksUpToDate>
  <CharactersWithSpaces>371844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tsco-20201226</dc:title>
  <dc:subject/>
  <dc:creator>Chongjian.Yue</dc:creator>
  <cp:keywords/>
  <dc:description/>
  <cp:lastModifiedBy>Yue Chongjian</cp:lastModifiedBy>
  <cp:revision>1</cp:revision>
  <dcterms:created xsi:type="dcterms:W3CDTF">2024-01-04T16:02:00Z</dcterms:created>
  <dcterms:modified xsi:type="dcterms:W3CDTF">2024-01-04T16:02:00Z</dcterms:modified>
</cp:coreProperties>
</file>