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F39D7">
      <w:pPr>
        <w:divId w:val="1093472035"/>
        <w:rPr>
          <w:rFonts w:eastAsia="Times New Roman"/>
          <w:vanish/>
        </w:rPr>
      </w:pPr>
      <w:r>
        <w:rPr>
          <w:rFonts w:eastAsia="Times New Roman"/>
          <w:vanish/>
        </w:rPr>
        <w:t>TRACTOR SUPPLY CO /DE/000091636512/25112,772,3492021FYfalseP2YP7YP10YP10YP1YP3YP2YP4YP5Y00009163652020-12-272021-12-2500009163652021-06-26iso4217:USD00009163652022-01-22xbrli:shares00009163652019-12-292020-12-2600009163652018-12-302019-12-28</w:t>
      </w:r>
      <w:r>
        <w:rPr>
          <w:rFonts w:eastAsia="Times New Roman"/>
          <w:vanish/>
        </w:rPr>
        <w:t>iso4217:USDxbrli:shares00009163652021-12-2500009163652020-12-260000916365us-gaap:CommonStockMember2018-12-290000916365us-gaap:AdditionalPaidInCapitalMember2018-12-290000916365us-gaap:TreasuryStockMember2018-12-290000916365us-gaap:AccumulatedOtherComprehens</w:t>
      </w:r>
      <w:r>
        <w:rPr>
          <w:rFonts w:eastAsia="Times New Roman"/>
          <w:vanish/>
        </w:rPr>
        <w:t>iveIncomeMember2018-12-290000916365us-gaap:RetainedEarningsMember2018-12-2900009163652018-12-290000916365us-gaap:CommonStockMember2018-12-302019-12-280000916365us-gaap:AdditionalPaidInCapitalMember2018-12-302019-12-280000916365us-gaap:RestrictedStockUnitsR</w:t>
      </w:r>
      <w:r>
        <w:rPr>
          <w:rFonts w:eastAsia="Times New Roman"/>
          <w:vanish/>
        </w:rPr>
        <w:t>SUMember2018-12-302019-12-280000916365us-gaap:TreasuryStockMember2018-12-302019-12-280000916365us-gaap:RetainedEarningsMember2018-12-302019-12-280000916365us-gaap:AccumulatedOtherComprehensiveIncomeMember2018-12-302019-12-280000916365us-gaap:AccountingStan</w:t>
      </w:r>
      <w:r>
        <w:rPr>
          <w:rFonts w:eastAsia="Times New Roman"/>
          <w:vanish/>
        </w:rPr>
        <w:t>dardsUpdate201802Memberus-gaap:AccumulatedOtherComprehensiveIncomeMember2018-12-302019-12-280000916365us-gaap:AccountingStandardsUpdate201802Memberus-gaap:RetainedEarningsMember2018-12-302019-12-280000916365us-gaap:CommonStockMember2019-12-280000916365us-g</w:t>
      </w:r>
      <w:r>
        <w:rPr>
          <w:rFonts w:eastAsia="Times New Roman"/>
          <w:vanish/>
        </w:rPr>
        <w:t>aap:AdditionalPaidInCapitalMember2019-12-280000916365us-gaap:TreasuryStockMember2019-12-280000916365us-gaap:AccumulatedOtherComprehensiveIncomeMember2019-12-280000916365us-gaap:RetainedEarningsMember2019-12-2800009163652019-12-280000916365us-gaap:CommonSto</w:t>
      </w:r>
      <w:r>
        <w:rPr>
          <w:rFonts w:eastAsia="Times New Roman"/>
          <w:vanish/>
        </w:rPr>
        <w:t>ckMember2019-12-292020-12-260000916365us-gaap:AdditionalPaidInCapitalMember2019-12-292020-12-260000916365us-gaap:RestrictedStockUnitsRSUMember2019-12-292020-12-260000916365us-gaap:TreasuryStockMember2019-12-292020-12-260000916365us-gaap:RetainedEarningsMem</w:t>
      </w:r>
      <w:r>
        <w:rPr>
          <w:rFonts w:eastAsia="Times New Roman"/>
          <w:vanish/>
        </w:rPr>
        <w:t>ber2019-12-292020-12-260000916365us-gaap:AccumulatedOtherComprehensiveIncomeMember2019-12-292020-12-260000916365us-gaap:CommonStockMember2020-12-260000916365us-gaap:AdditionalPaidInCapitalMember2020-12-260000916365us-gaap:TreasuryStockMember2020-12-2600009</w:t>
      </w:r>
      <w:r>
        <w:rPr>
          <w:rFonts w:eastAsia="Times New Roman"/>
          <w:vanish/>
        </w:rPr>
        <w:t>16365us-gaap:AccumulatedOtherComprehensiveIncomeMember2020-12-260000916365us-gaap:RetainedEarningsMember2020-12-260000916365us-gaap:CommonStockMember2020-12-272021-12-250000916365us-gaap:AdditionalPaidInCapitalMember2020-12-272021-12-250000916365us-gaap:Re</w:t>
      </w:r>
      <w:r>
        <w:rPr>
          <w:rFonts w:eastAsia="Times New Roman"/>
          <w:vanish/>
        </w:rPr>
        <w:t>strictedStockUnitsRSUMember2020-12-272021-12-250000916365us-gaap:TreasuryStockMember2020-12-272021-12-250000916365us-gaap:RetainedEarningsMember2020-12-272021-12-250000916365us-gaap:AccumulatedOtherComprehensiveIncomeMember2020-12-272021-12-250000916365us-</w:t>
      </w:r>
      <w:r>
        <w:rPr>
          <w:rFonts w:eastAsia="Times New Roman"/>
          <w:vanish/>
        </w:rPr>
        <w:t>gaap:CommonStockMember2021-12-250000916365us-gaap:AdditionalPaidInCapitalMember2021-12-250000916365us-gaap:TreasuryStockMember2021-12-250000916365us-gaap:AccumulatedOtherComprehensiveIncomeMember2021-12-250000916365us-gaap:RetainedEarningsMember2021-12-250</w:t>
      </w:r>
      <w:r>
        <w:rPr>
          <w:rFonts w:eastAsia="Times New Roman"/>
          <w:vanish/>
        </w:rPr>
        <w:t>000916365srt:ParentCompanyMember2021-12-25tsco:storetsco:state0000916365tsco:TSCOstoresDomain2021-12-250000916365tsco:PetsensestoresDomain2021-12-250000916365tsco:OrschelnFarmAndHomeLLCMember2021-02-170000916365tsco:OrschelnFarmAndHomeLLCMember2021-02-1720</w:t>
      </w:r>
      <w:r>
        <w:rPr>
          <w:rFonts w:eastAsia="Times New Roman"/>
          <w:vanish/>
        </w:rPr>
        <w:t>21-02-170000916365stpr:TX2020-12-272021-12-250000916365tsco:WorkersCompensationReserveMember2021-12-250000916365tsco:WorkersCompensationReserveMember2020-12-260000916365tsco:GeneralLiabilityReserveMember2021-12-250000916365tsco:GeneralLiabilityReserveMembe</w:t>
      </w:r>
      <w:r>
        <w:rPr>
          <w:rFonts w:eastAsia="Times New Roman"/>
          <w:vanish/>
        </w:rPr>
        <w:t>r2020-12-260000916365tsco:SelfInsuranceClaimsMember2021-12-250000916365tsco:SelfInsuranceClaimsMember2020-12-26utr:H0000916365tsco:FranklinKyDcMember2020-12-272021-12-250000916365tsco:FranklinKyDcMember2021-12-250000916365tsco:MaconGaDcMember2020-12-272021</w:t>
      </w:r>
      <w:r>
        <w:rPr>
          <w:rFonts w:eastAsia="Times New Roman"/>
          <w:vanish/>
        </w:rPr>
        <w:t>-12-250000916365tsco:MaconGaDcMember2021-12-250000916365tsco:BrentwoodTnSscMember2020-12-272021-12-250000916365tsco:BrentwoodTnSscMember2021-12-250000916365tsco:NavarreOHDCMember2020-12-272021-12-250000916365tsco:NavarreOHDCMember2021-12-250000916365tsco:S</w:t>
      </w:r>
      <w:r>
        <w:rPr>
          <w:rFonts w:eastAsia="Times New Roman"/>
          <w:vanish/>
        </w:rPr>
        <w:t>oftwareMinimumMember2020-12-272021-12-250000916365tsco:SoftwareMaximumMember2020-12-272021-12-25xbrli:pure0000916365us-gaap:EmployeeStockOptionMember2020-12-272021-12-250000916365us-gaap:EmployeeStockOptionMember2019-12-292020-12-260000916365us-gaap:Employ</w:t>
      </w:r>
      <w:r>
        <w:rPr>
          <w:rFonts w:eastAsia="Times New Roman"/>
          <w:vanish/>
        </w:rPr>
        <w:t>eeStockOptionMember2018-12-302019-12-280000916365us-gaap:EmployeeStockOptionMember2020-12-260000916365us-gaap:EmployeeStockOptionMember2021-12-250000916365us-gaap:RestrictedStockUnitsRSUMember2020-12-260000916365us-gaap:RestrictedStockUnitsRSUMember2021-12</w:t>
      </w:r>
      <w:r>
        <w:rPr>
          <w:rFonts w:eastAsia="Times New Roman"/>
          <w:vanish/>
        </w:rPr>
        <w:t>-250000916365us-gaap:PerformanceSharesMember2020-12-272021-12-25utr:Rate0000916365us-gaap:PerformanceSharesMember2020-12-260000916365us-gaap:PerformanceSharesMember2021-12-250000916365us-gaap:PerformanceSharesMember2019-12-292020-12-260000916365us-gaap:Per</w:t>
      </w:r>
      <w:r>
        <w:rPr>
          <w:rFonts w:eastAsia="Times New Roman"/>
          <w:vanish/>
        </w:rPr>
        <w:t>formanceSharesMember2018-12-302019-12-280000916365us-gaap:EmployeeStockMember2020-12-272021-12-250000916365us-gaap:EmployeeStockMember2019-12-292020-12-260000916365us-gaap:EmployeeStockMember2018-12-302019-12-280000916365us-gaap:EmployeeStockMembersrt:Maxi</w:t>
      </w:r>
      <w:r>
        <w:rPr>
          <w:rFonts w:eastAsia="Times New Roman"/>
          <w:vanish/>
        </w:rPr>
        <w:t>mumMember2021-12-250000916365us-gaap:EmployeeStockMember2021-12-250000916365tsco:TractorSupplyCompanyMember2020-12-260000916365tsco:PetsenseMember2020-12-260000916365tsco:TractorSupplyCompanyAndPetsenseMember2020-12-260000916365tsco:PetsenseMember2019-12-2</w:t>
      </w:r>
      <w:r>
        <w:rPr>
          <w:rFonts w:eastAsia="Times New Roman"/>
          <w:vanish/>
        </w:rPr>
        <w:t>80000916365tsco:TractorSupplyCompanyAndPetsenseMember2019-12-280000916365tsco:TractorSupplyCompanyMember2020-12-272021-12-250000916365tsco:PetsenseMember2020-12-272021-12-250000916365tsco:TractorSupplyCompanyAndPetsenseMember2020-12-272021-12-250000916365t</w:t>
      </w:r>
      <w:r>
        <w:rPr>
          <w:rFonts w:eastAsia="Times New Roman"/>
          <w:vanish/>
        </w:rPr>
        <w:t>sco:TractorSupplyCompanyMember2019-12-292020-12-260000916365tsco:PetsenseMember2019-12-292020-12-260000916365tsco:TractorSupplyCompanyAndPetsenseMember2019-12-292020-12-260000916365tsco:TractorSupplyCompanyMember2021-12-250000916365tsco:PetsenseMember2021-</w:t>
      </w:r>
      <w:r>
        <w:rPr>
          <w:rFonts w:eastAsia="Times New Roman"/>
          <w:vanish/>
        </w:rPr>
        <w:t>12-250000916365tsco:TractorSupplyCompanyAndPetsenseMember2021-12-2500009163652021-12-252021-12-250000916365us-gaap:BondsMember2021-12-250000916365us-gaap:BondsMember2020-12-260000916365us-gaap:NotesPayableToBanksMember2021-12-250000916365us-gaap:NotesPayab</w:t>
      </w:r>
      <w:r>
        <w:rPr>
          <w:rFonts w:eastAsia="Times New Roman"/>
          <w:vanish/>
        </w:rPr>
        <w:t>leToBanksMember2020-12-260000916365tsco:November2020TermLoanMember2021-12-250000916365tsco:November2020TermLoanMember2020-12-260000916365tsco:A2016SeniorCreditFacilityMember2020-12-272021-12-250000916365tsco:A2016SeniorCreditFacilityMember2019-12-292020-12</w:t>
      </w:r>
      <w:r>
        <w:rPr>
          <w:rFonts w:eastAsia="Times New Roman"/>
          <w:vanish/>
        </w:rPr>
        <w:t>-260000916365us-gaap:BondsMember2020-10-302020-10-300000916365tsco:A1750SeniorNotesMember2020-12-272021-12-250000916365us-gaap:SeniorNotesMember2017-08-142017-08-140000916365tsco:February2016TermLoanMember2016-02-192016-02-190000916365tsco:November2020Term</w:t>
      </w:r>
      <w:r>
        <w:rPr>
          <w:rFonts w:eastAsia="Times New Roman"/>
          <w:vanish/>
        </w:rPr>
        <w:t>LoanMember2020-11-042020-11-0400009163652020-11-0400009163652020-11-042020-11-040000916365tsco:A2016SeniorCreditFacilityMember2020-11-042020-11-040000916365us-gaap:BaseRateMember2021-12-250000916365srt:MinimumMember2020-12-272021-12-250000916365srt:Maximum</w:t>
      </w:r>
      <w:r>
        <w:rPr>
          <w:rFonts w:eastAsia="Times New Roman"/>
          <w:vanish/>
        </w:rPr>
        <w:t>Member2020-12-272021-12-250000916365us-gaap:LondonInterbankOfferedRateLIBORMember2021-12-250000916365tsco:June2017TermLoanMember2017-06-152017-06-150000916365tsco:March2020TermLoanMember2020-03-122020-03-120000916365tsco:April2020TermLoanMember2020-04-2220</w:t>
      </w:r>
      <w:r>
        <w:rPr>
          <w:rFonts w:eastAsia="Times New Roman"/>
          <w:vanish/>
        </w:rPr>
        <w:t>20-04-220000916365tsco:April2020TermLoanMember2020-10-302020-10-300000916365tsco:NumberofFinancialCovenantsMember2020-12-272021-12-250000916365tsco:FixedChargeCoverageRatioMinimumRequirementMember2020-12-272021-12-250000916365tsco:LeverageRatioMaximumRequi</w:t>
      </w:r>
      <w:r>
        <w:rPr>
          <w:rFonts w:eastAsia="Times New Roman"/>
          <w:vanish/>
        </w:rPr>
        <w:t>rementMember2020-12-272021-12-250000916365srt:MinimumMember2021-12-250000916365srt:MaximumMember2021-12-2500009163652022-01-262022-01-260000916365tsco:RepurchaseProgramIncreaseMember2022-01-2600009163652022-01-260000916365tsco:NavarreOHDCMember2021-12-25ts</w:t>
      </w:r>
      <w:r>
        <w:rPr>
          <w:rFonts w:eastAsia="Times New Roman"/>
          <w:vanish/>
        </w:rPr>
        <w:t>co:segment0000916365tsco:LivestockAndPetMember2020-12-272021-12-250000916365tsco:LivestockAndPetMember2019-12-292020-12-260000916365tsco:LivestockAndPetMember2018-12-302019-12-280000916365tsco:HardwareToolsAndTruckMember2020-12-272021-12-250000916365tsco:H</w:t>
      </w:r>
      <w:r>
        <w:rPr>
          <w:rFonts w:eastAsia="Times New Roman"/>
          <w:vanish/>
        </w:rPr>
        <w:t>ardwareToolsAndTruckMember2019-12-292020-12-260000916365tsco:HardwareToolsAndTruckMember2018-12-302019-12-280000916365tsco:SeasonalGiftAndToyProductsMember2020-12-272021-12-250000916365tsco:SeasonalGiftAndToyProductsMember2019-12-292020-12-260000916365tsco</w:t>
      </w:r>
      <w:r>
        <w:rPr>
          <w:rFonts w:eastAsia="Times New Roman"/>
          <w:vanish/>
        </w:rPr>
        <w:t>:SeasonalGiftAndToyProductsMember2018-12-302019-12-280000916365tsco:ClothingAndFootwareMember2020-12-272021-12-250000916365tsco:ClothingAndFootwareMember2019-12-292020-12-260000916365tsco:ClothingAndFootwareMember2018-12-302019-12-280000916365tsco:Agricult</w:t>
      </w:r>
      <w:r>
        <w:rPr>
          <w:rFonts w:eastAsia="Times New Roman"/>
          <w:vanish/>
        </w:rPr>
        <w:t>ureMember2020-12-272021-12-250000916365tsco:AgricultureMember2019-12-292020-12-260000916365tsco:AgricultureMember2018-12-302019-12-2800009163652021-02-172021-02-17</w:t>
      </w:r>
    </w:p>
    <w:p w:rsidR="00000000" w:rsidRDefault="001F39D7">
      <w:pPr>
        <w:divId w:val="962687365"/>
        <w:rPr>
          <w:rFonts w:eastAsia="Times New Roman"/>
        </w:rPr>
      </w:pPr>
    </w:p>
    <w:p w:rsidR="00000000" w:rsidRDefault="001F39D7">
      <w:pPr>
        <w:jc w:val="center"/>
        <w:rPr>
          <w:rFonts w:eastAsia="Times New Roman"/>
        </w:rPr>
      </w:pPr>
      <w:r>
        <w:rPr>
          <w:rFonts w:eastAsia="Times New Roman"/>
          <w:b/>
          <w:bCs/>
          <w:color w:val="000000"/>
          <w:sz w:val="20"/>
          <w:szCs w:val="20"/>
        </w:rPr>
        <w:t>UNITED STATES</w:t>
      </w:r>
    </w:p>
    <w:p w:rsidR="00000000" w:rsidRDefault="001F39D7">
      <w:pPr>
        <w:jc w:val="center"/>
        <w:rPr>
          <w:rFonts w:eastAsia="Times New Roman"/>
        </w:rPr>
      </w:pPr>
      <w:r>
        <w:rPr>
          <w:rFonts w:eastAsia="Times New Roman"/>
          <w:b/>
          <w:bCs/>
          <w:color w:val="000000"/>
          <w:sz w:val="20"/>
          <w:szCs w:val="20"/>
        </w:rPr>
        <w:t>SECURITIES AND EXCHANGE COMMISSION</w:t>
      </w:r>
    </w:p>
    <w:p w:rsidR="00000000" w:rsidRDefault="001F39D7">
      <w:pPr>
        <w:jc w:val="center"/>
        <w:rPr>
          <w:rFonts w:eastAsia="Times New Roman"/>
        </w:rPr>
      </w:pPr>
      <w:r>
        <w:rPr>
          <w:rFonts w:eastAsia="Times New Roman"/>
          <w:b/>
          <w:bCs/>
          <w:color w:val="000000"/>
          <w:sz w:val="20"/>
          <w:szCs w:val="20"/>
        </w:rPr>
        <w:t>WASHINGTON, D.C. 20549</w:t>
      </w:r>
    </w:p>
    <w:p w:rsidR="00000000" w:rsidRDefault="001F39D7">
      <w:pPr>
        <w:divId w:val="1545025052"/>
        <w:rPr>
          <w:rFonts w:eastAsia="Times New Roman"/>
        </w:rPr>
      </w:pPr>
    </w:p>
    <w:p w:rsidR="00000000" w:rsidRDefault="001F39D7">
      <w:pPr>
        <w:jc w:val="center"/>
        <w:rPr>
          <w:rFonts w:eastAsia="Times New Roman"/>
        </w:rPr>
      </w:pPr>
      <w:r>
        <w:rPr>
          <w:rFonts w:eastAsia="Times New Roman"/>
          <w:b/>
          <w:bCs/>
          <w:color w:val="000000"/>
          <w:sz w:val="20"/>
          <w:szCs w:val="20"/>
        </w:rPr>
        <w:t>FORM 10-K</w:t>
      </w:r>
    </w:p>
    <w:p w:rsidR="00000000" w:rsidRDefault="001F39D7">
      <w:pPr>
        <w:divId w:val="753094254"/>
        <w:rPr>
          <w:rFonts w:eastAsia="Times New Roman"/>
        </w:rPr>
      </w:pPr>
      <w:r>
        <w:rPr>
          <w:rFonts w:eastAsia="Times New Roman"/>
          <w:color w:val="000000"/>
          <w:sz w:val="16"/>
          <w:szCs w:val="16"/>
        </w:rPr>
        <w:t xml:space="preserve">(Mark </w:t>
      </w:r>
      <w:r>
        <w:rPr>
          <w:rFonts w:eastAsia="Times New Roman"/>
          <w:color w:val="000000"/>
          <w:sz w:val="16"/>
          <w:szCs w:val="16"/>
        </w:rPr>
        <w:t>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22"/>
        <w:gridCol w:w="36"/>
        <w:gridCol w:w="69"/>
        <w:gridCol w:w="7874"/>
        <w:gridCol w:w="36"/>
      </w:tblGrid>
      <w:tr w:rsidR="00000000">
        <w:trPr>
          <w:divId w:val="753094254"/>
        </w:trPr>
        <w:tc>
          <w:tcPr>
            <w:tcW w:w="50" w:type="pct"/>
            <w:vAlign w:val="center"/>
            <w:hideMark/>
          </w:tcPr>
          <w:p w:rsidR="00000000" w:rsidRDefault="001F39D7">
            <w:pPr>
              <w:rPr>
                <w:rFonts w:eastAsia="Times New Roman"/>
              </w:rPr>
            </w:pPr>
          </w:p>
        </w:tc>
        <w:tc>
          <w:tcPr>
            <w:tcW w:w="14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74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753094254"/>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ascii="Wingdings" w:eastAsia="Times New Roman" w:hAnsi="Wingdings"/>
                <w:color w:val="000000"/>
              </w:rPr>
              <w:t>☒</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ANNUAL REPORT PURSUANT TO SECTION 13 OR 15(d) OF THE SECURITIES EXCHANGE ACT OF 1934</w:t>
            </w:r>
          </w:p>
        </w:tc>
      </w:tr>
    </w:tbl>
    <w:p w:rsidR="00000000" w:rsidRDefault="001F39D7">
      <w:pPr>
        <w:jc w:val="center"/>
        <w:rPr>
          <w:rFonts w:eastAsia="Times New Roman"/>
        </w:rPr>
      </w:pPr>
      <w:r>
        <w:rPr>
          <w:rFonts w:eastAsia="Times New Roman"/>
          <w:color w:val="000000"/>
          <w:sz w:val="20"/>
          <w:szCs w:val="20"/>
        </w:rPr>
        <w:t xml:space="preserve">For the fiscal year ended December 25, 2021 </w:t>
      </w:r>
    </w:p>
    <w:p w:rsidR="00000000" w:rsidRDefault="001F39D7">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2"/>
        <w:gridCol w:w="36"/>
        <w:gridCol w:w="69"/>
        <w:gridCol w:w="7874"/>
        <w:gridCol w:w="36"/>
      </w:tblGrid>
      <w:tr w:rsidR="00000000">
        <w:trPr>
          <w:jc w:val="center"/>
        </w:trPr>
        <w:tc>
          <w:tcPr>
            <w:tcW w:w="50" w:type="pct"/>
            <w:vAlign w:val="center"/>
            <w:hideMark/>
          </w:tcPr>
          <w:p w:rsidR="00000000" w:rsidRDefault="001F39D7">
            <w:pPr>
              <w:jc w:val="center"/>
              <w:rPr>
                <w:rFonts w:eastAsia="Times New Roman"/>
              </w:rPr>
            </w:pPr>
          </w:p>
        </w:tc>
        <w:tc>
          <w:tcPr>
            <w:tcW w:w="14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74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TRANSITION REPORT PURSUANT TO SECTION 13 OR 15(d) OF THE SECURITIES EXCHANGE ACT OF 1934</w:t>
            </w:r>
          </w:p>
        </w:tc>
      </w:tr>
    </w:tbl>
    <w:p w:rsidR="00000000" w:rsidRDefault="001F39D7">
      <w:pPr>
        <w:jc w:val="center"/>
        <w:rPr>
          <w:rFonts w:eastAsia="Times New Roman"/>
        </w:rPr>
      </w:pPr>
      <w:r>
        <w:rPr>
          <w:rFonts w:eastAsia="Times New Roman"/>
          <w:color w:val="000000"/>
          <w:sz w:val="20"/>
          <w:szCs w:val="20"/>
        </w:rPr>
        <w:t>For the transition period from________to________.</w:t>
      </w:r>
    </w:p>
    <w:p w:rsidR="00000000" w:rsidRDefault="001F39D7">
      <w:pPr>
        <w:jc w:val="center"/>
        <w:rPr>
          <w:rFonts w:eastAsia="Times New Roman"/>
        </w:rPr>
      </w:pPr>
      <w:r>
        <w:rPr>
          <w:rFonts w:eastAsia="Times New Roman"/>
          <w:color w:val="000000"/>
          <w:sz w:val="20"/>
          <w:szCs w:val="20"/>
        </w:rPr>
        <w:t xml:space="preserve">Commission file number </w:t>
      </w:r>
      <w:r>
        <w:rPr>
          <w:rFonts w:eastAsia="Times New Roman"/>
          <w:color w:val="000000"/>
          <w:sz w:val="20"/>
          <w:szCs w:val="20"/>
          <w:u w:val="single"/>
        </w:rPr>
        <w:t>000-23314</w:t>
      </w:r>
    </w:p>
    <w:p w:rsidR="00000000" w:rsidRDefault="001F39D7">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F39D7">
      <w:pPr>
        <w:jc w:val="center"/>
        <w:rPr>
          <w:rFonts w:eastAsia="Times New Roman"/>
        </w:rPr>
      </w:pPr>
      <w:r>
        <w:rPr>
          <w:rFonts w:eastAsia="Times New Roman"/>
          <w:b/>
          <w:bCs/>
          <w:color w:val="000000"/>
          <w:sz w:val="20"/>
          <w:szCs w:val="20"/>
        </w:rPr>
        <w:t>TRACTOR SUPPLY COMPANY</w:t>
      </w:r>
    </w:p>
    <w:p w:rsidR="00000000" w:rsidRDefault="001F39D7">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4003"/>
        <w:gridCol w:w="36"/>
        <w:gridCol w:w="36"/>
        <w:gridCol w:w="36"/>
        <w:gridCol w:w="36"/>
        <w:gridCol w:w="46"/>
        <w:gridCol w:w="4016"/>
        <w:gridCol w:w="36"/>
      </w:tblGrid>
      <w:tr w:rsidR="00000000">
        <w:trPr>
          <w:jc w:val="center"/>
        </w:trPr>
        <w:tc>
          <w:tcPr>
            <w:tcW w:w="50" w:type="pct"/>
            <w:vAlign w:val="center"/>
            <w:hideMark/>
          </w:tcPr>
          <w:p w:rsidR="00000000" w:rsidRDefault="001F39D7">
            <w:pPr>
              <w:jc w:val="center"/>
              <w:rPr>
                <w:rFonts w:eastAsia="Times New Roman"/>
              </w:rPr>
            </w:pPr>
          </w:p>
        </w:tc>
        <w:tc>
          <w:tcPr>
            <w:tcW w:w="242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243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Delaware</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13-3139732</w:t>
            </w: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(State or Other Jurisdiction of</w:t>
            </w:r>
          </w:p>
          <w:p w:rsidR="00000000" w:rsidRDefault="001F39D7">
            <w:pPr>
              <w:spacing w:after="100"/>
              <w:jc w:val="center"/>
              <w:rPr>
                <w:rFonts w:eastAsia="Times New Roman"/>
              </w:rPr>
            </w:pPr>
            <w:r>
              <w:rPr>
                <w:rFonts w:eastAsia="Times New Roman"/>
                <w:color w:val="000000"/>
                <w:sz w:val="16"/>
                <w:szCs w:val="16"/>
              </w:rPr>
              <w:t>Incorporation or Organization)</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(I.R.S. Employer Identification No.)</w:t>
            </w: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5401 Virginia Way, Brentwood, Tennessee</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37027</w:t>
            </w: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(Zip Code)</w:t>
            </w: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r>
      <w:tr w:rsidR="00000000">
        <w:trPr>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Registrant’s Telephone Number, Including Area Code:</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(615) 440-4000</w:t>
            </w:r>
          </w:p>
        </w:tc>
      </w:tr>
    </w:tbl>
    <w:p w:rsidR="00000000" w:rsidRDefault="001F39D7">
      <w:pPr>
        <w:jc w:val="center"/>
        <w:divId w:val="1530873001"/>
        <w:rPr>
          <w:rFonts w:eastAsia="Times New Roman"/>
        </w:rPr>
      </w:pPr>
      <w:r>
        <w:rPr>
          <w:rFonts w:eastAsia="Times New Roman"/>
          <w:color w:val="000000"/>
          <w:sz w:val="16"/>
          <w:szCs w:val="16"/>
        </w:rPr>
        <w:t>Securities Registered Pursuant to Section 12(b) of the Act:</w:t>
      </w:r>
    </w:p>
    <w:tbl>
      <w:tblPr>
        <w:tblW w:w="4576" w:type="pct"/>
        <w:jc w:val="center"/>
        <w:tblCellMar>
          <w:top w:w="15" w:type="dxa"/>
          <w:left w:w="15" w:type="dxa"/>
          <w:bottom w:w="15" w:type="dxa"/>
          <w:right w:w="15" w:type="dxa"/>
        </w:tblCellMar>
        <w:tblLook w:val="04A0" w:firstRow="1" w:lastRow="0" w:firstColumn="1" w:lastColumn="0" w:noHBand="0" w:noVBand="1"/>
      </w:tblPr>
      <w:tblGrid>
        <w:gridCol w:w="47"/>
        <w:gridCol w:w="3422"/>
        <w:gridCol w:w="37"/>
        <w:gridCol w:w="36"/>
        <w:gridCol w:w="36"/>
        <w:gridCol w:w="36"/>
        <w:gridCol w:w="45"/>
        <w:gridCol w:w="1069"/>
        <w:gridCol w:w="36"/>
        <w:gridCol w:w="36"/>
        <w:gridCol w:w="36"/>
        <w:gridCol w:w="36"/>
        <w:gridCol w:w="48"/>
        <w:gridCol w:w="2646"/>
        <w:gridCol w:w="36"/>
      </w:tblGrid>
      <w:tr w:rsidR="00000000">
        <w:trPr>
          <w:divId w:val="1530873001"/>
          <w:jc w:val="center"/>
        </w:trPr>
        <w:tc>
          <w:tcPr>
            <w:tcW w:w="50" w:type="pct"/>
            <w:vAlign w:val="center"/>
            <w:hideMark/>
          </w:tcPr>
          <w:p w:rsidR="00000000" w:rsidRDefault="001F39D7">
            <w:pPr>
              <w:jc w:val="center"/>
              <w:rPr>
                <w:rFonts w:eastAsia="Times New Roman"/>
              </w:rPr>
            </w:pPr>
          </w:p>
        </w:tc>
        <w:tc>
          <w:tcPr>
            <w:tcW w:w="226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3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75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530873001"/>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Title of each class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Trading Symbol(s)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u w:val="single"/>
              </w:rPr>
              <w:t>Name of each exchange on which registered</w:t>
            </w:r>
          </w:p>
        </w:tc>
      </w:tr>
      <w:tr w:rsidR="00000000">
        <w:trPr>
          <w:divId w:val="1530873001"/>
          <w:jc w:val="center"/>
        </w:trPr>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Common Stock, $.008 par value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TSCO</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16"/>
                <w:szCs w:val="16"/>
              </w:rPr>
              <w:t>NASDAQ Global Select Market</w:t>
            </w:r>
          </w:p>
        </w:tc>
      </w:tr>
    </w:tbl>
    <w:p w:rsidR="00000000" w:rsidRDefault="001F39D7">
      <w:pPr>
        <w:divId w:val="441921152"/>
        <w:rPr>
          <w:rFonts w:eastAsia="Times New Roman"/>
        </w:rPr>
      </w:pPr>
    </w:p>
    <w:p w:rsidR="00000000" w:rsidRDefault="001F39D7">
      <w:pPr>
        <w:divId w:val="886138316"/>
        <w:rPr>
          <w:rFonts w:eastAsia="Times New Roman"/>
        </w:rPr>
      </w:pPr>
      <w:r>
        <w:rPr>
          <w:rFonts w:eastAsia="Times New Roman"/>
          <w:color w:val="000000"/>
          <w:sz w:val="16"/>
          <w:szCs w:val="16"/>
        </w:rPr>
        <w:t>Securities Registered Pursuant to Section 12(g) of the Act: None</w:t>
      </w:r>
    </w:p>
    <w:tbl>
      <w:tblPr>
        <w:tblW w:w="5000" w:type="pct"/>
        <w:tblCellMar>
          <w:top w:w="15" w:type="dxa"/>
          <w:left w:w="15" w:type="dxa"/>
          <w:bottom w:w="15" w:type="dxa"/>
          <w:right w:w="15" w:type="dxa"/>
        </w:tblCellMar>
        <w:tblLook w:val="04A0" w:firstRow="1" w:lastRow="0" w:firstColumn="1" w:lastColumn="0" w:noHBand="0" w:noVBand="1"/>
      </w:tblPr>
      <w:tblGrid>
        <w:gridCol w:w="53"/>
        <w:gridCol w:w="1816"/>
        <w:gridCol w:w="36"/>
        <w:gridCol w:w="53"/>
        <w:gridCol w:w="1816"/>
        <w:gridCol w:w="36"/>
        <w:gridCol w:w="36"/>
        <w:gridCol w:w="36"/>
        <w:gridCol w:w="36"/>
        <w:gridCol w:w="54"/>
        <w:gridCol w:w="1817"/>
        <w:gridCol w:w="36"/>
        <w:gridCol w:w="36"/>
        <w:gridCol w:w="36"/>
        <w:gridCol w:w="36"/>
        <w:gridCol w:w="54"/>
        <w:gridCol w:w="2283"/>
        <w:gridCol w:w="36"/>
      </w:tblGrid>
      <w:tr w:rsidR="00000000">
        <w:trPr>
          <w:divId w:val="886138316"/>
        </w:trPr>
        <w:tc>
          <w:tcPr>
            <w:tcW w:w="50" w:type="pct"/>
            <w:vAlign w:val="center"/>
            <w:hideMark/>
          </w:tcPr>
          <w:p w:rsidR="00000000" w:rsidRDefault="001F39D7">
            <w:pPr>
              <w:rPr>
                <w:rFonts w:eastAsia="Times New Roman"/>
              </w:rPr>
            </w:pPr>
          </w:p>
        </w:tc>
        <w:tc>
          <w:tcPr>
            <w:tcW w:w="111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11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11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39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886138316"/>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bl>
    <w:p w:rsidR="00000000" w:rsidRDefault="001F39D7">
      <w:pPr>
        <w:divId w:val="1478524540"/>
        <w:rPr>
          <w:rFonts w:eastAsia="Times New Roman"/>
        </w:rPr>
      </w:pPr>
      <w:r>
        <w:rPr>
          <w:rFonts w:eastAsia="Times New Roman"/>
          <w:color w:val="000000"/>
          <w:sz w:val="16"/>
          <w:szCs w:val="16"/>
        </w:rPr>
        <w:t>Indicate by check mark if the registrant is a well-known seasoned issuer, as defined in Rule 405 of the Securities Act.</w:t>
      </w:r>
    </w:p>
    <w:p w:rsidR="00000000" w:rsidRDefault="001F39D7">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1F39D7">
      <w:pPr>
        <w:divId w:val="457796171"/>
        <w:rPr>
          <w:rFonts w:eastAsia="Times New Roman"/>
        </w:rPr>
      </w:pPr>
      <w:r>
        <w:rPr>
          <w:rFonts w:eastAsia="Times New Roman"/>
          <w:color w:val="000000"/>
          <w:sz w:val="16"/>
          <w:szCs w:val="16"/>
        </w:rPr>
        <w:t>Indicate by check mark if the registrant is not required to file reports pursuant to Section 13 or Section 15(d) of the A</w:t>
      </w:r>
      <w:r>
        <w:rPr>
          <w:rFonts w:eastAsia="Times New Roman"/>
          <w:color w:val="000000"/>
          <w:sz w:val="16"/>
          <w:szCs w:val="16"/>
        </w:rPr>
        <w:t>ct.</w:t>
      </w:r>
    </w:p>
    <w:p w:rsidR="00000000" w:rsidRDefault="001F39D7">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1F39D7">
      <w:pPr>
        <w:jc w:val="both"/>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w:t>
      </w:r>
      <w:r>
        <w:rPr>
          <w:rFonts w:eastAsia="Times New Roman"/>
          <w:color w:val="000000"/>
          <w:sz w:val="16"/>
          <w:szCs w:val="16"/>
        </w:rPr>
        <w:t xml:space="preserve"> required to file such reports), and (2) has been subject to such filing requirements for the past 90 days.</w:t>
      </w:r>
    </w:p>
    <w:p w:rsidR="00000000" w:rsidRDefault="001F39D7">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1F39D7">
      <w:pPr>
        <w:jc w:val="both"/>
        <w:rPr>
          <w:rFonts w:eastAsia="Times New Roman"/>
        </w:rPr>
      </w:pPr>
      <w:r>
        <w:rPr>
          <w:rFonts w:eastAsia="Times New Roman"/>
          <w:color w:val="000000"/>
          <w:sz w:val="16"/>
          <w:szCs w:val="16"/>
        </w:rPr>
        <w:t>Indicate by check mark whether the registrant has submitted electronically every Interactive Data File required to be submitted pursu</w:t>
      </w:r>
      <w:r>
        <w:rPr>
          <w:rFonts w:eastAsia="Times New Roman"/>
          <w:color w:val="000000"/>
          <w:sz w:val="16"/>
          <w:szCs w:val="16"/>
        </w:rPr>
        <w:t>ant to Rule 405 of Regulation S-T (§232.405 of this chapter) during the preceding 12 months (or for such shorter period that the registrant was required to submit such files).</w:t>
      </w:r>
    </w:p>
    <w:p w:rsidR="00000000" w:rsidRDefault="001F39D7">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1F39D7">
      <w:pPr>
        <w:jc w:val="both"/>
        <w:rPr>
          <w:rFonts w:eastAsia="Times New Roman"/>
        </w:rPr>
      </w:pPr>
      <w:r>
        <w:rPr>
          <w:rFonts w:eastAsia="Times New Roman"/>
          <w:color w:val="000000"/>
          <w:sz w:val="16"/>
          <w:szCs w:val="16"/>
        </w:rPr>
        <w:t>Indicate by check mark whether the registrant is a large accelera</w:t>
      </w:r>
      <w:r>
        <w:rPr>
          <w:rFonts w:eastAsia="Times New Roman"/>
          <w:color w:val="000000"/>
          <w:sz w:val="16"/>
          <w:szCs w:val="16"/>
        </w:rPr>
        <w:t xml:space="preserve">ted filer, an accelerated filer, a non-accelerated filer, a smaller reporting company, or an emerging growth company.  See the definitions of “large accelerated filer,” “accelerated filer,” “smaller reporting company” and “emerging growth company” in Rule </w:t>
      </w:r>
      <w:r>
        <w:rPr>
          <w:rFonts w:eastAsia="Times New Roman"/>
          <w:color w:val="000000"/>
          <w:sz w:val="16"/>
          <w:szCs w:val="16"/>
        </w:rPr>
        <w:t xml:space="preserve">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198"/>
        <w:gridCol w:w="36"/>
        <w:gridCol w:w="69"/>
        <w:gridCol w:w="1594"/>
        <w:gridCol w:w="36"/>
        <w:gridCol w:w="69"/>
        <w:gridCol w:w="3441"/>
        <w:gridCol w:w="36"/>
        <w:gridCol w:w="69"/>
        <w:gridCol w:w="1886"/>
        <w:gridCol w:w="36"/>
        <w:gridCol w:w="70"/>
        <w:gridCol w:w="636"/>
        <w:gridCol w:w="36"/>
      </w:tblGrid>
      <w:tr w:rsidR="00000000">
        <w:tc>
          <w:tcPr>
            <w:tcW w:w="50" w:type="pct"/>
            <w:vAlign w:val="center"/>
            <w:hideMark/>
          </w:tcPr>
          <w:p w:rsidR="00000000" w:rsidRDefault="001F39D7">
            <w:pPr>
              <w:jc w:val="both"/>
              <w:rPr>
                <w:rFonts w:eastAsia="Times New Roman"/>
              </w:rPr>
            </w:pPr>
          </w:p>
        </w:tc>
        <w:tc>
          <w:tcPr>
            <w:tcW w:w="12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97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208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14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39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ascii="Wingdings" w:eastAsia="Times New Roman" w:hAnsi="Wingdings"/>
                <w:color w:val="000000"/>
                <w:sz w:val="16"/>
                <w:szCs w:val="16"/>
              </w:rPr>
              <w:t>☐</w:t>
            </w:r>
          </w:p>
        </w:tc>
      </w:tr>
      <w:tr w:rsidR="00000000">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ascii="Wingdings" w:eastAsia="Times New Roman" w:hAnsi="Wingdings"/>
                <w:color w:val="000000"/>
                <w:sz w:val="16"/>
                <w:szCs w:val="16"/>
              </w:rPr>
              <w:t>☐</w:t>
            </w: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ascii="Wingdings" w:eastAsia="Times New Roman" w:hAnsi="Wingdings"/>
                <w:color w:val="000000"/>
                <w:sz w:val="16"/>
                <w:szCs w:val="16"/>
              </w:rPr>
              <w:t>☐</w:t>
            </w:r>
          </w:p>
        </w:tc>
      </w:tr>
    </w:tbl>
    <w:p w:rsidR="00000000" w:rsidRDefault="001F39D7">
      <w:pPr>
        <w:divId w:val="1916816602"/>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16"/>
          <w:szCs w:val="16"/>
        </w:rPr>
        <w:lastRenderedPageBreak/>
        <w:t>I</w:t>
      </w:r>
      <w:r>
        <w:rPr>
          <w:rFonts w:eastAsia="Times New Roman"/>
          <w:color w:val="000000"/>
          <w:sz w:val="16"/>
          <w:szCs w:val="16"/>
        </w:rPr>
        <w:t>ndicate by check mark whether the registrant has filed a report on and attestation to its management's assessment of effectiveness of its internal control over financial reporting under section 404(b) of Sarbanes-Oxley Act (15 U.S.C. 7262(b)) by the regist</w:t>
      </w:r>
      <w:r>
        <w:rPr>
          <w:rFonts w:eastAsia="Times New Roman"/>
          <w:color w:val="000000"/>
          <w:sz w:val="16"/>
          <w:szCs w:val="16"/>
        </w:rPr>
        <w:t xml:space="preserve">ered public accounting firm that prepared or issued its audit report. </w:t>
      </w:r>
      <w:r>
        <w:rPr>
          <w:rFonts w:ascii="Wingdings" w:eastAsia="Times New Roman" w:hAnsi="Wingdings"/>
          <w:color w:val="000000"/>
          <w:sz w:val="16"/>
          <w:szCs w:val="16"/>
        </w:rPr>
        <w: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16"/>
          <w:szCs w:val="16"/>
        </w:rPr>
        <w:t>Indicate by check mark whether the registrant is a shell company (as defined in Rule 12b-2 of the Act.)</w:t>
      </w:r>
    </w:p>
    <w:p w:rsidR="00000000" w:rsidRDefault="001F39D7">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1F39D7">
      <w:pPr>
        <w:jc w:val="both"/>
        <w:rPr>
          <w:rFonts w:eastAsia="Times New Roman"/>
        </w:rPr>
      </w:pPr>
      <w:r>
        <w:rPr>
          <w:rFonts w:eastAsia="Times New Roman"/>
          <w:color w:val="000000"/>
          <w:sz w:val="16"/>
          <w:szCs w:val="16"/>
        </w:rPr>
        <w:t>The aggregate market value of the Common Stock held by non-affi</w:t>
      </w:r>
      <w:r>
        <w:rPr>
          <w:rFonts w:eastAsia="Times New Roman"/>
          <w:color w:val="000000"/>
          <w:sz w:val="16"/>
          <w:szCs w:val="16"/>
        </w:rPr>
        <w:t>liates of the registrant, based on the closing price of the Common Stock on The NASDAQ Global Select Market on June 26, 2021, the last business day of the registrant’s most recently completed second fiscal quarter, was approximately $17.2 billion.  For pur</w:t>
      </w:r>
      <w:r>
        <w:rPr>
          <w:rFonts w:eastAsia="Times New Roman"/>
          <w:color w:val="000000"/>
          <w:sz w:val="16"/>
          <w:szCs w:val="16"/>
        </w:rPr>
        <w:t>poses of this response, the registrant has assumed that its directors, executive officers, and beneficial owners of 5% or more of its Common Stock are affiliates of the registrant.</w:t>
      </w:r>
    </w:p>
    <w:p w:rsidR="00000000" w:rsidRDefault="001F39D7">
      <w:pPr>
        <w:divId w:val="1954164375"/>
        <w:rPr>
          <w:rFonts w:eastAsia="Times New Roman"/>
        </w:rPr>
      </w:pPr>
    </w:p>
    <w:p w:rsidR="00000000" w:rsidRDefault="001F39D7">
      <w:pPr>
        <w:jc w:val="both"/>
        <w:rPr>
          <w:rFonts w:eastAsia="Times New Roman"/>
        </w:rPr>
      </w:pPr>
      <w:r>
        <w:rPr>
          <w:rFonts w:eastAsia="Times New Roman"/>
          <w:color w:val="000000"/>
          <w:sz w:val="16"/>
          <w:szCs w:val="16"/>
        </w:rPr>
        <w:t>Indicate the number of shares outstanding of each of the registrant’s cla</w:t>
      </w:r>
      <w:r>
        <w:rPr>
          <w:rFonts w:eastAsia="Times New Roman"/>
          <w:color w:val="000000"/>
          <w:sz w:val="16"/>
          <w:szCs w:val="16"/>
        </w:rPr>
        <w:t>sses of common stock as of the latest practicable date.</w:t>
      </w:r>
    </w:p>
    <w:tbl>
      <w:tblPr>
        <w:tblW w:w="4992" w:type="pct"/>
        <w:tblCellMar>
          <w:top w:w="15" w:type="dxa"/>
          <w:left w:w="15" w:type="dxa"/>
          <w:bottom w:w="15" w:type="dxa"/>
          <w:right w:w="15" w:type="dxa"/>
        </w:tblCellMar>
        <w:tblLook w:val="04A0" w:firstRow="1" w:lastRow="0" w:firstColumn="1" w:lastColumn="0" w:noHBand="0" w:noVBand="1"/>
      </w:tblPr>
      <w:tblGrid>
        <w:gridCol w:w="61"/>
        <w:gridCol w:w="5703"/>
        <w:gridCol w:w="36"/>
        <w:gridCol w:w="36"/>
        <w:gridCol w:w="36"/>
        <w:gridCol w:w="36"/>
        <w:gridCol w:w="46"/>
        <w:gridCol w:w="2303"/>
        <w:gridCol w:w="36"/>
      </w:tblGrid>
      <w:tr w:rsidR="00000000">
        <w:tc>
          <w:tcPr>
            <w:tcW w:w="50" w:type="pct"/>
            <w:vAlign w:val="center"/>
            <w:hideMark/>
          </w:tcPr>
          <w:p w:rsidR="00000000" w:rsidRDefault="001F39D7">
            <w:pPr>
              <w:jc w:val="both"/>
              <w:rPr>
                <w:rFonts w:eastAsia="Times New Roman"/>
              </w:rPr>
            </w:pPr>
          </w:p>
        </w:tc>
        <w:tc>
          <w:tcPr>
            <w:tcW w:w="345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40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6"/>
                <w:szCs w:val="16"/>
              </w:rPr>
              <w:t>Class</w:t>
            </w: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6"/>
                <w:szCs w:val="16"/>
              </w:rPr>
              <w:t>Outstanding at January 22, 2022</w:t>
            </w:r>
          </w:p>
        </w:tc>
      </w:tr>
      <w:tr w:rsidR="00000000">
        <w:tc>
          <w:tcPr>
            <w:tcW w:w="0" w:type="auto"/>
            <w:gridSpan w:val="3"/>
            <w:tcBorders>
              <w:top w:val="single" w:sz="1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6"/>
                <w:szCs w:val="16"/>
              </w:rPr>
              <w:t>Common Stock, $.008 par value</w:t>
            </w: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6"/>
                <w:szCs w:val="16"/>
              </w:rPr>
              <w:t> </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6"/>
                <w:szCs w:val="16"/>
              </w:rPr>
              <w:t>112,772,349</w:t>
            </w:r>
          </w:p>
        </w:tc>
      </w:tr>
    </w:tbl>
    <w:p w:rsidR="00000000" w:rsidRDefault="001F39D7">
      <w:pPr>
        <w:divId w:val="399595449"/>
        <w:rPr>
          <w:rFonts w:eastAsia="Times New Roman"/>
        </w:rPr>
      </w:pPr>
      <w:r>
        <w:rPr>
          <w:rFonts w:eastAsia="Times New Roman"/>
          <w:b/>
          <w:bCs/>
          <w:color w:val="000000"/>
          <w:sz w:val="16"/>
          <w:szCs w:val="16"/>
        </w:rPr>
        <w:t>Documents Incorporated by Reference:</w:t>
      </w:r>
    </w:p>
    <w:p w:rsidR="00000000" w:rsidRDefault="001F39D7">
      <w:pPr>
        <w:jc w:val="both"/>
        <w:rPr>
          <w:rFonts w:eastAsia="Times New Roman"/>
        </w:rPr>
      </w:pPr>
      <w:r>
        <w:rPr>
          <w:rFonts w:eastAsia="Times New Roman"/>
          <w:b/>
          <w:bCs/>
          <w:color w:val="000000"/>
          <w:sz w:val="16"/>
          <w:szCs w:val="16"/>
        </w:rPr>
        <w:t>Portions of the Registrant’</w:t>
      </w:r>
      <w:r>
        <w:rPr>
          <w:rFonts w:eastAsia="Times New Roman"/>
          <w:b/>
          <w:bCs/>
          <w:color w:val="000000"/>
          <w:sz w:val="16"/>
          <w:szCs w:val="16"/>
        </w:rPr>
        <w:t>s definitive Proxy Statement for its 2022 Annual Meeting of Stockholders are incorporated by reference into Part III hereof.</w:t>
      </w:r>
    </w:p>
    <w:p w:rsidR="00000000" w:rsidRDefault="001F39D7">
      <w:pPr>
        <w:divId w:val="2101367985"/>
        <w:rPr>
          <w:rFonts w:eastAsia="Times New Roman"/>
        </w:rPr>
      </w:pPr>
    </w:p>
    <w:p w:rsidR="00000000" w:rsidRDefault="001F39D7">
      <w:pPr>
        <w:rPr>
          <w:rFonts w:eastAsia="Times New Roman"/>
        </w:rPr>
      </w:pPr>
      <w:r>
        <w:rPr>
          <w:rFonts w:eastAsia="Times New Roman"/>
        </w:rPr>
        <w:pict>
          <v:rect id="_x0000_i1026" style="width:0;height:1.5pt" o:hralign="center" o:hrstd="t" o:hr="t" fillcolor="#a0a0a0" stroked="f"/>
        </w:pict>
      </w:r>
    </w:p>
    <w:p w:rsidR="00000000" w:rsidRDefault="001F39D7">
      <w:pPr>
        <w:divId w:val="213995121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464"/>
        <w:gridCol w:w="38"/>
        <w:gridCol w:w="68"/>
        <w:gridCol w:w="6562"/>
        <w:gridCol w:w="38"/>
        <w:gridCol w:w="69"/>
        <w:gridCol w:w="950"/>
        <w:gridCol w:w="36"/>
      </w:tblGrid>
      <w:tr w:rsidR="00000000">
        <w:trPr>
          <w:divId w:val="1885871739"/>
        </w:trPr>
        <w:tc>
          <w:tcPr>
            <w:tcW w:w="50" w:type="pct"/>
            <w:vAlign w:val="center"/>
            <w:hideMark/>
          </w:tcPr>
          <w:p w:rsidR="00000000" w:rsidRDefault="001F39D7">
            <w:pPr>
              <w:rPr>
                <w:rFonts w:eastAsia="Times New Roman"/>
              </w:rPr>
            </w:pPr>
          </w:p>
        </w:tc>
        <w:tc>
          <w:tcPr>
            <w:tcW w:w="28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396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885871739"/>
        </w:trPr>
        <w:tc>
          <w:tcPr>
            <w:tcW w:w="0" w:type="auto"/>
            <w:gridSpan w:val="6"/>
            <w:shd w:val="clear" w:color="auto" w:fill="FFFFFF"/>
            <w:tcMar>
              <w:top w:w="30" w:type="dxa"/>
              <w:left w:w="20" w:type="dxa"/>
              <w:bottom w:w="30" w:type="dxa"/>
              <w:right w:w="20" w:type="dxa"/>
            </w:tcMar>
            <w:vAlign w:val="bottom"/>
            <w:hideMark/>
          </w:tcPr>
          <w:p w:rsidR="00000000" w:rsidRDefault="001F39D7">
            <w:pPr>
              <w:spacing w:after="100"/>
              <w:divId w:val="82532625"/>
              <w:rPr>
                <w:rFonts w:eastAsia="Times New Roman"/>
              </w:rPr>
            </w:pPr>
            <w:r>
              <w:rPr>
                <w:rFonts w:eastAsia="Times New Roman"/>
                <w:b/>
                <w:bCs/>
                <w:color w:val="000000"/>
                <w:sz w:val="20"/>
                <w:szCs w:val="20"/>
                <w:u w:val="single"/>
              </w:rPr>
              <w:t>Item No.</w:t>
            </w:r>
            <w:r>
              <w:rPr>
                <w:rFonts w:eastAsia="Times New Roman"/>
                <w:b/>
                <w:bCs/>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 </w:t>
            </w:r>
            <w:r>
              <w:rPr>
                <w:rFonts w:eastAsia="Times New Roman"/>
                <w:b/>
                <w:bCs/>
                <w:color w:val="000000"/>
                <w:sz w:val="20"/>
                <w:szCs w:val="20"/>
              </w:rPr>
              <w:t>Form 10-K Report Page</w:t>
            </w:r>
          </w:p>
        </w:tc>
      </w:tr>
      <w:tr w:rsidR="00000000">
        <w:trPr>
          <w:divId w:val="1885871739"/>
        </w:trPr>
        <w:tc>
          <w:tcPr>
            <w:tcW w:w="0" w:type="auto"/>
            <w:gridSpan w:val="6"/>
            <w:shd w:val="clear" w:color="auto" w:fill="CCEEFF"/>
            <w:tcMar>
              <w:top w:w="30" w:type="dxa"/>
              <w:left w:w="20" w:type="dxa"/>
              <w:bottom w:w="30" w:type="dxa"/>
              <w:right w:w="20" w:type="dxa"/>
            </w:tcMar>
            <w:vAlign w:val="bottom"/>
            <w:hideMark/>
          </w:tcPr>
          <w:p w:rsidR="00000000" w:rsidRDefault="001F39D7">
            <w:pPr>
              <w:spacing w:after="100"/>
              <w:divId w:val="1925912229"/>
              <w:rPr>
                <w:rFonts w:eastAsia="Times New Roman"/>
              </w:rPr>
            </w:pPr>
            <w:hyperlink w:anchor="ia0680a7a640346e7afc1f53a5745d231_10" w:history="1">
              <w:r>
                <w:rPr>
                  <w:rStyle w:val="a3"/>
                  <w:rFonts w:eastAsia="Times New Roman"/>
                  <w:sz w:val="20"/>
                  <w:szCs w:val="20"/>
                </w:rPr>
                <w:t>Forward-Looking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0" w:history="1">
              <w:r>
                <w:rPr>
                  <w:rStyle w:val="a3"/>
                  <w:rFonts w:eastAsia="Times New Roman"/>
                  <w:sz w:val="20"/>
                  <w:szCs w:val="20"/>
                </w:rPr>
                <w:t>ii</w:t>
              </w:r>
            </w:hyperlink>
          </w:p>
        </w:tc>
      </w:tr>
      <w:tr w:rsidR="00000000">
        <w:trPr>
          <w:divId w:val="1885871739"/>
          <w:trHeight w:val="30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885871739"/>
        </w:trPr>
        <w:tc>
          <w:tcPr>
            <w:tcW w:w="0" w:type="auto"/>
            <w:gridSpan w:val="6"/>
            <w:shd w:val="clear" w:color="auto" w:fill="CCEEFF"/>
            <w:tcMar>
              <w:top w:w="30" w:type="dxa"/>
              <w:left w:w="20" w:type="dxa"/>
              <w:bottom w:w="30" w:type="dxa"/>
              <w:right w:w="20" w:type="dxa"/>
            </w:tcMar>
            <w:vAlign w:val="bottom"/>
            <w:hideMark/>
          </w:tcPr>
          <w:p w:rsidR="00000000" w:rsidRDefault="001F39D7">
            <w:pPr>
              <w:spacing w:after="100"/>
              <w:divId w:val="1031152722"/>
              <w:rPr>
                <w:rFonts w:eastAsia="Times New Roman"/>
              </w:rPr>
            </w:pPr>
            <w:hyperlink w:anchor="ia0680a7a640346e7afc1f53a5745d231_13" w:history="1">
              <w:r>
                <w:rPr>
                  <w:rStyle w:val="a3"/>
                  <w:rFonts w:eastAsia="Times New Roman"/>
                  <w:sz w:val="20"/>
                  <w:szCs w:val="20"/>
                </w:rPr>
                <w:t>PART I</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3" w:history="1">
              <w:r>
                <w:rPr>
                  <w:rStyle w:val="a3"/>
                  <w:rFonts w:eastAsia="Times New Roman"/>
                  <w:sz w:val="20"/>
                  <w:szCs w:val="20"/>
                </w:rPr>
                <w:t>1</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2076467359"/>
              <w:rPr>
                <w:rFonts w:eastAsia="Times New Roman"/>
              </w:rPr>
            </w:pPr>
            <w:hyperlink w:anchor="ia0680a7a640346e7afc1f53a5745d231_16" w:history="1">
              <w:r>
                <w:rPr>
                  <w:rStyle w:val="a3"/>
                  <w:rFonts w:eastAsia="Times New Roman"/>
                  <w:sz w:val="20"/>
                  <w:szCs w:val="20"/>
                </w:rPr>
                <w:t>1.</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387416930"/>
              <w:rPr>
                <w:rFonts w:eastAsia="Times New Roman"/>
              </w:rPr>
            </w:pPr>
            <w:hyperlink w:anchor="ia0680a7a640346e7afc1f53a5745d231_16" w:history="1">
              <w:r>
                <w:rPr>
                  <w:rStyle w:val="a3"/>
                  <w:rFonts w:eastAsia="Times New Roman"/>
                  <w:sz w:val="20"/>
                  <w:szCs w:val="20"/>
                </w:rPr>
                <w:t>Business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6" w:history="1">
              <w:r>
                <w:rPr>
                  <w:rStyle w:val="a3"/>
                  <w:rFonts w:eastAsia="Times New Roman"/>
                  <w:sz w:val="20"/>
                  <w:szCs w:val="20"/>
                </w:rPr>
                <w:t>1</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999230486"/>
              <w:rPr>
                <w:rFonts w:eastAsia="Times New Roman"/>
              </w:rPr>
            </w:pPr>
            <w:hyperlink w:anchor="ia0680a7a640346e7afc1f53a5745d231_19" w:history="1">
              <w:r>
                <w:rPr>
                  <w:rStyle w:val="a3"/>
                  <w:rFonts w:eastAsia="Times New Roman"/>
                  <w:sz w:val="20"/>
                  <w:szCs w:val="20"/>
                </w:rPr>
                <w:t>1A.</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623775245"/>
              <w:rPr>
                <w:rFonts w:eastAsia="Times New Roman"/>
              </w:rPr>
            </w:pPr>
            <w:hyperlink w:anchor="ia0680a7a640346e7afc1f53a5745d231_19"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9" w:history="1">
              <w:r>
                <w:rPr>
                  <w:rStyle w:val="a3"/>
                  <w:rFonts w:eastAsia="Times New Roman"/>
                  <w:sz w:val="20"/>
                  <w:szCs w:val="20"/>
                </w:rPr>
                <w:t>12</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297299841"/>
              <w:rPr>
                <w:rFonts w:eastAsia="Times New Roman"/>
              </w:rPr>
            </w:pPr>
            <w:hyperlink w:anchor="ia0680a7a640346e7afc1f53a5745d231_22" w:history="1">
              <w:r>
                <w:rPr>
                  <w:rStyle w:val="a3"/>
                  <w:rFonts w:eastAsia="Times New Roman"/>
                  <w:sz w:val="20"/>
                  <w:szCs w:val="20"/>
                </w:rPr>
                <w:t>1B.</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113592135"/>
              <w:rPr>
                <w:rFonts w:eastAsia="Times New Roman"/>
              </w:rPr>
            </w:pPr>
            <w:hyperlink w:anchor="ia0680a7a640346e7afc1f53a5745d231_22" w:history="1">
              <w:r>
                <w:rPr>
                  <w:rStyle w:val="a3"/>
                  <w:rFonts w:eastAsia="Times New Roman"/>
                  <w:sz w:val="20"/>
                  <w:szCs w:val="20"/>
                </w:rPr>
                <w:t>Unresolved Staff Comments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22" w:history="1">
              <w:r>
                <w:rPr>
                  <w:rStyle w:val="a3"/>
                  <w:rFonts w:eastAsia="Times New Roman"/>
                  <w:sz w:val="20"/>
                  <w:szCs w:val="20"/>
                </w:rPr>
                <w:t>24</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268661082"/>
              <w:rPr>
                <w:rFonts w:eastAsia="Times New Roman"/>
              </w:rPr>
            </w:pPr>
            <w:hyperlink w:anchor="ia0680a7a640346e7afc1f53a5745d231_25" w:history="1">
              <w:r>
                <w:rPr>
                  <w:rStyle w:val="a3"/>
                  <w:rFonts w:eastAsia="Times New Roman"/>
                  <w:sz w:val="20"/>
                  <w:szCs w:val="20"/>
                </w:rPr>
                <w:t>2.</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347485657"/>
              <w:rPr>
                <w:rFonts w:eastAsia="Times New Roman"/>
              </w:rPr>
            </w:pPr>
            <w:hyperlink w:anchor="ia0680a7a640346e7afc1f53a5745d231_25" w:history="1">
              <w:r>
                <w:rPr>
                  <w:rStyle w:val="a3"/>
                  <w:rFonts w:eastAsia="Times New Roman"/>
                  <w:sz w:val="20"/>
                  <w:szCs w:val="20"/>
                </w:rPr>
                <w:t>Properties</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25" w:history="1">
              <w:r>
                <w:rPr>
                  <w:rStyle w:val="a3"/>
                  <w:rFonts w:eastAsia="Times New Roman"/>
                  <w:sz w:val="20"/>
                  <w:szCs w:val="20"/>
                </w:rPr>
                <w:t>25</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499348443"/>
              <w:rPr>
                <w:rFonts w:eastAsia="Times New Roman"/>
              </w:rPr>
            </w:pPr>
            <w:hyperlink w:anchor="ia0680a7a640346e7afc1f53a5745d231_28" w:history="1">
              <w:r>
                <w:rPr>
                  <w:rStyle w:val="a3"/>
                  <w:rFonts w:eastAsia="Times New Roman"/>
                  <w:sz w:val="20"/>
                  <w:szCs w:val="20"/>
                </w:rPr>
                <w:t>3.</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393937747"/>
              <w:rPr>
                <w:rFonts w:eastAsia="Times New Roman"/>
              </w:rPr>
            </w:pPr>
            <w:hyperlink w:anchor="ia0680a7a640346e7afc1f53a5745d231_28"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28" w:history="1">
              <w:r>
                <w:rPr>
                  <w:rStyle w:val="a3"/>
                  <w:rFonts w:eastAsia="Times New Roman"/>
                  <w:sz w:val="20"/>
                  <w:szCs w:val="20"/>
                </w:rPr>
                <w:t>26</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61894797"/>
              <w:rPr>
                <w:rFonts w:eastAsia="Times New Roman"/>
              </w:rPr>
            </w:pPr>
            <w:hyperlink w:anchor="ia0680a7a640346e7afc1f53a5745d231_31" w:history="1">
              <w:r>
                <w:rPr>
                  <w:rStyle w:val="a3"/>
                  <w:rFonts w:eastAsia="Times New Roman"/>
                  <w:sz w:val="20"/>
                  <w:szCs w:val="20"/>
                </w:rPr>
                <w:t>4.</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738015004"/>
              <w:rPr>
                <w:rFonts w:eastAsia="Times New Roman"/>
              </w:rPr>
            </w:pPr>
            <w:hyperlink w:anchor="ia0680a7a640346e7afc1f53a5745d231_31" w:history="1">
              <w:r>
                <w:rPr>
                  <w:rStyle w:val="a3"/>
                  <w:rFonts w:eastAsia="Times New Roman"/>
                  <w:sz w:val="20"/>
                  <w:szCs w:val="20"/>
                </w:rPr>
                <w:t>Mine Safety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31" w:history="1">
              <w:r>
                <w:rPr>
                  <w:rStyle w:val="a3"/>
                  <w:rFonts w:eastAsia="Times New Roman"/>
                  <w:sz w:val="20"/>
                  <w:szCs w:val="20"/>
                </w:rPr>
                <w:t>26</w:t>
              </w:r>
            </w:hyperlink>
          </w:p>
        </w:tc>
      </w:tr>
      <w:tr w:rsidR="00000000">
        <w:trPr>
          <w:divId w:val="1885871739"/>
          <w:trHeight w:val="30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885871739"/>
        </w:trPr>
        <w:tc>
          <w:tcPr>
            <w:tcW w:w="0" w:type="auto"/>
            <w:gridSpan w:val="6"/>
            <w:shd w:val="clear" w:color="auto" w:fill="CCEEFF"/>
            <w:tcMar>
              <w:top w:w="30" w:type="dxa"/>
              <w:left w:w="20" w:type="dxa"/>
              <w:bottom w:w="30" w:type="dxa"/>
              <w:right w:w="20" w:type="dxa"/>
            </w:tcMar>
            <w:vAlign w:val="bottom"/>
            <w:hideMark/>
          </w:tcPr>
          <w:p w:rsidR="00000000" w:rsidRDefault="001F39D7">
            <w:pPr>
              <w:spacing w:after="100"/>
              <w:divId w:val="1099106325"/>
              <w:rPr>
                <w:rFonts w:eastAsia="Times New Roman"/>
              </w:rPr>
            </w:pPr>
            <w:hyperlink w:anchor="ia0680a7a640346e7afc1f53a5745d231_34" w:history="1">
              <w:r>
                <w:rPr>
                  <w:rStyle w:val="a3"/>
                  <w:rFonts w:eastAsia="Times New Roman"/>
                  <w:sz w:val="20"/>
                  <w:szCs w:val="20"/>
                </w:rPr>
                <w:t>PART II</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34" w:history="1">
              <w:r>
                <w:rPr>
                  <w:rStyle w:val="a3"/>
                  <w:rFonts w:eastAsia="Times New Roman"/>
                  <w:sz w:val="20"/>
                  <w:szCs w:val="20"/>
                </w:rPr>
                <w:t>27</w:t>
              </w:r>
            </w:hyperlink>
          </w:p>
        </w:tc>
      </w:tr>
      <w:tr w:rsidR="00000000">
        <w:trPr>
          <w:divId w:val="1885871739"/>
        </w:trPr>
        <w:tc>
          <w:tcPr>
            <w:tcW w:w="0" w:type="auto"/>
            <w:gridSpan w:val="3"/>
            <w:shd w:val="clear" w:color="auto" w:fill="FFFFFF"/>
            <w:tcMar>
              <w:top w:w="30" w:type="dxa"/>
              <w:left w:w="20" w:type="dxa"/>
              <w:bottom w:w="30" w:type="dxa"/>
              <w:right w:w="20" w:type="dxa"/>
            </w:tcMar>
            <w:vAlign w:val="center"/>
            <w:hideMark/>
          </w:tcPr>
          <w:p w:rsidR="00000000" w:rsidRDefault="001F39D7">
            <w:pPr>
              <w:spacing w:after="100"/>
              <w:divId w:val="703946797"/>
              <w:rPr>
                <w:rFonts w:eastAsia="Times New Roman"/>
              </w:rPr>
            </w:pPr>
            <w:hyperlink w:anchor="ia0680a7a640346e7afc1f53a5745d231_37" w:history="1">
              <w:r>
                <w:rPr>
                  <w:rStyle w:val="a3"/>
                  <w:rFonts w:eastAsia="Times New Roman"/>
                  <w:sz w:val="20"/>
                  <w:szCs w:val="20"/>
                </w:rPr>
                <w:t>5.</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196116981"/>
              <w:rPr>
                <w:rFonts w:eastAsia="Times New Roman"/>
              </w:rPr>
            </w:pPr>
            <w:hyperlink w:anchor="ia0680a7a640346e7afc1f53a5745d231_37" w:history="1">
              <w:r>
                <w:rPr>
                  <w:rStyle w:val="a3"/>
                  <w:rFonts w:eastAsia="Times New Roman"/>
                  <w:sz w:val="20"/>
                  <w:szCs w:val="20"/>
                </w:rPr>
                <w:t>Market for Registrant’s Common Equity, Related Stockholder Matters, and Issuer Purchases of Equity Securities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37" w:history="1">
              <w:r>
                <w:rPr>
                  <w:rStyle w:val="a3"/>
                  <w:rFonts w:eastAsia="Times New Roman"/>
                  <w:sz w:val="20"/>
                  <w:szCs w:val="20"/>
                </w:rPr>
                <w:t>27</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394357268"/>
              <w:rPr>
                <w:rFonts w:eastAsia="Times New Roman"/>
              </w:rPr>
            </w:pPr>
            <w:hyperlink w:anchor="ia0680a7a640346e7afc1f53a5745d231_40" w:history="1">
              <w:r>
                <w:rPr>
                  <w:rStyle w:val="a3"/>
                  <w:rFonts w:eastAsia="Times New Roman"/>
                  <w:sz w:val="20"/>
                  <w:szCs w:val="20"/>
                </w:rPr>
                <w:t>6.</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534581985"/>
              <w:rPr>
                <w:rFonts w:eastAsia="Times New Roman"/>
              </w:rPr>
            </w:pPr>
            <w:hyperlink w:anchor="ia0680a7a640346e7afc1f53a5745d231_40" w:history="1">
              <w:r>
                <w:rPr>
                  <w:rStyle w:val="a3"/>
                  <w:rFonts w:eastAsia="Times New Roman"/>
                  <w:sz w:val="20"/>
                  <w:szCs w:val="20"/>
                </w:rPr>
                <w:t>[Reserved]</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40" w:history="1">
              <w:r>
                <w:rPr>
                  <w:rStyle w:val="a3"/>
                  <w:rFonts w:eastAsia="Times New Roman"/>
                  <w:sz w:val="20"/>
                  <w:szCs w:val="20"/>
                </w:rPr>
                <w:t>29</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328172624"/>
              <w:rPr>
                <w:rFonts w:eastAsia="Times New Roman"/>
              </w:rPr>
            </w:pPr>
            <w:hyperlink w:anchor="ia0680a7a640346e7afc1f53a5745d231_43" w:history="1">
              <w:r>
                <w:rPr>
                  <w:rStyle w:val="a3"/>
                  <w:rFonts w:eastAsia="Times New Roman"/>
                  <w:sz w:val="20"/>
                  <w:szCs w:val="20"/>
                </w:rPr>
                <w:t>7.</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21591500"/>
              <w:rPr>
                <w:rFonts w:eastAsia="Times New Roman"/>
              </w:rPr>
            </w:pPr>
            <w:hyperlink w:anchor="ia0680a7a640346e7afc1f53a5745d231_43" w:history="1">
              <w:r>
                <w:rPr>
                  <w:rStyle w:val="a3"/>
                  <w:rFonts w:eastAsia="Times New Roman"/>
                  <w:sz w:val="20"/>
                  <w:szCs w:val="20"/>
                </w:rPr>
                <w:t>Management’s Discussion and Analysis of Financial Condition and Resu</w:t>
              </w:r>
              <w:r>
                <w:rPr>
                  <w:rStyle w:val="a3"/>
                  <w:rFonts w:eastAsia="Times New Roman"/>
                  <w:sz w:val="20"/>
                  <w:szCs w:val="20"/>
                </w:rPr>
                <w:t>lts of Operations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43" w:history="1">
              <w:r>
                <w:rPr>
                  <w:rStyle w:val="a3"/>
                  <w:rFonts w:eastAsia="Times New Roman"/>
                  <w:sz w:val="20"/>
                  <w:szCs w:val="20"/>
                </w:rPr>
                <w:t>30</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149439456"/>
              <w:rPr>
                <w:rFonts w:eastAsia="Times New Roman"/>
              </w:rPr>
            </w:pPr>
            <w:hyperlink w:anchor="ia0680a7a640346e7afc1f53a5745d231_70" w:history="1">
              <w:r>
                <w:rPr>
                  <w:rStyle w:val="a3"/>
                  <w:rFonts w:eastAsia="Times New Roman"/>
                  <w:sz w:val="20"/>
                  <w:szCs w:val="20"/>
                </w:rPr>
                <w:t>7A.</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507094520"/>
              <w:rPr>
                <w:rFonts w:eastAsia="Times New Roman"/>
              </w:rPr>
            </w:pPr>
            <w:hyperlink w:anchor="ia0680a7a640346e7afc1f53a5745d231_70" w:history="1">
              <w:r>
                <w:rPr>
                  <w:rStyle w:val="a3"/>
                  <w:rFonts w:eastAsia="Times New Roman"/>
                  <w:sz w:val="20"/>
                  <w:szCs w:val="20"/>
                </w:rPr>
                <w:t xml:space="preserve">Quantitative and Qualitative Disclosures About </w:t>
              </w:r>
              <w:r>
                <w:rPr>
                  <w:rStyle w:val="a3"/>
                  <w:rFonts w:eastAsia="Times New Roman"/>
                  <w:sz w:val="20"/>
                  <w:szCs w:val="20"/>
                </w:rPr>
                <w:t>Market Risk</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70" w:history="1">
              <w:r>
                <w:rPr>
                  <w:rStyle w:val="a3"/>
                  <w:rFonts w:eastAsia="Times New Roman"/>
                  <w:sz w:val="20"/>
                  <w:szCs w:val="20"/>
                </w:rPr>
                <w:t>42</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931360266"/>
              <w:rPr>
                <w:rFonts w:eastAsia="Times New Roman"/>
              </w:rPr>
            </w:pPr>
            <w:hyperlink w:anchor="ia0680a7a640346e7afc1f53a5745d231_73" w:history="1">
              <w:r>
                <w:rPr>
                  <w:rStyle w:val="a3"/>
                  <w:rFonts w:eastAsia="Times New Roman"/>
                  <w:sz w:val="20"/>
                  <w:szCs w:val="20"/>
                </w:rPr>
                <w:t>8.</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632978710"/>
              <w:rPr>
                <w:rFonts w:eastAsia="Times New Roman"/>
              </w:rPr>
            </w:pPr>
            <w:hyperlink w:anchor="ia0680a7a640346e7afc1f53a5745d231_73" w:history="1">
              <w:r>
                <w:rPr>
                  <w:rStyle w:val="a3"/>
                  <w:rFonts w:eastAsia="Times New Roman"/>
                  <w:sz w:val="20"/>
                  <w:szCs w:val="20"/>
                </w:rPr>
                <w:t>Financial Statements and Supplementary Data</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73" w:history="1">
              <w:r>
                <w:rPr>
                  <w:rStyle w:val="a3"/>
                  <w:rFonts w:eastAsia="Times New Roman"/>
                  <w:sz w:val="20"/>
                  <w:szCs w:val="20"/>
                </w:rPr>
                <w:t>44</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674840280"/>
              <w:rPr>
                <w:rFonts w:eastAsia="Times New Roman"/>
              </w:rPr>
            </w:pPr>
            <w:hyperlink w:anchor="ia0680a7a640346e7afc1f53a5745d231_148" w:history="1">
              <w:r>
                <w:rPr>
                  <w:rStyle w:val="a3"/>
                  <w:rFonts w:eastAsia="Times New Roman"/>
                  <w:sz w:val="20"/>
                  <w:szCs w:val="20"/>
                </w:rPr>
                <w:t>9.</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206604638"/>
              <w:rPr>
                <w:rFonts w:eastAsia="Times New Roman"/>
              </w:rPr>
            </w:pPr>
            <w:hyperlink w:anchor="ia0680a7a640346e7afc1f53a5745d231_148" w:history="1">
              <w:r>
                <w:rPr>
                  <w:rStyle w:val="a3"/>
                  <w:rFonts w:eastAsia="Times New Roman"/>
                  <w:sz w:val="20"/>
                  <w:szCs w:val="20"/>
                </w:rPr>
                <w:t>Changes in and Disag</w:t>
              </w:r>
              <w:r>
                <w:rPr>
                  <w:rStyle w:val="a3"/>
                  <w:rFonts w:eastAsia="Times New Roman"/>
                  <w:sz w:val="20"/>
                  <w:szCs w:val="20"/>
                </w:rPr>
                <w:t>reements with Accountants on Accounting and Financial Disclosure</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48" w:history="1">
              <w:r>
                <w:rPr>
                  <w:rStyle w:val="a3"/>
                  <w:rFonts w:eastAsia="Times New Roman"/>
                  <w:sz w:val="20"/>
                  <w:szCs w:val="20"/>
                </w:rPr>
                <w:t>75</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469474318"/>
              <w:rPr>
                <w:rFonts w:eastAsia="Times New Roman"/>
              </w:rPr>
            </w:pPr>
            <w:hyperlink w:anchor="ia0680a7a640346e7afc1f53a5745d231_151" w:history="1">
              <w:r>
                <w:rPr>
                  <w:rStyle w:val="a3"/>
                  <w:rFonts w:eastAsia="Times New Roman"/>
                  <w:sz w:val="20"/>
                  <w:szCs w:val="20"/>
                </w:rPr>
                <w:t>9A.</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470971661"/>
              <w:rPr>
                <w:rFonts w:eastAsia="Times New Roman"/>
              </w:rPr>
            </w:pPr>
            <w:hyperlink w:anchor="ia0680a7a640346e7afc1f53a5745d231_151" w:history="1">
              <w:r>
                <w:rPr>
                  <w:rStyle w:val="a3"/>
                  <w:rFonts w:eastAsia="Times New Roman"/>
                  <w:sz w:val="20"/>
                  <w:szCs w:val="20"/>
                </w:rPr>
                <w:t>Controls and Procedures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51" w:history="1">
              <w:r>
                <w:rPr>
                  <w:rStyle w:val="a3"/>
                  <w:rFonts w:eastAsia="Times New Roman"/>
                  <w:sz w:val="20"/>
                  <w:szCs w:val="20"/>
                </w:rPr>
                <w:t>75</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2106336973"/>
              <w:rPr>
                <w:rFonts w:eastAsia="Times New Roman"/>
              </w:rPr>
            </w:pPr>
            <w:hyperlink w:anchor="ia0680a7a640346e7afc1f53a5745d231_154" w:history="1">
              <w:r>
                <w:rPr>
                  <w:rStyle w:val="a3"/>
                  <w:rFonts w:eastAsia="Times New Roman"/>
                  <w:sz w:val="20"/>
                  <w:szCs w:val="20"/>
                </w:rPr>
                <w:t>9B.</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361975410"/>
              <w:rPr>
                <w:rFonts w:eastAsia="Times New Roman"/>
              </w:rPr>
            </w:pPr>
            <w:hyperlink w:anchor="ia0680a7a640346e7afc1f53a5745d231_154"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54" w:history="1">
              <w:r>
                <w:rPr>
                  <w:rStyle w:val="a3"/>
                  <w:rFonts w:eastAsia="Times New Roman"/>
                  <w:sz w:val="20"/>
                  <w:szCs w:val="20"/>
                </w:rPr>
                <w:t>75</w:t>
              </w:r>
            </w:hyperlink>
          </w:p>
        </w:tc>
      </w:tr>
      <w:tr w:rsidR="00000000">
        <w:trPr>
          <w:divId w:val="1885871739"/>
        </w:trPr>
        <w:tc>
          <w:tcPr>
            <w:tcW w:w="0" w:type="auto"/>
            <w:gridSpan w:val="3"/>
            <w:vAlign w:val="center"/>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divId w:val="1885871739"/>
        </w:trPr>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divId w:val="1885871739"/>
          <w:trHeight w:val="30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885871739"/>
        </w:trPr>
        <w:tc>
          <w:tcPr>
            <w:tcW w:w="0" w:type="auto"/>
            <w:gridSpan w:val="6"/>
            <w:shd w:val="clear" w:color="auto" w:fill="CCEEFF"/>
            <w:tcMar>
              <w:top w:w="30" w:type="dxa"/>
              <w:left w:w="20" w:type="dxa"/>
              <w:bottom w:w="30" w:type="dxa"/>
              <w:right w:w="20" w:type="dxa"/>
            </w:tcMar>
            <w:vAlign w:val="bottom"/>
            <w:hideMark/>
          </w:tcPr>
          <w:p w:rsidR="00000000" w:rsidRDefault="001F39D7">
            <w:pPr>
              <w:spacing w:after="100"/>
              <w:divId w:val="390277107"/>
              <w:rPr>
                <w:rFonts w:eastAsia="Times New Roman"/>
              </w:rPr>
            </w:pPr>
            <w:hyperlink w:anchor="ia0680a7a640346e7afc1f53a5745d231_157" w:history="1">
              <w:r>
                <w:rPr>
                  <w:rStyle w:val="a3"/>
                  <w:rFonts w:eastAsia="Times New Roman"/>
                  <w:sz w:val="20"/>
                  <w:szCs w:val="20"/>
                </w:rPr>
                <w:t>PART III</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57" w:history="1">
              <w:r>
                <w:rPr>
                  <w:rStyle w:val="a3"/>
                  <w:rFonts w:eastAsia="Times New Roman"/>
                  <w:sz w:val="20"/>
                  <w:szCs w:val="20"/>
                </w:rPr>
                <w:t>75</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005936673"/>
              <w:rPr>
                <w:rFonts w:eastAsia="Times New Roman"/>
              </w:rPr>
            </w:pPr>
            <w:hyperlink w:anchor="ia0680a7a640346e7afc1f53a5745d231_160" w:history="1">
              <w:r>
                <w:rPr>
                  <w:rStyle w:val="a3"/>
                  <w:rFonts w:eastAsia="Times New Roman"/>
                  <w:sz w:val="20"/>
                  <w:szCs w:val="20"/>
                </w:rPr>
                <w:t>10.</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782216506"/>
              <w:rPr>
                <w:rFonts w:eastAsia="Times New Roman"/>
              </w:rPr>
            </w:pPr>
            <w:hyperlink w:anchor="ia0680a7a640346e7afc1f53a5745d231_160" w:history="1">
              <w:r>
                <w:rPr>
                  <w:rStyle w:val="a3"/>
                  <w:rFonts w:eastAsia="Times New Roman"/>
                  <w:sz w:val="20"/>
                  <w:szCs w:val="20"/>
                </w:rPr>
                <w:t>Directors, Executive Officers, and Corporate Governance</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60" w:history="1">
              <w:r>
                <w:rPr>
                  <w:rStyle w:val="a3"/>
                  <w:rFonts w:eastAsia="Times New Roman"/>
                  <w:sz w:val="20"/>
                  <w:szCs w:val="20"/>
                </w:rPr>
                <w:t>75</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267548186"/>
              <w:rPr>
                <w:rFonts w:eastAsia="Times New Roman"/>
              </w:rPr>
            </w:pPr>
            <w:hyperlink w:anchor="ia0680a7a640346e7afc1f53a5745d231_163" w:history="1">
              <w:r>
                <w:rPr>
                  <w:rStyle w:val="a3"/>
                  <w:rFonts w:eastAsia="Times New Roman"/>
                  <w:sz w:val="20"/>
                  <w:szCs w:val="20"/>
                </w:rPr>
                <w:t>11.</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883863574"/>
              <w:rPr>
                <w:rFonts w:eastAsia="Times New Roman"/>
              </w:rPr>
            </w:pPr>
            <w:hyperlink w:anchor="ia0680a7a640346e7afc1f53a5745d231_163" w:history="1">
              <w:r>
                <w:rPr>
                  <w:rStyle w:val="a3"/>
                  <w:rFonts w:eastAsia="Times New Roman"/>
                  <w:sz w:val="20"/>
                  <w:szCs w:val="20"/>
                </w:rPr>
                <w:t>Executive Compensation</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63" w:history="1">
              <w:r>
                <w:rPr>
                  <w:rStyle w:val="a3"/>
                  <w:rFonts w:eastAsia="Times New Roman"/>
                  <w:sz w:val="20"/>
                  <w:szCs w:val="20"/>
                </w:rPr>
                <w:t>75</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113476189"/>
              <w:rPr>
                <w:rFonts w:eastAsia="Times New Roman"/>
              </w:rPr>
            </w:pPr>
            <w:hyperlink w:anchor="ia0680a7a640346e7afc1f53a5745d231_166" w:history="1">
              <w:r>
                <w:rPr>
                  <w:rStyle w:val="a3"/>
                  <w:rFonts w:eastAsia="Times New Roman"/>
                  <w:sz w:val="20"/>
                  <w:szCs w:val="20"/>
                </w:rPr>
                <w:t>12.</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761073346"/>
              <w:rPr>
                <w:rFonts w:eastAsia="Times New Roman"/>
              </w:rPr>
            </w:pPr>
            <w:hyperlink w:anchor="ia0680a7a640346e7afc1f53a5745d231_166" w:history="1">
              <w:r>
                <w:rPr>
                  <w:rStyle w:val="a3"/>
                  <w:rFonts w:eastAsia="Times New Roman"/>
                  <w:sz w:val="20"/>
                  <w:szCs w:val="20"/>
                </w:rPr>
                <w:t>Security Ownership of Certain Beneficial Owners and Management a</w:t>
              </w:r>
              <w:r>
                <w:rPr>
                  <w:rStyle w:val="a3"/>
                  <w:rFonts w:eastAsia="Times New Roman"/>
                  <w:sz w:val="20"/>
                  <w:szCs w:val="20"/>
                </w:rPr>
                <w:t>nd Related Stockholder Matters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66" w:history="1">
              <w:r>
                <w:rPr>
                  <w:rStyle w:val="a3"/>
                  <w:rFonts w:eastAsia="Times New Roman"/>
                  <w:sz w:val="20"/>
                  <w:szCs w:val="20"/>
                </w:rPr>
                <w:t>75</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919605909"/>
              <w:rPr>
                <w:rFonts w:eastAsia="Times New Roman"/>
              </w:rPr>
            </w:pPr>
            <w:hyperlink w:anchor="ia0680a7a640346e7afc1f53a5745d231_169" w:history="1">
              <w:r>
                <w:rPr>
                  <w:rStyle w:val="a3"/>
                  <w:rFonts w:eastAsia="Times New Roman"/>
                  <w:sz w:val="20"/>
                  <w:szCs w:val="20"/>
                </w:rPr>
                <w:t>13.</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733456511"/>
              <w:rPr>
                <w:rFonts w:eastAsia="Times New Roman"/>
              </w:rPr>
            </w:pPr>
            <w:hyperlink w:anchor="ia0680a7a640346e7afc1f53a5745d231_169" w:history="1">
              <w:r>
                <w:rPr>
                  <w:rStyle w:val="a3"/>
                  <w:rFonts w:eastAsia="Times New Roman"/>
                  <w:sz w:val="20"/>
                  <w:szCs w:val="20"/>
                </w:rPr>
                <w:t>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69" w:history="1">
              <w:r>
                <w:rPr>
                  <w:rStyle w:val="a3"/>
                  <w:rFonts w:eastAsia="Times New Roman"/>
                  <w:sz w:val="20"/>
                  <w:szCs w:val="20"/>
                </w:rPr>
                <w:t>76</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75730801"/>
              <w:rPr>
                <w:rFonts w:eastAsia="Times New Roman"/>
              </w:rPr>
            </w:pPr>
            <w:hyperlink w:anchor="ia0680a7a640346e7afc1f53a5745d231_172" w:history="1">
              <w:r>
                <w:rPr>
                  <w:rStyle w:val="a3"/>
                  <w:rFonts w:eastAsia="Times New Roman"/>
                  <w:sz w:val="20"/>
                  <w:szCs w:val="20"/>
                </w:rPr>
                <w:t>14.</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470368144"/>
              <w:rPr>
                <w:rFonts w:eastAsia="Times New Roman"/>
              </w:rPr>
            </w:pPr>
            <w:hyperlink w:anchor="ia0680a7a640346e7afc1f53a5745d231_172" w:history="1">
              <w:r>
                <w:rPr>
                  <w:rStyle w:val="a3"/>
                  <w:rFonts w:eastAsia="Times New Roman"/>
                  <w:sz w:val="20"/>
                  <w:szCs w:val="20"/>
                </w:rPr>
                <w:t>Principal Accountant Fees and Services</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72" w:history="1">
              <w:r>
                <w:rPr>
                  <w:rStyle w:val="a3"/>
                  <w:rFonts w:eastAsia="Times New Roman"/>
                  <w:sz w:val="20"/>
                  <w:szCs w:val="20"/>
                </w:rPr>
                <w:t>76</w:t>
              </w:r>
            </w:hyperlink>
          </w:p>
        </w:tc>
      </w:tr>
      <w:tr w:rsidR="00000000">
        <w:trPr>
          <w:divId w:val="1885871739"/>
          <w:trHeight w:val="30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885871739"/>
        </w:trPr>
        <w:tc>
          <w:tcPr>
            <w:tcW w:w="0" w:type="auto"/>
            <w:gridSpan w:val="6"/>
            <w:shd w:val="clear" w:color="auto" w:fill="FFFFFF"/>
            <w:tcMar>
              <w:top w:w="30" w:type="dxa"/>
              <w:left w:w="20" w:type="dxa"/>
              <w:bottom w:w="30" w:type="dxa"/>
              <w:right w:w="20" w:type="dxa"/>
            </w:tcMar>
            <w:vAlign w:val="bottom"/>
            <w:hideMark/>
          </w:tcPr>
          <w:p w:rsidR="00000000" w:rsidRDefault="001F39D7">
            <w:pPr>
              <w:spacing w:after="100"/>
              <w:divId w:val="1878468921"/>
              <w:rPr>
                <w:rFonts w:eastAsia="Times New Roman"/>
              </w:rPr>
            </w:pPr>
            <w:hyperlink w:anchor="ia0680a7a640346e7afc1f53a5745d231_175" w:history="1">
              <w:r>
                <w:rPr>
                  <w:rStyle w:val="a3"/>
                  <w:rFonts w:eastAsia="Times New Roman"/>
                  <w:sz w:val="20"/>
                  <w:szCs w:val="20"/>
                </w:rPr>
                <w:t>PART IV</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75" w:history="1">
              <w:r>
                <w:rPr>
                  <w:rStyle w:val="a3"/>
                  <w:rFonts w:eastAsia="Times New Roman"/>
                  <w:sz w:val="20"/>
                  <w:szCs w:val="20"/>
                </w:rPr>
                <w:t>76</w:t>
              </w:r>
            </w:hyperlink>
          </w:p>
        </w:tc>
      </w:tr>
      <w:tr w:rsidR="00000000">
        <w:trPr>
          <w:divId w:val="1885871739"/>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318314917"/>
              <w:rPr>
                <w:rFonts w:eastAsia="Times New Roman"/>
              </w:rPr>
            </w:pPr>
            <w:hyperlink w:anchor="ia0680a7a640346e7afc1f53a5745d231_178" w:history="1">
              <w:r>
                <w:rPr>
                  <w:rStyle w:val="a3"/>
                  <w:rFonts w:eastAsia="Times New Roman"/>
                  <w:sz w:val="20"/>
                  <w:szCs w:val="20"/>
                </w:rPr>
                <w:t>15.</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436440657"/>
              <w:rPr>
                <w:rFonts w:eastAsia="Times New Roman"/>
              </w:rPr>
            </w:pPr>
            <w:hyperlink w:anchor="ia0680a7a640346e7afc1f53a5745d231_178" w:history="1">
              <w:r>
                <w:rPr>
                  <w:rStyle w:val="a3"/>
                  <w:rFonts w:eastAsia="Times New Roman"/>
                  <w:sz w:val="20"/>
                  <w:szCs w:val="20"/>
                </w:rPr>
                <w:t>Exhibit</w:t>
              </w:r>
            </w:hyperlink>
            <w:hyperlink w:anchor="ia0680a7a640346e7afc1f53a5745d231_178" w:history="1">
              <w:r>
                <w:rPr>
                  <w:rStyle w:val="a3"/>
                  <w:rFonts w:eastAsia="Times New Roman"/>
                  <w:sz w:val="20"/>
                  <w:szCs w:val="20"/>
                </w:rPr>
                <w:t>s</w:t>
              </w:r>
            </w:hyperlink>
            <w:hyperlink w:anchor="ia0680a7a640346e7afc1f53a5745d231_178" w:history="1">
              <w:r>
                <w:rPr>
                  <w:rStyle w:val="a3"/>
                  <w:rFonts w:eastAsia="Times New Roman"/>
                  <w:sz w:val="20"/>
                  <w:szCs w:val="20"/>
                </w:rPr>
                <w:t xml:space="preserve"> and Financial Statement Schedules</w:t>
              </w:r>
            </w:hyperlink>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78" w:history="1">
              <w:r>
                <w:rPr>
                  <w:rStyle w:val="a3"/>
                  <w:rFonts w:eastAsia="Times New Roman"/>
                  <w:sz w:val="20"/>
                  <w:szCs w:val="20"/>
                </w:rPr>
                <w:t>76</w:t>
              </w:r>
            </w:hyperlink>
          </w:p>
        </w:tc>
      </w:tr>
      <w:tr w:rsidR="00000000">
        <w:trPr>
          <w:divId w:val="1885871739"/>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104306109"/>
              <w:rPr>
                <w:rFonts w:eastAsia="Times New Roman"/>
              </w:rPr>
            </w:pPr>
            <w:hyperlink w:anchor="ia0680a7a640346e7afc1f53a5745d231_181" w:history="1">
              <w:r>
                <w:rPr>
                  <w:rStyle w:val="a3"/>
                  <w:rFonts w:eastAsia="Times New Roman"/>
                  <w:sz w:val="20"/>
                  <w:szCs w:val="20"/>
                </w:rPr>
                <w:t>16.</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852327933"/>
              <w:rPr>
                <w:rFonts w:eastAsia="Times New Roman"/>
              </w:rPr>
            </w:pPr>
            <w:hyperlink w:anchor="ia0680a7a640346e7afc1f53a5745d231_181" w:history="1">
              <w:r>
                <w:rPr>
                  <w:rStyle w:val="a3"/>
                  <w:rFonts w:eastAsia="Times New Roman"/>
                  <w:sz w:val="20"/>
                  <w:szCs w:val="20"/>
                </w:rPr>
                <w:t>Form 10-K Summary</w:t>
              </w:r>
            </w:hyperlink>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hyperlink w:anchor="ia0680a7a640346e7afc1f53a5745d231_181" w:history="1">
              <w:r>
                <w:rPr>
                  <w:rStyle w:val="a3"/>
                  <w:rFonts w:eastAsia="Times New Roman"/>
                  <w:sz w:val="20"/>
                  <w:szCs w:val="20"/>
                </w:rPr>
                <w:t>76</w:t>
              </w:r>
            </w:hyperlink>
          </w:p>
        </w:tc>
      </w:tr>
    </w:tbl>
    <w:p w:rsidR="00000000" w:rsidRDefault="001F39D7">
      <w:pPr>
        <w:divId w:val="1445417486"/>
        <w:rPr>
          <w:rFonts w:eastAsia="Times New Roman"/>
        </w:rPr>
      </w:pPr>
    </w:p>
    <w:p w:rsidR="00000000" w:rsidRDefault="001F39D7">
      <w:pPr>
        <w:jc w:val="center"/>
        <w:divId w:val="2070348321"/>
        <w:rPr>
          <w:rFonts w:eastAsia="Times New Roman"/>
        </w:rPr>
      </w:pPr>
      <w:r>
        <w:rPr>
          <w:rFonts w:eastAsia="Times New Roman"/>
          <w:color w:val="000000"/>
          <w:sz w:val="20"/>
          <w:szCs w:val="20"/>
        </w:rPr>
        <w:t>i</w:t>
      </w:r>
    </w:p>
    <w:p w:rsidR="00000000" w:rsidRDefault="001F39D7">
      <w:pPr>
        <w:rPr>
          <w:rFonts w:eastAsia="Times New Roman"/>
        </w:rPr>
      </w:pPr>
      <w:r>
        <w:rPr>
          <w:rFonts w:eastAsia="Times New Roman"/>
        </w:rPr>
        <w:pict>
          <v:rect id="_x0000_i1027" style="width:0;height:1.5pt" o:hralign="center" o:hrstd="t" o:hr="t" fillcolor="#a0a0a0" stroked="f"/>
        </w:pict>
      </w:r>
    </w:p>
    <w:p w:rsidR="00000000" w:rsidRDefault="001F39D7">
      <w:pPr>
        <w:divId w:val="1321695301"/>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FORWARD-LOOKING STATEMENTS OR INFORMATION</w:t>
      </w:r>
    </w:p>
    <w:p w:rsidR="00000000" w:rsidRDefault="001F39D7">
      <w:pPr>
        <w:divId w:val="435951382"/>
        <w:rPr>
          <w:rFonts w:eastAsia="Times New Roman"/>
        </w:rPr>
      </w:pPr>
    </w:p>
    <w:p w:rsidR="00000000" w:rsidRDefault="001F39D7">
      <w:pPr>
        <w:jc w:val="both"/>
        <w:rPr>
          <w:rFonts w:eastAsia="Times New Roman"/>
        </w:rPr>
      </w:pPr>
      <w:r>
        <w:rPr>
          <w:rFonts w:eastAsia="Times New Roman"/>
          <w:color w:val="000000"/>
          <w:sz w:val="20"/>
          <w:szCs w:val="20"/>
        </w:rPr>
        <w:t>This Form 10-K and statements included or incorporated by reference in this Form 10-K include certain forward-lo</w:t>
      </w:r>
      <w:r>
        <w:rPr>
          <w:rFonts w:eastAsia="Times New Roman"/>
          <w:color w:val="000000"/>
          <w:sz w:val="20"/>
          <w:szCs w:val="20"/>
        </w:rPr>
        <w:t xml:space="preserve">oking statements, which are made pursuant to the safe harbor provisions of the Private Securities Litigation Reform Act of 1995 (the “Act”).  All statements, other than statements of historical facts, which address activities, events, or developments that </w:t>
      </w:r>
      <w:r>
        <w:rPr>
          <w:rFonts w:eastAsia="Times New Roman"/>
          <w:color w:val="000000"/>
          <w:sz w:val="20"/>
          <w:szCs w:val="20"/>
        </w:rPr>
        <w:t xml:space="preserve">we expect or anticipate will or may occur in the future, including such things as future capital expenditures (including their amount and nature), business strategy, expansion, anticipated future performance and growth of our business operations and other </w:t>
      </w:r>
      <w:r>
        <w:rPr>
          <w:rFonts w:eastAsia="Times New Roman"/>
          <w:color w:val="000000"/>
          <w:sz w:val="20"/>
          <w:szCs w:val="20"/>
        </w:rPr>
        <w:t>such matters are forward-looking statements.  To take advantage of the safe harbor provided by the Act, we are identifying certain factors that could cause actual results to differ materially from those expressed in any forward-looking statements.  These f</w:t>
      </w:r>
      <w:r>
        <w:rPr>
          <w:rFonts w:eastAsia="Times New Roman"/>
          <w:color w:val="000000"/>
          <w:sz w:val="20"/>
          <w:szCs w:val="20"/>
        </w:rPr>
        <w:t>actors include, without limitation, national, regional, and local economic conditions affecting consumer spending, including the effects of the COVID-19 pandemic, the efficacy and distribution of COVID-19 vaccines, the timing and acceptance of new products</w:t>
      </w:r>
      <w:r>
        <w:rPr>
          <w:rFonts w:eastAsia="Times New Roman"/>
          <w:color w:val="000000"/>
          <w:sz w:val="20"/>
          <w:szCs w:val="20"/>
        </w:rPr>
        <w:t>, the timing and mix of goods sold, purchase price volatility (including inflationary and deflationary pressures), transportation costs, constraints in the supply chain affecting timing and availability of merchandise inventory, the ability to increase sal</w:t>
      </w:r>
      <w:r>
        <w:rPr>
          <w:rFonts w:eastAsia="Times New Roman"/>
          <w:color w:val="000000"/>
          <w:sz w:val="20"/>
          <w:szCs w:val="20"/>
        </w:rPr>
        <w:t>es at existing stores or on our e-commerce platforms, the ability to manage growth and identify suitable locations, the ability to complete acquisitions on expected terms, failure of an acquisition to produce anticipated results, the ability to successfull</w:t>
      </w:r>
      <w:r>
        <w:rPr>
          <w:rFonts w:eastAsia="Times New Roman"/>
          <w:color w:val="000000"/>
          <w:sz w:val="20"/>
          <w:szCs w:val="20"/>
        </w:rPr>
        <w:t>y manage expenses (including increased expenses as a result of operating during the COVID-19 pandemic) and to execute our key gross margin enhancing initiatives, the availability of favorable credit sources, capital market conditions in general, the abilit</w:t>
      </w:r>
      <w:r>
        <w:rPr>
          <w:rFonts w:eastAsia="Times New Roman"/>
          <w:color w:val="000000"/>
          <w:sz w:val="20"/>
          <w:szCs w:val="20"/>
        </w:rPr>
        <w:t>y to open new stores in the time, manner and number currently contemplated, particularly in light of the COVID-19 pandemic, the ability to open distribution centers in the anticipated timeframe and within budget, the impact of new stores on our business, c</w:t>
      </w:r>
      <w:r>
        <w:rPr>
          <w:rFonts w:eastAsia="Times New Roman"/>
          <w:color w:val="000000"/>
          <w:sz w:val="20"/>
          <w:szCs w:val="20"/>
        </w:rPr>
        <w:t>ompetition, including that from online competitors, weather conditions, the seasonal nature of our business, effective merchandising initiatives and marketing emphasis, the ability to retain vendors, reliance on foreign suppliers, the ability to attract, t</w:t>
      </w:r>
      <w:r>
        <w:rPr>
          <w:rFonts w:eastAsia="Times New Roman"/>
          <w:color w:val="000000"/>
          <w:sz w:val="20"/>
          <w:szCs w:val="20"/>
        </w:rPr>
        <w:t>rain, and retain qualified employees, increasing labor and benefit costs, our ability to meet our sustainability, stewardship, carbon emission, and diversity, equity, and inclusion ("DE&amp;I") related environmental, social, and governance ("ESG") projections,</w:t>
      </w:r>
      <w:r>
        <w:rPr>
          <w:rFonts w:eastAsia="Times New Roman"/>
          <w:color w:val="000000"/>
          <w:sz w:val="20"/>
          <w:szCs w:val="20"/>
        </w:rPr>
        <w:t xml:space="preserve"> goals, and commitments, product liability and other claims, changes in federal, state, or local regulations, the potential effects on our business of responses of government and public health authorities to the COVID-19 pandemic, the “shelter in place” an</w:t>
      </w:r>
      <w:r>
        <w:rPr>
          <w:rFonts w:eastAsia="Times New Roman"/>
          <w:color w:val="000000"/>
          <w:sz w:val="20"/>
          <w:szCs w:val="20"/>
        </w:rPr>
        <w:t>d similar federal, state, and local regulations and protocols could have on our business, including our supply chain and employees, the effectiveness of the Company’s responses to COVID-19, including our efforts to make a vaccine available to our employees</w:t>
      </w:r>
      <w:r>
        <w:rPr>
          <w:rFonts w:eastAsia="Times New Roman"/>
          <w:color w:val="000000"/>
          <w:sz w:val="20"/>
          <w:szCs w:val="20"/>
        </w:rPr>
        <w:t>, and customer response with respect to those actions, the refusal by our employees and the public generally to be vaccinated against COVID-19, the imposition of tariffs on imported products or the disallowance of tax deductions on imported products, poten</w:t>
      </w:r>
      <w:r>
        <w:rPr>
          <w:rFonts w:eastAsia="Times New Roman"/>
          <w:color w:val="000000"/>
          <w:sz w:val="20"/>
          <w:szCs w:val="20"/>
        </w:rPr>
        <w:t>tial judgments, fines, legal fees, and other costs, breach of information systems or theft of employee or customer data, ongoing and potential future legal or regulatory proceedings, management of our information systems, failure to develop and implement n</w:t>
      </w:r>
      <w:r>
        <w:rPr>
          <w:rFonts w:eastAsia="Times New Roman"/>
          <w:color w:val="000000"/>
          <w:sz w:val="20"/>
          <w:szCs w:val="20"/>
        </w:rPr>
        <w:t xml:space="preserve">ew </w:t>
      </w:r>
      <w:r>
        <w:rPr>
          <w:rFonts w:eastAsia="Times New Roman"/>
          <w:color w:val="000000"/>
          <w:sz w:val="20"/>
          <w:szCs w:val="20"/>
        </w:rPr>
        <w:lastRenderedPageBreak/>
        <w:t xml:space="preserve">technologies, the failure of customer-facing technology systems, business disruption including from the implementation of supply chain technologies, effective tax rate changes and results of examination by taxing authorities, the ability to maintain an </w:t>
      </w:r>
      <w:r>
        <w:rPr>
          <w:rFonts w:eastAsia="Times New Roman"/>
          <w:color w:val="000000"/>
          <w:sz w:val="20"/>
          <w:szCs w:val="20"/>
        </w:rPr>
        <w:t>effective system of internal control over financial reporting, and changes in accounting standards, assumptions, and estimates, and those described in Item 1A. “Risk Factors.”  Forward-looking statements are based on currently available information and are</w:t>
      </w:r>
      <w:r>
        <w:rPr>
          <w:rFonts w:eastAsia="Times New Roman"/>
          <w:color w:val="000000"/>
          <w:sz w:val="20"/>
          <w:szCs w:val="20"/>
        </w:rPr>
        <w:t xml:space="preserve"> based on our current expectations and projections about future events.  We undertake no obligation to release publicly any revisions to these forward-looking statements to reflect events or circumstances after the date hereof or to reflect the occurrence </w:t>
      </w:r>
      <w:r>
        <w:rPr>
          <w:rFonts w:eastAsia="Times New Roman"/>
          <w:color w:val="000000"/>
          <w:sz w:val="20"/>
          <w:szCs w:val="20"/>
        </w:rPr>
        <w:t xml:space="preserve">of unanticipated events, except as required by law. </w:t>
      </w:r>
    </w:p>
    <w:p w:rsidR="00000000" w:rsidRDefault="001F39D7">
      <w:pPr>
        <w:divId w:val="670260036"/>
        <w:rPr>
          <w:rFonts w:eastAsia="Times New Roman"/>
        </w:rPr>
      </w:pPr>
    </w:p>
    <w:p w:rsidR="00000000" w:rsidRDefault="001F39D7">
      <w:pPr>
        <w:rPr>
          <w:rFonts w:eastAsia="Times New Roman"/>
        </w:rPr>
      </w:pPr>
      <w:r>
        <w:rPr>
          <w:rFonts w:eastAsia="Times New Roman"/>
        </w:rPr>
        <w:pict>
          <v:rect id="_x0000_i1028" style="width:0;height:1.5pt" o:hralign="center" o:hrstd="t" o:hr="t" fillcolor="#a0a0a0" stroked="f"/>
        </w:pict>
      </w:r>
    </w:p>
    <w:p w:rsidR="00000000" w:rsidRDefault="001F39D7">
      <w:pPr>
        <w:divId w:val="1556703170"/>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PART I</w:t>
      </w:r>
    </w:p>
    <w:p w:rsidR="00000000" w:rsidRDefault="001F39D7">
      <w:pPr>
        <w:divId w:val="1497723904"/>
        <w:rPr>
          <w:rFonts w:eastAsia="Times New Roman"/>
        </w:rPr>
      </w:pPr>
    </w:p>
    <w:p w:rsidR="00000000" w:rsidRDefault="001F39D7">
      <w:pPr>
        <w:ind w:hanging="1440"/>
        <w:jc w:val="both"/>
        <w:rPr>
          <w:rFonts w:eastAsia="Times New Roman"/>
        </w:rPr>
      </w:pPr>
      <w:r>
        <w:rPr>
          <w:rFonts w:eastAsia="Times New Roman"/>
          <w:b/>
          <w:bCs/>
          <w:color w:val="000000"/>
          <w:sz w:val="20"/>
          <w:szCs w:val="20"/>
          <w:u w:val="single"/>
        </w:rPr>
        <w:t>Item 1</w:t>
      </w:r>
      <w:r>
        <w:rPr>
          <w:rFonts w:eastAsia="Times New Roman"/>
          <w:b/>
          <w:bCs/>
          <w:color w:val="000000"/>
          <w:sz w:val="20"/>
          <w:szCs w:val="20"/>
        </w:rPr>
        <w:t>.        </w:t>
      </w:r>
      <w:r>
        <w:rPr>
          <w:rFonts w:eastAsia="Times New Roman"/>
          <w:b/>
          <w:bCs/>
          <w:color w:val="000000"/>
          <w:sz w:val="20"/>
          <w:szCs w:val="20"/>
          <w:u w:val="single"/>
        </w:rPr>
        <w:t>Business</w:t>
      </w:r>
    </w:p>
    <w:p w:rsidR="00000000" w:rsidRDefault="001F39D7">
      <w:pPr>
        <w:divId w:val="1107845520"/>
        <w:rPr>
          <w:rFonts w:eastAsia="Times New Roman"/>
        </w:rPr>
      </w:pPr>
    </w:p>
    <w:p w:rsidR="00000000" w:rsidRDefault="001F39D7">
      <w:pPr>
        <w:jc w:val="both"/>
        <w:rPr>
          <w:rFonts w:eastAsia="Times New Roman"/>
        </w:rPr>
      </w:pPr>
      <w:r>
        <w:rPr>
          <w:rFonts w:eastAsia="Times New Roman"/>
          <w:b/>
          <w:bCs/>
          <w:color w:val="000000"/>
          <w:sz w:val="20"/>
          <w:szCs w:val="20"/>
        </w:rPr>
        <w:t>Overview</w:t>
      </w:r>
    </w:p>
    <w:p w:rsidR="00000000" w:rsidRDefault="001F39D7">
      <w:pPr>
        <w:divId w:val="9527657"/>
        <w:rPr>
          <w:rFonts w:eastAsia="Times New Roman"/>
        </w:rPr>
      </w:pPr>
    </w:p>
    <w:p w:rsidR="00000000" w:rsidRDefault="001F39D7">
      <w:pPr>
        <w:jc w:val="both"/>
        <w:rPr>
          <w:rFonts w:eastAsia="Times New Roman"/>
        </w:rPr>
      </w:pPr>
      <w:r>
        <w:rPr>
          <w:rFonts w:eastAsia="Times New Roman"/>
          <w:color w:val="000000"/>
          <w:sz w:val="20"/>
          <w:szCs w:val="20"/>
        </w:rPr>
        <w:t xml:space="preserve">Tractor Supply Company (the “Company” </w:t>
      </w:r>
      <w:r>
        <w:rPr>
          <w:rFonts w:eastAsia="Times New Roman"/>
          <w:color w:val="000000"/>
          <w:sz w:val="20"/>
          <w:szCs w:val="20"/>
        </w:rPr>
        <w:t xml:space="preserve">or "Tractor Supply" or “we” or “our” or “us”) is the largest rural lifestyle retailer in the United States (“U.S.”). The Company is focused on supplying the needs of recreational farmers, ranchers, and all those who enjoy living the rural lifestyle (which </w:t>
      </w:r>
      <w:r>
        <w:rPr>
          <w:rFonts w:eastAsia="Times New Roman"/>
          <w:color w:val="000000"/>
          <w:sz w:val="20"/>
          <w:szCs w:val="20"/>
        </w:rPr>
        <w:t>we refer to as the “</w:t>
      </w:r>
      <w:r>
        <w:rPr>
          <w:rFonts w:eastAsia="Times New Roman"/>
          <w:i/>
          <w:iCs/>
          <w:color w:val="000000"/>
          <w:sz w:val="20"/>
          <w:szCs w:val="20"/>
        </w:rPr>
        <w:t>Out Here</w:t>
      </w:r>
      <w:r>
        <w:rPr>
          <w:rFonts w:eastAsia="Times New Roman"/>
          <w:color w:val="000000"/>
          <w:sz w:val="20"/>
          <w:szCs w:val="20"/>
        </w:rPr>
        <w:t xml:space="preserve">” lifestyle).  We operate retail stores under the names </w:t>
      </w:r>
      <w:r>
        <w:rPr>
          <w:rFonts w:eastAsia="Times New Roman"/>
          <w:i/>
          <w:iCs/>
          <w:color w:val="000000"/>
          <w:sz w:val="20"/>
          <w:szCs w:val="20"/>
        </w:rPr>
        <w:t xml:space="preserve">Tractor Supply Company, Petsense, </w:t>
      </w:r>
      <w:r>
        <w:rPr>
          <w:rFonts w:eastAsia="Times New Roman"/>
          <w:color w:val="000000"/>
          <w:sz w:val="20"/>
          <w:szCs w:val="20"/>
        </w:rPr>
        <w:t>and</w:t>
      </w:r>
      <w:r>
        <w:rPr>
          <w:rFonts w:eastAsia="Times New Roman"/>
          <w:i/>
          <w:iCs/>
          <w:color w:val="000000"/>
          <w:sz w:val="20"/>
          <w:szCs w:val="20"/>
        </w:rPr>
        <w:t xml:space="preserve"> Del’s Feed &amp; Farm Supply. </w:t>
      </w:r>
      <w:r>
        <w:rPr>
          <w:rFonts w:eastAsia="Times New Roman"/>
          <w:color w:val="000000"/>
          <w:sz w:val="20"/>
          <w:szCs w:val="20"/>
        </w:rPr>
        <w:t>Our stores are located primarily in towns outlying major metropolitan markets and in rural communities. We a</w:t>
      </w:r>
      <w:r>
        <w:rPr>
          <w:rFonts w:eastAsia="Times New Roman"/>
          <w:color w:val="000000"/>
          <w:sz w:val="20"/>
          <w:szCs w:val="20"/>
        </w:rPr>
        <w:t xml:space="preserve">lso offer an expanded assortment of products through the Tractor Supply mobile application and online at </w:t>
      </w:r>
      <w:r>
        <w:rPr>
          <w:rFonts w:eastAsia="Times New Roman"/>
          <w:i/>
          <w:iCs/>
          <w:color w:val="000000"/>
          <w:sz w:val="20"/>
          <w:szCs w:val="20"/>
          <w:u w:val="single"/>
        </w:rPr>
        <w:t>TractorSupply.com</w:t>
      </w:r>
      <w:r>
        <w:rPr>
          <w:rFonts w:eastAsia="Times New Roman"/>
          <w:color w:val="000000"/>
          <w:sz w:val="20"/>
          <w:szCs w:val="20"/>
        </w:rPr>
        <w:t xml:space="preserve"> and</w:t>
      </w:r>
      <w:r>
        <w:rPr>
          <w:rFonts w:eastAsia="Times New Roman"/>
          <w:i/>
          <w:iCs/>
          <w:color w:val="000000"/>
          <w:sz w:val="20"/>
          <w:szCs w:val="20"/>
        </w:rPr>
        <w:t xml:space="preserve"> </w:t>
      </w:r>
      <w:r>
        <w:rPr>
          <w:rFonts w:eastAsia="Times New Roman"/>
          <w:i/>
          <w:iCs/>
          <w:color w:val="000000"/>
          <w:sz w:val="20"/>
          <w:szCs w:val="20"/>
          <w:u w:val="single"/>
        </w:rPr>
        <w:t>Petsense.com</w:t>
      </w:r>
      <w:r>
        <w:rPr>
          <w:rFonts w:eastAsia="Times New Roman"/>
          <w:color w:val="000000"/>
          <w:sz w:val="20"/>
          <w:szCs w:val="2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Company has one reportable industry segment which is the retail sale of products that support the rural lifestyle. At December 25, 2021, we operated 2,181 retail stores in 49 states (2,003 Tractor Supply and Del’s retail stores and 178 Petsense retail </w:t>
      </w:r>
      <w:r>
        <w:rPr>
          <w:rFonts w:eastAsia="Times New Roman"/>
          <w:color w:val="000000"/>
          <w:sz w:val="20"/>
          <w:szCs w:val="20"/>
        </w:rPr>
        <w:t>stores). Our Tractor Supply stores typically range in size from 15,000 to 20,000 square feet of inside selling space, along with additional outside selling space, and our Petsense stores have approximately 5,500 square feet of inside selling space. For Tra</w:t>
      </w:r>
      <w:r>
        <w:rPr>
          <w:rFonts w:eastAsia="Times New Roman"/>
          <w:color w:val="000000"/>
          <w:sz w:val="20"/>
          <w:szCs w:val="20"/>
        </w:rPr>
        <w:t>ctor Supply retail locations, we use a standard design for most new built-to-suit locations that includes approximately 15,500 square feet of inside selling space. Our online selling websites and our mobile application offer an extended assortment of produ</w:t>
      </w:r>
      <w:r>
        <w:rPr>
          <w:rFonts w:eastAsia="Times New Roman"/>
          <w:color w:val="000000"/>
          <w:sz w:val="20"/>
          <w:szCs w:val="20"/>
        </w:rPr>
        <w:t xml:space="preserve">cts beyond those offered in-store and drive traffic into our stores through our buy online and pickup in-store and ship to store programs. Our retail store locations and digital capabilities provide the convenience to allow our customers to engage with us </w:t>
      </w:r>
      <w:r>
        <w:rPr>
          <w:rFonts w:eastAsia="Times New Roman"/>
          <w:color w:val="000000"/>
          <w:sz w:val="20"/>
          <w:szCs w:val="20"/>
        </w:rPr>
        <w:t xml:space="preserve">anytime, anywhere and in any way they choose.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February 17, 2021, the Company announced that it entered into an agreement to acquire all of the outstanding equity interests of Orscheln Farm and Home, LLC, a farm and ranch retailer with 167 retail stor</w:t>
      </w:r>
      <w:r>
        <w:rPr>
          <w:rFonts w:eastAsia="Times New Roman"/>
          <w:color w:val="000000"/>
          <w:sz w:val="20"/>
          <w:szCs w:val="20"/>
        </w:rPr>
        <w:t>es in 11 states, in an all-cash transaction for approximately $320 million. The Company intends to fund the acquisition through cash-on-hand. The acquisition is conditioned on the receipt of regulatory clearance and the satisfactory completion of customary</w:t>
      </w:r>
      <w:r>
        <w:rPr>
          <w:rFonts w:eastAsia="Times New Roman"/>
          <w:color w:val="000000"/>
          <w:sz w:val="20"/>
          <w:szCs w:val="20"/>
        </w:rPr>
        <w:t xml:space="preserve"> closing conditions within a specified timeframe.</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 xml:space="preserve">Business Strategy for Tractor Supply Company </w:t>
      </w:r>
    </w:p>
    <w:p w:rsidR="00000000" w:rsidRDefault="001F39D7">
      <w:pPr>
        <w:divId w:val="573319945"/>
        <w:rPr>
          <w:rFonts w:eastAsia="Times New Roman"/>
        </w:rPr>
      </w:pPr>
    </w:p>
    <w:p w:rsidR="00000000" w:rsidRDefault="001F39D7">
      <w:pPr>
        <w:jc w:val="both"/>
        <w:rPr>
          <w:rFonts w:eastAsia="Times New Roman"/>
        </w:rPr>
      </w:pPr>
      <w:r>
        <w:rPr>
          <w:rFonts w:eastAsia="Times New Roman"/>
          <w:color w:val="000000"/>
          <w:sz w:val="20"/>
          <w:szCs w:val="20"/>
        </w:rPr>
        <w:t>We believe our sales and earnings growth is the result of executing our multi-year strategy, which includes the following key components:</w:t>
      </w:r>
    </w:p>
    <w:p w:rsidR="00000000" w:rsidRDefault="001F39D7">
      <w:pPr>
        <w:jc w:val="both"/>
        <w:rPr>
          <w:rFonts w:eastAsia="Times New Roman"/>
        </w:rPr>
      </w:pPr>
      <w:r>
        <w:rPr>
          <w:rFonts w:eastAsia="Times New Roman"/>
          <w:color w:val="000000"/>
          <w:sz w:val="20"/>
          <w:szCs w:val="20"/>
        </w:rPr>
        <w:t> </w:t>
      </w:r>
    </w:p>
    <w:p w:rsidR="00000000" w:rsidRDefault="001F39D7">
      <w:pPr>
        <w:jc w:val="both"/>
        <w:rPr>
          <w:rFonts w:eastAsia="Times New Roman"/>
        </w:rPr>
      </w:pPr>
      <w:r>
        <w:rPr>
          <w:rFonts w:eastAsia="Times New Roman"/>
          <w:i/>
          <w:iCs/>
          <w:color w:val="000000"/>
          <w:sz w:val="20"/>
          <w:szCs w:val="20"/>
        </w:rPr>
        <w:t>Market Niche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w:t>
      </w:r>
      <w:r>
        <w:rPr>
          <w:rFonts w:eastAsia="Times New Roman"/>
          <w:color w:val="000000"/>
          <w:sz w:val="20"/>
          <w:szCs w:val="20"/>
        </w:rPr>
        <w:t>e have identified a specialized market niche: supplying the lifestyle needs of recreational farmers, ranchers, and all those who enjoy living the rural lifestyle.  By focusing our product assortment on these core customers, we believe we are differentiated</w:t>
      </w:r>
      <w:r>
        <w:rPr>
          <w:rFonts w:eastAsia="Times New Roman"/>
          <w:color w:val="000000"/>
          <w:sz w:val="20"/>
          <w:szCs w:val="20"/>
        </w:rPr>
        <w:t xml:space="preserve"> from general merchandise, home center, and other specialty retailers. We cater to the rural lifestyle and often serve a market by being a trip consolidator for many basic maintenance needs for farm, ranch, and rural customers through convenient shopping o</w:t>
      </w:r>
      <w:r>
        <w:rPr>
          <w:rFonts w:eastAsia="Times New Roman"/>
          <w:color w:val="000000"/>
          <w:sz w:val="20"/>
          <w:szCs w:val="20"/>
        </w:rPr>
        <w:t>ptions both in-store and online.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Customers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target customers are home, land, pet, and livestock owners who generally have above average income and below average cost of living. We seek to serve a customer base that primarily lives in towns outlying </w:t>
      </w:r>
      <w:r>
        <w:rPr>
          <w:rFonts w:eastAsia="Times New Roman"/>
          <w:color w:val="000000"/>
          <w:sz w:val="20"/>
          <w:szCs w:val="20"/>
        </w:rPr>
        <w:t>major metropolitan markets and in rural communities. This customer base includes recreational farmers, ranchers, and all those who enjoy living the rural lifestyle. We have seen a continuation of shifting consumer behavior trends due to the COVID-19 pandem</w:t>
      </w:r>
      <w:r>
        <w:rPr>
          <w:rFonts w:eastAsia="Times New Roman"/>
          <w:color w:val="000000"/>
          <w:sz w:val="20"/>
          <w:szCs w:val="20"/>
        </w:rPr>
        <w:t xml:space="preserve">ic as customers focused on the care of their homes, land, and animals, which resulted in a growing demand in everyday merchandise, including consumable, usable, and edible ("C.U.E.") products and seasonal categories. </w:t>
      </w:r>
    </w:p>
    <w:p w:rsidR="00000000" w:rsidRDefault="001F39D7">
      <w:pPr>
        <w:divId w:val="48502334"/>
        <w:rPr>
          <w:rFonts w:eastAsia="Times New Roman"/>
        </w:rPr>
      </w:pPr>
    </w:p>
    <w:p w:rsidR="00000000" w:rsidRDefault="001F39D7">
      <w:pPr>
        <w:jc w:val="both"/>
        <w:rPr>
          <w:rFonts w:eastAsia="Times New Roman"/>
        </w:rPr>
      </w:pPr>
      <w:r>
        <w:rPr>
          <w:rFonts w:eastAsia="Times New Roman"/>
          <w:i/>
          <w:iCs/>
          <w:color w:val="000000"/>
          <w:sz w:val="20"/>
          <w:szCs w:val="20"/>
        </w:rPr>
        <w:t>Customer Service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are committed </w:t>
      </w:r>
      <w:r>
        <w:rPr>
          <w:rFonts w:eastAsia="Times New Roman"/>
          <w:color w:val="000000"/>
          <w:sz w:val="20"/>
          <w:szCs w:val="20"/>
        </w:rPr>
        <w:t xml:space="preserve">to providing our customers reliable product availability and a convenient, customer-centric experience across shopping channels. In our stores, we believe the ability of our motivated, well-trained team members to provide friendly, responsive and seasoned </w:t>
      </w:r>
      <w:r>
        <w:rPr>
          <w:rFonts w:eastAsia="Times New Roman"/>
          <w:color w:val="000000"/>
          <w:sz w:val="20"/>
          <w:szCs w:val="20"/>
        </w:rPr>
        <w:t xml:space="preserve">advice helps our customers find the right products to satisfy their everyday needs, as well as the specialty items needed to complete their rural lifestyle projects. We also engage with our customers through our e-commerce websites and mobile application, </w:t>
      </w:r>
      <w:r>
        <w:rPr>
          <w:rFonts w:eastAsia="Times New Roman"/>
          <w:color w:val="000000"/>
          <w:sz w:val="20"/>
          <w:szCs w:val="20"/>
        </w:rPr>
        <w:t xml:space="preserve">which provide the opportunity to allow customers to shop anytime, anywhere, and in any way </w:t>
      </w:r>
    </w:p>
    <w:p w:rsidR="00000000" w:rsidRDefault="001F39D7">
      <w:pPr>
        <w:jc w:val="center"/>
        <w:divId w:val="1762531615"/>
        <w:rPr>
          <w:rFonts w:eastAsia="Times New Roman"/>
        </w:rPr>
      </w:pPr>
      <w:r>
        <w:rPr>
          <w:rFonts w:eastAsia="Times New Roman"/>
          <w:color w:val="000000"/>
          <w:sz w:val="20"/>
          <w:szCs w:val="20"/>
        </w:rPr>
        <w:t>1</w:t>
      </w:r>
    </w:p>
    <w:p w:rsidR="00000000" w:rsidRDefault="001F39D7">
      <w:pPr>
        <w:rPr>
          <w:rFonts w:eastAsia="Times New Roman"/>
        </w:rPr>
      </w:pPr>
      <w:r>
        <w:rPr>
          <w:rFonts w:eastAsia="Times New Roman"/>
        </w:rPr>
        <w:pict>
          <v:rect id="_x0000_i1029" style="width:0;height:1.5pt" o:hralign="center" o:hrstd="t" o:hr="t" fillcolor="#a0a0a0" stroked="f"/>
        </w:pict>
      </w:r>
    </w:p>
    <w:p w:rsidR="00000000" w:rsidRDefault="001F39D7">
      <w:pPr>
        <w:divId w:val="134397492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they choose, while delivering enhanced product information, research, and decision tools that support product selection and informational needs in specific subject areas. Additionally, we maintain a Customer Solutions Center at our Store Support Center loc</w:t>
      </w:r>
      <w:r>
        <w:rPr>
          <w:rFonts w:eastAsia="Times New Roman"/>
          <w:color w:val="000000"/>
          <w:sz w:val="20"/>
          <w:szCs w:val="20"/>
        </w:rPr>
        <w:t>ated in Brentwood, Tennessee, to support our in-store and online customers, as well as our store team members. We believe this commitment to customer service promotes strong customer loyalty through personalized experiences and provides convenience that ou</w:t>
      </w:r>
      <w:r>
        <w:rPr>
          <w:rFonts w:eastAsia="Times New Roman"/>
          <w:color w:val="000000"/>
          <w:sz w:val="20"/>
          <w:szCs w:val="20"/>
        </w:rPr>
        <w:t xml:space="preserve">r customers expect, which drives repeat shopping experiences. </w:t>
      </w:r>
    </w:p>
    <w:p w:rsidR="00000000" w:rsidRDefault="001F39D7">
      <w:pPr>
        <w:divId w:val="118647690"/>
        <w:rPr>
          <w:rFonts w:eastAsia="Times New Roman"/>
        </w:rPr>
      </w:pPr>
    </w:p>
    <w:p w:rsidR="00000000" w:rsidRDefault="001F39D7">
      <w:pPr>
        <w:jc w:val="both"/>
        <w:rPr>
          <w:rFonts w:eastAsia="Times New Roman"/>
        </w:rPr>
      </w:pPr>
      <w:r>
        <w:rPr>
          <w:rFonts w:eastAsia="Times New Roman"/>
          <w:color w:val="000000"/>
          <w:sz w:val="20"/>
          <w:szCs w:val="20"/>
        </w:rPr>
        <w:t>We use a third-party provider to survey and measure our level of customer service.  This process allows customers to provide feedback on their shopping experience.  Based on the third-party p</w:t>
      </w:r>
      <w:r>
        <w:rPr>
          <w:rFonts w:eastAsia="Times New Roman"/>
          <w:color w:val="000000"/>
          <w:sz w:val="20"/>
          <w:szCs w:val="20"/>
        </w:rPr>
        <w:t>rovider’s data, we believe our customer satisfaction scores are among the best-in-class.  We carefully evaluate the feedback we receive from our customers and implement improvements at both the Company and the individual store level based on that feedback.</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Store Environment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stores are designed and managed to make shopping an enjoyable experience and to maximize sales and operating efficiencies.  Stores are strategically arranged to provide an open environment for optimal product placement and visual display. In addition, </w:t>
      </w:r>
      <w:r>
        <w:rPr>
          <w:rFonts w:eastAsia="Times New Roman"/>
          <w:color w:val="000000"/>
          <w:sz w:val="20"/>
          <w:szCs w:val="20"/>
        </w:rPr>
        <w:t>these layouts allow for departmental space to be easily reallocated and visual displays to be changed for seasonal products and promotions. Display and product placement information is routinely sent to stores to ensure quality and uniformity among the sto</w:t>
      </w:r>
      <w:r>
        <w:rPr>
          <w:rFonts w:eastAsia="Times New Roman"/>
          <w:color w:val="000000"/>
          <w:sz w:val="20"/>
          <w:szCs w:val="20"/>
        </w:rPr>
        <w:t>res, and our Field Activity Support Teams ("FAST") are dedicated to support the stores in creating an enhanced in-store experience for our customers through best-in-class merchandising execution. Our store layouts and visual displays are designed to provid</w:t>
      </w:r>
      <w:r>
        <w:rPr>
          <w:rFonts w:eastAsia="Times New Roman"/>
          <w:color w:val="000000"/>
          <w:sz w:val="20"/>
          <w:szCs w:val="20"/>
        </w:rPr>
        <w:t>e our customers a feeling of familiarity and convenience to enhance the shopping experience. Informative signs are located in key product categories to conveniently assist customers with purchasing decisions and merchandise location.  These signs provide c</w:t>
      </w:r>
      <w:r>
        <w:rPr>
          <w:rFonts w:eastAsia="Times New Roman"/>
          <w:color w:val="000000"/>
          <w:sz w:val="20"/>
          <w:szCs w:val="20"/>
        </w:rPr>
        <w:t>ustomers with a comparison of product qualities, clear pricing, useful information regarding product benefits, and suggestions for appropriate accessories. Also, our store team members wear highly visible red vests or aprons with name tags, and our custome</w:t>
      </w:r>
      <w:r>
        <w:rPr>
          <w:rFonts w:eastAsia="Times New Roman"/>
          <w:color w:val="000000"/>
          <w:sz w:val="20"/>
          <w:szCs w:val="20"/>
        </w:rPr>
        <w:t xml:space="preserve">r service and checkout counters are conveniently located near the front of the store. </w:t>
      </w:r>
      <w:r>
        <w:rPr>
          <w:rFonts w:eastAsia="Times New Roman"/>
          <w:color w:val="000000"/>
          <w:sz w:val="20"/>
          <w:szCs w:val="20"/>
          <w:shd w:val="clear" w:color="auto" w:fill="FFFFFF"/>
        </w:rPr>
        <w:t>Our stores have been equipped with tools such as team member communication devices, wireless internet, and mobile point-of-sale devices that enable our team members to pr</w:t>
      </w:r>
      <w:r>
        <w:rPr>
          <w:rFonts w:eastAsia="Times New Roman"/>
          <w:color w:val="000000"/>
          <w:sz w:val="20"/>
          <w:szCs w:val="20"/>
          <w:shd w:val="clear" w:color="auto" w:fill="FFFFFF"/>
        </w:rPr>
        <w:t>ovide an enhanced shopping experience to our customers.</w:t>
      </w:r>
      <w:r>
        <w:rPr>
          <w:rFonts w:eastAsia="Times New Roman"/>
          <w:color w:val="000000"/>
          <w:sz w:val="20"/>
          <w:szCs w:val="20"/>
        </w:rPr>
        <w:t xml:space="preserve"> In addition, our buy online and pickup in-store and ship to store programs, including curbside pickup, provides convenient access for customers to pick up merchandise from our store locations.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w:t>
      </w:r>
      <w:r>
        <w:rPr>
          <w:rFonts w:eastAsia="Times New Roman"/>
          <w:color w:val="000000"/>
          <w:sz w:val="20"/>
          <w:szCs w:val="20"/>
        </w:rPr>
        <w:t xml:space="preserve">re in the midst of a multi-year project that began in 2020 to remodel our existing store base, bringing programs to life with new fixtures, layouts and products that truly enhance the customer shopping experience. The site level space is analyzed category </w:t>
      </w:r>
      <w:r>
        <w:rPr>
          <w:rFonts w:eastAsia="Times New Roman"/>
          <w:color w:val="000000"/>
          <w:sz w:val="20"/>
          <w:szCs w:val="20"/>
        </w:rPr>
        <w:t xml:space="preserve">by category and reallocated as needed to align with current merchandising strategies and to drive space productivity. Another space productivity initiative is </w:t>
      </w:r>
      <w:r>
        <w:rPr>
          <w:rFonts w:eastAsia="Times New Roman"/>
          <w:color w:val="000000"/>
          <w:sz w:val="20"/>
          <w:szCs w:val="20"/>
        </w:rPr>
        <w:lastRenderedPageBreak/>
        <w:t xml:space="preserve">to transform our side lot with an expanded product offering and an enhanced shopping experience. </w:t>
      </w:r>
      <w:r>
        <w:rPr>
          <w:rFonts w:eastAsia="Times New Roman"/>
          <w:color w:val="000000"/>
          <w:sz w:val="20"/>
          <w:szCs w:val="20"/>
        </w:rPr>
        <w:t>With this investment, the side lots space is leveraged to offer a wider product offering in the lawn and garden categories and our new categories with the garden center, and offer greater convenience through the expansion of our buy online and pickup in-st</w:t>
      </w:r>
      <w:r>
        <w:rPr>
          <w:rFonts w:eastAsia="Times New Roman"/>
          <w:color w:val="000000"/>
          <w:sz w:val="20"/>
          <w:szCs w:val="20"/>
        </w:rPr>
        <w:t>ore and ship to store capabilities for drive-thru pickup.</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Merchandising and Purchasing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offer an extensive assortment of products for all those seeking to enjoy the “</w:t>
      </w:r>
      <w:r>
        <w:rPr>
          <w:rFonts w:eastAsia="Times New Roman"/>
          <w:i/>
          <w:iCs/>
          <w:color w:val="000000"/>
          <w:sz w:val="20"/>
          <w:szCs w:val="20"/>
        </w:rPr>
        <w:t>Out Here”</w:t>
      </w:r>
      <w:r>
        <w:rPr>
          <w:rFonts w:eastAsia="Times New Roman"/>
          <w:color w:val="000000"/>
          <w:sz w:val="20"/>
          <w:szCs w:val="20"/>
        </w:rPr>
        <w:t xml:space="preserve"> lifestyle.  Our product assortment is tailored to meet the needs of our cu</w:t>
      </w:r>
      <w:r>
        <w:rPr>
          <w:rFonts w:eastAsia="Times New Roman"/>
          <w:color w:val="000000"/>
          <w:sz w:val="20"/>
          <w:szCs w:val="20"/>
        </w:rPr>
        <w:t>stomers in various geographic markets.  Our full line of product offerings includes a broad selection of high quality, reputable brand name and exclusive brand products with approximately 16,000 to 22,000 products per store as well as over 170,000 products</w:t>
      </w:r>
      <w:r>
        <w:rPr>
          <w:rFonts w:eastAsia="Times New Roman"/>
          <w:color w:val="000000"/>
          <w:sz w:val="20"/>
          <w:szCs w:val="20"/>
        </w:rPr>
        <w:t xml:space="preserve"> online.  No single product accounted for more than 10% of our sales during fiscal 2021. Our comprehensive selection of merchandise is comprised of the following major product categories:</w:t>
      </w:r>
    </w:p>
    <w:p w:rsidR="00000000" w:rsidRDefault="001F39D7">
      <w:pPr>
        <w:divId w:val="988436878"/>
        <w:rPr>
          <w:rFonts w:eastAsia="Times New Roman"/>
        </w:rPr>
      </w:pPr>
    </w:p>
    <w:p w:rsidR="00000000" w:rsidRDefault="001F39D7">
      <w:pPr>
        <w:ind w:hanging="360"/>
        <w:divId w:val="1321614161"/>
        <w:rPr>
          <w:rFonts w:eastAsia="Times New Roman"/>
        </w:rPr>
      </w:pPr>
      <w:r>
        <w:rPr>
          <w:rFonts w:eastAsia="Times New Roman"/>
          <w:color w:val="000000"/>
          <w:sz w:val="20"/>
          <w:szCs w:val="20"/>
        </w:rPr>
        <w:t>•Equine, livestock, pet, and small animal products, including item</w:t>
      </w:r>
      <w:r>
        <w:rPr>
          <w:rFonts w:eastAsia="Times New Roman"/>
          <w:color w:val="000000"/>
          <w:sz w:val="20"/>
          <w:szCs w:val="20"/>
        </w:rPr>
        <w:t>s necessary for their health, care, growth, and containment (i.e. fencing);</w:t>
      </w:r>
    </w:p>
    <w:p w:rsidR="00000000" w:rsidRDefault="001F39D7">
      <w:pPr>
        <w:ind w:hanging="360"/>
        <w:divId w:val="957762665"/>
        <w:rPr>
          <w:rFonts w:eastAsia="Times New Roman"/>
        </w:rPr>
      </w:pPr>
      <w:r>
        <w:rPr>
          <w:rFonts w:eastAsia="Times New Roman"/>
          <w:color w:val="000000"/>
          <w:sz w:val="20"/>
          <w:szCs w:val="20"/>
        </w:rPr>
        <w:t>•Hardware, truck, towing, and tool products;</w:t>
      </w:r>
    </w:p>
    <w:p w:rsidR="00000000" w:rsidRDefault="001F39D7">
      <w:pPr>
        <w:ind w:hanging="360"/>
        <w:divId w:val="1709791903"/>
        <w:rPr>
          <w:rFonts w:eastAsia="Times New Roman"/>
        </w:rPr>
      </w:pPr>
      <w:r>
        <w:rPr>
          <w:rFonts w:eastAsia="Times New Roman"/>
          <w:color w:val="000000"/>
          <w:sz w:val="20"/>
          <w:szCs w:val="20"/>
        </w:rPr>
        <w:t>•Seasonal products, including heating, lawn and garden items, power equipment, gifts, and toys;</w:t>
      </w:r>
    </w:p>
    <w:p w:rsidR="00000000" w:rsidRDefault="001F39D7">
      <w:pPr>
        <w:ind w:hanging="360"/>
        <w:divId w:val="377749889"/>
        <w:rPr>
          <w:rFonts w:eastAsia="Times New Roman"/>
        </w:rPr>
      </w:pPr>
      <w:r>
        <w:rPr>
          <w:rFonts w:eastAsia="Times New Roman"/>
          <w:color w:val="000000"/>
          <w:sz w:val="20"/>
          <w:szCs w:val="20"/>
        </w:rPr>
        <w:t>•Work/recreational clothing and footwea</w:t>
      </w:r>
      <w:r>
        <w:rPr>
          <w:rFonts w:eastAsia="Times New Roman"/>
          <w:color w:val="000000"/>
          <w:sz w:val="20"/>
          <w:szCs w:val="20"/>
        </w:rPr>
        <w:t>r; and</w:t>
      </w:r>
    </w:p>
    <w:p w:rsidR="00000000" w:rsidRDefault="001F39D7">
      <w:pPr>
        <w:ind w:hanging="360"/>
        <w:divId w:val="807286066"/>
        <w:rPr>
          <w:rFonts w:eastAsia="Times New Roman"/>
        </w:rPr>
      </w:pPr>
      <w:r>
        <w:rPr>
          <w:rFonts w:eastAsia="Times New Roman"/>
          <w:color w:val="000000"/>
          <w:sz w:val="20"/>
          <w:szCs w:val="20"/>
        </w:rPr>
        <w:t>•Maintenance products for agricultural and rural use.</w:t>
      </w:r>
    </w:p>
    <w:p w:rsidR="00000000" w:rsidRDefault="001F39D7">
      <w:pPr>
        <w:jc w:val="center"/>
        <w:divId w:val="1403940968"/>
        <w:rPr>
          <w:rFonts w:eastAsia="Times New Roman"/>
        </w:rPr>
      </w:pPr>
      <w:r>
        <w:rPr>
          <w:rFonts w:eastAsia="Times New Roman"/>
          <w:color w:val="000000"/>
          <w:sz w:val="20"/>
          <w:szCs w:val="20"/>
        </w:rPr>
        <w:t>2</w:t>
      </w:r>
    </w:p>
    <w:p w:rsidR="00000000" w:rsidRDefault="001F39D7">
      <w:pPr>
        <w:rPr>
          <w:rFonts w:eastAsia="Times New Roman"/>
        </w:rPr>
      </w:pPr>
      <w:r>
        <w:rPr>
          <w:rFonts w:eastAsia="Times New Roman"/>
        </w:rPr>
        <w:pict>
          <v:rect id="_x0000_i1030" style="width:0;height:1.5pt" o:hralign="center" o:hrstd="t" o:hr="t" fillcolor="#a0a0a0" stroked="f"/>
        </w:pict>
      </w:r>
    </w:p>
    <w:p w:rsidR="00000000" w:rsidRDefault="001F39D7">
      <w:pPr>
        <w:divId w:val="691567313"/>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table indicates the percentage of net sales represented by each of our major</w:t>
      </w:r>
      <w:r>
        <w:rPr>
          <w:rFonts w:eastAsia="Times New Roman"/>
          <w:color w:val="000000"/>
          <w:sz w:val="20"/>
          <w:szCs w:val="20"/>
        </w:rPr>
        <w:t xml:space="preserve"> product categories during fiscal 2021, 2020, and 2019:</w:t>
      </w:r>
    </w:p>
    <w:tbl>
      <w:tblPr>
        <w:tblW w:w="4992" w:type="pct"/>
        <w:tblCellMar>
          <w:top w:w="15" w:type="dxa"/>
          <w:left w:w="15" w:type="dxa"/>
          <w:bottom w:w="15" w:type="dxa"/>
          <w:right w:w="15" w:type="dxa"/>
        </w:tblCellMar>
        <w:tblLook w:val="04A0" w:firstRow="1" w:lastRow="0" w:firstColumn="1" w:lastColumn="0" w:noHBand="0" w:noVBand="1"/>
      </w:tblPr>
      <w:tblGrid>
        <w:gridCol w:w="39"/>
        <w:gridCol w:w="4822"/>
        <w:gridCol w:w="38"/>
        <w:gridCol w:w="37"/>
        <w:gridCol w:w="874"/>
        <w:gridCol w:w="188"/>
        <w:gridCol w:w="36"/>
        <w:gridCol w:w="36"/>
        <w:gridCol w:w="36"/>
        <w:gridCol w:w="37"/>
        <w:gridCol w:w="813"/>
        <w:gridCol w:w="188"/>
        <w:gridCol w:w="36"/>
        <w:gridCol w:w="36"/>
        <w:gridCol w:w="36"/>
        <w:gridCol w:w="37"/>
        <w:gridCol w:w="816"/>
        <w:gridCol w:w="188"/>
      </w:tblGrid>
      <w:tr w:rsidR="00000000">
        <w:tc>
          <w:tcPr>
            <w:tcW w:w="50" w:type="pct"/>
            <w:vAlign w:val="center"/>
            <w:hideMark/>
          </w:tcPr>
          <w:p w:rsidR="00000000" w:rsidRDefault="001F39D7">
            <w:pPr>
              <w:jc w:val="both"/>
              <w:rPr>
                <w:rFonts w:eastAsia="Times New Roman"/>
              </w:rPr>
            </w:pPr>
          </w:p>
        </w:tc>
        <w:tc>
          <w:tcPr>
            <w:tcW w:w="296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Percent of Net Sales</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Hardware, Tools and Truck</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Clothing and Footwear</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buying team continuously reviews and updates our product assortment as necessary to respond to customer needs and to offer new, relevant products.  We are focused on providing key products that our customers use on a regular basis for their lifestyle a</w:t>
      </w:r>
      <w:r>
        <w:rPr>
          <w:rFonts w:eastAsia="Times New Roman"/>
          <w:color w:val="000000"/>
          <w:sz w:val="20"/>
          <w:szCs w:val="20"/>
        </w:rPr>
        <w:t>nd maintenance needs with emphasis on consumable, usable, and edible ("C.U.E.") products.  Examples of C.U.E. product categories include, but are not limited to, livestock feed and bedding, pet food, bird seed, lubricants, propane, and various seasonal pro</w:t>
      </w:r>
      <w:r>
        <w:rPr>
          <w:rFonts w:eastAsia="Times New Roman"/>
          <w:color w:val="000000"/>
          <w:sz w:val="20"/>
          <w:szCs w:val="20"/>
        </w:rPr>
        <w:t xml:space="preserve">ducts, such as fertilizer, weed control, mulch, pest control, and twine.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products are sourced through both domestic and international vendors, each of whom are expected to adhere to a code of conduct that guides our relationship.  Our business is no</w:t>
      </w:r>
      <w:r>
        <w:rPr>
          <w:rFonts w:eastAsia="Times New Roman"/>
          <w:color w:val="000000"/>
          <w:sz w:val="20"/>
          <w:szCs w:val="20"/>
        </w:rPr>
        <w:t>t dependent upon any single vendor or particular group of vendors.  We purchase our products from a group of approximately 975 vendors, with no one vendor representing more than 10% of our purchases during fiscal 2021.  Approximately 375 core vendors accou</w:t>
      </w:r>
      <w:r>
        <w:rPr>
          <w:rFonts w:eastAsia="Times New Roman"/>
          <w:color w:val="000000"/>
          <w:sz w:val="20"/>
          <w:szCs w:val="20"/>
        </w:rPr>
        <w:t>nted for 90% of our merchandise purchases during fiscal 2021. Although the COVID-19 pandemic has resulted in the fluctuation of customer demands for certain products as well as global supply chain disruptions and delays, we have not experienced any signifi</w:t>
      </w:r>
      <w:r>
        <w:rPr>
          <w:rFonts w:eastAsia="Times New Roman"/>
          <w:color w:val="000000"/>
          <w:sz w:val="20"/>
          <w:szCs w:val="20"/>
        </w:rPr>
        <w:t xml:space="preserve">cant difficulty in obtaining satisfactory alternative sources of supply for our products to meet customer demands. We believe that adequate sources of supply exist, but they may cost more or require us to incur higher transportation costs.  </w:t>
      </w:r>
    </w:p>
    <w:p w:rsidR="00000000" w:rsidRDefault="001F39D7">
      <w:pPr>
        <w:divId w:val="1789741489"/>
        <w:rPr>
          <w:rFonts w:eastAsia="Times New Roman"/>
        </w:rPr>
      </w:pPr>
    </w:p>
    <w:p w:rsidR="00000000" w:rsidRDefault="001F39D7">
      <w:pPr>
        <w:jc w:val="both"/>
        <w:rPr>
          <w:rFonts w:eastAsia="Times New Roman"/>
        </w:rPr>
      </w:pPr>
      <w:r>
        <w:rPr>
          <w:rFonts w:eastAsia="Times New Roman"/>
          <w:color w:val="000000"/>
          <w:sz w:val="20"/>
          <w:szCs w:val="20"/>
        </w:rPr>
        <w:t>Our buying t</w:t>
      </w:r>
      <w:r>
        <w:rPr>
          <w:rFonts w:eastAsia="Times New Roman"/>
          <w:color w:val="000000"/>
          <w:sz w:val="20"/>
          <w:szCs w:val="20"/>
        </w:rPr>
        <w:t>eams focus on merchandise procurement, vendor line reviews, and testing of new products and programs.  We also employ a dedicated inventory management team that focuses exclusively on forecasting and inventory replenishment, a committed merchandise plannin</w:t>
      </w:r>
      <w:r>
        <w:rPr>
          <w:rFonts w:eastAsia="Times New Roman"/>
          <w:color w:val="000000"/>
          <w:sz w:val="20"/>
          <w:szCs w:val="20"/>
        </w:rPr>
        <w:t>g team that concentrates on assortment planning, and a specialized pricing team that seeks to optimize market-specific pricing for our products.  Through the combined efforts of these teams, we continue to focus on improving our overall inventory productiv</w:t>
      </w:r>
      <w:r>
        <w:rPr>
          <w:rFonts w:eastAsia="Times New Roman"/>
          <w:color w:val="000000"/>
          <w:sz w:val="20"/>
          <w:szCs w:val="20"/>
        </w:rPr>
        <w:t>ity and in-stock inventory position.</w:t>
      </w:r>
    </w:p>
    <w:p w:rsidR="00000000" w:rsidRDefault="001F39D7">
      <w:pPr>
        <w:divId w:val="416289154"/>
        <w:rPr>
          <w:rFonts w:eastAsia="Times New Roman"/>
        </w:rPr>
      </w:pPr>
    </w:p>
    <w:p w:rsidR="00000000" w:rsidRDefault="001F39D7">
      <w:pPr>
        <w:jc w:val="both"/>
        <w:rPr>
          <w:rFonts w:eastAsia="Times New Roman"/>
        </w:rPr>
      </w:pPr>
      <w:r>
        <w:rPr>
          <w:rFonts w:eastAsia="Times New Roman"/>
          <w:i/>
          <w:iCs/>
          <w:color w:val="000000"/>
          <w:sz w:val="20"/>
          <w:szCs w:val="20"/>
        </w:rPr>
        <w:t xml:space="preserve">Intellectual Property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subsidiary, Tractor Supply Co. of Texas, LP (“TSCT”), owns registrations with the U.S. Patent and Trademark Office (“USPTO”) for various service marks including </w:t>
      </w:r>
      <w:r>
        <w:rPr>
          <w:rFonts w:eastAsia="Times New Roman"/>
          <w:i/>
          <w:iCs/>
          <w:color w:val="000000"/>
          <w:sz w:val="20"/>
          <w:szCs w:val="20"/>
        </w:rPr>
        <w:t>TS</w:t>
      </w:r>
      <w:r>
        <w:rPr>
          <w:rFonts w:eastAsia="Times New Roman"/>
          <w:i/>
          <w:iCs/>
          <w:color w:val="000000"/>
          <w:sz w:val="20"/>
          <w:szCs w:val="20"/>
        </w:rPr>
        <w:t>C</w:t>
      </w:r>
      <w:r>
        <w:rPr>
          <w:rFonts w:eastAsia="Times New Roman"/>
          <w:color w:val="000000"/>
          <w:sz w:val="13"/>
          <w:szCs w:val="13"/>
        </w:rPr>
        <w:t>®</w:t>
      </w:r>
      <w:r>
        <w:rPr>
          <w:rFonts w:eastAsia="Times New Roman"/>
          <w:color w:val="000000"/>
          <w:sz w:val="20"/>
          <w:szCs w:val="20"/>
        </w:rPr>
        <w:t xml:space="preserve">, </w:t>
      </w:r>
      <w:r>
        <w:rPr>
          <w:rFonts w:eastAsia="Times New Roman"/>
          <w:i/>
          <w:iCs/>
          <w:color w:val="000000"/>
          <w:sz w:val="20"/>
          <w:szCs w:val="20"/>
        </w:rPr>
        <w:t>Tractor Supply Co</w:t>
      </w:r>
      <w:r>
        <w:rPr>
          <w:rFonts w:eastAsia="Times New Roman"/>
          <w:i/>
          <w:iCs/>
          <w:color w:val="000000"/>
          <w:sz w:val="20"/>
          <w:szCs w:val="20"/>
        </w:rPr>
        <w:t>.</w:t>
      </w:r>
      <w:r>
        <w:rPr>
          <w:rFonts w:eastAsia="Times New Roman"/>
          <w:color w:val="000000"/>
          <w:sz w:val="13"/>
          <w:szCs w:val="13"/>
        </w:rPr>
        <w:t>®</w:t>
      </w:r>
      <w:r>
        <w:rPr>
          <w:rFonts w:eastAsia="Times New Roman"/>
          <w:color w:val="000000"/>
          <w:sz w:val="20"/>
          <w:szCs w:val="20"/>
        </w:rPr>
        <w:t xml:space="preserve">, </w:t>
      </w:r>
      <w:r>
        <w:rPr>
          <w:rFonts w:eastAsia="Times New Roman"/>
          <w:i/>
          <w:iCs/>
          <w:color w:val="000000"/>
          <w:sz w:val="20"/>
          <w:szCs w:val="20"/>
        </w:rPr>
        <w:t>TSC Tractor Supply Co</w:t>
      </w:r>
      <w:r>
        <w:rPr>
          <w:rFonts w:eastAsia="Times New Roman"/>
          <w:i/>
          <w:iCs/>
          <w:color w:val="000000"/>
          <w:sz w:val="20"/>
          <w:szCs w:val="20"/>
        </w:rPr>
        <w:t>.</w:t>
      </w:r>
      <w:r>
        <w:rPr>
          <w:rFonts w:eastAsia="Times New Roman"/>
          <w:color w:val="000000"/>
          <w:sz w:val="13"/>
          <w:szCs w:val="13"/>
        </w:rPr>
        <w:t>®</w:t>
      </w:r>
      <w:r>
        <w:rPr>
          <w:rFonts w:eastAsia="Times New Roman"/>
          <w:color w:val="000000"/>
          <w:sz w:val="20"/>
          <w:szCs w:val="20"/>
        </w:rPr>
        <w:t>, and the trapezium design for retail services. We consider these service marks, and the accompanying goodwill and name recognition, to be valuable assets of our business. TSCT also owns several other service marks for retail service</w:t>
      </w:r>
      <w:r>
        <w:rPr>
          <w:rFonts w:eastAsia="Times New Roman"/>
          <w:color w:val="000000"/>
          <w:sz w:val="20"/>
          <w:szCs w:val="20"/>
        </w:rPr>
        <w:t xml:space="preserve">s, some of which have been registered with the USPTO and some of which are the subject of applications for registration pending before the USPTO.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to selling products that bear nationally-known manufacturer brands, we also sell products manuf</w:t>
      </w:r>
      <w:r>
        <w:rPr>
          <w:rFonts w:eastAsia="Times New Roman"/>
          <w:color w:val="000000"/>
          <w:sz w:val="20"/>
          <w:szCs w:val="20"/>
        </w:rPr>
        <w:t>actured for us under a number of exclusive brands that we consider to be important to our business. These exclusive brands are manufactured for us by a number of vendors and provide an alternative to the national brands, which helps provide value for our c</w:t>
      </w:r>
      <w:r>
        <w:rPr>
          <w:rFonts w:eastAsia="Times New Roman"/>
          <w:color w:val="000000"/>
          <w:sz w:val="20"/>
          <w:szCs w:val="20"/>
        </w:rPr>
        <w:t xml:space="preserve">ustomers and positions us as a destination retailer. </w:t>
      </w:r>
    </w:p>
    <w:p w:rsidR="00000000" w:rsidRDefault="001F39D7">
      <w:pPr>
        <w:jc w:val="both"/>
        <w:rPr>
          <w:rFonts w:eastAsia="Times New Roman"/>
        </w:rPr>
      </w:pPr>
    </w:p>
    <w:p w:rsidR="00000000" w:rsidRDefault="001F39D7">
      <w:pPr>
        <w:jc w:val="center"/>
        <w:divId w:val="605888406"/>
        <w:rPr>
          <w:rFonts w:eastAsia="Times New Roman"/>
        </w:rPr>
      </w:pPr>
      <w:r>
        <w:rPr>
          <w:rFonts w:eastAsia="Times New Roman"/>
          <w:color w:val="000000"/>
          <w:sz w:val="20"/>
          <w:szCs w:val="20"/>
        </w:rPr>
        <w:t>3</w:t>
      </w:r>
    </w:p>
    <w:p w:rsidR="00000000" w:rsidRDefault="001F39D7">
      <w:pPr>
        <w:rPr>
          <w:rFonts w:eastAsia="Times New Roman"/>
        </w:rPr>
      </w:pPr>
      <w:r>
        <w:rPr>
          <w:rFonts w:eastAsia="Times New Roman"/>
        </w:rPr>
        <w:pict>
          <v:rect id="_x0000_i1031" style="width:0;height:1.5pt" o:hralign="center" o:hrstd="t" o:hr="t" fillcolor="#a0a0a0" stroked="f"/>
        </w:pict>
      </w:r>
    </w:p>
    <w:p w:rsidR="00000000" w:rsidRDefault="001F39D7">
      <w:pPr>
        <w:divId w:val="57975440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Our exclusive brands represented approximately 29% of our total sales in fiscal 2021 and 2020 and </w:t>
      </w:r>
      <w:r>
        <w:rPr>
          <w:rFonts w:eastAsia="Times New Roman"/>
          <w:color w:val="000000"/>
          <w:sz w:val="20"/>
          <w:szCs w:val="20"/>
        </w:rPr>
        <w:t>31% of our total sales in fiscal 2019. Our exclusive brands include:</w:t>
      </w:r>
    </w:p>
    <w:p w:rsidR="00000000" w:rsidRDefault="001F39D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718"/>
        <w:gridCol w:w="38"/>
        <w:gridCol w:w="68"/>
        <w:gridCol w:w="4376"/>
        <w:gridCol w:w="38"/>
      </w:tblGrid>
      <w:tr w:rsidR="00000000">
        <w:trPr>
          <w:jc w:val="center"/>
        </w:trPr>
        <w:tc>
          <w:tcPr>
            <w:tcW w:w="50" w:type="pct"/>
            <w:vAlign w:val="center"/>
            <w:hideMark/>
          </w:tcPr>
          <w:p w:rsidR="00000000" w:rsidRDefault="001F39D7">
            <w:pPr>
              <w:jc w:val="both"/>
              <w:rPr>
                <w:rFonts w:eastAsia="Times New Roman"/>
              </w:rPr>
            </w:pPr>
          </w:p>
        </w:tc>
        <w:tc>
          <w:tcPr>
            <w:tcW w:w="224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264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1F39D7">
            <w:pPr>
              <w:spacing w:after="100"/>
              <w:divId w:val="1205562011"/>
              <w:rPr>
                <w:rFonts w:eastAsia="Times New Roman"/>
              </w:rPr>
            </w:pPr>
            <w:r>
              <w:rPr>
                <w:rFonts w:eastAsia="Times New Roman"/>
                <w:i/>
                <w:iCs/>
                <w:color w:val="000000"/>
                <w:sz w:val="20"/>
                <w:szCs w:val="20"/>
              </w:rPr>
              <w:t>4healt</w:t>
            </w:r>
            <w:r>
              <w:rPr>
                <w:rFonts w:eastAsia="Times New Roman"/>
                <w:i/>
                <w:iCs/>
                <w:color w:val="000000"/>
                <w:sz w:val="20"/>
                <w:szCs w:val="20"/>
              </w:rPr>
              <w:t>h</w:t>
            </w:r>
            <w:r>
              <w:rPr>
                <w:rFonts w:eastAsia="Times New Roman"/>
                <w:color w:val="000000"/>
                <w:sz w:val="13"/>
                <w:szCs w:val="13"/>
              </w:rPr>
              <w:t>®</w:t>
            </w:r>
            <w:r>
              <w:rPr>
                <w:rFonts w:eastAsia="Times New Roman"/>
                <w:color w:val="000000"/>
                <w:sz w:val="20"/>
                <w:szCs w:val="20"/>
              </w:rPr>
              <w:t xml:space="preserve"> (pet foods and supplies)</w:t>
            </w:r>
          </w:p>
        </w:tc>
        <w:tc>
          <w:tcPr>
            <w:tcW w:w="0" w:type="auto"/>
            <w:gridSpan w:val="3"/>
            <w:shd w:val="clear" w:color="auto" w:fill="CCEEFF"/>
            <w:tcMar>
              <w:top w:w="30" w:type="dxa"/>
              <w:left w:w="20" w:type="dxa"/>
              <w:bottom w:w="30" w:type="dxa"/>
              <w:right w:w="20" w:type="dxa"/>
            </w:tcMar>
            <w:hideMark/>
          </w:tcPr>
          <w:p w:rsidR="00000000" w:rsidRDefault="001F39D7">
            <w:pPr>
              <w:spacing w:after="100"/>
              <w:ind w:hanging="270"/>
              <w:divId w:val="1412310474"/>
              <w:rPr>
                <w:rFonts w:eastAsia="Times New Roman"/>
              </w:rPr>
            </w:pPr>
            <w:r>
              <w:rPr>
                <w:rFonts w:eastAsia="Times New Roman"/>
                <w:i/>
                <w:iCs/>
                <w:color w:val="000000"/>
                <w:sz w:val="20"/>
                <w:szCs w:val="20"/>
              </w:rPr>
              <w:t>Producer’s Prid</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(livestock and horse feed and supplies)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1F39D7">
            <w:pPr>
              <w:spacing w:after="100"/>
              <w:divId w:val="1152018226"/>
              <w:rPr>
                <w:rFonts w:eastAsia="Times New Roman"/>
              </w:rPr>
            </w:pPr>
            <w:r>
              <w:rPr>
                <w:rFonts w:eastAsia="Times New Roman"/>
                <w:i/>
                <w:iCs/>
                <w:color w:val="000000"/>
                <w:sz w:val="20"/>
                <w:szCs w:val="20"/>
              </w:rPr>
              <w:t>American Farmwork</w:t>
            </w:r>
            <w:r>
              <w:rPr>
                <w:rFonts w:eastAsia="Times New Roman"/>
                <w:i/>
                <w:iCs/>
                <w:color w:val="000000"/>
                <w:sz w:val="20"/>
                <w:szCs w:val="20"/>
              </w:rPr>
              <w:t>s</w:t>
            </w:r>
            <w:r>
              <w:rPr>
                <w:rFonts w:eastAsia="Times New Roman"/>
                <w:color w:val="000000"/>
                <w:sz w:val="13"/>
                <w:szCs w:val="13"/>
              </w:rPr>
              <w:t>®</w:t>
            </w:r>
            <w:r>
              <w:rPr>
                <w:rFonts w:eastAsia="Times New Roman"/>
                <w:color w:val="000000"/>
                <w:sz w:val="20"/>
                <w:szCs w:val="20"/>
              </w:rPr>
              <w:t xml:space="preserve"> (livestock, farm and ranch</w:t>
            </w:r>
          </w:p>
        </w:tc>
        <w:tc>
          <w:tcPr>
            <w:tcW w:w="0" w:type="auto"/>
            <w:gridSpan w:val="3"/>
            <w:shd w:val="clear" w:color="auto" w:fill="FFFFFF"/>
            <w:tcMar>
              <w:top w:w="30" w:type="dxa"/>
              <w:left w:w="20" w:type="dxa"/>
              <w:bottom w:w="30" w:type="dxa"/>
              <w:right w:w="20" w:type="dxa"/>
            </w:tcMar>
            <w:hideMark/>
          </w:tcPr>
          <w:p w:rsidR="00000000" w:rsidRDefault="001F39D7">
            <w:pPr>
              <w:spacing w:after="100"/>
              <w:divId w:val="5987226"/>
              <w:rPr>
                <w:rFonts w:eastAsia="Times New Roman"/>
              </w:rPr>
            </w:pPr>
            <w:r>
              <w:rPr>
                <w:rFonts w:eastAsia="Times New Roman"/>
                <w:i/>
                <w:iCs/>
                <w:color w:val="000000"/>
                <w:sz w:val="20"/>
                <w:szCs w:val="20"/>
              </w:rPr>
              <w:t>Red She</w:t>
            </w:r>
            <w:r>
              <w:rPr>
                <w:rFonts w:eastAsia="Times New Roman"/>
                <w:i/>
                <w:iCs/>
                <w:color w:val="000000"/>
                <w:sz w:val="20"/>
                <w:szCs w:val="20"/>
              </w:rPr>
              <w:t>d</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(gifts, collectibles, and outdoor furniture)</w:t>
            </w:r>
          </w:p>
        </w:tc>
      </w:tr>
      <w:tr w:rsidR="00000000">
        <w:trPr>
          <w:jc w:val="center"/>
        </w:trPr>
        <w:tc>
          <w:tcPr>
            <w:tcW w:w="0" w:type="auto"/>
            <w:gridSpan w:val="3"/>
            <w:tcMar>
              <w:top w:w="30" w:type="dxa"/>
              <w:left w:w="380" w:type="dxa"/>
              <w:bottom w:w="30" w:type="dxa"/>
              <w:right w:w="20" w:type="dxa"/>
            </w:tcMar>
            <w:hideMark/>
          </w:tcPr>
          <w:p w:rsidR="00000000" w:rsidRDefault="001F39D7">
            <w:pPr>
              <w:spacing w:after="100"/>
              <w:rPr>
                <w:rFonts w:eastAsia="Times New Roman"/>
              </w:rPr>
            </w:pPr>
            <w:r>
              <w:rPr>
                <w:rFonts w:eastAsia="Times New Roman"/>
                <w:color w:val="000000"/>
                <w:sz w:val="20"/>
                <w:szCs w:val="20"/>
              </w:rPr>
              <w:t>equipment)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1F39D7">
            <w:pPr>
              <w:spacing w:after="100"/>
              <w:divId w:val="1486897890"/>
              <w:rPr>
                <w:rFonts w:eastAsia="Times New Roman"/>
              </w:rPr>
            </w:pPr>
            <w:r>
              <w:rPr>
                <w:rFonts w:eastAsia="Times New Roman"/>
                <w:i/>
                <w:iCs/>
                <w:color w:val="000000"/>
                <w:sz w:val="20"/>
                <w:szCs w:val="20"/>
              </w:rPr>
              <w:t>Bit &amp; Bridl</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(apparel and footwear)</w:t>
            </w:r>
          </w:p>
        </w:tc>
        <w:tc>
          <w:tcPr>
            <w:tcW w:w="0" w:type="auto"/>
            <w:gridSpan w:val="3"/>
            <w:shd w:val="clear" w:color="auto" w:fill="CCEEFF"/>
            <w:tcMar>
              <w:top w:w="30" w:type="dxa"/>
              <w:left w:w="20" w:type="dxa"/>
              <w:bottom w:w="30" w:type="dxa"/>
              <w:right w:w="20" w:type="dxa"/>
            </w:tcMar>
            <w:hideMark/>
          </w:tcPr>
          <w:p w:rsidR="00000000" w:rsidRDefault="001F39D7">
            <w:pPr>
              <w:spacing w:after="100"/>
              <w:divId w:val="1943226508"/>
              <w:rPr>
                <w:rFonts w:eastAsia="Times New Roman"/>
              </w:rPr>
            </w:pPr>
            <w:r>
              <w:rPr>
                <w:rFonts w:eastAsia="Times New Roman"/>
                <w:i/>
                <w:iCs/>
                <w:color w:val="000000"/>
                <w:sz w:val="20"/>
                <w:szCs w:val="20"/>
              </w:rPr>
              <w:t>Redston</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(heating products)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1F39D7">
            <w:pPr>
              <w:spacing w:after="100"/>
              <w:divId w:val="1125150683"/>
              <w:rPr>
                <w:rFonts w:eastAsia="Times New Roman"/>
              </w:rPr>
            </w:pPr>
            <w:r>
              <w:rPr>
                <w:rFonts w:eastAsia="Times New Roman"/>
                <w:i/>
                <w:iCs/>
                <w:color w:val="000000"/>
                <w:sz w:val="20"/>
                <w:szCs w:val="20"/>
              </w:rPr>
              <w:t>Blue Mountai</w:t>
            </w:r>
            <w:r>
              <w:rPr>
                <w:rFonts w:eastAsia="Times New Roman"/>
                <w:i/>
                <w:iCs/>
                <w:color w:val="000000"/>
                <w:sz w:val="20"/>
                <w:szCs w:val="20"/>
              </w:rPr>
              <w:t>n</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w:t>
            </w:r>
          </w:p>
        </w:tc>
        <w:tc>
          <w:tcPr>
            <w:tcW w:w="0" w:type="auto"/>
            <w:gridSpan w:val="3"/>
            <w:shd w:val="clear" w:color="auto" w:fill="FFFFFF"/>
            <w:tcMar>
              <w:top w:w="30" w:type="dxa"/>
              <w:left w:w="20" w:type="dxa"/>
              <w:bottom w:w="30" w:type="dxa"/>
              <w:right w:w="20" w:type="dxa"/>
            </w:tcMar>
            <w:hideMark/>
          </w:tcPr>
          <w:p w:rsidR="00000000" w:rsidRDefault="001F39D7">
            <w:pPr>
              <w:spacing w:after="100"/>
              <w:divId w:val="1193034221"/>
              <w:rPr>
                <w:rFonts w:eastAsia="Times New Roman"/>
              </w:rPr>
            </w:pPr>
            <w:r>
              <w:rPr>
                <w:rFonts w:eastAsia="Times New Roman"/>
                <w:i/>
                <w:iCs/>
                <w:color w:val="000000"/>
                <w:sz w:val="20"/>
                <w:szCs w:val="20"/>
              </w:rPr>
              <w:t>Retrieve</w:t>
            </w:r>
            <w:r>
              <w:rPr>
                <w:rFonts w:eastAsia="Times New Roman"/>
                <w:i/>
                <w:iCs/>
                <w:color w:val="000000"/>
                <w:sz w:val="20"/>
                <w:szCs w:val="20"/>
              </w:rPr>
              <w:t>r</w:t>
            </w:r>
            <w:r>
              <w:rPr>
                <w:rFonts w:eastAsia="Times New Roman"/>
                <w:color w:val="000000"/>
                <w:sz w:val="13"/>
                <w:szCs w:val="13"/>
              </w:rPr>
              <w:t>®</w:t>
            </w:r>
            <w:r>
              <w:rPr>
                <w:rFonts w:eastAsia="Times New Roman"/>
                <w:color w:val="000000"/>
                <w:sz w:val="20"/>
                <w:szCs w:val="20"/>
              </w:rPr>
              <w:t xml:space="preserve"> (pet foods and supplies)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1F39D7">
            <w:pPr>
              <w:spacing w:after="100"/>
              <w:divId w:val="897085955"/>
              <w:rPr>
                <w:rFonts w:eastAsia="Times New Roman"/>
              </w:rPr>
            </w:pPr>
            <w:r>
              <w:rPr>
                <w:rFonts w:eastAsia="Times New Roman"/>
                <w:i/>
                <w:iCs/>
                <w:color w:val="000000"/>
                <w:sz w:val="20"/>
                <w:szCs w:val="20"/>
              </w:rPr>
              <w:t>C.E. Schmid</w:t>
            </w:r>
            <w:r>
              <w:rPr>
                <w:rFonts w:eastAsia="Times New Roman"/>
                <w:i/>
                <w:iCs/>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 and footwear)</w:t>
            </w:r>
          </w:p>
        </w:tc>
        <w:tc>
          <w:tcPr>
            <w:tcW w:w="0" w:type="auto"/>
            <w:gridSpan w:val="3"/>
            <w:shd w:val="clear" w:color="auto" w:fill="CCEEFF"/>
            <w:tcMar>
              <w:top w:w="30" w:type="dxa"/>
              <w:left w:w="20" w:type="dxa"/>
              <w:bottom w:w="30" w:type="dxa"/>
              <w:right w:w="20" w:type="dxa"/>
            </w:tcMar>
            <w:hideMark/>
          </w:tcPr>
          <w:p w:rsidR="00000000" w:rsidRDefault="001F39D7">
            <w:pPr>
              <w:spacing w:after="100"/>
              <w:divId w:val="2017879485"/>
              <w:rPr>
                <w:rFonts w:eastAsia="Times New Roman"/>
              </w:rPr>
            </w:pPr>
            <w:r>
              <w:rPr>
                <w:rFonts w:eastAsia="Times New Roman"/>
                <w:i/>
                <w:iCs/>
                <w:color w:val="000000"/>
                <w:sz w:val="20"/>
                <w:szCs w:val="20"/>
              </w:rPr>
              <w:t>Ridgecu</w:t>
            </w:r>
            <w:r>
              <w:rPr>
                <w:rFonts w:eastAsia="Times New Roman"/>
                <w:i/>
                <w:iCs/>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1F39D7">
            <w:pPr>
              <w:spacing w:after="100"/>
              <w:divId w:val="777719436"/>
              <w:rPr>
                <w:rFonts w:eastAsia="Times New Roman"/>
              </w:rPr>
            </w:pPr>
            <w:r>
              <w:rPr>
                <w:rFonts w:eastAsia="Times New Roman"/>
                <w:i/>
                <w:iCs/>
                <w:color w:val="000000"/>
                <w:sz w:val="20"/>
                <w:szCs w:val="20"/>
              </w:rPr>
              <w:t>Countylin</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(livestock, farm and ranch equipment)</w:t>
            </w:r>
          </w:p>
        </w:tc>
        <w:tc>
          <w:tcPr>
            <w:tcW w:w="0" w:type="auto"/>
            <w:gridSpan w:val="3"/>
            <w:shd w:val="clear" w:color="auto" w:fill="FFFFFF"/>
            <w:tcMar>
              <w:top w:w="30" w:type="dxa"/>
              <w:left w:w="20" w:type="dxa"/>
              <w:bottom w:w="30" w:type="dxa"/>
              <w:right w:w="20" w:type="dxa"/>
            </w:tcMar>
            <w:hideMark/>
          </w:tcPr>
          <w:p w:rsidR="00000000" w:rsidRDefault="001F39D7">
            <w:pPr>
              <w:spacing w:after="100"/>
              <w:divId w:val="294064640"/>
              <w:rPr>
                <w:rFonts w:eastAsia="Times New Roman"/>
              </w:rPr>
            </w:pPr>
            <w:r>
              <w:rPr>
                <w:rFonts w:eastAsia="Times New Roman"/>
                <w:i/>
                <w:iCs/>
                <w:color w:val="000000"/>
                <w:sz w:val="20"/>
                <w:szCs w:val="20"/>
              </w:rPr>
              <w:t>Royal Win</w:t>
            </w:r>
            <w:r>
              <w:rPr>
                <w:rFonts w:eastAsia="Times New Roman"/>
                <w:i/>
                <w:iCs/>
                <w:color w:val="000000"/>
                <w:sz w:val="20"/>
                <w:szCs w:val="20"/>
              </w:rPr>
              <w:t>g</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(bird feed and supplies)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1F39D7">
            <w:pPr>
              <w:spacing w:after="100"/>
              <w:divId w:val="341398950"/>
              <w:rPr>
                <w:rFonts w:eastAsia="Times New Roman"/>
              </w:rPr>
            </w:pPr>
            <w:r>
              <w:rPr>
                <w:rFonts w:eastAsia="Times New Roman"/>
                <w:i/>
                <w:iCs/>
                <w:color w:val="000000"/>
                <w:sz w:val="20"/>
                <w:szCs w:val="20"/>
              </w:rPr>
              <w:t>Dumo</w:t>
            </w:r>
            <w:r>
              <w:rPr>
                <w:rFonts w:eastAsia="Times New Roman"/>
                <w:i/>
                <w:iCs/>
                <w:color w:val="000000"/>
                <w:sz w:val="20"/>
                <w:szCs w:val="20"/>
              </w:rPr>
              <w:t>r</w:t>
            </w:r>
            <w:r>
              <w:rPr>
                <w:rFonts w:eastAsia="Times New Roman"/>
                <w:color w:val="000000"/>
                <w:sz w:val="13"/>
                <w:szCs w:val="13"/>
              </w:rPr>
              <w:t>®</w:t>
            </w:r>
            <w:r>
              <w:rPr>
                <w:rFonts w:eastAsia="Times New Roman"/>
                <w:color w:val="000000"/>
                <w:sz w:val="20"/>
                <w:szCs w:val="20"/>
              </w:rPr>
              <w:t xml:space="preserve"> (livestock and horse feed and supplies)</w:t>
            </w:r>
          </w:p>
        </w:tc>
        <w:tc>
          <w:tcPr>
            <w:tcW w:w="0" w:type="auto"/>
            <w:gridSpan w:val="3"/>
            <w:shd w:val="clear" w:color="auto" w:fill="CCEEFF"/>
            <w:tcMar>
              <w:top w:w="30" w:type="dxa"/>
              <w:left w:w="20" w:type="dxa"/>
              <w:bottom w:w="30" w:type="dxa"/>
              <w:right w:w="20" w:type="dxa"/>
            </w:tcMar>
            <w:hideMark/>
          </w:tcPr>
          <w:p w:rsidR="00000000" w:rsidRDefault="001F39D7">
            <w:pPr>
              <w:spacing w:after="100"/>
              <w:divId w:val="1882208971"/>
              <w:rPr>
                <w:rFonts w:eastAsia="Times New Roman"/>
              </w:rPr>
            </w:pPr>
            <w:r>
              <w:rPr>
                <w:rFonts w:eastAsia="Times New Roman"/>
                <w:i/>
                <w:iCs/>
                <w:color w:val="000000"/>
                <w:sz w:val="20"/>
                <w:szCs w:val="20"/>
              </w:rPr>
              <w:t>Striv</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(pet food)</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1F39D7">
            <w:pPr>
              <w:spacing w:after="100"/>
              <w:divId w:val="211044303"/>
              <w:rPr>
                <w:rFonts w:eastAsia="Times New Roman"/>
              </w:rPr>
            </w:pPr>
            <w:r>
              <w:rPr>
                <w:rFonts w:eastAsia="Times New Roman"/>
                <w:i/>
                <w:iCs/>
                <w:color w:val="000000"/>
                <w:sz w:val="20"/>
                <w:szCs w:val="20"/>
              </w:rPr>
              <w:t>Groundwor</w:t>
            </w:r>
            <w:r>
              <w:rPr>
                <w:rFonts w:eastAsia="Times New Roman"/>
                <w:i/>
                <w:iCs/>
                <w:color w:val="000000"/>
                <w:sz w:val="20"/>
                <w:szCs w:val="20"/>
              </w:rPr>
              <w:t>k</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(lawn and garden supplies)</w:t>
            </w:r>
          </w:p>
        </w:tc>
        <w:tc>
          <w:tcPr>
            <w:tcW w:w="0" w:type="auto"/>
            <w:gridSpan w:val="3"/>
            <w:shd w:val="clear" w:color="auto" w:fill="FFFFFF"/>
            <w:tcMar>
              <w:top w:w="30" w:type="dxa"/>
              <w:left w:w="20" w:type="dxa"/>
              <w:bottom w:w="30" w:type="dxa"/>
              <w:right w:w="20" w:type="dxa"/>
            </w:tcMar>
            <w:hideMark/>
          </w:tcPr>
          <w:p w:rsidR="00000000" w:rsidRDefault="001F39D7">
            <w:pPr>
              <w:spacing w:after="100"/>
              <w:divId w:val="2090077710"/>
              <w:rPr>
                <w:rFonts w:eastAsia="Times New Roman"/>
              </w:rPr>
            </w:pPr>
            <w:r>
              <w:rPr>
                <w:rFonts w:eastAsia="Times New Roman"/>
                <w:i/>
                <w:iCs/>
                <w:color w:val="000000"/>
                <w:sz w:val="20"/>
                <w:szCs w:val="20"/>
              </w:rPr>
              <w:t>Travelle</w:t>
            </w:r>
            <w:r>
              <w:rPr>
                <w:rFonts w:eastAsia="Times New Roman"/>
                <w:i/>
                <w:iCs/>
                <w:color w:val="000000"/>
                <w:sz w:val="20"/>
                <w:szCs w:val="20"/>
              </w:rPr>
              <w:t>r</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(truck and automotive products)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1F39D7">
            <w:pPr>
              <w:spacing w:after="100"/>
              <w:divId w:val="1097363264"/>
              <w:rPr>
                <w:rFonts w:eastAsia="Times New Roman"/>
              </w:rPr>
            </w:pPr>
            <w:r>
              <w:rPr>
                <w:rFonts w:eastAsia="Times New Roman"/>
                <w:i/>
                <w:iCs/>
                <w:color w:val="000000"/>
                <w:sz w:val="20"/>
                <w:szCs w:val="20"/>
              </w:rPr>
              <w:t>Huske</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(outdoor power equipment)</w:t>
            </w:r>
          </w:p>
        </w:tc>
        <w:tc>
          <w:tcPr>
            <w:tcW w:w="0" w:type="auto"/>
            <w:gridSpan w:val="3"/>
            <w:shd w:val="clear" w:color="auto" w:fill="CCEEFF"/>
            <w:tcMar>
              <w:top w:w="30" w:type="dxa"/>
              <w:left w:w="20" w:type="dxa"/>
              <w:bottom w:w="30" w:type="dxa"/>
              <w:right w:w="20" w:type="dxa"/>
            </w:tcMar>
            <w:hideMark/>
          </w:tcPr>
          <w:p w:rsidR="00000000" w:rsidRDefault="001F39D7">
            <w:pPr>
              <w:spacing w:after="100"/>
              <w:divId w:val="545071515"/>
              <w:rPr>
                <w:rFonts w:eastAsia="Times New Roman"/>
              </w:rPr>
            </w:pPr>
            <w:r>
              <w:rPr>
                <w:rFonts w:eastAsia="Times New Roman"/>
                <w:i/>
                <w:iCs/>
                <w:color w:val="000000"/>
                <w:sz w:val="22"/>
                <w:szCs w:val="22"/>
              </w:rPr>
              <w:t>Treelin</w:t>
            </w:r>
            <w:r>
              <w:rPr>
                <w:rFonts w:eastAsia="Times New Roman"/>
                <w:i/>
                <w:iCs/>
                <w:color w:val="000000"/>
                <w:sz w:val="22"/>
                <w:szCs w:val="22"/>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(hunting gear and accessories)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1F39D7">
            <w:pPr>
              <w:spacing w:after="100"/>
              <w:divId w:val="1056513113"/>
              <w:rPr>
                <w:rFonts w:eastAsia="Times New Roman"/>
              </w:rPr>
            </w:pPr>
            <w:r>
              <w:rPr>
                <w:rFonts w:eastAsia="Times New Roman"/>
                <w:i/>
                <w:iCs/>
                <w:color w:val="000000"/>
                <w:sz w:val="20"/>
                <w:szCs w:val="20"/>
              </w:rPr>
              <w:t>JobSmar</w:t>
            </w:r>
            <w:r>
              <w:rPr>
                <w:rFonts w:eastAsia="Times New Roman"/>
                <w:i/>
                <w:iCs/>
                <w:color w:val="000000"/>
                <w:sz w:val="20"/>
                <w:szCs w:val="20"/>
              </w:rPr>
              <w:t>t</w:t>
            </w:r>
            <w:r>
              <w:rPr>
                <w:rFonts w:eastAsia="Times New Roman"/>
                <w:color w:val="000000"/>
                <w:sz w:val="13"/>
                <w:szCs w:val="13"/>
              </w:rPr>
              <w:t>®</w:t>
            </w:r>
            <w:r>
              <w:rPr>
                <w:rFonts w:eastAsia="Times New Roman"/>
                <w:color w:val="000000"/>
                <w:sz w:val="20"/>
                <w:szCs w:val="20"/>
              </w:rPr>
              <w:t xml:space="preserve"> (tools)</w:t>
            </w:r>
          </w:p>
        </w:tc>
        <w:tc>
          <w:tcPr>
            <w:tcW w:w="0" w:type="auto"/>
            <w:gridSpan w:val="3"/>
            <w:shd w:val="clear" w:color="auto" w:fill="FFFFFF"/>
            <w:tcMar>
              <w:top w:w="30" w:type="dxa"/>
              <w:left w:w="20" w:type="dxa"/>
              <w:bottom w:w="30" w:type="dxa"/>
              <w:right w:w="20" w:type="dxa"/>
            </w:tcMar>
            <w:hideMark/>
          </w:tcPr>
          <w:p w:rsidR="00000000" w:rsidRDefault="001F39D7">
            <w:pPr>
              <w:spacing w:after="100"/>
              <w:divId w:val="283997736"/>
              <w:rPr>
                <w:rFonts w:eastAsia="Times New Roman"/>
              </w:rPr>
            </w:pPr>
            <w:r>
              <w:rPr>
                <w:rFonts w:eastAsia="Times New Roman"/>
                <w:i/>
                <w:iCs/>
                <w:color w:val="000000"/>
                <w:sz w:val="20"/>
                <w:szCs w:val="20"/>
              </w:rPr>
              <w:t>TSC Tractor Supply C</w:t>
            </w:r>
            <w:r>
              <w:rPr>
                <w:rFonts w:eastAsia="Times New Roman"/>
                <w:i/>
                <w:iCs/>
                <w:color w:val="000000"/>
                <w:sz w:val="20"/>
                <w:szCs w:val="20"/>
              </w:rPr>
              <w:t>o</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(trailers, truck tool boxes, and animal</w:t>
            </w:r>
          </w:p>
        </w:tc>
      </w:tr>
      <w:tr w:rsidR="00000000">
        <w:trPr>
          <w:jc w:val="center"/>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380" w:type="dxa"/>
              <w:bottom w:w="30" w:type="dxa"/>
              <w:right w:w="20" w:type="dxa"/>
            </w:tcMar>
            <w:hideMark/>
          </w:tcPr>
          <w:p w:rsidR="00000000" w:rsidRDefault="001F39D7">
            <w:pPr>
              <w:spacing w:after="100"/>
              <w:rPr>
                <w:rFonts w:eastAsia="Times New Roman"/>
              </w:rPr>
            </w:pPr>
            <w:r>
              <w:rPr>
                <w:rFonts w:eastAsia="Times New Roman"/>
                <w:color w:val="000000"/>
                <w:sz w:val="20"/>
                <w:szCs w:val="20"/>
              </w:rPr>
              <w:t>bedding)</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1F39D7">
            <w:pPr>
              <w:spacing w:after="100"/>
              <w:divId w:val="2084451189"/>
              <w:rPr>
                <w:rFonts w:eastAsia="Times New Roman"/>
              </w:rPr>
            </w:pPr>
            <w:r>
              <w:rPr>
                <w:rFonts w:eastAsia="Times New Roman"/>
                <w:i/>
                <w:iCs/>
                <w:color w:val="000000"/>
                <w:sz w:val="20"/>
                <w:szCs w:val="20"/>
              </w:rPr>
              <w:t>Paws &amp; Claw</w:t>
            </w:r>
            <w:r>
              <w:rPr>
                <w:rFonts w:eastAsia="Times New Roman"/>
                <w:i/>
                <w:iCs/>
                <w:color w:val="000000"/>
                <w:sz w:val="20"/>
                <w:szCs w:val="20"/>
              </w:rPr>
              <w:t>s</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(pet foods and supplies)</w:t>
            </w:r>
          </w:p>
        </w:tc>
        <w:tc>
          <w:tcPr>
            <w:tcW w:w="0" w:type="auto"/>
            <w:gridSpan w:val="3"/>
            <w:shd w:val="clear" w:color="auto" w:fill="CCEEFF"/>
            <w:tcMar>
              <w:top w:w="30" w:type="dxa"/>
              <w:left w:w="20" w:type="dxa"/>
              <w:bottom w:w="30" w:type="dxa"/>
              <w:right w:w="20" w:type="dxa"/>
            </w:tcMar>
            <w:hideMark/>
          </w:tcPr>
          <w:p w:rsidR="00000000" w:rsidRDefault="001F39D7">
            <w:pPr>
              <w:spacing w:after="100"/>
              <w:divId w:val="656881243"/>
              <w:rPr>
                <w:rFonts w:eastAsia="Times New Roman"/>
              </w:rPr>
            </w:pPr>
            <w:r>
              <w:rPr>
                <w:rFonts w:eastAsia="Times New Roman"/>
                <w:i/>
                <w:iCs/>
                <w:color w:val="000000"/>
                <w:sz w:val="22"/>
                <w:szCs w:val="22"/>
              </w:rPr>
              <w:t>Untame</w:t>
            </w:r>
            <w:r>
              <w:rPr>
                <w:rFonts w:eastAsia="Times New Roman"/>
                <w:i/>
                <w:iCs/>
                <w:color w:val="000000"/>
                <w:sz w:val="22"/>
                <w:szCs w:val="22"/>
              </w:rPr>
              <w:t>d</w:t>
            </w:r>
            <w:r>
              <w:rPr>
                <w:rFonts w:eastAsia="Times New Roman"/>
                <w:color w:val="000000"/>
                <w:sz w:val="13"/>
                <w:szCs w:val="13"/>
              </w:rPr>
              <w:t>®</w:t>
            </w:r>
            <w:r>
              <w:rPr>
                <w:rFonts w:eastAsia="Times New Roman"/>
                <w:color w:val="000000"/>
                <w:sz w:val="20"/>
                <w:szCs w:val="20"/>
              </w:rPr>
              <w:t xml:space="preserve"> (pet foods)</w:t>
            </w:r>
          </w:p>
          <w:p w:rsidR="00000000" w:rsidRDefault="001F39D7">
            <w:pPr>
              <w:spacing w:after="100"/>
              <w:divId w:val="1460881919"/>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exclusive brands identified above have been registered as trademarks with the USPTO for certain products and some are the subject of additional applications for registration pending before the USPTO for other products.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trademark and service mark</w:t>
      </w:r>
      <w:r>
        <w:rPr>
          <w:rFonts w:eastAsia="Times New Roman"/>
          <w:color w:val="000000"/>
          <w:sz w:val="20"/>
          <w:szCs w:val="20"/>
        </w:rPr>
        <w:t xml:space="preserve"> registrations have various expiration dates; however, provided that we continue to use the marks and file appropriate maintenance and renewal documentation with the USPTO in a timely manner, the registrations are potentially perpetual in duration. Our pat</w:t>
      </w:r>
      <w:r>
        <w:rPr>
          <w:rFonts w:eastAsia="Times New Roman"/>
          <w:color w:val="000000"/>
          <w:sz w:val="20"/>
          <w:szCs w:val="20"/>
        </w:rPr>
        <w:t xml:space="preserve">ents (both United States and foreign) have expiration dates ranging from March 2024 to December 2045 and protect various elements, designs or functions of farm and ranch equipment, as well as light systems for trucks and other vehicles.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believe our i</w:t>
      </w:r>
      <w:r>
        <w:rPr>
          <w:rFonts w:eastAsia="Times New Roman"/>
          <w:color w:val="000000"/>
          <w:sz w:val="20"/>
          <w:szCs w:val="20"/>
        </w:rPr>
        <w:t>ntellectual property, which includes the trademarks and service marks identified above, together with certain trade names, domain names, patents, and copyrights, has significant value and is an important component of our merchandising and marketing strateg</w:t>
      </w:r>
      <w:r>
        <w:rPr>
          <w:rFonts w:eastAsia="Times New Roman"/>
          <w:color w:val="000000"/>
          <w:sz w:val="20"/>
          <w:szCs w:val="20"/>
        </w:rPr>
        <w:t xml:space="preserve">ies.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Distribution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currently operate a distribution facility network for supplying stores with merchandise and delivering product ordered through our websites and mobile application. In fiscal 2021, our Tractor Supply stores received approximately 7</w:t>
      </w:r>
      <w:r>
        <w:rPr>
          <w:rFonts w:eastAsia="Times New Roman"/>
          <w:color w:val="000000"/>
          <w:sz w:val="20"/>
          <w:szCs w:val="20"/>
        </w:rPr>
        <w:t>6% of merchandise through this network while the remaining merchandise shipped directly from our vendors to our stores or customers. We believe this flow facilitates the prompt and efficient distribution of merchandise that allows us to be a dependable sup</w:t>
      </w:r>
      <w:r>
        <w:rPr>
          <w:rFonts w:eastAsia="Times New Roman"/>
          <w:color w:val="000000"/>
          <w:sz w:val="20"/>
          <w:szCs w:val="20"/>
        </w:rPr>
        <w:t>plier to our customers for their "</w:t>
      </w:r>
      <w:r>
        <w:rPr>
          <w:rFonts w:eastAsia="Times New Roman"/>
          <w:i/>
          <w:iCs/>
          <w:color w:val="000000"/>
          <w:sz w:val="20"/>
          <w:szCs w:val="20"/>
        </w:rPr>
        <w:t>Out Here"</w:t>
      </w:r>
      <w:r>
        <w:rPr>
          <w:rFonts w:eastAsia="Times New Roman"/>
          <w:color w:val="000000"/>
          <w:sz w:val="20"/>
          <w:szCs w:val="20"/>
        </w:rPr>
        <w:t xml:space="preserve"> lifestyle solutions by enhancing in-stock inventory positions, while minimizing freight expense and improving the inventory turn rate. Our distribution facilities, located in Arizona, Georgia, Indiana, Kentucky, </w:t>
      </w:r>
      <w:r>
        <w:rPr>
          <w:rFonts w:eastAsia="Times New Roman"/>
          <w:color w:val="000000"/>
          <w:sz w:val="20"/>
          <w:szCs w:val="20"/>
        </w:rPr>
        <w:t>Maryland, Nebraska, New York, Texas, and Washington represent a total distribution center capacity of 6.1 million square feet. We also use third-party operated import centers, mixing centers and pop-up distribution facilities which provide additional distr</w:t>
      </w:r>
      <w:r>
        <w:rPr>
          <w:rFonts w:eastAsia="Times New Roman"/>
          <w:color w:val="000000"/>
          <w:sz w:val="20"/>
          <w:szCs w:val="20"/>
        </w:rPr>
        <w:t>ibution capacity.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is building a new distribution center in Navarre, Ohio, which is expected to be approximately 900,000 square feet and is currently anticipated to be completed in the fall of fiscal 2022.</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In addition, on January 26, 2022, the Company announced plans to build a new distribution center in Maumelle, Arkansas. This new distribution center is expected to be approximately 900,000 square feet. Construction is planned to begin in the middle of 2022</w:t>
      </w:r>
      <w:r>
        <w:rPr>
          <w:rFonts w:eastAsia="Times New Roman"/>
          <w:color w:val="000000"/>
          <w:sz w:val="20"/>
          <w:szCs w:val="20"/>
          <w:shd w:val="clear" w:color="auto" w:fill="FFFFFF"/>
        </w:rPr>
        <w:t xml:space="preserve"> and is currently anticipated to be completed in late 2023.</w:t>
      </w:r>
      <w:r>
        <w:rPr>
          <w:rFonts w:eastAsia="Times New Roman"/>
          <w:color w:val="000000"/>
          <w:sz w:val="20"/>
          <w:szCs w:val="2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select the locations of our distribution facilities in an effort to minimize logistics costs and optimize the distance from distribution facilities to our stores. Our distribution centers ut</w:t>
      </w:r>
      <w:r>
        <w:rPr>
          <w:rFonts w:eastAsia="Times New Roman"/>
          <w:color w:val="000000"/>
          <w:sz w:val="20"/>
          <w:szCs w:val="20"/>
        </w:rPr>
        <w:t>ilize warehouse and labor management tools that support the planning, control, and processing of inventory. We manage our inbound and outbound transportation activity in-house through the use of a transportation management system.  We utilize multiple comm</w:t>
      </w:r>
      <w:r>
        <w:rPr>
          <w:rFonts w:eastAsia="Times New Roman"/>
          <w:color w:val="000000"/>
          <w:sz w:val="20"/>
          <w:szCs w:val="20"/>
        </w:rPr>
        <w:t xml:space="preserve">on carriers for store and direct to customer </w:t>
      </w:r>
    </w:p>
    <w:p w:rsidR="00000000" w:rsidRDefault="001F39D7">
      <w:pPr>
        <w:jc w:val="center"/>
        <w:divId w:val="262107798"/>
        <w:rPr>
          <w:rFonts w:eastAsia="Times New Roman"/>
        </w:rPr>
      </w:pPr>
      <w:r>
        <w:rPr>
          <w:rFonts w:eastAsia="Times New Roman"/>
          <w:color w:val="000000"/>
          <w:sz w:val="20"/>
          <w:szCs w:val="20"/>
        </w:rPr>
        <w:t>4</w:t>
      </w:r>
    </w:p>
    <w:p w:rsidR="00000000" w:rsidRDefault="001F39D7">
      <w:pPr>
        <w:rPr>
          <w:rFonts w:eastAsia="Times New Roman"/>
        </w:rPr>
      </w:pPr>
      <w:r>
        <w:rPr>
          <w:rFonts w:eastAsia="Times New Roman"/>
        </w:rPr>
        <w:pict>
          <v:rect id="_x0000_i1032" style="width:0;height:1.5pt" o:hralign="center" o:hrstd="t" o:hr="t" fillcolor="#a0a0a0" stroked="f"/>
        </w:pict>
      </w:r>
    </w:p>
    <w:p w:rsidR="00000000" w:rsidRDefault="001F39D7">
      <w:pPr>
        <w:divId w:val="83153330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deliveries. </w:t>
      </w:r>
      <w:r>
        <w:rPr>
          <w:rFonts w:eastAsia="Times New Roman"/>
          <w:color w:val="000000"/>
          <w:sz w:val="20"/>
          <w:szCs w:val="20"/>
        </w:rPr>
        <w:t>We manage our transportation costs through carrier negotiations, monitoring of transportation routes, and scheduling of deliveries.</w:t>
      </w:r>
    </w:p>
    <w:p w:rsidR="00000000" w:rsidRDefault="001F39D7">
      <w:pPr>
        <w:divId w:val="1036658317"/>
        <w:rPr>
          <w:rFonts w:eastAsia="Times New Roman"/>
        </w:rPr>
      </w:pPr>
    </w:p>
    <w:p w:rsidR="00000000" w:rsidRDefault="001F39D7">
      <w:pPr>
        <w:divId w:val="277569935"/>
        <w:rPr>
          <w:rFonts w:eastAsia="Times New Roman"/>
        </w:rPr>
      </w:pPr>
      <w:r>
        <w:rPr>
          <w:rFonts w:eastAsia="Times New Roman"/>
          <w:i/>
          <w:iCs/>
          <w:color w:val="000000"/>
          <w:sz w:val="20"/>
          <w:szCs w:val="20"/>
        </w:rPr>
        <w:t>Marketing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utilize an “everyday low price” philosophy to consistently offer our products at competitive prices complem</w:t>
      </w:r>
      <w:r>
        <w:rPr>
          <w:rFonts w:eastAsia="Times New Roman"/>
          <w:color w:val="000000"/>
          <w:sz w:val="20"/>
          <w:szCs w:val="20"/>
        </w:rPr>
        <w:t xml:space="preserve">ented by strategically planned promotions throughout the year. To drive store traffic and position ourselves as a destination retailer, we promote a broad selection of merchandise through various digital and social media initiatives, television, newspaper </w:t>
      </w:r>
      <w:r>
        <w:rPr>
          <w:rFonts w:eastAsia="Times New Roman"/>
          <w:color w:val="000000"/>
          <w:sz w:val="20"/>
          <w:szCs w:val="20"/>
        </w:rPr>
        <w:t xml:space="preserve">circulars, and customer-targeted direct e-mail and direct mail, as well as limited use of radio and other media channels.  In addition, our </w:t>
      </w:r>
      <w:r>
        <w:rPr>
          <w:rFonts w:eastAsia="Times New Roman"/>
          <w:i/>
          <w:iCs/>
          <w:color w:val="000000"/>
          <w:sz w:val="20"/>
          <w:szCs w:val="20"/>
        </w:rPr>
        <w:t>Neighbor’s Club</w:t>
      </w:r>
      <w:r>
        <w:rPr>
          <w:rFonts w:eastAsia="Times New Roman"/>
          <w:color w:val="000000"/>
          <w:sz w:val="20"/>
          <w:szCs w:val="20"/>
        </w:rPr>
        <w:t xml:space="preserve"> loyalty program enhances our ability to engage with our customers, recognize and reward our best cus</w:t>
      </w:r>
      <w:r>
        <w:rPr>
          <w:rFonts w:eastAsia="Times New Roman"/>
          <w:color w:val="000000"/>
          <w:sz w:val="20"/>
          <w:szCs w:val="20"/>
        </w:rPr>
        <w:t>tomers, drive desired behaviors, and create brand advocacy. Vendors frequently support these specific programs by offering temporary cost reductions, additional funding, and honoring coupons. Our vendors also provide assistance with product presentation an</w:t>
      </w:r>
      <w:r>
        <w:rPr>
          <w:rFonts w:eastAsia="Times New Roman"/>
          <w:color w:val="000000"/>
          <w:sz w:val="20"/>
          <w:szCs w:val="20"/>
        </w:rPr>
        <w:t>d fixture design, brochures, support for in-store events, point-of-purchase materials for customer education, and product knowledge for our team members.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Omni-Channel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Ensuring that our customers can engage with us in the most convenient manner for the</w:t>
      </w:r>
      <w:r>
        <w:rPr>
          <w:rFonts w:eastAsia="Times New Roman"/>
          <w:color w:val="000000"/>
          <w:sz w:val="20"/>
          <w:szCs w:val="20"/>
        </w:rPr>
        <w:t>m whether in our stores, on our website, on our mobile application, or via our Customer Solutions Center, is a high priority for us. Our goal is to be available anytime, anywhere, and in any way our customers choose to engage with our brand. We provide our</w:t>
      </w:r>
      <w:r>
        <w:rPr>
          <w:rFonts w:eastAsia="Times New Roman"/>
          <w:color w:val="000000"/>
          <w:sz w:val="20"/>
          <w:szCs w:val="20"/>
        </w:rPr>
        <w:t xml:space="preserve"> customers the opportunity to shop in a manner that fits their lifestyle and is most convenient for them. Our focus is on delivering a comprehensive, seamless omni-channel shopping experience offering the conveniences our customers want and expect. We offe</w:t>
      </w:r>
      <w:r>
        <w:rPr>
          <w:rFonts w:eastAsia="Times New Roman"/>
          <w:color w:val="000000"/>
          <w:sz w:val="20"/>
          <w:szCs w:val="20"/>
        </w:rPr>
        <w:t>r buy online, pickup in-store, and curbside pickup, which provides convenient access for customers to pick up merchandise from our store locations. Additionally, our online experience offers an expansive product assortment including a direct to consumer as</w:t>
      </w:r>
      <w:r>
        <w:rPr>
          <w:rFonts w:eastAsia="Times New Roman"/>
          <w:color w:val="000000"/>
          <w:sz w:val="20"/>
          <w:szCs w:val="20"/>
        </w:rPr>
        <w:t>sortment. This allows us to extend our aisles beyond our store locations and provides convenient and useful content that is relevant to our customers’ lifestyle. We provide our customers the ability to have products shipped directly to our retail store loc</w:t>
      </w:r>
      <w:r>
        <w:rPr>
          <w:rFonts w:eastAsia="Times New Roman"/>
          <w:color w:val="000000"/>
          <w:sz w:val="20"/>
          <w:szCs w:val="20"/>
        </w:rPr>
        <w:t xml:space="preserve">ations or to their homes or offices. For select products, we offer same day delivery. We use our distribution facility network as well as our stores to support our e-commerce activities. Our digital capabilities have further enhanced our in-store shopping </w:t>
      </w:r>
      <w:r>
        <w:rPr>
          <w:rFonts w:eastAsia="Times New Roman"/>
          <w:color w:val="000000"/>
          <w:sz w:val="20"/>
          <w:szCs w:val="20"/>
        </w:rPr>
        <w:t>experience, allowing us to engage with our customers more effectively, and expanded our target markets outside of our current retail store locations.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Continuous Improvement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are committed to a continuous improvement program to drive change throughout</w:t>
      </w:r>
      <w:r>
        <w:rPr>
          <w:rFonts w:eastAsia="Times New Roman"/>
          <w:color w:val="000000"/>
          <w:sz w:val="20"/>
          <w:szCs w:val="20"/>
        </w:rPr>
        <w:t xml:space="preserve"> our organization.  Using data analytics and team member engagement, we examine business processes and identify opportunities to reduce costs, drive innovation, and improve effectiveness. We establish goals for productivity and cost improvement.  We have i</w:t>
      </w:r>
      <w:r>
        <w:rPr>
          <w:rFonts w:eastAsia="Times New Roman"/>
          <w:color w:val="000000"/>
          <w:sz w:val="20"/>
          <w:szCs w:val="20"/>
        </w:rPr>
        <w:t>mplemented numerous continuous improvement projects, with team members from multiple areas of our business, to evaluate key operations and implement process change. Team members are empowered and expected to challenge current paradigms and improve processe</w:t>
      </w:r>
      <w:r>
        <w:rPr>
          <w:rFonts w:eastAsia="Times New Roman"/>
          <w:color w:val="000000"/>
          <w:sz w:val="20"/>
          <w:szCs w:val="20"/>
        </w:rPr>
        <w:t>s. Management encourages the participation of all team members in the decision-making process, regularly solicits input and suggestions from our team members, and incorporates suggestions into our improvement activities.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Management Information and Contro</w:t>
      </w:r>
      <w:r>
        <w:rPr>
          <w:rFonts w:eastAsia="Times New Roman"/>
          <w:i/>
          <w:iCs/>
          <w:color w:val="000000"/>
          <w:sz w:val="20"/>
          <w:szCs w:val="20"/>
        </w:rPr>
        <w:t>l Systems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have invested resources in management information and control systems to provide legendary customer service and to deliver the right products in the right place at the right time. This investment includes use of digital technologies that sup</w:t>
      </w:r>
      <w:r>
        <w:rPr>
          <w:rFonts w:eastAsia="Times New Roman"/>
          <w:color w:val="000000"/>
          <w:sz w:val="20"/>
          <w:szCs w:val="20"/>
        </w:rPr>
        <w:t xml:space="preserve">port the </w:t>
      </w:r>
      <w:r>
        <w:rPr>
          <w:rFonts w:eastAsia="Times New Roman"/>
          <w:i/>
          <w:iCs/>
          <w:color w:val="000000"/>
          <w:sz w:val="20"/>
          <w:szCs w:val="20"/>
        </w:rPr>
        <w:t>"Out Here"</w:t>
      </w:r>
      <w:r>
        <w:rPr>
          <w:rFonts w:eastAsia="Times New Roman"/>
          <w:color w:val="000000"/>
          <w:sz w:val="20"/>
          <w:szCs w:val="20"/>
        </w:rPr>
        <w:t xml:space="preserve"> lifestyle and integrate the customer experience in-store, online, and through our Customer Solutions Center, which offers customers the ability to shop anytime, anywhere, and in any way they choose. Our key platforms include:</w:t>
      </w:r>
    </w:p>
    <w:p w:rsidR="00000000" w:rsidRDefault="001F39D7">
      <w:pPr>
        <w:jc w:val="both"/>
        <w:rPr>
          <w:rFonts w:eastAsia="Times New Roman"/>
        </w:rPr>
      </w:pPr>
    </w:p>
    <w:p w:rsidR="00000000" w:rsidRDefault="001F39D7">
      <w:pPr>
        <w:ind w:hanging="360"/>
        <w:divId w:val="1245261898"/>
        <w:rPr>
          <w:rFonts w:eastAsia="Times New Roman"/>
        </w:rPr>
      </w:pPr>
      <w:r>
        <w:rPr>
          <w:rFonts w:eastAsia="Times New Roman"/>
          <w:color w:val="000000"/>
          <w:sz w:val="20"/>
          <w:szCs w:val="20"/>
        </w:rPr>
        <w:t>•Point-o</w:t>
      </w:r>
      <w:r>
        <w:rPr>
          <w:rFonts w:eastAsia="Times New Roman"/>
          <w:color w:val="000000"/>
          <w:sz w:val="20"/>
          <w:szCs w:val="20"/>
        </w:rPr>
        <w:t>f-sale system;</w:t>
      </w:r>
    </w:p>
    <w:p w:rsidR="00000000" w:rsidRDefault="001F39D7">
      <w:pPr>
        <w:ind w:hanging="360"/>
        <w:divId w:val="561864739"/>
        <w:rPr>
          <w:rFonts w:eastAsia="Times New Roman"/>
        </w:rPr>
      </w:pPr>
      <w:r>
        <w:rPr>
          <w:rFonts w:eastAsia="Times New Roman"/>
          <w:color w:val="000000"/>
          <w:sz w:val="20"/>
          <w:szCs w:val="20"/>
        </w:rPr>
        <w:t>•In-store mobility;</w:t>
      </w:r>
    </w:p>
    <w:p w:rsidR="00000000" w:rsidRDefault="001F39D7">
      <w:pPr>
        <w:ind w:hanging="360"/>
        <w:divId w:val="1326935405"/>
        <w:rPr>
          <w:rFonts w:eastAsia="Times New Roman"/>
        </w:rPr>
      </w:pPr>
      <w:r>
        <w:rPr>
          <w:rFonts w:eastAsia="Times New Roman"/>
          <w:color w:val="000000"/>
          <w:sz w:val="20"/>
          <w:szCs w:val="20"/>
        </w:rPr>
        <w:t>•E-commerce platform;</w:t>
      </w:r>
    </w:p>
    <w:p w:rsidR="00000000" w:rsidRDefault="001F39D7">
      <w:pPr>
        <w:ind w:hanging="360"/>
        <w:divId w:val="83964685"/>
        <w:rPr>
          <w:rFonts w:eastAsia="Times New Roman"/>
        </w:rPr>
      </w:pPr>
      <w:r>
        <w:rPr>
          <w:rFonts w:eastAsia="Times New Roman"/>
          <w:color w:val="000000"/>
          <w:sz w:val="20"/>
          <w:szCs w:val="20"/>
        </w:rPr>
        <w:t>•Consumer mobile app;</w:t>
      </w:r>
    </w:p>
    <w:p w:rsidR="00000000" w:rsidRDefault="001F39D7">
      <w:pPr>
        <w:ind w:hanging="360"/>
        <w:divId w:val="93208914"/>
        <w:rPr>
          <w:rFonts w:eastAsia="Times New Roman"/>
        </w:rPr>
      </w:pPr>
      <w:r>
        <w:rPr>
          <w:rFonts w:eastAsia="Times New Roman"/>
          <w:color w:val="000000"/>
          <w:sz w:val="20"/>
          <w:szCs w:val="20"/>
        </w:rPr>
        <w:t>•Replenishment and allocation systems;</w:t>
      </w:r>
    </w:p>
    <w:p w:rsidR="00000000" w:rsidRDefault="001F39D7">
      <w:pPr>
        <w:ind w:hanging="360"/>
        <w:divId w:val="2081782554"/>
        <w:rPr>
          <w:rFonts w:eastAsia="Times New Roman"/>
        </w:rPr>
      </w:pPr>
      <w:r>
        <w:rPr>
          <w:rFonts w:eastAsia="Times New Roman"/>
          <w:color w:val="000000"/>
          <w:sz w:val="20"/>
          <w:szCs w:val="20"/>
        </w:rPr>
        <w:t>•Merchandising presentation and inventory management tools;</w:t>
      </w:r>
    </w:p>
    <w:p w:rsidR="00000000" w:rsidRDefault="001F39D7">
      <w:pPr>
        <w:ind w:hanging="360"/>
        <w:divId w:val="1290010890"/>
        <w:rPr>
          <w:rFonts w:eastAsia="Times New Roman"/>
        </w:rPr>
      </w:pPr>
      <w:r>
        <w:rPr>
          <w:rFonts w:eastAsia="Times New Roman"/>
          <w:color w:val="000000"/>
          <w:sz w:val="20"/>
          <w:szCs w:val="20"/>
        </w:rPr>
        <w:t>•</w:t>
      </w:r>
      <w:r>
        <w:rPr>
          <w:rFonts w:eastAsia="Times New Roman"/>
          <w:color w:val="000000"/>
          <w:sz w:val="20"/>
          <w:szCs w:val="20"/>
        </w:rPr>
        <w:t xml:space="preserve">Warehouse and transportation management systems; </w:t>
      </w:r>
    </w:p>
    <w:p w:rsidR="00000000" w:rsidRDefault="001F39D7">
      <w:pPr>
        <w:ind w:hanging="360"/>
        <w:divId w:val="1909077225"/>
        <w:rPr>
          <w:rFonts w:eastAsia="Times New Roman"/>
        </w:rPr>
      </w:pPr>
      <w:r>
        <w:rPr>
          <w:rFonts w:eastAsia="Times New Roman"/>
          <w:color w:val="000000"/>
          <w:sz w:val="20"/>
          <w:szCs w:val="20"/>
        </w:rPr>
        <w:t>•Labor management tools for stores and supply chain;</w:t>
      </w:r>
    </w:p>
    <w:p w:rsidR="00000000" w:rsidRDefault="001F39D7">
      <w:pPr>
        <w:ind w:hanging="360"/>
        <w:divId w:val="1643853848"/>
        <w:rPr>
          <w:rFonts w:eastAsia="Times New Roman"/>
        </w:rPr>
      </w:pPr>
      <w:r>
        <w:rPr>
          <w:rFonts w:eastAsia="Times New Roman"/>
          <w:color w:val="000000"/>
          <w:sz w:val="20"/>
          <w:szCs w:val="20"/>
        </w:rPr>
        <w:t>•Price optimization system;</w:t>
      </w:r>
    </w:p>
    <w:p w:rsidR="00000000" w:rsidRDefault="001F39D7">
      <w:pPr>
        <w:ind w:hanging="360"/>
        <w:divId w:val="1519377"/>
        <w:rPr>
          <w:rFonts w:eastAsia="Times New Roman"/>
        </w:rPr>
      </w:pPr>
      <w:r>
        <w:rPr>
          <w:rFonts w:eastAsia="Times New Roman"/>
          <w:color w:val="000000"/>
          <w:sz w:val="20"/>
          <w:szCs w:val="20"/>
        </w:rPr>
        <w:t>•Vendor purchase order control system;</w:t>
      </w:r>
    </w:p>
    <w:p w:rsidR="00000000" w:rsidRDefault="001F39D7">
      <w:pPr>
        <w:jc w:val="center"/>
        <w:divId w:val="863902808"/>
        <w:rPr>
          <w:rFonts w:eastAsia="Times New Roman"/>
        </w:rPr>
      </w:pPr>
      <w:r>
        <w:rPr>
          <w:rFonts w:eastAsia="Times New Roman"/>
          <w:color w:val="000000"/>
          <w:sz w:val="20"/>
          <w:szCs w:val="20"/>
        </w:rPr>
        <w:t>5</w:t>
      </w:r>
    </w:p>
    <w:p w:rsidR="00000000" w:rsidRDefault="001F39D7">
      <w:pPr>
        <w:rPr>
          <w:rFonts w:eastAsia="Times New Roman"/>
        </w:rPr>
      </w:pPr>
      <w:r>
        <w:rPr>
          <w:rFonts w:eastAsia="Times New Roman"/>
        </w:rPr>
        <w:pict>
          <v:rect id="_x0000_i1033" style="width:0;height:1.5pt" o:hralign="center" o:hrstd="t" o:hr="t" fillcolor="#a0a0a0" stroked="f"/>
        </w:pict>
      </w:r>
    </w:p>
    <w:p w:rsidR="00000000" w:rsidRDefault="001F39D7">
      <w:pPr>
        <w:divId w:val="1192501400"/>
        <w:rPr>
          <w:rFonts w:eastAsia="Times New Roman"/>
        </w:rPr>
      </w:pPr>
      <w:hyperlink w:anchor="ia0680a7a640346e7afc1f53a5745d231_7" w:history="1">
        <w:r>
          <w:rPr>
            <w:rStyle w:val="a3"/>
            <w:rFonts w:eastAsia="Times New Roman"/>
            <w:sz w:val="18"/>
            <w:szCs w:val="18"/>
          </w:rPr>
          <w:t>Index</w:t>
        </w:r>
      </w:hyperlink>
    </w:p>
    <w:p w:rsidR="00000000" w:rsidRDefault="001F39D7">
      <w:pPr>
        <w:ind w:hanging="360"/>
        <w:divId w:val="1412972128"/>
        <w:rPr>
          <w:rFonts w:eastAsia="Times New Roman"/>
        </w:rPr>
      </w:pPr>
      <w:r>
        <w:rPr>
          <w:rFonts w:eastAsia="Times New Roman"/>
          <w:color w:val="000000"/>
          <w:sz w:val="20"/>
          <w:szCs w:val="20"/>
        </w:rPr>
        <w:t xml:space="preserve">•Business intelligence and analytics tools; and </w:t>
      </w:r>
    </w:p>
    <w:p w:rsidR="00000000" w:rsidRDefault="001F39D7">
      <w:pPr>
        <w:ind w:hanging="360"/>
        <w:divId w:val="2139029521"/>
        <w:rPr>
          <w:rFonts w:eastAsia="Times New Roman"/>
        </w:rPr>
      </w:pPr>
      <w:r>
        <w:rPr>
          <w:rFonts w:eastAsia="Times New Roman"/>
          <w:color w:val="000000"/>
          <w:sz w:val="20"/>
          <w:szCs w:val="20"/>
        </w:rPr>
        <w:t xml:space="preserve">•Customer loyalty and campaign management system.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These systems are integrated through an enterprise resource planning (“ERP”) system. This ERP system tracks merchandise from initial order</w:t>
      </w:r>
      <w:r>
        <w:rPr>
          <w:rFonts w:eastAsia="Times New Roman"/>
          <w:color w:val="000000"/>
          <w:sz w:val="20"/>
          <w:szCs w:val="20"/>
        </w:rPr>
        <w:t xml:space="preserve"> through ultimate sale and interfaces with our financial systems.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continue to invest in technology to support store, online, and distribution facility expansion and our long-term strategic growth initiatives focused heavily on improving the customer e</w:t>
      </w:r>
      <w:r>
        <w:rPr>
          <w:rFonts w:eastAsia="Times New Roman"/>
          <w:color w:val="000000"/>
          <w:sz w:val="20"/>
          <w:szCs w:val="20"/>
        </w:rPr>
        <w:t>xperience across all channels. We also continue to evaluate and improve the functionality of our systems to maximize their effectiveness.  Such efforts include ongoing hardware and software evaluations, refreshes, and upgrades to support optimal software c</w:t>
      </w:r>
      <w:r>
        <w:rPr>
          <w:rFonts w:eastAsia="Times New Roman"/>
          <w:color w:val="000000"/>
          <w:sz w:val="20"/>
          <w:szCs w:val="20"/>
        </w:rPr>
        <w:t>onfigurations, and application performance. We plan to continue to invest in information technology and implement efficiency-driving system enhancements such as in-store mobility, labor management tools, and back-office support systems</w:t>
      </w:r>
      <w:r>
        <w:rPr>
          <w:rFonts w:eastAsia="Times New Roman"/>
          <w:color w:val="000000"/>
        </w:rPr>
        <w:t xml:space="preserve">. </w:t>
      </w:r>
      <w:r>
        <w:rPr>
          <w:rFonts w:eastAsia="Times New Roman"/>
          <w:color w:val="000000"/>
          <w:sz w:val="20"/>
          <w:szCs w:val="20"/>
        </w:rPr>
        <w:t>We will continue to</w:t>
      </w:r>
      <w:r>
        <w:rPr>
          <w:rFonts w:eastAsia="Times New Roman"/>
          <w:color w:val="000000"/>
          <w:sz w:val="20"/>
          <w:szCs w:val="20"/>
        </w:rPr>
        <w:t xml:space="preserve"> evaluate the use of technologies to improve productivity such as artificial intelligence, automation software, quantum computing, and other technologies. We also maintain and continue to strengthen the security of our information systems to help protect a</w:t>
      </w:r>
      <w:r>
        <w:rPr>
          <w:rFonts w:eastAsia="Times New Roman"/>
          <w:color w:val="000000"/>
          <w:sz w:val="20"/>
          <w:szCs w:val="20"/>
        </w:rPr>
        <w:t>nd prevent unauthorized access to personal information of our customers, employees, vendors, and other confidential Company data. We are endeavoring to adhere to quickly evolving industry privacy laws and standards. Critical areas of focus include cloud, e</w:t>
      </w:r>
      <w:r>
        <w:rPr>
          <w:rFonts w:eastAsia="Times New Roman"/>
          <w:color w:val="000000"/>
          <w:sz w:val="20"/>
          <w:szCs w:val="20"/>
        </w:rPr>
        <w:t>nd point protection and privacy. Collectively, these efforts are directed toward improving business processes, maintaining secure, efficient, and stable systems, and enabling the continued growth and success of our business.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Petsense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Petsense is a smal</w:t>
      </w:r>
      <w:r>
        <w:rPr>
          <w:rFonts w:eastAsia="Times New Roman"/>
          <w:color w:val="000000"/>
          <w:sz w:val="20"/>
          <w:szCs w:val="20"/>
        </w:rPr>
        <w:t>l-box pet specialty supply retailer focused on meeting the needs of pet owners, primarily in small and mid-sized communities, and offering a variety of pet products and services. At December 25, 2021, we operated a total of 178 Petsense stores in 23 states</w:t>
      </w:r>
      <w:r>
        <w:rPr>
          <w:rFonts w:eastAsia="Times New Roman"/>
          <w:color w:val="000000"/>
          <w:sz w:val="20"/>
          <w:szCs w:val="20"/>
        </w:rPr>
        <w:t>, with approximately 500 full-time and 1,000 part-time team members, and an e-commerce website (</w:t>
      </w:r>
      <w:r>
        <w:rPr>
          <w:rFonts w:eastAsia="Times New Roman"/>
          <w:i/>
          <w:iCs/>
          <w:color w:val="000000"/>
          <w:sz w:val="20"/>
          <w:szCs w:val="20"/>
          <w:u w:val="single"/>
        </w:rPr>
        <w:t>Petsense.com</w:t>
      </w:r>
      <w:r>
        <w:rPr>
          <w:rFonts w:eastAsia="Times New Roman"/>
          <w:color w:val="000000"/>
          <w:sz w:val="20"/>
          <w:szCs w:val="20"/>
        </w:rPr>
        <w:t>). The Petsense name is registered with the USPTO.</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Human Capital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believe that our team members are the foundation of our business and that their hard work, passion, commitment, and experience drive our success. As a result of our commitment to our team members, in both 2021 and 2020, we were recognized by the Great P</w:t>
      </w:r>
      <w:r>
        <w:rPr>
          <w:rFonts w:eastAsia="Times New Roman"/>
          <w:color w:val="000000"/>
          <w:sz w:val="20"/>
          <w:szCs w:val="20"/>
        </w:rPr>
        <w:t xml:space="preserve">lace to Work Institute as a </w:t>
      </w:r>
      <w:r>
        <w:rPr>
          <w:rFonts w:eastAsia="Times New Roman"/>
          <w:i/>
          <w:iCs/>
          <w:color w:val="000000"/>
          <w:sz w:val="20"/>
          <w:szCs w:val="20"/>
        </w:rPr>
        <w:t xml:space="preserve">"Great Place to Work-Certified" </w:t>
      </w:r>
      <w:r>
        <w:rPr>
          <w:rFonts w:eastAsia="Times New Roman"/>
          <w:color w:val="000000"/>
          <w:sz w:val="20"/>
          <w:szCs w:val="20"/>
        </w:rPr>
        <w:t>company and were included in Forbes’ 2021 "</w:t>
      </w:r>
      <w:r>
        <w:rPr>
          <w:rFonts w:eastAsia="Times New Roman"/>
          <w:i/>
          <w:iCs/>
          <w:color w:val="000000"/>
          <w:sz w:val="20"/>
          <w:szCs w:val="20"/>
        </w:rPr>
        <w:t>America’s Best Employers for New Graduates</w:t>
      </w:r>
      <w:r>
        <w:rPr>
          <w:rFonts w:eastAsia="Times New Roman"/>
          <w:color w:val="000000"/>
          <w:sz w:val="20"/>
          <w:szCs w:val="20"/>
        </w:rPr>
        <w:t>" list for the second year in a row. Below are further descriptions of our Company and our focus on the develop</w:t>
      </w:r>
      <w:r>
        <w:rPr>
          <w:rFonts w:eastAsia="Times New Roman"/>
          <w:color w:val="000000"/>
          <w:sz w:val="20"/>
          <w:szCs w:val="20"/>
        </w:rPr>
        <w:t>ment and support of our team members: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Management and Team Members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As of December 25, 2021, we employed approxima</w:t>
      </w:r>
      <w:r>
        <w:rPr>
          <w:rFonts w:eastAsia="Times New Roman"/>
          <w:color w:val="000000"/>
          <w:sz w:val="20"/>
          <w:szCs w:val="20"/>
          <w:shd w:val="clear" w:color="auto" w:fill="FFFFFF"/>
        </w:rPr>
        <w:t>tely 22,000 full-time and 24,000</w:t>
      </w:r>
      <w:r>
        <w:rPr>
          <w:rFonts w:eastAsia="Times New Roman"/>
          <w:color w:val="000000"/>
          <w:sz w:val="20"/>
          <w:szCs w:val="20"/>
        </w:rPr>
        <w:t xml:space="preserve"> part-time Tractor Supply team members. </w:t>
      </w:r>
      <w:r>
        <w:rPr>
          <w:rFonts w:eastAsia="Times New Roman"/>
          <w:color w:val="000000"/>
          <w:sz w:val="20"/>
          <w:szCs w:val="20"/>
        </w:rPr>
        <w:t>We typically employ additional part-time team members throughout the year during high sales volume periods.  We are not party to any collective bargaining agreements.</w:t>
      </w:r>
    </w:p>
    <w:p w:rsidR="00000000" w:rsidRDefault="001F39D7">
      <w:pPr>
        <w:divId w:val="280039478"/>
        <w:rPr>
          <w:rFonts w:eastAsia="Times New Roman"/>
        </w:rPr>
      </w:pPr>
    </w:p>
    <w:p w:rsidR="00000000" w:rsidRDefault="001F39D7">
      <w:pPr>
        <w:jc w:val="both"/>
        <w:rPr>
          <w:rFonts w:eastAsia="Times New Roman"/>
        </w:rPr>
      </w:pPr>
      <w:r>
        <w:rPr>
          <w:rFonts w:eastAsia="Times New Roman"/>
          <w:color w:val="000000"/>
          <w:sz w:val="20"/>
          <w:szCs w:val="20"/>
        </w:rPr>
        <w:t xml:space="preserve">Our store operations are divided between east and west divisions, and each division is </w:t>
      </w:r>
      <w:r>
        <w:rPr>
          <w:rFonts w:eastAsia="Times New Roman"/>
          <w:color w:val="000000"/>
          <w:sz w:val="20"/>
          <w:szCs w:val="20"/>
        </w:rPr>
        <w:t>overseen by a senior vice president. The divisions are organized into regions, each of which is led by a regional vice president. The region is further organized into districts, each of which is led by a district manager.  We have two internal advisory boa</w:t>
      </w:r>
      <w:r>
        <w:rPr>
          <w:rFonts w:eastAsia="Times New Roman"/>
          <w:color w:val="000000"/>
          <w:sz w:val="20"/>
          <w:szCs w:val="20"/>
        </w:rPr>
        <w:t>rds, one comprised of store managers and the other comprised of district managers.  These groups bring a grassroots perspective to operational initiatives and generate chain-wide endorsement of proposed best-practice solutions.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Eligible team members can </w:t>
      </w:r>
      <w:r>
        <w:rPr>
          <w:rFonts w:eastAsia="Times New Roman"/>
          <w:color w:val="000000"/>
          <w:sz w:val="20"/>
          <w:szCs w:val="20"/>
        </w:rPr>
        <w:t>participate in one of our various bonus incentive programs, which provide the opportunity to receive additional compensation based upon individual, team, and/or Company performance. In addition to bonus incentive programs, we provide our eligible team memb</w:t>
      </w:r>
      <w:r>
        <w:rPr>
          <w:rFonts w:eastAsia="Times New Roman"/>
          <w:color w:val="000000"/>
          <w:sz w:val="20"/>
          <w:szCs w:val="20"/>
        </w:rPr>
        <w:t>ers the opportunity to participate in an employee stock purchase plan and a 401(k) retirement savings plan and health insurance for which we share a significant portion of the cost of premiums. We additionally provide our eligible team members with paid ti</w:t>
      </w:r>
      <w:r>
        <w:rPr>
          <w:rFonts w:eastAsia="Times New Roman"/>
          <w:color w:val="000000"/>
          <w:sz w:val="20"/>
          <w:szCs w:val="20"/>
        </w:rPr>
        <w:t xml:space="preserve">me off and a six-week parental leave policy for new parents. Our team members also receive a discount on merchandise purchased from the Company.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continue to make wage investments to offer our team members competitive compensation. On an annualized ba</w:t>
      </w:r>
      <w:r>
        <w:rPr>
          <w:rFonts w:eastAsia="Times New Roman"/>
          <w:color w:val="000000"/>
          <w:sz w:val="20"/>
          <w:szCs w:val="20"/>
        </w:rPr>
        <w:t xml:space="preserve">sis in 2021, we </w:t>
      </w:r>
      <w:r>
        <w:rPr>
          <w:rFonts w:eastAsia="Times New Roman"/>
          <w:color w:val="000000"/>
          <w:sz w:val="20"/>
          <w:szCs w:val="20"/>
          <w:shd w:val="clear" w:color="auto" w:fill="FFFFFF"/>
        </w:rPr>
        <w:t xml:space="preserve">invested an additional </w:t>
      </w:r>
      <w:r>
        <w:rPr>
          <w:rFonts w:eastAsia="Times New Roman"/>
          <w:color w:val="000000"/>
          <w:sz w:val="20"/>
          <w:szCs w:val="20"/>
        </w:rPr>
        <w:t>$40</w:t>
      </w:r>
      <w:r>
        <w:rPr>
          <w:rFonts w:eastAsia="Times New Roman"/>
          <w:color w:val="000000"/>
          <w:sz w:val="20"/>
          <w:szCs w:val="20"/>
          <w:shd w:val="clear" w:color="auto" w:fill="FFFFFF"/>
        </w:rPr>
        <w:t xml:space="preserve"> million in hourly store team members as a result of our increases in the minimum wage paid to team members.</w:t>
      </w:r>
    </w:p>
    <w:p w:rsidR="00000000" w:rsidRDefault="001F39D7">
      <w:pPr>
        <w:divId w:val="1704088310"/>
        <w:rPr>
          <w:rFonts w:eastAsia="Times New Roman"/>
        </w:rPr>
      </w:pPr>
    </w:p>
    <w:p w:rsidR="00000000" w:rsidRDefault="001F39D7">
      <w:pPr>
        <w:jc w:val="both"/>
        <w:rPr>
          <w:rFonts w:eastAsia="Times New Roman"/>
        </w:rPr>
      </w:pPr>
      <w:r>
        <w:rPr>
          <w:rFonts w:eastAsia="Times New Roman"/>
          <w:color w:val="000000"/>
          <w:sz w:val="20"/>
          <w:szCs w:val="20"/>
        </w:rPr>
        <w:t>We encourage a promote-from-within environment when internal resources permit.  We also provide interna</w:t>
      </w:r>
      <w:r>
        <w:rPr>
          <w:rFonts w:eastAsia="Times New Roman"/>
          <w:color w:val="000000"/>
          <w:sz w:val="20"/>
          <w:szCs w:val="20"/>
        </w:rPr>
        <w:t xml:space="preserve">l leadership development programs designed to prepare our high-potential team members for greater responsibility. Our current team of </w:t>
      </w:r>
    </w:p>
    <w:p w:rsidR="00000000" w:rsidRDefault="001F39D7">
      <w:pPr>
        <w:jc w:val="center"/>
        <w:divId w:val="1318219584"/>
        <w:rPr>
          <w:rFonts w:eastAsia="Times New Roman"/>
        </w:rPr>
      </w:pPr>
      <w:r>
        <w:rPr>
          <w:rFonts w:eastAsia="Times New Roman"/>
          <w:color w:val="000000"/>
          <w:sz w:val="20"/>
          <w:szCs w:val="20"/>
        </w:rPr>
        <w:t>6</w:t>
      </w:r>
    </w:p>
    <w:p w:rsidR="00000000" w:rsidRDefault="001F39D7">
      <w:pPr>
        <w:rPr>
          <w:rFonts w:eastAsia="Times New Roman"/>
        </w:rPr>
      </w:pPr>
      <w:r>
        <w:rPr>
          <w:rFonts w:eastAsia="Times New Roman"/>
        </w:rPr>
        <w:pict>
          <v:rect id="_x0000_i1034" style="width:0;height:1.5pt" o:hralign="center" o:hrstd="t" o:hr="t" fillcolor="#a0a0a0" stroked="f"/>
        </w:pict>
      </w:r>
    </w:p>
    <w:p w:rsidR="00000000" w:rsidRDefault="001F39D7">
      <w:pPr>
        <w:divId w:val="19230448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district managers </w:t>
      </w:r>
      <w:r>
        <w:rPr>
          <w:rFonts w:eastAsia="Times New Roman"/>
          <w:color w:val="000000"/>
          <w:sz w:val="20"/>
          <w:szCs w:val="20"/>
        </w:rPr>
        <w:t xml:space="preserve">and store managers has an average tenure of approximately </w:t>
      </w:r>
      <w:r>
        <w:rPr>
          <w:rFonts w:eastAsia="Times New Roman"/>
          <w:color w:val="000000"/>
          <w:sz w:val="20"/>
          <w:szCs w:val="20"/>
          <w:shd w:val="clear" w:color="auto" w:fill="FFFFFF"/>
        </w:rPr>
        <w:t>nine and six y</w:t>
      </w:r>
      <w:r>
        <w:rPr>
          <w:rFonts w:eastAsia="Times New Roman"/>
          <w:color w:val="000000"/>
          <w:sz w:val="20"/>
          <w:szCs w:val="20"/>
        </w:rPr>
        <w:t>ears, respectively.  We believe internal promotions, coupled with the hiring of individuals with previous retail experience, provide the management structure necessary to support our l</w:t>
      </w:r>
      <w:r>
        <w:rPr>
          <w:rFonts w:eastAsia="Times New Roman"/>
          <w:color w:val="000000"/>
          <w:sz w:val="20"/>
          <w:szCs w:val="20"/>
        </w:rPr>
        <w:t xml:space="preserve">ong-term strategic growth initiatives.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Store Personnel and Training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seek to hire store team members who live and appreciate the </w:t>
      </w:r>
      <w:r>
        <w:rPr>
          <w:rFonts w:eastAsia="Times New Roman"/>
          <w:i/>
          <w:iCs/>
          <w:color w:val="000000"/>
          <w:sz w:val="20"/>
          <w:szCs w:val="20"/>
        </w:rPr>
        <w:t>"Out Here"</w:t>
      </w:r>
      <w:r>
        <w:rPr>
          <w:rFonts w:eastAsia="Times New Roman"/>
          <w:color w:val="000000"/>
          <w:sz w:val="20"/>
          <w:szCs w:val="20"/>
        </w:rPr>
        <w:t xml:space="preserve"> lifestyle, including those with farming and ranching backgrounds, with particular emphasis on general mainten</w:t>
      </w:r>
      <w:r>
        <w:rPr>
          <w:rFonts w:eastAsia="Times New Roman"/>
          <w:color w:val="000000"/>
          <w:sz w:val="20"/>
          <w:szCs w:val="20"/>
        </w:rPr>
        <w:t>ance, equine, and welding. We endeavor to staff our stores with courteous, highly motivated team members and devote considerable resources to training store team members, often in cooperation with our vendors.  Our training programs include:</w:t>
      </w:r>
    </w:p>
    <w:p w:rsidR="00000000" w:rsidRDefault="001F39D7">
      <w:pPr>
        <w:jc w:val="both"/>
        <w:rPr>
          <w:rFonts w:eastAsia="Times New Roman"/>
        </w:rPr>
      </w:pPr>
    </w:p>
    <w:p w:rsidR="00000000" w:rsidRDefault="001F39D7">
      <w:pPr>
        <w:ind w:hanging="360"/>
        <w:divId w:val="437070869"/>
        <w:rPr>
          <w:rFonts w:eastAsia="Times New Roman"/>
        </w:rPr>
      </w:pPr>
      <w:r>
        <w:rPr>
          <w:rFonts w:eastAsia="Times New Roman"/>
          <w:color w:val="000000"/>
          <w:sz w:val="20"/>
          <w:szCs w:val="20"/>
        </w:rPr>
        <w:t xml:space="preserve">•A thorough </w:t>
      </w:r>
      <w:r>
        <w:rPr>
          <w:rFonts w:eastAsia="Times New Roman"/>
          <w:color w:val="000000"/>
          <w:sz w:val="20"/>
          <w:szCs w:val="20"/>
        </w:rPr>
        <w:t>on-boarding process to prepare new team members for their new role;</w:t>
      </w:r>
    </w:p>
    <w:p w:rsidR="00000000" w:rsidRDefault="001F39D7">
      <w:pPr>
        <w:ind w:hanging="360"/>
        <w:divId w:val="1214846717"/>
        <w:rPr>
          <w:rFonts w:eastAsia="Times New Roman"/>
        </w:rPr>
      </w:pPr>
      <w:r>
        <w:rPr>
          <w:rFonts w:eastAsia="Times New Roman"/>
          <w:color w:val="000000"/>
          <w:sz w:val="20"/>
          <w:szCs w:val="20"/>
        </w:rPr>
        <w:t>•Productive workplace environment training that is intended to educate team members on Company policies and procedures covering topics such as harassment, discrimination, and retaliation;</w:t>
      </w:r>
    </w:p>
    <w:p w:rsidR="00000000" w:rsidRDefault="001F39D7">
      <w:pPr>
        <w:ind w:hanging="360"/>
        <w:divId w:val="1877547324"/>
        <w:rPr>
          <w:rFonts w:eastAsia="Times New Roman"/>
        </w:rPr>
      </w:pPr>
      <w:r>
        <w:rPr>
          <w:rFonts w:eastAsia="Times New Roman"/>
          <w:color w:val="000000"/>
          <w:sz w:val="20"/>
          <w:szCs w:val="20"/>
        </w:rPr>
        <w:t>•Diversity and inclusion training which is intended to advance a diverse and inclusive culture built on one of our core values of respect, to foster different perspectives, ideas and innovative thinking;</w:t>
      </w:r>
    </w:p>
    <w:p w:rsidR="00000000" w:rsidRDefault="001F39D7">
      <w:pPr>
        <w:ind w:hanging="360"/>
        <w:divId w:val="295112417"/>
        <w:rPr>
          <w:rFonts w:eastAsia="Times New Roman"/>
        </w:rPr>
      </w:pPr>
      <w:r>
        <w:rPr>
          <w:rFonts w:eastAsia="Times New Roman"/>
          <w:color w:val="000000"/>
          <w:sz w:val="20"/>
          <w:szCs w:val="20"/>
        </w:rPr>
        <w:t>•</w:t>
      </w:r>
      <w:r>
        <w:rPr>
          <w:rFonts w:eastAsia="Times New Roman"/>
          <w:color w:val="000000"/>
          <w:sz w:val="20"/>
          <w:szCs w:val="20"/>
        </w:rPr>
        <w:t>New store opening training that prepares our store managers to open new stores to Company standards;</w:t>
      </w:r>
    </w:p>
    <w:p w:rsidR="00000000" w:rsidRDefault="001F39D7">
      <w:pPr>
        <w:ind w:hanging="360"/>
        <w:divId w:val="1278364965"/>
        <w:rPr>
          <w:rFonts w:eastAsia="Times New Roman"/>
        </w:rPr>
      </w:pPr>
      <w:r>
        <w:rPr>
          <w:rFonts w:eastAsia="Times New Roman"/>
          <w:color w:val="000000"/>
          <w:sz w:val="20"/>
          <w:szCs w:val="20"/>
        </w:rPr>
        <w:t>•A management training program which covers all aspects of our store operations, delivering superior service, and managing the team member experience;</w:t>
      </w:r>
    </w:p>
    <w:p w:rsidR="00000000" w:rsidRDefault="001F39D7">
      <w:pPr>
        <w:ind w:hanging="360"/>
        <w:divId w:val="574631797"/>
        <w:rPr>
          <w:rFonts w:eastAsia="Times New Roman"/>
        </w:rPr>
      </w:pPr>
      <w:r>
        <w:rPr>
          <w:rFonts w:eastAsia="Times New Roman"/>
          <w:color w:val="000000"/>
          <w:sz w:val="20"/>
          <w:szCs w:val="20"/>
        </w:rPr>
        <w:t>•Str</w:t>
      </w:r>
      <w:r>
        <w:rPr>
          <w:rFonts w:eastAsia="Times New Roman"/>
          <w:color w:val="000000"/>
          <w:sz w:val="20"/>
          <w:szCs w:val="20"/>
        </w:rPr>
        <w:t>uctured training on customer service and selling skills;</w:t>
      </w:r>
    </w:p>
    <w:p w:rsidR="00000000" w:rsidRDefault="001F39D7">
      <w:pPr>
        <w:ind w:hanging="360"/>
        <w:divId w:val="579607854"/>
        <w:rPr>
          <w:rFonts w:eastAsia="Times New Roman"/>
        </w:rPr>
      </w:pPr>
      <w:r>
        <w:rPr>
          <w:rFonts w:eastAsia="Times New Roman"/>
          <w:color w:val="000000"/>
          <w:sz w:val="20"/>
          <w:szCs w:val="20"/>
        </w:rPr>
        <w:t>•Online product knowledge training produced in conjunction with key vendors;</w:t>
      </w:r>
    </w:p>
    <w:p w:rsidR="00000000" w:rsidRDefault="001F39D7">
      <w:pPr>
        <w:ind w:hanging="360"/>
        <w:divId w:val="66001826"/>
        <w:rPr>
          <w:rFonts w:eastAsia="Times New Roman"/>
        </w:rPr>
      </w:pPr>
      <w:r>
        <w:rPr>
          <w:rFonts w:eastAsia="Times New Roman"/>
          <w:color w:val="000000"/>
          <w:sz w:val="20"/>
          <w:szCs w:val="20"/>
        </w:rPr>
        <w:t>•Leadership development programs that prepare leaders to expand their current contributions;</w:t>
      </w:r>
    </w:p>
    <w:p w:rsidR="00000000" w:rsidRDefault="001F39D7">
      <w:pPr>
        <w:ind w:hanging="360"/>
        <w:divId w:val="388768420"/>
        <w:rPr>
          <w:rFonts w:eastAsia="Times New Roman"/>
        </w:rPr>
      </w:pPr>
      <w:r>
        <w:rPr>
          <w:rFonts w:eastAsia="Times New Roman"/>
          <w:color w:val="000000"/>
          <w:sz w:val="20"/>
          <w:szCs w:val="20"/>
        </w:rPr>
        <w:t>•</w:t>
      </w:r>
      <w:r>
        <w:rPr>
          <w:rFonts w:eastAsia="Times New Roman"/>
          <w:color w:val="000000"/>
          <w:sz w:val="20"/>
          <w:szCs w:val="20"/>
        </w:rPr>
        <w:t>Quarterly all store team member meetings; and</w:t>
      </w:r>
    </w:p>
    <w:p w:rsidR="00000000" w:rsidRDefault="001F39D7">
      <w:pPr>
        <w:ind w:hanging="360"/>
        <w:divId w:val="187839711"/>
        <w:rPr>
          <w:rFonts w:eastAsia="Times New Roman"/>
        </w:rPr>
      </w:pPr>
      <w:r>
        <w:rPr>
          <w:rFonts w:eastAsia="Times New Roman"/>
          <w:color w:val="000000"/>
          <w:sz w:val="20"/>
          <w:szCs w:val="20"/>
        </w:rPr>
        <w:t>•An annual store manager meeting with vendor product presentations.</w:t>
      </w:r>
    </w:p>
    <w:p w:rsidR="00000000" w:rsidRDefault="001F39D7">
      <w:pPr>
        <w:divId w:val="2001157286"/>
        <w:rPr>
          <w:rFonts w:eastAsia="Times New Roman"/>
        </w:rPr>
      </w:pPr>
    </w:p>
    <w:p w:rsidR="00000000" w:rsidRDefault="001F39D7">
      <w:pPr>
        <w:jc w:val="both"/>
        <w:rPr>
          <w:rFonts w:eastAsia="Times New Roman"/>
        </w:rPr>
      </w:pPr>
      <w:r>
        <w:rPr>
          <w:rFonts w:eastAsia="Times New Roman"/>
          <w:i/>
          <w:iCs/>
          <w:color w:val="000000"/>
          <w:sz w:val="20"/>
          <w:szCs w:val="20"/>
          <w:shd w:val="clear" w:color="auto" w:fill="FFFFFF"/>
        </w:rPr>
        <w:t>Workplace Health and Safety</w:t>
      </w:r>
    </w:p>
    <w:p w:rsidR="00000000" w:rsidRDefault="001F39D7">
      <w:pPr>
        <w:divId w:val="1399866167"/>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We strive to provide a safe and healthy workplace for all team members and drive a culture of safe practices a</w:t>
      </w:r>
      <w:r>
        <w:rPr>
          <w:rFonts w:eastAsia="Times New Roman"/>
          <w:color w:val="000000"/>
          <w:sz w:val="20"/>
          <w:szCs w:val="20"/>
          <w:shd w:val="clear" w:color="auto" w:fill="FFFFFF"/>
        </w:rPr>
        <w:t>nd continuous improvement. We provide role based safety training during the onboarding process and through other specific safety programs. In response to the COVID-19 pandemic, we implemented enhanced cleaning standards, adapted to the evolving public heal</w:t>
      </w:r>
      <w:r>
        <w:rPr>
          <w:rFonts w:eastAsia="Times New Roman"/>
          <w:color w:val="000000"/>
          <w:sz w:val="20"/>
          <w:szCs w:val="20"/>
          <w:shd w:val="clear" w:color="auto" w:fill="FFFFFF"/>
        </w:rPr>
        <w:t>th guidance in our workplaces, and provided training and education to our team members. We implemented a vaccination incentive program, provided paid time off to receive vaccinations, and held onsite vaccination clinics for our team members among other COV</w:t>
      </w:r>
      <w:r>
        <w:rPr>
          <w:rFonts w:eastAsia="Times New Roman"/>
          <w:color w:val="000000"/>
          <w:sz w:val="20"/>
          <w:szCs w:val="20"/>
          <w:shd w:val="clear" w:color="auto" w:fill="FFFFFF"/>
        </w:rPr>
        <w:t>ID-19 mitigation practices. We continually monitor and adapt our safety practices as the COVID-19 pandemic continues.</w:t>
      </w:r>
    </w:p>
    <w:p w:rsidR="00000000" w:rsidRDefault="001F39D7">
      <w:pPr>
        <w:divId w:val="849836279"/>
        <w:rPr>
          <w:rFonts w:eastAsia="Times New Roman"/>
        </w:rPr>
      </w:pPr>
    </w:p>
    <w:p w:rsidR="00000000" w:rsidRDefault="001F39D7">
      <w:pPr>
        <w:jc w:val="both"/>
        <w:rPr>
          <w:rFonts w:eastAsia="Times New Roman"/>
        </w:rPr>
      </w:pPr>
      <w:r>
        <w:rPr>
          <w:rFonts w:eastAsia="Times New Roman"/>
          <w:i/>
          <w:iCs/>
          <w:color w:val="000000"/>
          <w:sz w:val="20"/>
          <w:szCs w:val="20"/>
          <w:shd w:val="clear" w:color="auto" w:fill="FFFFFF"/>
        </w:rPr>
        <w:t>COVID-19 Response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The Company has been and continues to closely monitor the impact of the COVID-19 pandemic on all facets of our busin</w:t>
      </w:r>
      <w:r>
        <w:rPr>
          <w:rFonts w:eastAsia="Times New Roman"/>
          <w:color w:val="000000"/>
          <w:sz w:val="20"/>
          <w:szCs w:val="20"/>
          <w:shd w:val="clear" w:color="auto" w:fill="FFFFFF"/>
        </w:rPr>
        <w:t>ess. This includes the impact on our team members, customers, suppliers, vendors, business partners, and supply chain networks.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The health and safety of our team members and customers are the primary concerns of our management team. We have taken and con</w:t>
      </w:r>
      <w:r>
        <w:rPr>
          <w:rFonts w:eastAsia="Times New Roman"/>
          <w:color w:val="000000"/>
          <w:sz w:val="20"/>
          <w:szCs w:val="20"/>
          <w:shd w:val="clear" w:color="auto" w:fill="FFFFFF"/>
        </w:rPr>
        <w:t>tinue to take numerous actions to promote health and safety, including, encouraging vaccination efforts, providing personal protective equipment to our team members, following local and federal guidance regarding the use of masks in our facilities, maintai</w:t>
      </w:r>
      <w:r>
        <w:rPr>
          <w:rFonts w:eastAsia="Times New Roman"/>
          <w:color w:val="000000"/>
          <w:sz w:val="20"/>
          <w:szCs w:val="20"/>
          <w:shd w:val="clear" w:color="auto" w:fill="FFFFFF"/>
        </w:rPr>
        <w:t>ning enhanced services for cleaning and sanitation, continuing to provide additional functionality to support contactless shopping experiences, promoting social distancing and cleaning actions in our stores, and continuing to offer remote work plans at our</w:t>
      </w:r>
      <w:r>
        <w:rPr>
          <w:rFonts w:eastAsia="Times New Roman"/>
          <w:color w:val="000000"/>
          <w:sz w:val="20"/>
          <w:szCs w:val="20"/>
          <w:shd w:val="clear" w:color="auto" w:fill="FFFFFF"/>
        </w:rPr>
        <w:t xml:space="preserve"> Store Support Center.</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 xml:space="preserve">Additionally, we continue to support our team members during this pandemic through offering COVID-19 paid medical leave, 100% coverage of COVID-19 testing and treatment under our medical plan.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Diversity, Equity, and Inclusion ("</w:t>
      </w:r>
      <w:r>
        <w:rPr>
          <w:rFonts w:eastAsia="Times New Roman"/>
          <w:i/>
          <w:iCs/>
          <w:color w:val="000000"/>
          <w:sz w:val="20"/>
          <w:szCs w:val="20"/>
        </w:rPr>
        <w:t>DE&amp;I")</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Tractor Supply is committed to DE&amp;I. We have built a strong and diverse team by purposefully seeking highly qualified diverse candidates with different backgrounds, experience, perspectives, ideas and skill sets. As we move forward, we are working</w:t>
      </w:r>
      <w:r>
        <w:rPr>
          <w:rFonts w:eastAsia="Times New Roman"/>
          <w:color w:val="000000"/>
          <w:sz w:val="20"/>
          <w:szCs w:val="20"/>
        </w:rPr>
        <w:t xml:space="preserve"> to implement new DE&amp;I initiatives that will result in an even more diverse team across the entire company. </w:t>
      </w:r>
    </w:p>
    <w:p w:rsidR="00000000" w:rsidRDefault="001F39D7">
      <w:pPr>
        <w:jc w:val="both"/>
        <w:rPr>
          <w:rFonts w:eastAsia="Times New Roman"/>
        </w:rPr>
      </w:pPr>
    </w:p>
    <w:p w:rsidR="00000000" w:rsidRDefault="001F39D7">
      <w:pPr>
        <w:jc w:val="center"/>
        <w:divId w:val="1359429354"/>
        <w:rPr>
          <w:rFonts w:eastAsia="Times New Roman"/>
        </w:rPr>
      </w:pPr>
      <w:r>
        <w:rPr>
          <w:rFonts w:eastAsia="Times New Roman"/>
          <w:color w:val="000000"/>
          <w:sz w:val="20"/>
          <w:szCs w:val="20"/>
        </w:rPr>
        <w:t>7</w:t>
      </w:r>
    </w:p>
    <w:p w:rsidR="00000000" w:rsidRDefault="001F39D7">
      <w:pPr>
        <w:rPr>
          <w:rFonts w:eastAsia="Times New Roman"/>
        </w:rPr>
      </w:pPr>
      <w:r>
        <w:rPr>
          <w:rFonts w:eastAsia="Times New Roman"/>
        </w:rPr>
        <w:pict>
          <v:rect id="_x0000_i1035" style="width:0;height:1.5pt" o:hralign="center" o:hrstd="t" o:hr="t" fillcolor="#a0a0a0" stroked="f"/>
        </w:pict>
      </w:r>
    </w:p>
    <w:p w:rsidR="00000000" w:rsidRDefault="001F39D7">
      <w:pPr>
        <w:divId w:val="1173297514"/>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We are committed to providing a diverse an</w:t>
      </w:r>
      <w:r>
        <w:rPr>
          <w:rFonts w:eastAsia="Times New Roman"/>
          <w:color w:val="000000"/>
          <w:sz w:val="20"/>
          <w:szCs w:val="20"/>
        </w:rPr>
        <w:t xml:space="preserve">d inclusive culture supported by our Mission &amp; Values where we welcome diverse backgrounds and experiences and respectfully foster different perspectives, ideas and innovative thinking. We are stronger together, and we believe in the authenticity our team </w:t>
      </w:r>
      <w:r>
        <w:rPr>
          <w:rFonts w:eastAsia="Times New Roman"/>
          <w:color w:val="000000"/>
          <w:sz w:val="20"/>
          <w:szCs w:val="20"/>
        </w:rPr>
        <w:t>members bring to work every day. By focusing on our team members, we know that our customers, communities and suppliers will be well served. Diversity and inclusion play a key role in moving our business forward. Our workforce is approximately 51% male and</w:t>
      </w:r>
      <w:r>
        <w:rPr>
          <w:rFonts w:eastAsia="Times New Roman"/>
          <w:color w:val="000000"/>
          <w:sz w:val="20"/>
          <w:szCs w:val="20"/>
        </w:rPr>
        <w:t xml:space="preserve"> 49% female. Minorities comprise approximately 17% of our workforce. Women serve in key leadership roles within the Company, including as Executive Vice President, Chief Human Resources Officer, Senior Vice President, General Counsel and Corporate Secretar</w:t>
      </w:r>
      <w:r>
        <w:rPr>
          <w:rFonts w:eastAsia="Times New Roman"/>
          <w:color w:val="000000"/>
          <w:sz w:val="20"/>
          <w:szCs w:val="20"/>
        </w:rPr>
        <w:t>y, Senior Vice President of Investor Relations and Public Relations, Senior Vice President, Chief Marketing Officer and Senior Vice President of E-Commerce. We have taken several steps over the past twelve months to further enhance our diversity and inclus</w:t>
      </w:r>
      <w:r>
        <w:rPr>
          <w:rFonts w:eastAsia="Times New Roman"/>
          <w:color w:val="000000"/>
          <w:sz w:val="20"/>
          <w:szCs w:val="20"/>
        </w:rPr>
        <w:t>ion strategy including publishing external DE&amp;I goals aligned with o</w:t>
      </w:r>
      <w:r>
        <w:rPr>
          <w:rFonts w:eastAsia="Times New Roman"/>
          <w:color w:val="000000"/>
          <w:sz w:val="20"/>
          <w:szCs w:val="20"/>
          <w:shd w:val="clear" w:color="auto" w:fill="FFFFFF"/>
        </w:rPr>
        <w:t>ur environmental, social, and governance ("ESG")</w:t>
      </w:r>
      <w:r>
        <w:rPr>
          <w:rFonts w:eastAsia="Times New Roman"/>
          <w:color w:val="000000"/>
          <w:sz w:val="20"/>
          <w:szCs w:val="20"/>
        </w:rPr>
        <w:t xml:space="preserve"> efforts, enhancing our DE&amp;I Strategy to include supplier diversity efforts, establishing our DE&amp;I Customer Promise and continuing activatio</w:t>
      </w:r>
      <w:r>
        <w:rPr>
          <w:rFonts w:eastAsia="Times New Roman"/>
          <w:color w:val="000000"/>
          <w:sz w:val="20"/>
          <w:szCs w:val="20"/>
        </w:rPr>
        <w:t>n of our numerous team member engagement groups supporting the development, community involvement and allyship within our Company. We will continue to build on these initiatives to enhance our culture of respect and teamwork across our organization.</w:t>
      </w:r>
    </w:p>
    <w:p w:rsidR="00000000" w:rsidRDefault="001F39D7">
      <w:pPr>
        <w:divId w:val="370425821"/>
        <w:rPr>
          <w:rFonts w:eastAsia="Times New Roman"/>
        </w:rPr>
      </w:pPr>
    </w:p>
    <w:p w:rsidR="00000000" w:rsidRDefault="001F39D7">
      <w:pPr>
        <w:jc w:val="both"/>
        <w:rPr>
          <w:rFonts w:eastAsia="Times New Roman"/>
        </w:rPr>
      </w:pPr>
      <w:r>
        <w:rPr>
          <w:rFonts w:eastAsia="Times New Roman"/>
          <w:b/>
          <w:bCs/>
          <w:color w:val="000000"/>
          <w:sz w:val="20"/>
          <w:szCs w:val="20"/>
        </w:rPr>
        <w:t>Grow</w:t>
      </w:r>
      <w:r>
        <w:rPr>
          <w:rFonts w:eastAsia="Times New Roman"/>
          <w:b/>
          <w:bCs/>
          <w:color w:val="000000"/>
          <w:sz w:val="20"/>
          <w:szCs w:val="20"/>
        </w:rPr>
        <w:t>th Strategy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Tractor Supply believes we can grow our business by being an integral part of our customers’ lives as the dependable supplier of </w:t>
      </w:r>
      <w:r>
        <w:rPr>
          <w:rFonts w:eastAsia="Times New Roman"/>
          <w:i/>
          <w:iCs/>
          <w:color w:val="000000"/>
          <w:sz w:val="20"/>
          <w:szCs w:val="20"/>
        </w:rPr>
        <w:t>"Out Here"</w:t>
      </w:r>
      <w:r>
        <w:rPr>
          <w:rFonts w:eastAsia="Times New Roman"/>
          <w:color w:val="000000"/>
          <w:sz w:val="20"/>
          <w:szCs w:val="20"/>
        </w:rPr>
        <w:t xml:space="preserve"> </w:t>
      </w:r>
      <w:r>
        <w:rPr>
          <w:rFonts w:eastAsia="Times New Roman"/>
          <w:color w:val="000000"/>
          <w:sz w:val="20"/>
          <w:szCs w:val="20"/>
        </w:rPr>
        <w:t xml:space="preserve">lifestyle solutions, creating customer loyalty through personalized experiences, our Neighbor's Club loyalty program and providing convenience that our customers expect at anytime, anywhere, and in any way they choose. Our long-term growth strategy is to: </w:t>
      </w:r>
      <w:r>
        <w:rPr>
          <w:rFonts w:eastAsia="Times New Roman"/>
          <w:color w:val="000000"/>
          <w:sz w:val="20"/>
          <w:szCs w:val="20"/>
        </w:rPr>
        <w:t>(1) expand and deepen our customer base by providing personal, localized, and memorable customer engagements by leveraging content, social media, and digital shopping experiences, attracting new customers and driving loyalty, (2) evolve customer experience</w:t>
      </w:r>
      <w:r>
        <w:rPr>
          <w:rFonts w:eastAsia="Times New Roman"/>
          <w:color w:val="000000"/>
          <w:sz w:val="20"/>
          <w:szCs w:val="20"/>
        </w:rPr>
        <w:t xml:space="preserve">s by digitizing our business processes and furthering our omni-channel capabilities, (3) offer relevant assortments and services across all channels through exclusive and national brands and continue to grow our total addressable market by introducing new </w:t>
      </w:r>
      <w:r>
        <w:rPr>
          <w:rFonts w:eastAsia="Times New Roman"/>
          <w:color w:val="000000"/>
          <w:sz w:val="20"/>
          <w:szCs w:val="20"/>
        </w:rPr>
        <w:t>products and services through our test and learn strategy, (4) drive operational excellence and productivity through continuous improvement, increasing space utilization, and implementing advanced supply chain capabilities to support growth, scale and agil</w:t>
      </w:r>
      <w:r>
        <w:rPr>
          <w:rFonts w:eastAsia="Times New Roman"/>
          <w:color w:val="000000"/>
          <w:sz w:val="20"/>
          <w:szCs w:val="20"/>
        </w:rPr>
        <w:t>ity, and (5) expand through selective acquisitions, as such opportunities arise, to add complementary businesses and to enhance penetration into new and existing markets to supplement organic growth.</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Achieving this strategy will require a foundational focus on: (1) connecting, empowering and growing our team to enhance our team members' lives and the communities in which they live, enabling them to provide legendary service to our customers, and (2) al</w:t>
      </w:r>
      <w:r>
        <w:rPr>
          <w:rFonts w:eastAsia="Times New Roman"/>
          <w:color w:val="000000"/>
          <w:sz w:val="20"/>
          <w:szCs w:val="20"/>
        </w:rPr>
        <w:t>locating resources in a disciplined and efficient manner to drive profitable growth and build stockholder value, including leveraging technology and automation to align our cost structure to support new business capabilities for margin improvement and cost</w:t>
      </w:r>
      <w:r>
        <w:rPr>
          <w:rFonts w:eastAsia="Times New Roman"/>
          <w:color w:val="000000"/>
          <w:sz w:val="20"/>
          <w:szCs w:val="20"/>
        </w:rPr>
        <w:t xml:space="preserve"> reductions.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Over the past five years, we have experienced considerable sales growth, resulting in a compounded annual growth rate of approximately 13.4%. We plan to open approximately 75 to 80 new Tractor Supply and 10 new Petsense stores in fiscal 2022</w:t>
      </w:r>
      <w:r>
        <w:rPr>
          <w:rFonts w:eastAsia="Times New Roman"/>
          <w:color w:val="000000"/>
          <w:sz w:val="20"/>
          <w:szCs w:val="20"/>
        </w:rPr>
        <w:t>, a selling square footage increase of approximately 4%.  In fiscal 2021, we opened 80 new Tractor Supply stores and seven new Petsense stores. In fiscal 2020, we opened 80 new Tractor Supply stores and nine new Petsense stores. This represents a selling s</w:t>
      </w:r>
      <w:r>
        <w:rPr>
          <w:rFonts w:eastAsia="Times New Roman"/>
          <w:color w:val="000000"/>
          <w:sz w:val="20"/>
          <w:szCs w:val="20"/>
        </w:rPr>
        <w:t xml:space="preserve">quare footage increase of approximately 4% during each of fiscal 2021 and fiscal 2020.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At December 25, 2021, we operated 2,181 retail stores in 49 states (2,003 Tractor Supply and Del’s retail stores and 178 Petsense retail stores). Given the size of th</w:t>
      </w:r>
      <w:r>
        <w:rPr>
          <w:rFonts w:eastAsia="Times New Roman"/>
          <w:color w:val="000000"/>
          <w:sz w:val="20"/>
          <w:szCs w:val="20"/>
        </w:rPr>
        <w:t>e communities that we target, we believe that there is ample opportunity for new store growth in many existing and new markets. We believe we have developed a proven method for selecting store sites and we believe we have significant additional opportuniti</w:t>
      </w:r>
      <w:r>
        <w:rPr>
          <w:rFonts w:eastAsia="Times New Roman"/>
          <w:color w:val="000000"/>
          <w:sz w:val="20"/>
          <w:szCs w:val="20"/>
        </w:rPr>
        <w:t xml:space="preserve">es for new Tractor Supply stores. We also believe that there is opportunity for continued growth for Petsense stores.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Approximately 57% of our stores are in freestanding buildings and 43% are located in shopping centers. We lease approximately 95% of ou</w:t>
      </w:r>
      <w:r>
        <w:rPr>
          <w:rFonts w:eastAsia="Times New Roman"/>
          <w:color w:val="000000"/>
          <w:sz w:val="20"/>
          <w:szCs w:val="20"/>
        </w:rPr>
        <w:t>r stores and own the remaining 5%.</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to new store expansion, we will continue to support our strategic growth through expansion of our distribution network and initiatives including, among others, space productivity and side lot improvements in</w:t>
      </w:r>
      <w:r>
        <w:rPr>
          <w:rFonts w:eastAsia="Times New Roman"/>
          <w:color w:val="000000"/>
          <w:sz w:val="20"/>
          <w:szCs w:val="20"/>
        </w:rPr>
        <w:t xml:space="preserve"> certain existing stores as well as continued improvements in technology and infrastructure at our existing stores, and ongoing investments to enhance our digital and omni-channel capabilities to better serve our customers.</w:t>
      </w:r>
    </w:p>
    <w:p w:rsidR="00000000" w:rsidRDefault="001F39D7">
      <w:pPr>
        <w:jc w:val="both"/>
        <w:rPr>
          <w:rFonts w:eastAsia="Times New Roman"/>
        </w:rPr>
      </w:pPr>
    </w:p>
    <w:p w:rsidR="00000000" w:rsidRDefault="001F39D7">
      <w:pPr>
        <w:jc w:val="center"/>
        <w:divId w:val="330260011"/>
        <w:rPr>
          <w:rFonts w:eastAsia="Times New Roman"/>
        </w:rPr>
      </w:pPr>
      <w:r>
        <w:rPr>
          <w:rFonts w:eastAsia="Times New Roman"/>
          <w:color w:val="000000"/>
          <w:sz w:val="20"/>
          <w:szCs w:val="20"/>
        </w:rPr>
        <w:t>8</w:t>
      </w:r>
    </w:p>
    <w:p w:rsidR="00000000" w:rsidRDefault="001F39D7">
      <w:pPr>
        <w:rPr>
          <w:rFonts w:eastAsia="Times New Roman"/>
        </w:rPr>
      </w:pPr>
      <w:r>
        <w:rPr>
          <w:rFonts w:eastAsia="Times New Roman"/>
        </w:rPr>
        <w:pict>
          <v:rect id="_x0000_i1036" style="width:0;height:1.5pt" o:hralign="center" o:hrstd="t" o:hr="t" fillcolor="#a0a0a0" stroked="f"/>
        </w:pict>
      </w:r>
    </w:p>
    <w:p w:rsidR="00000000" w:rsidRDefault="001F39D7">
      <w:pPr>
        <w:divId w:val="84698803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rPr>
        <w:t>Competition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operate in a competitive retail industry. We believe the principal competitive factors include location of stores, fulfillment options, price, quality of merchandise, </w:t>
      </w:r>
      <w:r>
        <w:rPr>
          <w:rFonts w:eastAsia="Times New Roman"/>
          <w:color w:val="000000"/>
          <w:sz w:val="20"/>
          <w:szCs w:val="20"/>
        </w:rPr>
        <w:t>in-stock inventory consistency, merchandise assortment and presentation, product knowledge, and customer service. We compete with general merchandise retailers, home center retailers, pet retailers, specialty and discount retailers, independently owned ret</w:t>
      </w:r>
      <w:r>
        <w:rPr>
          <w:rFonts w:eastAsia="Times New Roman"/>
          <w:color w:val="000000"/>
          <w:sz w:val="20"/>
          <w:szCs w:val="20"/>
        </w:rPr>
        <w:t>ail farm and ranch stores, numerous privately-held regional farm store chains and farm cooperatives, as well as internet-based retailers.  However, we believe we successfully differentiate ourselves from many of these retailers by focusing on our specializ</w:t>
      </w:r>
      <w:r>
        <w:rPr>
          <w:rFonts w:eastAsia="Times New Roman"/>
          <w:color w:val="000000"/>
          <w:sz w:val="20"/>
          <w:szCs w:val="20"/>
        </w:rPr>
        <w:t>ed market niche for customers living the rural lifestyle. See further discussion of competition in 1A. “Risk Factors” of this Annual Report on Form 10-K.</w:t>
      </w:r>
    </w:p>
    <w:p w:rsidR="00000000" w:rsidRDefault="001F39D7">
      <w:pPr>
        <w:divId w:val="1855920557"/>
        <w:rPr>
          <w:rFonts w:eastAsia="Times New Roman"/>
        </w:rPr>
      </w:pPr>
    </w:p>
    <w:p w:rsidR="00000000" w:rsidRDefault="001F39D7">
      <w:pPr>
        <w:divId w:val="139733166"/>
        <w:rPr>
          <w:rFonts w:eastAsia="Times New Roman"/>
        </w:rPr>
      </w:pPr>
      <w:r>
        <w:rPr>
          <w:rFonts w:eastAsia="Times New Roman"/>
          <w:b/>
          <w:bCs/>
          <w:color w:val="000000"/>
          <w:sz w:val="20"/>
          <w:szCs w:val="20"/>
        </w:rPr>
        <w:t>Seasonality and Weather</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business is seasonal.  Historically, our sales and profits are the hig</w:t>
      </w:r>
      <w:r>
        <w:rPr>
          <w:rFonts w:eastAsia="Times New Roman"/>
          <w:color w:val="000000"/>
          <w:sz w:val="20"/>
          <w:szCs w:val="20"/>
        </w:rPr>
        <w:t>hest in the second and fourth fiscal quarters due to the sale of seasonal products. We usually experience our highest inventory and accounts payable balances during our first fiscal quarter for purchases of seasonal products to support the higher sales vol</w:t>
      </w:r>
      <w:r>
        <w:rPr>
          <w:rFonts w:eastAsia="Times New Roman"/>
          <w:color w:val="000000"/>
          <w:sz w:val="20"/>
          <w:szCs w:val="20"/>
        </w:rPr>
        <w:t>ume of the spring selling season, and again during our third fiscal quarter to support the higher sales volume of the cold-weather selling season. We believe that our business can be more accurately assessed by focusing on the performance of the halves, no</w:t>
      </w:r>
      <w:r>
        <w:rPr>
          <w:rFonts w:eastAsia="Times New Roman"/>
          <w:color w:val="000000"/>
          <w:sz w:val="20"/>
          <w:szCs w:val="20"/>
        </w:rPr>
        <w:t xml:space="preserve">t the quarters, due to the fact that different weather patterns from year-to-year can shift the timing of sales and profits between quarters, particularly between the first and second fiscal quarters and the third and fourth fiscal quarters.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Historicall</w:t>
      </w:r>
      <w:r>
        <w:rPr>
          <w:rFonts w:eastAsia="Times New Roman"/>
          <w:color w:val="000000"/>
          <w:sz w:val="20"/>
          <w:szCs w:val="20"/>
        </w:rPr>
        <w:t>y, weather conditions, including unseasonably warm weather in the fall and winter months and unseasonably cool weather in the spring and summer months, have unfavorably affected the timing and volume of our sales and results of operations. In addition, ext</w:t>
      </w:r>
      <w:r>
        <w:rPr>
          <w:rFonts w:eastAsia="Times New Roman"/>
          <w:color w:val="000000"/>
          <w:sz w:val="20"/>
          <w:szCs w:val="20"/>
        </w:rPr>
        <w:t>reme weather conditions, including snow and ice storms, flood and wind damage, hurricanes, tornadoes, extreme rain, and droughts have impacted operating results both negatively and positively, depending on the severity and length of these conditions. Our s</w:t>
      </w:r>
      <w:r>
        <w:rPr>
          <w:rFonts w:eastAsia="Times New Roman"/>
          <w:color w:val="000000"/>
          <w:sz w:val="20"/>
          <w:szCs w:val="20"/>
        </w:rPr>
        <w:t xml:space="preserve">trategy is to manage product flow and adjust merchandise assortments and depth of inventory to capitalize on seasonal demand trends.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Stewardship and Compliance with Environmental Matters</w:t>
      </w:r>
    </w:p>
    <w:p w:rsidR="00000000" w:rsidRDefault="001F39D7">
      <w:pPr>
        <w:divId w:val="1086806279"/>
        <w:rPr>
          <w:rFonts w:eastAsia="Times New Roman"/>
        </w:rPr>
      </w:pPr>
    </w:p>
    <w:p w:rsidR="00000000" w:rsidRDefault="001F39D7">
      <w:pPr>
        <w:jc w:val="both"/>
        <w:rPr>
          <w:rFonts w:eastAsia="Times New Roman"/>
        </w:rPr>
      </w:pPr>
      <w:r>
        <w:rPr>
          <w:rFonts w:eastAsia="Times New Roman"/>
          <w:color w:val="000000"/>
          <w:sz w:val="20"/>
          <w:szCs w:val="20"/>
        </w:rPr>
        <w:t>Our operations are subject to numerous federal, state, and local</w:t>
      </w:r>
      <w:r>
        <w:rPr>
          <w:rFonts w:eastAsia="Times New Roman"/>
          <w:color w:val="000000"/>
          <w:sz w:val="20"/>
          <w:szCs w:val="20"/>
        </w:rPr>
        <w:t xml:space="preserve"> laws and regulations, enacted or adopted, regulating the discharge of materials into the environment or otherwise relating to the protection of the environment.  We are committed to complying with all applicable environmental laws and regulations.  We are</w:t>
      </w:r>
      <w:r>
        <w:rPr>
          <w:rFonts w:eastAsia="Times New Roman"/>
          <w:color w:val="000000"/>
          <w:sz w:val="20"/>
          <w:szCs w:val="20"/>
        </w:rPr>
        <w:t xml:space="preserve"> also committed to becoming a more environmentally sustainable company.  This commitment is demonstrated through our Stewardship Program, which is our environmental sustainability program.  Through this program, the Company has implemented a number of init</w:t>
      </w:r>
      <w:r>
        <w:rPr>
          <w:rFonts w:eastAsia="Times New Roman"/>
          <w:color w:val="000000"/>
          <w:sz w:val="20"/>
          <w:szCs w:val="20"/>
        </w:rPr>
        <w:t>iatives designed to reduce our impact on the environment.  These initiatives include the installation of energy management systems, LED lighting, high efficiency heating/air conditioning systems, and recycling programs in our stores, distribution facilitie</w:t>
      </w:r>
      <w:r>
        <w:rPr>
          <w:rFonts w:eastAsia="Times New Roman"/>
          <w:color w:val="000000"/>
          <w:sz w:val="20"/>
          <w:szCs w:val="20"/>
        </w:rPr>
        <w:t>s, and Store Support Center. Our Store Support Center and our distribution centers in Casa Grande, Arizona, and Frankfort, New York, are LEED (Leadership in Energy and Environmental Design) Silver certified for environmentally sustainable design, construct</w:t>
      </w:r>
      <w:r>
        <w:rPr>
          <w:rFonts w:eastAsia="Times New Roman"/>
          <w:color w:val="000000"/>
          <w:sz w:val="20"/>
          <w:szCs w:val="20"/>
        </w:rPr>
        <w:t xml:space="preserve">ion, and operation.  We also installed solar arrays at the Store Support Center in Brentwood, Tennessee, and our Tractor Supply store in Hendersonville, Tennessee.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has been a SmartWay Transport partner since 2013. SmartWay Transport is a public-private initiative between the U.S. Environmental Protection Agency, large and small trucking companies, retailers, and other federal and state agencies. Its purpo</w:t>
      </w:r>
      <w:r>
        <w:rPr>
          <w:rFonts w:eastAsia="Times New Roman"/>
          <w:color w:val="000000"/>
          <w:sz w:val="20"/>
          <w:szCs w:val="20"/>
        </w:rPr>
        <w:t>se is to improve fuel efficiency and the environmental performance (reduction of both greenhouse gas emissions and air pollution) of supply chains.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December 2018, we announced a goal to reduce carbon emissions from our facilities by 25% by 2025 from o</w:t>
      </w:r>
      <w:r>
        <w:rPr>
          <w:rFonts w:eastAsia="Times New Roman"/>
          <w:color w:val="000000"/>
          <w:sz w:val="20"/>
          <w:szCs w:val="20"/>
        </w:rPr>
        <w:t xml:space="preserve">ur 2015 baseline as part of the Company's Stewardship Program. In December 2020, we announced that we had reached this goal five years early.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December 2021, we released our 2020 Task Force on Climate-Related Financial Disclosures Report, following th</w:t>
      </w:r>
      <w:r>
        <w:rPr>
          <w:rFonts w:eastAsia="Times New Roman"/>
          <w:color w:val="000000"/>
          <w:sz w:val="20"/>
          <w:szCs w:val="20"/>
        </w:rPr>
        <w:t>e announcement of our goal in September 2021 to reduce our carbon footprint by 50% by 2030 and achieve net zero missions across all operations by 2040. In the report, we discussed our approach to evaluating and managing climate change risks and identifying</w:t>
      </w:r>
      <w:r>
        <w:rPr>
          <w:rFonts w:eastAsia="Times New Roman"/>
          <w:color w:val="000000"/>
          <w:sz w:val="20"/>
          <w:szCs w:val="20"/>
        </w:rPr>
        <w:t xml:space="preserve"> opportunities. We also detailed the next phase of our sustainability journey, including increasing efforts to procure renewable energy, continuing investments in energy efficiency and cleaner technologies, avoiding future emissions through better design o</w:t>
      </w:r>
      <w:r>
        <w:rPr>
          <w:rFonts w:eastAsia="Times New Roman"/>
          <w:color w:val="000000"/>
          <w:sz w:val="20"/>
          <w:szCs w:val="20"/>
        </w:rPr>
        <w:t>f both stores and distribution centers, and enhancing our Scope 3 focus with greater transparency and reduction efforts, including new vendor engagement to drive down value chain emissions.</w:t>
      </w:r>
    </w:p>
    <w:p w:rsidR="00000000" w:rsidRDefault="001F39D7">
      <w:pPr>
        <w:jc w:val="both"/>
        <w:rPr>
          <w:rFonts w:eastAsia="Times New Roman"/>
        </w:rPr>
      </w:pPr>
    </w:p>
    <w:p w:rsidR="00000000" w:rsidRDefault="001F39D7">
      <w:pPr>
        <w:jc w:val="center"/>
        <w:divId w:val="115376030"/>
        <w:rPr>
          <w:rFonts w:eastAsia="Times New Roman"/>
        </w:rPr>
      </w:pPr>
      <w:r>
        <w:rPr>
          <w:rFonts w:eastAsia="Times New Roman"/>
          <w:color w:val="000000"/>
          <w:sz w:val="20"/>
          <w:szCs w:val="20"/>
        </w:rPr>
        <w:t>9</w:t>
      </w:r>
    </w:p>
    <w:p w:rsidR="00000000" w:rsidRDefault="001F39D7">
      <w:pPr>
        <w:rPr>
          <w:rFonts w:eastAsia="Times New Roman"/>
        </w:rPr>
      </w:pPr>
      <w:r>
        <w:rPr>
          <w:rFonts w:eastAsia="Times New Roman"/>
        </w:rPr>
        <w:pict>
          <v:rect id="_x0000_i1037" style="width:0;height:1.5pt" o:hralign="center" o:hrstd="t" o:hr="t" fillcolor="#a0a0a0" stroked="f"/>
        </w:pict>
      </w:r>
    </w:p>
    <w:p w:rsidR="00000000" w:rsidRDefault="001F39D7">
      <w:pPr>
        <w:divId w:val="214573583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shd w:val="clear" w:color="auto" w:fill="FFFFFF"/>
        </w:rPr>
        <w:t xml:space="preserve">Additional information can be found in our ESG Tear Sheet and on our website </w:t>
      </w:r>
      <w:r>
        <w:rPr>
          <w:rFonts w:eastAsia="Times New Roman"/>
          <w:i/>
          <w:iCs/>
          <w:color w:val="000000"/>
          <w:sz w:val="20"/>
          <w:szCs w:val="20"/>
          <w:shd w:val="clear" w:color="auto" w:fill="FFFFFF"/>
        </w:rPr>
        <w:t xml:space="preserve">(TractorSupply.com). </w:t>
      </w:r>
      <w:r>
        <w:rPr>
          <w:rFonts w:eastAsia="Times New Roman"/>
          <w:color w:val="000000"/>
          <w:sz w:val="20"/>
          <w:szCs w:val="20"/>
          <w:shd w:val="clear" w:color="auto" w:fill="FFFFFF"/>
        </w:rPr>
        <w:t>The information provided on our website is not part of this report, and is therefore not incorporated by reference unless such information is otherwise specifically referenced elsewhere in this report.</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Information about our Executive Officers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Pursuant </w:t>
      </w:r>
      <w:r>
        <w:rPr>
          <w:rFonts w:eastAsia="Times New Roman"/>
          <w:color w:val="000000"/>
          <w:sz w:val="20"/>
          <w:szCs w:val="20"/>
        </w:rPr>
        <w:t>to General Instruction G(3) of Form 10-K, the following list is included in Part I of this Report in lieu of being included in the Proxy Statement for the Annual Meeting of Stockholders to be held on May 11, 2022.</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is a list of the names and</w:t>
      </w:r>
      <w:r>
        <w:rPr>
          <w:rFonts w:eastAsia="Times New Roman"/>
          <w:color w:val="000000"/>
          <w:sz w:val="20"/>
          <w:szCs w:val="20"/>
        </w:rPr>
        <w:t xml:space="preserve"> ages of all executive officers of the registrant, indicating all positions and offices with the registrant held by each such person and each person’s principal occupations and employment during at least the past five years:</w:t>
      </w:r>
    </w:p>
    <w:tbl>
      <w:tblPr>
        <w:tblW w:w="5000" w:type="pct"/>
        <w:tblCellMar>
          <w:top w:w="15" w:type="dxa"/>
          <w:left w:w="15" w:type="dxa"/>
          <w:bottom w:w="15" w:type="dxa"/>
          <w:right w:w="15" w:type="dxa"/>
        </w:tblCellMar>
        <w:tblLook w:val="04A0" w:firstRow="1" w:lastRow="0" w:firstColumn="1" w:lastColumn="0" w:noHBand="0" w:noVBand="1"/>
      </w:tblPr>
      <w:tblGrid>
        <w:gridCol w:w="68"/>
        <w:gridCol w:w="1627"/>
        <w:gridCol w:w="38"/>
        <w:gridCol w:w="69"/>
        <w:gridCol w:w="5558"/>
        <w:gridCol w:w="38"/>
        <w:gridCol w:w="69"/>
        <w:gridCol w:w="803"/>
        <w:gridCol w:w="36"/>
      </w:tblGrid>
      <w:tr w:rsidR="00000000">
        <w:tc>
          <w:tcPr>
            <w:tcW w:w="50" w:type="pct"/>
            <w:vAlign w:val="center"/>
            <w:hideMark/>
          </w:tcPr>
          <w:p w:rsidR="00000000" w:rsidRDefault="001F39D7">
            <w:pPr>
              <w:jc w:val="both"/>
              <w:rPr>
                <w:rFonts w:eastAsia="Times New Roman"/>
              </w:rPr>
            </w:pPr>
          </w:p>
        </w:tc>
        <w:tc>
          <w:tcPr>
            <w:tcW w:w="9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335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b/>
                <w:bCs/>
                <w:color w:val="000000"/>
                <w:sz w:val="20"/>
                <w:szCs w:val="20"/>
              </w:rPr>
              <w:t>Name</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b/>
                <w:bCs/>
                <w:color w:val="000000"/>
                <w:sz w:val="20"/>
                <w:szCs w:val="20"/>
              </w:rPr>
              <w:t>Position</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b/>
                <w:bCs/>
                <w:color w:val="000000"/>
                <w:sz w:val="20"/>
                <w:szCs w:val="20"/>
              </w:rPr>
              <w:t>Age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Harry A. Lawton, III</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President and Chief Executive Officer</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47</w:t>
            </w:r>
          </w:p>
        </w:tc>
      </w:tr>
      <w:tr w:rsidR="00000000">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Kurt D. Barton</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Executive Vice President – Chief Financial Officer and Treasurer</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50</w:t>
            </w:r>
          </w:p>
        </w:tc>
      </w:tr>
      <w:tr w:rsidR="00000000">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Robert D. Mills</w:t>
            </w:r>
          </w:p>
        </w:tc>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xml:space="preserve">Executive Vice President – </w:t>
            </w:r>
            <w:r>
              <w:rPr>
                <w:rFonts w:eastAsia="Times New Roman"/>
                <w:color w:val="000000"/>
                <w:sz w:val="20"/>
                <w:szCs w:val="20"/>
              </w:rPr>
              <w:t>Chief Technology, Digital Commerce and Strategy Officer</w:t>
            </w:r>
          </w:p>
        </w:tc>
        <w:tc>
          <w:tcPr>
            <w:tcW w:w="0" w:type="auto"/>
            <w:gridSpan w:val="3"/>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49</w:t>
            </w:r>
          </w:p>
        </w:tc>
      </w:tr>
      <w:tr w:rsidR="00000000">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John P. Ordus</w:t>
            </w:r>
          </w:p>
        </w:tc>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Executive Vice President – Chief Stores Officer</w:t>
            </w:r>
          </w:p>
        </w:tc>
        <w:tc>
          <w:tcPr>
            <w:tcW w:w="0" w:type="auto"/>
            <w:gridSpan w:val="3"/>
            <w:shd w:val="clear" w:color="auto" w:fill="FFFF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46</w:t>
            </w:r>
          </w:p>
        </w:tc>
      </w:tr>
      <w:tr w:rsidR="00000000">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Jonathan S. Estep</w:t>
            </w:r>
          </w:p>
        </w:tc>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Executive Vice President – Chief Merchandising Officer</w:t>
            </w:r>
          </w:p>
        </w:tc>
        <w:tc>
          <w:tcPr>
            <w:tcW w:w="0" w:type="auto"/>
            <w:gridSpan w:val="3"/>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42</w:t>
            </w:r>
          </w:p>
        </w:tc>
      </w:tr>
      <w:tr w:rsidR="00000000">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Melissa D. Kersey</w:t>
            </w:r>
          </w:p>
        </w:tc>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Executive Vice President – Chief Human Resources Officer</w:t>
            </w:r>
          </w:p>
        </w:tc>
        <w:tc>
          <w:tcPr>
            <w:tcW w:w="0" w:type="auto"/>
            <w:gridSpan w:val="3"/>
            <w:shd w:val="clear" w:color="auto" w:fill="FFFF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47</w:t>
            </w:r>
          </w:p>
        </w:tc>
      </w:tr>
      <w:tr w:rsidR="00000000">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Colin W. Yankee</w:t>
            </w:r>
          </w:p>
        </w:tc>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Executive Vice President – Chief Supply Chain Officer</w:t>
            </w:r>
          </w:p>
        </w:tc>
        <w:tc>
          <w:tcPr>
            <w:tcW w:w="0" w:type="auto"/>
            <w:gridSpan w:val="3"/>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44</w:t>
            </w:r>
          </w:p>
        </w:tc>
      </w:tr>
      <w:tr w:rsidR="00000000">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Noni L. Ellison</w:t>
            </w:r>
          </w:p>
        </w:tc>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xml:space="preserve">Senior Vice President – </w:t>
            </w:r>
            <w:r>
              <w:rPr>
                <w:rFonts w:eastAsia="Times New Roman"/>
                <w:color w:val="000000"/>
                <w:sz w:val="20"/>
                <w:szCs w:val="20"/>
              </w:rPr>
              <w:t>General Counsel and Corporate Secretary</w:t>
            </w:r>
          </w:p>
        </w:tc>
        <w:tc>
          <w:tcPr>
            <w:tcW w:w="0" w:type="auto"/>
            <w:gridSpan w:val="3"/>
            <w:shd w:val="clear" w:color="auto" w:fill="FFFF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50</w:t>
            </w:r>
          </w:p>
        </w:tc>
      </w:tr>
      <w:tr w:rsidR="00000000">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Christi C. Korzekwa</w:t>
            </w:r>
          </w:p>
        </w:tc>
        <w:tc>
          <w:tcPr>
            <w:tcW w:w="0" w:type="auto"/>
            <w:gridSpan w:val="3"/>
            <w:shd w:val="clear" w:color="auto" w:fill="CCEE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Senior Vice President – Chief Marketing Officer</w:t>
            </w:r>
          </w:p>
        </w:tc>
        <w:tc>
          <w:tcPr>
            <w:tcW w:w="0" w:type="auto"/>
            <w:gridSpan w:val="3"/>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56</w:t>
            </w:r>
          </w:p>
        </w:tc>
      </w:tr>
      <w:tr w:rsidR="00000000">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Matthew L. Rubin</w:t>
            </w:r>
          </w:p>
        </w:tc>
        <w:tc>
          <w:tcPr>
            <w:tcW w:w="0" w:type="auto"/>
            <w:gridSpan w:val="3"/>
            <w:shd w:val="clear" w:color="auto" w:fill="FFFFFF"/>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Senior Vice President and General Manager of Petsense</w:t>
            </w:r>
          </w:p>
        </w:tc>
        <w:tc>
          <w:tcPr>
            <w:tcW w:w="0" w:type="auto"/>
            <w:gridSpan w:val="3"/>
            <w:shd w:val="clear" w:color="auto" w:fill="FFFF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42</w:t>
            </w: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Harry A. Lawton, III was appointed as President and Chief Executive Officer on January 13, 2020. Mr. Lawton served as President of Macy's, Inc. from September 2017 to December 2019. Prior to that time, Mr. Lawton served as Senior Vice President, North Amer</w:t>
      </w:r>
      <w:r>
        <w:rPr>
          <w:rFonts w:eastAsia="Times New Roman"/>
          <w:color w:val="000000"/>
          <w:sz w:val="20"/>
          <w:szCs w:val="20"/>
        </w:rPr>
        <w:t>ica at eBay, Inc. since May 2015. Mr. Lawton previously held a number of leadership positions at Home Depot, Inc. from 2005 to 2015, including Senior Vice President of Merchandising and head of Home Depot's online business. Since January 2019, Mr. Lawton h</w:t>
      </w:r>
      <w:r>
        <w:rPr>
          <w:rFonts w:eastAsia="Times New Roman"/>
          <w:color w:val="000000"/>
          <w:sz w:val="20"/>
          <w:szCs w:val="20"/>
        </w:rPr>
        <w:t xml:space="preserve">as served as a director of Sealed Air Corporation and previously served as a director of Buffalo Wild Wings, Inc. from October 2016 to February 2018.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Kurt D. Barton was promoted to Executive Vice President – Chief Financial Officer and Treasurer in Febr</w:t>
      </w:r>
      <w:r>
        <w:rPr>
          <w:rFonts w:eastAsia="Times New Roman"/>
          <w:color w:val="000000"/>
          <w:sz w:val="20"/>
          <w:szCs w:val="20"/>
        </w:rPr>
        <w:t xml:space="preserve">uary 2019, after having served as Senior Vice President – Chief Financial Officer and Treasurer since March 2017. Prior to that time, Mr. Barton served as Senior Vice President – Controller of the Company since February 2016.  Mr. Barton previously served </w:t>
      </w:r>
      <w:r>
        <w:rPr>
          <w:rFonts w:eastAsia="Times New Roman"/>
          <w:color w:val="000000"/>
          <w:sz w:val="20"/>
          <w:szCs w:val="20"/>
        </w:rPr>
        <w:t>as Vice President – Controller of the Company from February 2009, after having served as the Company's Director, Internal Audit from July 2002 to February 2009. Mr. Barton has served in various other leadership roles in accounting since he joined the Compa</w:t>
      </w:r>
      <w:r>
        <w:rPr>
          <w:rFonts w:eastAsia="Times New Roman"/>
          <w:color w:val="000000"/>
          <w:sz w:val="20"/>
          <w:szCs w:val="20"/>
        </w:rPr>
        <w:t>ny in 1999. Mr. Barton, a Certified Public Accountant, began his career in public accounting in 1993, spending six years at Ernst &amp; Young, LLP.</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Robert D. Mills has served as Executive Vice President – Chief Technology, Digital Commerce and Strategy Offic</w:t>
      </w:r>
      <w:r>
        <w:rPr>
          <w:rFonts w:eastAsia="Times New Roman"/>
          <w:color w:val="000000"/>
          <w:sz w:val="20"/>
          <w:szCs w:val="20"/>
        </w:rPr>
        <w:t>er since August 2018, prior to which he served as the Company's Senior Vice President – Chief Information Officer since February 2014. Mr. Mills previously served as Chief Information Officer for Ulta Beauty, Inc. from October 2011 until he joined the Comp</w:t>
      </w:r>
      <w:r>
        <w:rPr>
          <w:rFonts w:eastAsia="Times New Roman"/>
          <w:color w:val="000000"/>
          <w:sz w:val="20"/>
          <w:szCs w:val="20"/>
        </w:rPr>
        <w:t>any. From 2005 to 2011, Mr. Mills was Vice President, Chief Information Officer for the online business unit at Sears Holdings Corporation where he began as an Information Technology Customer Relationship Leader in 2001. Prior to 2001, Mr. Mills held roles</w:t>
      </w:r>
      <w:r>
        <w:rPr>
          <w:rFonts w:eastAsia="Times New Roman"/>
          <w:color w:val="000000"/>
          <w:sz w:val="20"/>
          <w:szCs w:val="20"/>
        </w:rPr>
        <w:t xml:space="preserve"> at The Allstate Corporation, Rockwell International, Telecommunications Division, and Household Finance Corporation. Since March 2018, Mr. Mills has served as a director of B&amp;G Foods, Inc.</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John P. Ordus was promoted to Executive Vice President – Chief Stores Officer in February 2020, after having served as the Company's Senior Vice President - Store Operations since August 2015. Prior to that time, Mr. Ordus served as Regional Vice President</w:t>
      </w:r>
      <w:r>
        <w:rPr>
          <w:rFonts w:eastAsia="Times New Roman"/>
          <w:color w:val="000000"/>
          <w:sz w:val="20"/>
          <w:szCs w:val="20"/>
        </w:rPr>
        <w:t xml:space="preserve"> for the Company from June 2010 and as a Regional Director for the Company since September 2008. Mr. Ordus joined the Company as a District Manager in February 2002 after the acquisition of Quality Farm &amp; Fleet, Inc. with which Mr. Ordus held roles since J</w:t>
      </w:r>
      <w:r>
        <w:rPr>
          <w:rFonts w:eastAsia="Times New Roman"/>
          <w:color w:val="000000"/>
          <w:sz w:val="20"/>
          <w:szCs w:val="20"/>
        </w:rPr>
        <w:t>anuary 1988.</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Jonathan S. Estep was promoted to Executive Vice President – Chief Merchandising Officer in February 2020, after having served as the Company's Senior Vice President, General Merchandising since April 2017. Prior to that time, Mr. Estep serv</w:t>
      </w:r>
      <w:r>
        <w:rPr>
          <w:rFonts w:eastAsia="Times New Roman"/>
          <w:color w:val="000000"/>
          <w:sz w:val="20"/>
          <w:szCs w:val="20"/>
        </w:rPr>
        <w:t xml:space="preserve">ed the Company as a Vice President, Divisional Merchandise Manager from February 2014. Mr. Estep also previously served in various other leadership roles in merchandising since he re-joined the Company in January 2008. </w:t>
      </w:r>
    </w:p>
    <w:p w:rsidR="00000000" w:rsidRDefault="001F39D7">
      <w:pPr>
        <w:jc w:val="center"/>
        <w:divId w:val="1378046311"/>
        <w:rPr>
          <w:rFonts w:eastAsia="Times New Roman"/>
        </w:rPr>
      </w:pPr>
      <w:r>
        <w:rPr>
          <w:rFonts w:eastAsia="Times New Roman"/>
          <w:color w:val="000000"/>
          <w:sz w:val="20"/>
          <w:szCs w:val="20"/>
        </w:rPr>
        <w:t>10</w:t>
      </w:r>
    </w:p>
    <w:p w:rsidR="00000000" w:rsidRDefault="001F39D7">
      <w:pPr>
        <w:rPr>
          <w:rFonts w:eastAsia="Times New Roman"/>
        </w:rPr>
      </w:pPr>
      <w:r>
        <w:rPr>
          <w:rFonts w:eastAsia="Times New Roman"/>
        </w:rPr>
        <w:pict>
          <v:rect id="_x0000_i1038" style="width:0;height:1.5pt" o:hralign="center" o:hrstd="t" o:hr="t" fillcolor="#a0a0a0" stroked="f"/>
        </w:pict>
      </w:r>
    </w:p>
    <w:p w:rsidR="00000000" w:rsidRDefault="001F39D7">
      <w:pPr>
        <w:divId w:val="651830950"/>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Melissa D. Kersey was appointed as Executive Vice President – Chief Human Resources Officer on July 20, 2020. Ms. Kersey was previously Senior Vice President and Chief People Officer for</w:t>
      </w:r>
      <w:r>
        <w:rPr>
          <w:rFonts w:eastAsia="Times New Roman"/>
          <w:color w:val="000000"/>
          <w:sz w:val="20"/>
          <w:szCs w:val="20"/>
        </w:rPr>
        <w:t xml:space="preserve"> McDonald's USA, LLC from 2017 until July 2020. Ms. Kersey also previously held a number of executive level roles with Walmart Inc. (previously Wal-Mart Stores, Inc.) from 2008 to 2017, including Senior Vice President of Global Human Resource Transformatio</w:t>
      </w:r>
      <w:r>
        <w:rPr>
          <w:rFonts w:eastAsia="Times New Roman"/>
          <w:color w:val="000000"/>
          <w:sz w:val="20"/>
          <w:szCs w:val="20"/>
        </w:rPr>
        <w:t>n and People Services, Senior Vice President and Chief Human Resources Officer for U.S. Stores, and Senior Vice President of Learning and Human Resources Strategy. Prior to that time, Ms. Kersey spent eight years with Alltel Wireless and four years with th</w:t>
      </w:r>
      <w:r>
        <w:rPr>
          <w:rFonts w:eastAsia="Times New Roman"/>
          <w:color w:val="000000"/>
          <w:sz w:val="20"/>
          <w:szCs w:val="20"/>
        </w:rPr>
        <w:t>e Target Corporation in Operations, Distribution, Human Resources and Technology roles.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Colin W. Yankee was promoted to Executive Vice President - Chief Supply Chain Officer in February 2020, after having served as the Company's Senior Vice President, Su</w:t>
      </w:r>
      <w:r>
        <w:rPr>
          <w:rFonts w:eastAsia="Times New Roman"/>
          <w:color w:val="000000"/>
          <w:sz w:val="20"/>
          <w:szCs w:val="20"/>
        </w:rPr>
        <w:t xml:space="preserve">pply Chain since November 2015 when he joined the Company. Mr. Yankee was previously Vice President of Logistics for Neiman Marcus Group LLC from 2013 to 2015. Prior to that time, Mr. Yankee held various leadership roles in logistics and supply chain with </w:t>
      </w:r>
      <w:r>
        <w:rPr>
          <w:rFonts w:eastAsia="Times New Roman"/>
          <w:color w:val="000000"/>
          <w:sz w:val="20"/>
          <w:szCs w:val="20"/>
        </w:rPr>
        <w:t>the Target Corporation since 2004. He began his career as a Cavalry Officer, Captain in the United States Army.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Noni L. Ellison was appointed as Senior Vice President – General Counsel and Corporate Secretary on January 11, 2021. Ms. Ellison was previous</w:t>
      </w:r>
      <w:r>
        <w:rPr>
          <w:rFonts w:eastAsia="Times New Roman"/>
          <w:color w:val="000000"/>
          <w:sz w:val="20"/>
          <w:szCs w:val="20"/>
        </w:rPr>
        <w:t>ly General Counsel, Chief Compliance Officer and Corporate Secretary for Carestream Dental LLC from August 2017 until January 2021. Ms. Ellison also previously served as Associate General Counsel and Assistant Corporate Secretary at W.W. Grainger, Inc. fro</w:t>
      </w:r>
      <w:r>
        <w:rPr>
          <w:rFonts w:eastAsia="Times New Roman"/>
          <w:color w:val="000000"/>
          <w:sz w:val="20"/>
          <w:szCs w:val="20"/>
        </w:rPr>
        <w:t>m February 2015 until July 2017. Prior to that time, Ms. Ellison held roles of increasing responsibility at Turner Broadcasting System, Inc. and Scripps Networks Interactive, Inc. and practiced law with two national law firms as a corporate finance and sec</w:t>
      </w:r>
      <w:r>
        <w:rPr>
          <w:rFonts w:eastAsia="Times New Roman"/>
          <w:color w:val="000000"/>
          <w:sz w:val="20"/>
          <w:szCs w:val="20"/>
        </w:rPr>
        <w:t>urities associate.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Christi C. Korzekwa was promoted to Senior Vice President - Chief Marketing Officer in February 2022, after having served as Senior Vice President – Marketing since February 2015. Ms. Korzekwa previously served as Vice President, Marke</w:t>
      </w:r>
      <w:r>
        <w:rPr>
          <w:rFonts w:eastAsia="Times New Roman"/>
          <w:color w:val="000000"/>
          <w:sz w:val="20"/>
          <w:szCs w:val="20"/>
        </w:rPr>
        <w:t>ting since she joined the Company in February 2012. Prior to joining the Company, Ms. Korzekwa served as Senior Vice President, Director of Client Services for Blue Sky Agency. She worked for Home Depot, Inc. from 2004 to 2011 in roles of increasing import</w:t>
      </w:r>
      <w:r>
        <w:rPr>
          <w:rFonts w:eastAsia="Times New Roman"/>
          <w:color w:val="000000"/>
          <w:sz w:val="20"/>
          <w:szCs w:val="20"/>
        </w:rPr>
        <w:t>ance in marketing and advertising, most recently as Senior Director, Marketing. Before joining Home Depot, Inc., Ms. Korzekwa spent 17 years with TM Advertising, LLC, most recently serving as their Senior Vice President, Global Media Director.</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Matthew L.</w:t>
      </w:r>
      <w:r>
        <w:rPr>
          <w:rFonts w:eastAsia="Times New Roman"/>
          <w:color w:val="000000"/>
          <w:sz w:val="20"/>
          <w:szCs w:val="20"/>
        </w:rPr>
        <w:t xml:space="preserve"> Rubin was appointed Senior Vice President and General Manager of Petsense on February 1, 2021. Mr. Rubin previously served as Senior Vice President of Business Development &amp; Growth at The Michaels Stores, Inc. from October 2018 until January 2021. Mr. Rub</w:t>
      </w:r>
      <w:r>
        <w:rPr>
          <w:rFonts w:eastAsia="Times New Roman"/>
          <w:color w:val="000000"/>
          <w:sz w:val="20"/>
          <w:szCs w:val="20"/>
        </w:rPr>
        <w:t>in was previously an executive in Accenture plc's North America Retail Practice from April 2015 to October 2018. Before April 2015, Mr. Rubin was a Partner at Consolidated Venture Partners &amp; Consolidated Marketing and a Co-Founder &amp; Finance Partner at OnTr</w:t>
      </w:r>
      <w:r>
        <w:rPr>
          <w:rFonts w:eastAsia="Times New Roman"/>
          <w:color w:val="000000"/>
          <w:sz w:val="20"/>
          <w:szCs w:val="20"/>
        </w:rPr>
        <w:t>end Products. Mr. Rubin also previously served as Vice President of Specialty Business Operations at BJ’s Wholesale Club Holding, Inc.. Mr. Rubin began his career at Office Depot, Inc. where he had multiple merchandising and strategic project leadership ro</w:t>
      </w:r>
      <w:r>
        <w:rPr>
          <w:rFonts w:eastAsia="Times New Roman"/>
          <w:color w:val="000000"/>
          <w:sz w:val="20"/>
          <w:szCs w:val="20"/>
        </w:rPr>
        <w:t>les of increasing responsibility.</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Additional Information</w:t>
      </w:r>
    </w:p>
    <w:p w:rsidR="00000000" w:rsidRDefault="001F39D7">
      <w:pPr>
        <w:divId w:val="1267690373"/>
        <w:rPr>
          <w:rFonts w:eastAsia="Times New Roman"/>
        </w:rPr>
      </w:pPr>
    </w:p>
    <w:p w:rsidR="00000000" w:rsidRDefault="001F39D7">
      <w:pPr>
        <w:jc w:val="both"/>
        <w:rPr>
          <w:rFonts w:eastAsia="Times New Roman"/>
        </w:rPr>
      </w:pPr>
      <w:r>
        <w:rPr>
          <w:rFonts w:eastAsia="Times New Roman"/>
          <w:color w:val="000000"/>
          <w:sz w:val="20"/>
          <w:szCs w:val="20"/>
        </w:rPr>
        <w:t>We file reports with the Securities and Exchange Commission (“SEC”</w:t>
      </w:r>
      <w:r>
        <w:rPr>
          <w:rFonts w:eastAsia="Times New Roman"/>
          <w:color w:val="000000"/>
          <w:sz w:val="20"/>
          <w:szCs w:val="20"/>
        </w:rPr>
        <w:t xml:space="preserve">), including Annual Reports on Form 10-K, quarterly reports on Form 10-Q, current reports on Form 8-K and other reports as required. We are an electronic filer and the SEC maintains an Internet website at </w:t>
      </w:r>
      <w:r>
        <w:rPr>
          <w:rFonts w:eastAsia="Times New Roman"/>
          <w:i/>
          <w:iCs/>
          <w:color w:val="000000"/>
          <w:sz w:val="20"/>
          <w:szCs w:val="20"/>
          <w:u w:val="single"/>
        </w:rPr>
        <w:t>sec.gov</w:t>
      </w:r>
      <w:r>
        <w:rPr>
          <w:rFonts w:eastAsia="Times New Roman"/>
          <w:color w:val="000000"/>
          <w:sz w:val="20"/>
          <w:szCs w:val="20"/>
        </w:rPr>
        <w:t xml:space="preserve"> that contains the reports, proxy and inform</w:t>
      </w:r>
      <w:r>
        <w:rPr>
          <w:rFonts w:eastAsia="Times New Roman"/>
          <w:color w:val="000000"/>
          <w:sz w:val="20"/>
          <w:szCs w:val="20"/>
        </w:rPr>
        <w:t>ation statements, and other information we file.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make available, free of charge through our Internet website, </w:t>
      </w:r>
      <w:r>
        <w:rPr>
          <w:rFonts w:eastAsia="Times New Roman"/>
          <w:i/>
          <w:iCs/>
          <w:color w:val="000000"/>
          <w:sz w:val="20"/>
          <w:szCs w:val="20"/>
          <w:u w:val="single"/>
        </w:rPr>
        <w:t>TractorSupply.com</w:t>
      </w:r>
      <w:r>
        <w:rPr>
          <w:rFonts w:eastAsia="Times New Roman"/>
          <w:color w:val="000000"/>
          <w:sz w:val="20"/>
          <w:szCs w:val="20"/>
        </w:rPr>
        <w:t>, our Annual Report on Form 10-K, quarterly reports on Form 10-Q, current reports on Form 8-K, and all amendments to those r</w:t>
      </w:r>
      <w:r>
        <w:rPr>
          <w:rFonts w:eastAsia="Times New Roman"/>
          <w:color w:val="000000"/>
          <w:sz w:val="20"/>
          <w:szCs w:val="20"/>
        </w:rPr>
        <w:t>eports as soon as reasonably practicable after such material is electronically filed with or furnished to the SEC.  The information provided on our website is not part of this report, and is therefore not incorporated by reference unless such information i</w:t>
      </w:r>
      <w:r>
        <w:rPr>
          <w:rFonts w:eastAsia="Times New Roman"/>
          <w:color w:val="000000"/>
          <w:sz w:val="20"/>
          <w:szCs w:val="20"/>
        </w:rPr>
        <w:t>s otherwise specifically referenced elsewhere in this report.</w:t>
      </w:r>
    </w:p>
    <w:p w:rsidR="00000000" w:rsidRDefault="001F39D7">
      <w:pPr>
        <w:jc w:val="both"/>
        <w:rPr>
          <w:rFonts w:eastAsia="Times New Roman"/>
        </w:rPr>
      </w:pPr>
    </w:p>
    <w:p w:rsidR="00000000" w:rsidRDefault="001F39D7">
      <w:pPr>
        <w:jc w:val="center"/>
        <w:divId w:val="1891765724"/>
        <w:rPr>
          <w:rFonts w:eastAsia="Times New Roman"/>
        </w:rPr>
      </w:pPr>
      <w:r>
        <w:rPr>
          <w:rFonts w:eastAsia="Times New Roman"/>
          <w:color w:val="000000"/>
          <w:sz w:val="20"/>
          <w:szCs w:val="20"/>
        </w:rPr>
        <w:t>11</w:t>
      </w:r>
    </w:p>
    <w:p w:rsidR="00000000" w:rsidRDefault="001F39D7">
      <w:pPr>
        <w:rPr>
          <w:rFonts w:eastAsia="Times New Roman"/>
        </w:rPr>
      </w:pPr>
      <w:r>
        <w:rPr>
          <w:rFonts w:eastAsia="Times New Roman"/>
        </w:rPr>
        <w:pict>
          <v:rect id="_x0000_i1039" style="width:0;height:1.5pt" o:hralign="center" o:hrstd="t" o:hr="t" fillcolor="#a0a0a0" stroked="f"/>
        </w:pict>
      </w:r>
    </w:p>
    <w:p w:rsidR="00000000" w:rsidRDefault="001F39D7">
      <w:pPr>
        <w:divId w:val="1283459855"/>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u w:val="single"/>
        </w:rPr>
        <w:t>Item 1A</w:t>
      </w:r>
      <w:r>
        <w:rPr>
          <w:rFonts w:eastAsia="Times New Roman"/>
          <w:b/>
          <w:bCs/>
          <w:color w:val="000000"/>
          <w:sz w:val="20"/>
          <w:szCs w:val="20"/>
        </w:rPr>
        <w:t>.    </w:t>
      </w:r>
      <w:r>
        <w:rPr>
          <w:rFonts w:eastAsia="Times New Roman"/>
          <w:b/>
          <w:bCs/>
          <w:color w:val="000000"/>
          <w:sz w:val="20"/>
          <w:szCs w:val="20"/>
          <w:u w:val="single"/>
        </w:rPr>
        <w:t>Risk Factors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business faces many risks. </w:t>
      </w:r>
      <w:r>
        <w:rPr>
          <w:rFonts w:eastAsia="Times New Roman"/>
          <w:color w:val="000000"/>
          <w:sz w:val="20"/>
          <w:szCs w:val="20"/>
        </w:rPr>
        <w:t>Certain risks of which we are currently aware and deem to be material are described below.  If any of the events or circumstances described in the following risk factors occur, our business, financial condition or results of operations may significantly su</w:t>
      </w:r>
      <w:r>
        <w:rPr>
          <w:rFonts w:eastAsia="Times New Roman"/>
          <w:color w:val="000000"/>
          <w:sz w:val="20"/>
          <w:szCs w:val="20"/>
        </w:rPr>
        <w:t>ffer, and the trading price of our common stock could decline.  These risk factors should be read in conjunction with the other information in this Form 10-K.</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Strategic and Competitive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Failure to protect our reputation could have a material adver</w:t>
      </w:r>
      <w:r>
        <w:rPr>
          <w:rFonts w:eastAsia="Times New Roman"/>
          <w:i/>
          <w:iCs/>
          <w:color w:val="000000"/>
          <w:sz w:val="20"/>
          <w:szCs w:val="20"/>
        </w:rPr>
        <w:t>se effect on our brand name or any of our exclusive brands.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success depends in part on the value and strength of the Tractor Supply name, including our exclusive brands. The Tractor Supply name is integral to our business, as well as to the implement</w:t>
      </w:r>
      <w:r>
        <w:rPr>
          <w:rFonts w:eastAsia="Times New Roman"/>
          <w:color w:val="000000"/>
          <w:sz w:val="20"/>
          <w:szCs w:val="20"/>
        </w:rPr>
        <w:t>ation of our strategies for expanding our business. Maintaining, promoting, and positioning our brand will depend largely on the success of our marketing and merchandising efforts and our ability to provide high quality merchandise and a consistent, high q</w:t>
      </w:r>
      <w:r>
        <w:rPr>
          <w:rFonts w:eastAsia="Times New Roman"/>
          <w:color w:val="000000"/>
          <w:sz w:val="20"/>
          <w:szCs w:val="20"/>
        </w:rPr>
        <w:t>uality customer experience. Our brand could be adversely affected if we fail to achieve these objectives or if our public image or reputation were to be tarnished by negative publicity, whether or not based on fact. Any failure to comply or accusation of o</w:t>
      </w:r>
      <w:r>
        <w:rPr>
          <w:rFonts w:eastAsia="Times New Roman"/>
          <w:color w:val="000000"/>
          <w:sz w:val="20"/>
          <w:szCs w:val="20"/>
        </w:rPr>
        <w:t>ur failure to comply with ethical, social, product, labor, data privacy, and environmental standards could also jeopardize our reputation and potentially lead to various adverse consumer actions. Customers are also increasingly using social media to provid</w:t>
      </w:r>
      <w:r>
        <w:rPr>
          <w:rFonts w:eastAsia="Times New Roman"/>
          <w:color w:val="000000"/>
          <w:sz w:val="20"/>
          <w:szCs w:val="20"/>
        </w:rPr>
        <w:t>e feedback and information about our Company, including our products and services, in a manner that can be quickly and broadly disseminated. Further, adverse publicity about our merchandise products, whether valid or not, may discourage consumers from buyi</w:t>
      </w:r>
      <w:r>
        <w:rPr>
          <w:rFonts w:eastAsia="Times New Roman"/>
          <w:color w:val="000000"/>
          <w:sz w:val="20"/>
          <w:szCs w:val="20"/>
        </w:rPr>
        <w:t>ng the products we offer. Additionally, our proprietary rights in our trademarks, trade names, service marks, domain names, copyrights, patents, trade secrets and other intellectual property rights are valuable assets of our business. We may not be able to</w:t>
      </w:r>
      <w:r>
        <w:rPr>
          <w:rFonts w:eastAsia="Times New Roman"/>
          <w:color w:val="000000"/>
          <w:sz w:val="20"/>
          <w:szCs w:val="20"/>
        </w:rPr>
        <w:t xml:space="preserve"> prevent or even discover every instance of unauthorized third party uses of our intellectual property or dilution of our brand names, such as when a third party uses trademarks that are identical or similar to our own. Any of these events could result in </w:t>
      </w:r>
      <w:r>
        <w:rPr>
          <w:rFonts w:eastAsia="Times New Roman"/>
          <w:color w:val="000000"/>
          <w:sz w:val="20"/>
          <w:szCs w:val="20"/>
        </w:rPr>
        <w:t>decreased revenue or otherwise adversely affect our business.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We may be unable to increase sales at our existing stores.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experience fluctuations in our comparable store sales at our existing stores, defined as sales in stores which have been open fo</w:t>
      </w:r>
      <w:r>
        <w:rPr>
          <w:rFonts w:eastAsia="Times New Roman"/>
          <w:color w:val="000000"/>
          <w:sz w:val="20"/>
          <w:szCs w:val="20"/>
        </w:rPr>
        <w:t>r at least twelve months. See Item 7. "Management's Discussion and Analysis of Financial Condition and Results of Operations" for a further discussion of comparable store sales. Various factors affect the comparable store sales at our existing stores, incl</w:t>
      </w:r>
      <w:r>
        <w:rPr>
          <w:rFonts w:eastAsia="Times New Roman"/>
          <w:color w:val="000000"/>
          <w:sz w:val="20"/>
          <w:szCs w:val="20"/>
        </w:rPr>
        <w:t>uding, among others, the general retail sales environment, our ability to efficiently source and distribute products, global supply chain disruptions, changes in our merchandise assortment, competition, proximity of our locations to one another or to the l</w:t>
      </w:r>
      <w:r>
        <w:rPr>
          <w:rFonts w:eastAsia="Times New Roman"/>
          <w:color w:val="000000"/>
          <w:sz w:val="20"/>
          <w:szCs w:val="20"/>
        </w:rPr>
        <w:t xml:space="preserve">ocations of other competing retailers, increased presence of online retailers, current economic conditions, customer satisfaction with our products, retail pricing, the timing of promotional events, the release of new merchandise, the success of marketing </w:t>
      </w:r>
      <w:r>
        <w:rPr>
          <w:rFonts w:eastAsia="Times New Roman"/>
          <w:color w:val="000000"/>
          <w:sz w:val="20"/>
          <w:szCs w:val="20"/>
        </w:rPr>
        <w:t>programs, weather conditions, and our ability to attract and retain qualified team members.  These factors may cause the comparable store sales results at our existing stores to differ materially from prior periods and from expectations.  Past comparable s</w:t>
      </w:r>
      <w:r>
        <w:rPr>
          <w:rFonts w:eastAsia="Times New Roman"/>
          <w:color w:val="000000"/>
          <w:sz w:val="20"/>
          <w:szCs w:val="20"/>
        </w:rPr>
        <w:t>tore sales are not an indication of future results, and there can be no assurance that our comparable store sales will not decrease in the future.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Furthermore, the significant positive impact of the COVID-19 pandemic on the demand for our products in fis</w:t>
      </w:r>
      <w:r>
        <w:rPr>
          <w:rFonts w:eastAsia="Times New Roman"/>
          <w:color w:val="000000"/>
          <w:sz w:val="20"/>
          <w:szCs w:val="20"/>
        </w:rPr>
        <w:t>cal 2021 and 2020 resulted in a significant increase in new or reacquired customers and in comparable store sales growth. Our sales performance in fiscal 2021 and 2020 may present a greater risk to our ability to increase comparable store sales in the foll</w:t>
      </w:r>
      <w:r>
        <w:rPr>
          <w:rFonts w:eastAsia="Times New Roman"/>
          <w:color w:val="000000"/>
          <w:sz w:val="20"/>
          <w:szCs w:val="20"/>
        </w:rPr>
        <w:t xml:space="preserve">owing year(s) and in our ability to maintain our new or reacquired customers gained in those years. Therefore, we may not be able to sustain or increase our comparable store sales in fiscal 2022 and beyond.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Failure to open and manage new stores in the n</w:t>
      </w:r>
      <w:r>
        <w:rPr>
          <w:rFonts w:eastAsia="Times New Roman"/>
          <w:i/>
          <w:iCs/>
          <w:color w:val="000000"/>
          <w:sz w:val="20"/>
          <w:szCs w:val="20"/>
        </w:rPr>
        <w:t>umber and manner currently contemplated could adversely affect our financial performance.</w:t>
      </w:r>
    </w:p>
    <w:p w:rsidR="00000000" w:rsidRDefault="001F39D7">
      <w:pPr>
        <w:divId w:val="1890722871"/>
        <w:rPr>
          <w:rFonts w:eastAsia="Times New Roman"/>
        </w:rPr>
      </w:pPr>
    </w:p>
    <w:p w:rsidR="00000000" w:rsidRDefault="001F39D7">
      <w:pPr>
        <w:jc w:val="both"/>
        <w:rPr>
          <w:rFonts w:eastAsia="Times New Roman"/>
        </w:rPr>
      </w:pPr>
      <w:r>
        <w:rPr>
          <w:rFonts w:eastAsia="Times New Roman"/>
          <w:color w:val="000000"/>
          <w:sz w:val="20"/>
          <w:szCs w:val="20"/>
        </w:rPr>
        <w:t>An integral part of our business strategy includes the expansion of our store base through new store openings. This expansion strategy is dependent on our ability t</w:t>
      </w:r>
      <w:r>
        <w:rPr>
          <w:rFonts w:eastAsia="Times New Roman"/>
          <w:color w:val="000000"/>
          <w:sz w:val="20"/>
          <w:szCs w:val="20"/>
        </w:rPr>
        <w:t>o find suitable locations, and we face competition from many retailers and other businesses for such sites. If we are unable to implement this strategy, our ability to increase our sales, profitability, and cash flow could be impaired significantly. To the</w:t>
      </w:r>
      <w:r>
        <w:rPr>
          <w:rFonts w:eastAsia="Times New Roman"/>
          <w:color w:val="000000"/>
          <w:sz w:val="20"/>
          <w:szCs w:val="20"/>
        </w:rPr>
        <w:t xml:space="preserve"> extent that we are unable to open new stores in the manner we anticipate (due to, among other reasons, site approval or unforeseen delays in construction), our sales growth may be impeded.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Although we have a rigorous real estate site selection and appro</w:t>
      </w:r>
      <w:r>
        <w:rPr>
          <w:rFonts w:eastAsia="Times New Roman"/>
          <w:color w:val="000000"/>
          <w:sz w:val="20"/>
          <w:szCs w:val="20"/>
        </w:rPr>
        <w:t xml:space="preserve">val process, there can be no assurance that our new store openings will be successful or result in incremental sales and profitability for the Company. New stores build their sales volumes and refine their merchandise selection over time and, as a result, </w:t>
      </w:r>
      <w:r>
        <w:rPr>
          <w:rFonts w:eastAsia="Times New Roman"/>
          <w:color w:val="000000"/>
          <w:sz w:val="20"/>
          <w:szCs w:val="20"/>
        </w:rPr>
        <w:t xml:space="preserve">generally have lower gross margins and higher </w:t>
      </w:r>
    </w:p>
    <w:p w:rsidR="00000000" w:rsidRDefault="001F39D7">
      <w:pPr>
        <w:jc w:val="center"/>
        <w:divId w:val="1429890926"/>
        <w:rPr>
          <w:rFonts w:eastAsia="Times New Roman"/>
        </w:rPr>
      </w:pPr>
      <w:r>
        <w:rPr>
          <w:rFonts w:eastAsia="Times New Roman"/>
          <w:color w:val="000000"/>
          <w:sz w:val="20"/>
          <w:szCs w:val="20"/>
        </w:rPr>
        <w:t>12</w:t>
      </w:r>
    </w:p>
    <w:p w:rsidR="00000000" w:rsidRDefault="001F39D7">
      <w:pPr>
        <w:rPr>
          <w:rFonts w:eastAsia="Times New Roman"/>
        </w:rPr>
      </w:pPr>
      <w:r>
        <w:rPr>
          <w:rFonts w:eastAsia="Times New Roman"/>
        </w:rPr>
        <w:pict>
          <v:rect id="_x0000_i1040" style="width:0;height:1.5pt" o:hralign="center" o:hrstd="t" o:hr="t" fillcolor="#a0a0a0" stroked="f"/>
        </w:pict>
      </w:r>
    </w:p>
    <w:p w:rsidR="00000000" w:rsidRDefault="001F39D7">
      <w:pPr>
        <w:divId w:val="178422424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operating expenses as a percentage of net sales than our more mature stores. As we continue to open new stores, there may be a negative impact on our results from a lower contribution margin of these new stores until their sales levels ramp to chain averag</w:t>
      </w:r>
      <w:r>
        <w:rPr>
          <w:rFonts w:eastAsia="Times New Roman"/>
          <w:color w:val="000000"/>
          <w:sz w:val="20"/>
          <w:szCs w:val="20"/>
        </w:rPr>
        <w:t xml:space="preserve">e, if at all, as well as from the impact of related pre-opening costs. Additionally, new stores can also impact the sales and contribution margins of existing stores located in close proximity.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As we execute this expansion strategy, we may also experien</w:t>
      </w:r>
      <w:r>
        <w:rPr>
          <w:rFonts w:eastAsia="Times New Roman"/>
          <w:color w:val="000000"/>
          <w:sz w:val="20"/>
          <w:szCs w:val="20"/>
        </w:rPr>
        <w:t xml:space="preserve">ce managerial or operational challenges which may prevent any expected increase in sales, profitability, or cash flow. Our ability to manage our planned expansion depends on the adequacy of our existing information systems, the efficiency and expansion of </w:t>
      </w:r>
      <w:r>
        <w:rPr>
          <w:rFonts w:eastAsia="Times New Roman"/>
          <w:color w:val="000000"/>
          <w:sz w:val="20"/>
          <w:szCs w:val="20"/>
        </w:rPr>
        <w:t>our distribution systems, the adequacy of the hiring and training process for new personnel (especially store managers), the effectiveness of our controls and procedures, and the ability to identify customer demand and build market awareness in different g</w:t>
      </w:r>
      <w:r>
        <w:rPr>
          <w:rFonts w:eastAsia="Times New Roman"/>
          <w:color w:val="000000"/>
          <w:sz w:val="20"/>
          <w:szCs w:val="20"/>
        </w:rPr>
        <w:t>eographic areas. There can be no assurance that we will be able to achieve our planned expansion, that the new stores will be effectively integrated into our existing operations or that such stores will be profitable.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Our merchandising and marketing init</w:t>
      </w:r>
      <w:r>
        <w:rPr>
          <w:rFonts w:eastAsia="Times New Roman"/>
          <w:i/>
          <w:iCs/>
          <w:color w:val="000000"/>
          <w:sz w:val="20"/>
          <w:szCs w:val="20"/>
        </w:rPr>
        <w:t>iatives may not provide expected results.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believe our past performance has been based on, and future success will depend, in part, upon the ability to develop and execute merchandising initiatives with effective marketing programs.  These merchandising initiatives and marketing programs may not</w:t>
      </w:r>
      <w:r>
        <w:rPr>
          <w:rFonts w:eastAsia="Times New Roman"/>
          <w:color w:val="000000"/>
          <w:sz w:val="20"/>
          <w:szCs w:val="20"/>
        </w:rPr>
        <w:t xml:space="preserve"> deliver expected results, and there is no assurance that we will correctly identify and respond in a timely manner to evolving trends and consumer preferences and expectations. If we misjudge the market or our marketing programs are not successful, we may</w:t>
      </w:r>
      <w:r>
        <w:rPr>
          <w:rFonts w:eastAsia="Times New Roman"/>
          <w:color w:val="000000"/>
          <w:sz w:val="20"/>
          <w:szCs w:val="20"/>
        </w:rPr>
        <w:t xml:space="preserve"> overstock unpopular products and be forced to take inventory impairment or retail price reductions that have a material adverse effect on our profitability. Failure to execute and promote such initiatives in a timely manner could harm our ability to grow </w:t>
      </w:r>
      <w:r>
        <w:rPr>
          <w:rFonts w:eastAsia="Times New Roman"/>
          <w:color w:val="000000"/>
          <w:sz w:val="20"/>
          <w:szCs w:val="20"/>
        </w:rPr>
        <w:t>the business and could have a material adverse effect on our results of operations and financial condition.  Shortages of key merchandise could also have a material adverse effect on our financial condition and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Competition may hind</w:t>
      </w:r>
      <w:r>
        <w:rPr>
          <w:rFonts w:eastAsia="Times New Roman"/>
          <w:i/>
          <w:iCs/>
          <w:color w:val="000000"/>
          <w:sz w:val="20"/>
          <w:szCs w:val="20"/>
        </w:rPr>
        <w:t>er our ability to execute our business strategy and adversely affect our operations.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operate in the highly competitive retail merchandise sector with numerous competitors. These competitors include general merchandise retailers, home center retailers,</w:t>
      </w:r>
      <w:r>
        <w:rPr>
          <w:rFonts w:eastAsia="Times New Roman"/>
          <w:color w:val="000000"/>
          <w:sz w:val="20"/>
          <w:szCs w:val="20"/>
        </w:rPr>
        <w:t xml:space="preserve"> pet retailers, specialty and discount retailers, independently-owned retail farm and ranch stores, numerous privately-held regional farm store chains, and farm cooperatives, as well as internet-based retailers. We compete for customers, merchandise, real </w:t>
      </w:r>
      <w:r>
        <w:rPr>
          <w:rFonts w:eastAsia="Times New Roman"/>
          <w:color w:val="000000"/>
          <w:sz w:val="20"/>
          <w:szCs w:val="20"/>
        </w:rPr>
        <w:t>estate locations, and employees. This competitive environment subjects us to various other risks, including the inability to continue our store and sales growth and to provide attractive merchandise to our customers at competitive prices that allow us to m</w:t>
      </w:r>
      <w:r>
        <w:rPr>
          <w:rFonts w:eastAsia="Times New Roman"/>
          <w:color w:val="000000"/>
          <w:sz w:val="20"/>
          <w:szCs w:val="20"/>
        </w:rPr>
        <w:t>aintain our profitability. Our failure to compete effectively in this environment could adversely impact our financial performance.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We may pursue strategic acquisitions and the failure of an acquisition to produce the anticipated results or the inability</w:t>
      </w:r>
      <w:r>
        <w:rPr>
          <w:rFonts w:eastAsia="Times New Roman"/>
          <w:i/>
          <w:iCs/>
          <w:color w:val="000000"/>
          <w:sz w:val="20"/>
          <w:szCs w:val="20"/>
        </w:rPr>
        <w:t xml:space="preserve"> to fully integrate the acquired companies could have an adverse impact on our business.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may, from time to time, acquire businesses we believe to be complementary to our business, for example, the pending acquisition of Orscheln Farm and Home, LLC dis</w:t>
      </w:r>
      <w:r>
        <w:rPr>
          <w:rFonts w:eastAsia="Times New Roman"/>
          <w:color w:val="000000"/>
          <w:sz w:val="20"/>
          <w:szCs w:val="20"/>
        </w:rPr>
        <w:t>cussed previously. The success of an acquisition is based on our ability to make accurate assumptions regarding the valuation, operations, growth potential, integration, and other factors relating to the target business. Acquisitions may result in difficul</w:t>
      </w:r>
      <w:r>
        <w:rPr>
          <w:rFonts w:eastAsia="Times New Roman"/>
          <w:color w:val="000000"/>
          <w:sz w:val="20"/>
          <w:szCs w:val="20"/>
        </w:rPr>
        <w:t>ties in assimilating acquired companies and may result in the diversion of our capital and our management’s attention from other business issues and opportunities. We may not be able to successfully integrate an organization that we acquire, including thei</w:t>
      </w:r>
      <w:r>
        <w:rPr>
          <w:rFonts w:eastAsia="Times New Roman"/>
          <w:color w:val="000000"/>
          <w:sz w:val="20"/>
          <w:szCs w:val="20"/>
        </w:rPr>
        <w:t>r personnel, financial systems, distribution, operations, and general operating procedures. If we fail to successfully integrate acquisitions, we could experience increased costs associated with operating inefficiencies which could have an adverse effect o</w:t>
      </w:r>
      <w:r>
        <w:rPr>
          <w:rFonts w:eastAsia="Times New Roman"/>
          <w:color w:val="000000"/>
          <w:sz w:val="20"/>
          <w:szCs w:val="20"/>
        </w:rPr>
        <w:t xml:space="preserve">n our financial results. Also, while we employ several different methodologies to assess potential business opportunities, acquired businesses may not achieve desired profitability objectives or other expectations, causing lower than expected earnings and </w:t>
      </w:r>
      <w:r>
        <w:rPr>
          <w:rFonts w:eastAsia="Times New Roman"/>
          <w:color w:val="000000"/>
          <w:sz w:val="20"/>
          <w:szCs w:val="20"/>
        </w:rPr>
        <w:t>cash flows which could adversely affect our financial performance and subsequently require impairment of long-lived assets, goodwill and other intangible assets.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Weather and Climate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 xml:space="preserve">Unseasonal and extreme weather may have a significant impact on </w:t>
      </w:r>
      <w:r>
        <w:rPr>
          <w:rFonts w:eastAsia="Times New Roman"/>
          <w:i/>
          <w:iCs/>
          <w:color w:val="000000"/>
          <w:sz w:val="20"/>
          <w:szCs w:val="20"/>
        </w:rPr>
        <w:t>our financial results.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Weather conditions affect the demand for, and in some cases the supply of, products, which in turn has an impact on prices.  Historically, weather conditions, including unseasonably warm weather in the fall and winter months and un</w:t>
      </w:r>
      <w:r>
        <w:rPr>
          <w:rFonts w:eastAsia="Times New Roman"/>
          <w:color w:val="000000"/>
          <w:sz w:val="20"/>
          <w:szCs w:val="20"/>
        </w:rPr>
        <w:t>seasonably cool weather in the spring and summer months, have affected the timing and volume of our sales and results of operations. In addition, extreme weather conditions, such as more frequent or intense hurricanes, thunderstorms, tornadoes, flood, fire</w:t>
      </w:r>
      <w:r>
        <w:rPr>
          <w:rFonts w:eastAsia="Times New Roman"/>
          <w:color w:val="000000"/>
          <w:sz w:val="20"/>
          <w:szCs w:val="20"/>
        </w:rPr>
        <w:t xml:space="preserve">s, </w:t>
      </w:r>
    </w:p>
    <w:p w:rsidR="00000000" w:rsidRDefault="001F39D7">
      <w:pPr>
        <w:jc w:val="center"/>
        <w:divId w:val="229006196"/>
        <w:rPr>
          <w:rFonts w:eastAsia="Times New Roman"/>
        </w:rPr>
      </w:pPr>
      <w:r>
        <w:rPr>
          <w:rFonts w:eastAsia="Times New Roman"/>
          <w:color w:val="000000"/>
          <w:sz w:val="20"/>
          <w:szCs w:val="20"/>
        </w:rPr>
        <w:t>13</w:t>
      </w:r>
    </w:p>
    <w:p w:rsidR="00000000" w:rsidRDefault="001F39D7">
      <w:pPr>
        <w:rPr>
          <w:rFonts w:eastAsia="Times New Roman"/>
        </w:rPr>
      </w:pPr>
      <w:r>
        <w:rPr>
          <w:rFonts w:eastAsia="Times New Roman"/>
        </w:rPr>
        <w:pict>
          <v:rect id="_x0000_i1041" style="width:0;height:1.5pt" o:hralign="center" o:hrstd="t" o:hr="t" fillcolor="#a0a0a0" stroked="f"/>
        </w:pict>
      </w:r>
    </w:p>
    <w:p w:rsidR="00000000" w:rsidRDefault="001F39D7">
      <w:pPr>
        <w:divId w:val="190653036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droughts, and snow or ice storms, as well as rising sea levels, have impacted operating results both positively and negatively and may positively or</w:t>
      </w:r>
      <w:r>
        <w:rPr>
          <w:rFonts w:eastAsia="Times New Roman"/>
          <w:color w:val="000000"/>
          <w:sz w:val="20"/>
          <w:szCs w:val="20"/>
        </w:rPr>
        <w:t xml:space="preserve"> negatively impact our business in the future. While extreme weather conditions can positively impact our operating results by increasing demand in affected locations for products needed to cope with the weather condition and its effects, they can also neg</w:t>
      </w:r>
      <w:r>
        <w:rPr>
          <w:rFonts w:eastAsia="Times New Roman"/>
          <w:color w:val="000000"/>
          <w:sz w:val="20"/>
          <w:szCs w:val="20"/>
        </w:rPr>
        <w:t>atively affect our business depending on the severity and length of these conditions, as a result of store closings, damage to our stores or merchandise, or the inability of customers to shop at our stores due to weather conditions. Our strategy is to mana</w:t>
      </w:r>
      <w:r>
        <w:rPr>
          <w:rFonts w:eastAsia="Times New Roman"/>
          <w:color w:val="000000"/>
          <w:sz w:val="20"/>
          <w:szCs w:val="20"/>
        </w:rPr>
        <w:t>ge product flow and adjust merchandise assortments and depth of inventory to capitalize on seasonal demand trends. Should such a strategy not be effective, the weather may have a material adverse effect on our financial condition and results of operations.</w:t>
      </w:r>
      <w:r>
        <w:rPr>
          <w:rFonts w:eastAsia="Times New Roman"/>
          <w:color w:val="000000"/>
          <w:sz w:val="20"/>
          <w:szCs w:val="2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Weather conditions may cause a disruption in our distribution and transportation network that would adversely affect our ability to conduct our operations.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rely on our distribution and transportation network, including third-party logistics provid</w:t>
      </w:r>
      <w:r>
        <w:rPr>
          <w:rFonts w:eastAsia="Times New Roman"/>
          <w:color w:val="000000"/>
          <w:sz w:val="20"/>
          <w:szCs w:val="20"/>
        </w:rPr>
        <w:t>ers, to provide goods to our stores and to our customers in a timely and cost-effective manner through deliveries to our distribution facilities from vendors and then from the distribution facilities or direct ship vendors to our stores or customers by var</w:t>
      </w:r>
      <w:r>
        <w:rPr>
          <w:rFonts w:eastAsia="Times New Roman"/>
          <w:color w:val="000000"/>
          <w:sz w:val="20"/>
          <w:szCs w:val="20"/>
        </w:rPr>
        <w:t>ious means of transportation, including shipments by sea, air, rail, and truck. Although we believe that our operations are efficient, disruptions due to extreme weather conditions, including snow and ice storms, flood and wind damage, hurricanes, tornadoe</w:t>
      </w:r>
      <w:r>
        <w:rPr>
          <w:rFonts w:eastAsia="Times New Roman"/>
          <w:color w:val="000000"/>
          <w:sz w:val="20"/>
          <w:szCs w:val="20"/>
        </w:rPr>
        <w:t>s, extreme rain, fires and droughts may result in delays in the transportation and delivery of merchandise to our distribution centers, our stores, or our customers. Significant disruptions or delays in our distribution and transportation network could adv</w:t>
      </w:r>
      <w:r>
        <w:rPr>
          <w:rFonts w:eastAsia="Times New Roman"/>
          <w:color w:val="000000"/>
          <w:sz w:val="20"/>
          <w:szCs w:val="20"/>
        </w:rPr>
        <w:t>ersely affect sales and the satisfaction of our customers which could have a material adverse impact on our financial condition and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 xml:space="preserve">We may be adversely affected by legal, regulatory or market responses to global climate change.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Growing concern over climate change has led policy makers in the U.S. to consider the enactment of legislative and regulatory proposals that would impose mandatory requirements on greenhouse gas emissions. Such laws, if enacted, are likely to impact our bu</w:t>
      </w:r>
      <w:r>
        <w:rPr>
          <w:rFonts w:eastAsia="Times New Roman"/>
          <w:color w:val="000000"/>
          <w:sz w:val="20"/>
          <w:szCs w:val="20"/>
        </w:rPr>
        <w:t xml:space="preserve">siness in a number of ways. For example, we use natural gas, diesel fuel, gasoline and electricity in conducting our operations. Increased government regulations to limit carbon dioxide and other greenhouse gas emissions may result in increased compliance </w:t>
      </w:r>
      <w:r>
        <w:rPr>
          <w:rFonts w:eastAsia="Times New Roman"/>
          <w:color w:val="000000"/>
          <w:sz w:val="20"/>
          <w:szCs w:val="20"/>
        </w:rPr>
        <w:t>costs and legislation or regulation affecting energy inputs, which could materially affect our profitability. Compliance with any new or more stringent laws or requirements, or stricter interpretations of existing laws, could require additional expenditure</w:t>
      </w:r>
      <w:r>
        <w:rPr>
          <w:rFonts w:eastAsia="Times New Roman"/>
          <w:color w:val="000000"/>
          <w:sz w:val="20"/>
          <w:szCs w:val="20"/>
        </w:rPr>
        <w:t xml:space="preserve">s by us or our suppliers. Our inability to appropriately respond to such changes could adversely impact our business, financial condition, results of operations or cash flows.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shd w:val="clear" w:color="auto" w:fill="FFFFFF"/>
        </w:rPr>
        <w:t>Macroeconomic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General economic conditions may adversely affect our financial performance.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results of operations may be sensitive to changes in overall economic conditions that impact consumer spending, including discretionary spending. A weakening of economic cond</w:t>
      </w:r>
      <w:r>
        <w:rPr>
          <w:rFonts w:eastAsia="Times New Roman"/>
          <w:color w:val="000000"/>
          <w:sz w:val="20"/>
          <w:szCs w:val="20"/>
        </w:rPr>
        <w:t>itions affecting disposable consumer income such as lower employment levels, uncertainty or changes in business or political conditions, social and political causes and movements, higher interest rates, higher tax rates, higher fuel and energy costs, highe</w:t>
      </w:r>
      <w:r>
        <w:rPr>
          <w:rFonts w:eastAsia="Times New Roman"/>
          <w:color w:val="000000"/>
          <w:sz w:val="20"/>
          <w:szCs w:val="20"/>
        </w:rPr>
        <w:t>r labor and healthcare costs, the impact of natural disasters or acts of terrorism, general health epidemics, and other matters could reduce consumer spending or cause consumers to shift their spending to competitors. A general reduction in the level of di</w:t>
      </w:r>
      <w:r>
        <w:rPr>
          <w:rFonts w:eastAsia="Times New Roman"/>
          <w:color w:val="000000"/>
          <w:sz w:val="20"/>
          <w:szCs w:val="20"/>
        </w:rPr>
        <w:t xml:space="preserve">scretionary spending, shifts in consumer discretionary spending to our competitors or shifts in discretionary spending to less profitable products sold by us could result in lower net sales, slower inventory turnover, greater markdowns on inventory, and a </w:t>
      </w:r>
      <w:r>
        <w:rPr>
          <w:rFonts w:eastAsia="Times New Roman"/>
          <w:color w:val="000000"/>
          <w:sz w:val="20"/>
          <w:szCs w:val="20"/>
        </w:rPr>
        <w:t>reduction in profitability due to lower margins.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Purchase price volatility, including inflationary and deflationary pressures, may adversely affect our financial performance.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Although we cannot determine the full effect of inflation and deflation on ou</w:t>
      </w:r>
      <w:r>
        <w:rPr>
          <w:rFonts w:eastAsia="Times New Roman"/>
          <w:color w:val="000000"/>
          <w:sz w:val="20"/>
          <w:szCs w:val="20"/>
        </w:rPr>
        <w:t>r operations, we believe our sales and results of operations are affected by both.  We are subject to market risk with respect to the pricing of certain products and services, which include, among other items, grain, corn, steel, petroleum, cotton, and oth</w:t>
      </w:r>
      <w:r>
        <w:rPr>
          <w:rFonts w:eastAsia="Times New Roman"/>
          <w:color w:val="000000"/>
          <w:sz w:val="20"/>
          <w:szCs w:val="20"/>
        </w:rPr>
        <w:t>er commodities, as well as duties, tariffs, diesel fuel, and transportation services.  Therefore, we may experience both inflationary and deflationary pressure on product cost, which may impact consumer demand and, as a result, sales and gross margin.  Our</w:t>
      </w:r>
      <w:r>
        <w:rPr>
          <w:rFonts w:eastAsia="Times New Roman"/>
          <w:color w:val="000000"/>
          <w:sz w:val="20"/>
          <w:szCs w:val="20"/>
        </w:rPr>
        <w:t xml:space="preserve"> strategy is to reduce or mitigate the effects of purchase price volatility principally by taking advantage of vendor incentive programs, economies of scale from increased volume of purchases, adjusting retail prices, and selectively buying from the most c</w:t>
      </w:r>
      <w:r>
        <w:rPr>
          <w:rFonts w:eastAsia="Times New Roman"/>
          <w:color w:val="000000"/>
          <w:sz w:val="20"/>
          <w:szCs w:val="20"/>
        </w:rPr>
        <w:t>ompetitive vendors while maintaining product quality.  Should our strategy to mitigate purchase price volatility not be effective, our financial performance could be adversely impacted.</w:t>
      </w:r>
    </w:p>
    <w:p w:rsidR="00000000" w:rsidRDefault="001F39D7">
      <w:pPr>
        <w:jc w:val="center"/>
        <w:divId w:val="1716811469"/>
        <w:rPr>
          <w:rFonts w:eastAsia="Times New Roman"/>
        </w:rPr>
      </w:pPr>
      <w:r>
        <w:rPr>
          <w:rFonts w:eastAsia="Times New Roman"/>
          <w:color w:val="000000"/>
          <w:sz w:val="20"/>
          <w:szCs w:val="20"/>
        </w:rPr>
        <w:t>14</w:t>
      </w:r>
    </w:p>
    <w:p w:rsidR="00000000" w:rsidRDefault="001F39D7">
      <w:pPr>
        <w:rPr>
          <w:rFonts w:eastAsia="Times New Roman"/>
        </w:rPr>
      </w:pPr>
      <w:r>
        <w:rPr>
          <w:rFonts w:eastAsia="Times New Roman"/>
        </w:rPr>
        <w:pict>
          <v:rect id="_x0000_i1042" style="width:0;height:1.5pt" o:hralign="center" o:hrstd="t" o:hr="t" fillcolor="#a0a0a0" stroked="f"/>
        </w:pict>
      </w:r>
    </w:p>
    <w:p w:rsidR="00000000" w:rsidRDefault="001F39D7">
      <w:pPr>
        <w:divId w:val="201799376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Team Member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Our failure to attract and retain qualified team members, increases in wage, and labor costs, and changes in laws and other labor issues could adversely affect our financ</w:t>
      </w:r>
      <w:r>
        <w:rPr>
          <w:rFonts w:eastAsia="Times New Roman"/>
          <w:i/>
          <w:iCs/>
          <w:color w:val="000000"/>
          <w:sz w:val="20"/>
          <w:szCs w:val="20"/>
        </w:rPr>
        <w:t>ial performance.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ability to maintain and continue expanding operations depends on our ability to attract and retain a large and growing number of qualified team members.  Our ability to meet labor needs while controlling wage and related labor costs </w:t>
      </w:r>
      <w:r>
        <w:rPr>
          <w:rFonts w:eastAsia="Times New Roman"/>
          <w:color w:val="000000"/>
          <w:sz w:val="20"/>
          <w:szCs w:val="20"/>
        </w:rPr>
        <w:t>is subject to numerous external factors, including the availability of a sufficient number of qualified persons in the work force, unemployment levels, prevailing wage rates, increases in legally required minimum wage rates, changing demographics, health a</w:t>
      </w:r>
      <w:r>
        <w:rPr>
          <w:rFonts w:eastAsia="Times New Roman"/>
          <w:color w:val="000000"/>
          <w:sz w:val="20"/>
          <w:szCs w:val="20"/>
        </w:rPr>
        <w:t>nd other insurance costs, changes in employment legislation and the potential for changes in local labor practices or union activities.  If we are unable to locate, attract or retain qualified personnel, or if costs of labor or related costs increase signi</w:t>
      </w:r>
      <w:r>
        <w:rPr>
          <w:rFonts w:eastAsia="Times New Roman"/>
          <w:color w:val="000000"/>
          <w:sz w:val="20"/>
          <w:szCs w:val="20"/>
        </w:rPr>
        <w:t>ficantly, our financial performance could be adversely affected.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are subject to federal, state, and local laws governing employment practices and working conditions.  These laws cover wage and hour practices, labor relations, paid and family leave, wo</w:t>
      </w:r>
      <w:r>
        <w:rPr>
          <w:rFonts w:eastAsia="Times New Roman"/>
          <w:color w:val="000000"/>
          <w:sz w:val="20"/>
          <w:szCs w:val="20"/>
        </w:rPr>
        <w:t>rkplace safety and immigration, among others.  The laws and regulations being passed at the state and local level create unique challenges for a multi-state employer.  We must continue to monitor and adapt our employment practices to comply with these vari</w:t>
      </w:r>
      <w:r>
        <w:rPr>
          <w:rFonts w:eastAsia="Times New Roman"/>
          <w:color w:val="000000"/>
          <w:sz w:val="20"/>
          <w:szCs w:val="20"/>
        </w:rPr>
        <w:t>ous laws and regulations.  If our costs of labor or related costs increase significantly as new or revised labor laws, rules or regulations or healthcare laws are adopted or implemented, our financial performance could be adversely affected.</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 xml:space="preserve">The loss of </w:t>
      </w:r>
      <w:r>
        <w:rPr>
          <w:rFonts w:eastAsia="Times New Roman"/>
          <w:i/>
          <w:iCs/>
          <w:color w:val="000000"/>
          <w:sz w:val="20"/>
          <w:szCs w:val="20"/>
        </w:rPr>
        <w:t>current members of our senior management team and other key team members or the failure to successfully manage an executive officer transition may adversely affect our operating results.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success depends in large part on the continued availability and</w:t>
      </w:r>
      <w:r>
        <w:rPr>
          <w:rFonts w:eastAsia="Times New Roman"/>
          <w:color w:val="000000"/>
          <w:sz w:val="20"/>
          <w:szCs w:val="20"/>
        </w:rPr>
        <w:t xml:space="preserve"> service of our executive officers, senior management, and other key team members. Competition for senior management and key team members in our industry is strong and we may not be able to retain our key team members or attract new qualified team members.</w:t>
      </w:r>
      <w:r>
        <w:rPr>
          <w:rFonts w:eastAsia="Times New Roman"/>
          <w:color w:val="000000"/>
          <w:sz w:val="20"/>
          <w:szCs w:val="20"/>
        </w:rPr>
        <w:t xml:space="preserve">  We must continue to recruit, retain, and motivate management and other team members sufficiently, both to maintain our current business and to execute our long-term strategic growth initiatives. The loss of any of our executive officers or other key seni</w:t>
      </w:r>
      <w:r>
        <w:rPr>
          <w:rFonts w:eastAsia="Times New Roman"/>
          <w:color w:val="000000"/>
          <w:sz w:val="20"/>
          <w:szCs w:val="20"/>
        </w:rPr>
        <w:t>or management without sufficient advance notice could prevent or delay the implementation and completion of our strategic initiatives or divert management’s attention to seeking qualified replacements. Additionally, any failure by us to manage a successful</w:t>
      </w:r>
      <w:r>
        <w:rPr>
          <w:rFonts w:eastAsia="Times New Roman"/>
          <w:color w:val="000000"/>
          <w:sz w:val="20"/>
          <w:szCs w:val="20"/>
        </w:rPr>
        <w:t xml:space="preserve"> leadership transition of an executive officer and to timely identify a qualified permanent replacement could harm our business and have a material adverse effect on our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Supply Chain and Third-Party Vendor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We face risks associated with vendors from whom our products are sourced.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products we sell are sourced from a variety of domestic and international vendors.  We have agreements with our vendors in which the vendors agree to comply with applicable law</w:t>
      </w:r>
      <w:r>
        <w:rPr>
          <w:rFonts w:eastAsia="Times New Roman"/>
          <w:color w:val="000000"/>
          <w:sz w:val="20"/>
          <w:szCs w:val="20"/>
        </w:rPr>
        <w:t>s, including labor and environmental laws, and to indemnify us against certain liabilities and costs.  Our ability to recover liabilities and costs under these vendor agreements is dependent upon the financial condition and integrity of the vendors. We rel</w:t>
      </w:r>
      <w:r>
        <w:rPr>
          <w:rFonts w:eastAsia="Times New Roman"/>
          <w:color w:val="000000"/>
          <w:sz w:val="20"/>
          <w:szCs w:val="20"/>
        </w:rPr>
        <w:t>y on long-term relationships with our suppliers but have no significant long-term contracts with such suppliers.  Our future success will depend in large measure upon our ability to maintain our existing supplier relationships or to develop new ones.  This</w:t>
      </w:r>
      <w:r>
        <w:rPr>
          <w:rFonts w:eastAsia="Times New Roman"/>
          <w:color w:val="000000"/>
          <w:sz w:val="20"/>
          <w:szCs w:val="20"/>
        </w:rPr>
        <w:t xml:space="preserve"> reliance exposes us to the risk of inadequate and untimely supplies of various products due to political, economic, social, health (including, but not limited to, the COVID-19 coronavirus), or environmental conditions, transportation delays, or changes in</w:t>
      </w:r>
      <w:r>
        <w:rPr>
          <w:rFonts w:eastAsia="Times New Roman"/>
          <w:color w:val="000000"/>
          <w:sz w:val="20"/>
          <w:szCs w:val="20"/>
        </w:rPr>
        <w:t xml:space="preserve"> laws and regulations affecting distribution.  Our vendors may be forced to reduce their production, shut down their operations or file for bankruptcy protection, which could make it difficult for us to serve the market’s needs and could have a material ad</w:t>
      </w:r>
      <w:r>
        <w:rPr>
          <w:rFonts w:eastAsia="Times New Roman"/>
          <w:color w:val="000000"/>
          <w:sz w:val="20"/>
          <w:szCs w:val="20"/>
        </w:rPr>
        <w:t>verse effect on our business.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While the Company selects these third-party vendors carefully, it does not control their actions or the components or manufacture of their products. Any problems caused by these third-parties, or issues associated with their</w:t>
      </w:r>
      <w:r>
        <w:rPr>
          <w:rFonts w:eastAsia="Times New Roman"/>
          <w:color w:val="000000"/>
          <w:sz w:val="20"/>
          <w:szCs w:val="20"/>
        </w:rPr>
        <w:t xml:space="preserve"> products or workforce, including customer or governmental complaints, breakdowns or other disruptions in communication services provided by a vendor, failure of a vendor to handle current or higher volumes, and cyber attacks or security breaches at a vend</w:t>
      </w:r>
      <w:r>
        <w:rPr>
          <w:rFonts w:eastAsia="Times New Roman"/>
          <w:color w:val="000000"/>
          <w:sz w:val="20"/>
          <w:szCs w:val="20"/>
        </w:rPr>
        <w:t>or could subject the Company to litigation and adversely affect the Company’s ability to deliver products and services to its customers and have a material adverse effect on our results of operations and financial condition.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rely on foreign manufactur</w:t>
      </w:r>
      <w:r>
        <w:rPr>
          <w:rFonts w:eastAsia="Times New Roman"/>
          <w:color w:val="000000"/>
          <w:sz w:val="20"/>
          <w:szCs w:val="20"/>
        </w:rPr>
        <w:t>ers for various products that we sell.  In addition, many of our domestic suppliers purchase a portion of their products from foreign sources.  As an importer, our business is subject to the risks generally associated with doing business internationally, s</w:t>
      </w:r>
      <w:r>
        <w:rPr>
          <w:rFonts w:eastAsia="Times New Roman"/>
          <w:color w:val="000000"/>
          <w:sz w:val="20"/>
          <w:szCs w:val="20"/>
        </w:rPr>
        <w:t xml:space="preserve">uch as domestic and foreign governmental regulations, economic disruptions, global or regional </w:t>
      </w:r>
    </w:p>
    <w:p w:rsidR="00000000" w:rsidRDefault="001F39D7">
      <w:pPr>
        <w:jc w:val="center"/>
        <w:divId w:val="440607334"/>
        <w:rPr>
          <w:rFonts w:eastAsia="Times New Roman"/>
        </w:rPr>
      </w:pPr>
      <w:r>
        <w:rPr>
          <w:rFonts w:eastAsia="Times New Roman"/>
          <w:color w:val="000000"/>
          <w:sz w:val="20"/>
          <w:szCs w:val="20"/>
        </w:rPr>
        <w:t>15</w:t>
      </w:r>
    </w:p>
    <w:p w:rsidR="00000000" w:rsidRDefault="001F39D7">
      <w:pPr>
        <w:rPr>
          <w:rFonts w:eastAsia="Times New Roman"/>
        </w:rPr>
      </w:pPr>
      <w:r>
        <w:rPr>
          <w:rFonts w:eastAsia="Times New Roman"/>
        </w:rPr>
        <w:pict>
          <v:rect id="_x0000_i1043" style="width:0;height:1.5pt" o:hralign="center" o:hrstd="t" o:hr="t" fillcolor="#a0a0a0" stroked="f"/>
        </w:pict>
      </w:r>
    </w:p>
    <w:p w:rsidR="00000000" w:rsidRDefault="001F39D7">
      <w:pPr>
        <w:divId w:val="70687636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health epidemics, delays in shipments, transportation ca</w:t>
      </w:r>
      <w:r>
        <w:rPr>
          <w:rFonts w:eastAsia="Times New Roman"/>
          <w:color w:val="000000"/>
          <w:sz w:val="20"/>
          <w:szCs w:val="20"/>
        </w:rPr>
        <w:t>pacity and costs, currency exchange rates, and changes in political or economic conditions in countries from which we purchase products.  If any such factors were to render the conduct of business in particular countries undesirable or impractical or if ad</w:t>
      </w:r>
      <w:r>
        <w:rPr>
          <w:rFonts w:eastAsia="Times New Roman"/>
          <w:color w:val="000000"/>
          <w:sz w:val="20"/>
          <w:szCs w:val="20"/>
        </w:rPr>
        <w:t>ditional U.S. quotas, duties, tariffs, taxes, or other charges or restrictions were imposed upon the importation of our products in the future, our financial condition and results of operations could be materially adversely affected.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political landsc</w:t>
      </w:r>
      <w:r>
        <w:rPr>
          <w:rFonts w:eastAsia="Times New Roman"/>
          <w:color w:val="000000"/>
          <w:sz w:val="20"/>
          <w:szCs w:val="20"/>
        </w:rPr>
        <w:t>ape in the U.S. contains uncertainty with respect to tax and trade policies, tariffs and regulations affecting trade between the U.S. and other countries. We source a portion of our merchandise from manufacturers located outside the U.S., primarily in Asia</w:t>
      </w:r>
      <w:r>
        <w:rPr>
          <w:rFonts w:eastAsia="Times New Roman"/>
          <w:color w:val="000000"/>
          <w:sz w:val="20"/>
          <w:szCs w:val="20"/>
        </w:rPr>
        <w:t xml:space="preserve"> and Central America. Major developments in tax policy or trade relations, such as the disallowance of tax deductions for imported merchandise or the imposition of tariffs on imported products, could have a material adverse effect on our business, results </w:t>
      </w:r>
      <w:r>
        <w:rPr>
          <w:rFonts w:eastAsia="Times New Roman"/>
          <w:color w:val="000000"/>
          <w:sz w:val="20"/>
          <w:szCs w:val="20"/>
        </w:rPr>
        <w:t>of operations, and financial condition.</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We rely on manufacturers located in foreign countries, including China, for merchandise. Additionally, a portion of our domestically purchased merchandise is manufactured abroad. Our business may be materially adve</w:t>
      </w:r>
      <w:r>
        <w:rPr>
          <w:rFonts w:eastAsia="Times New Roman"/>
          <w:i/>
          <w:iCs/>
          <w:color w:val="000000"/>
          <w:sz w:val="20"/>
          <w:szCs w:val="20"/>
        </w:rPr>
        <w:t>rsely affected by risks associated with international trade, including the impact of current or potential tariffs by the U.S. with respect to certain consumer goods imported from China.</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source a portion of our merchandise from manufacturers located ou</w:t>
      </w:r>
      <w:r>
        <w:rPr>
          <w:rFonts w:eastAsia="Times New Roman"/>
          <w:color w:val="000000"/>
          <w:sz w:val="20"/>
          <w:szCs w:val="20"/>
        </w:rPr>
        <w:t>tside the U.S., primarily in Asia and Central America, and many of our domestic vendors have a global supply chain. The U.S. has imposed tariffs on certain products imported into the U.S. from China and could propose additional tariffs. The imposition of t</w:t>
      </w:r>
      <w:r>
        <w:rPr>
          <w:rFonts w:eastAsia="Times New Roman"/>
          <w:color w:val="000000"/>
          <w:sz w:val="20"/>
          <w:szCs w:val="20"/>
        </w:rPr>
        <w:t>ariffs on imported products has increased our costs and could result in reduced sales and profits. The changes in certain tax and trade policies, tariffs and other regulations affecting trade between the U.S. and other countries enacted under the prior U.S</w:t>
      </w:r>
      <w:r>
        <w:rPr>
          <w:rFonts w:eastAsia="Times New Roman"/>
          <w:color w:val="000000"/>
          <w:sz w:val="20"/>
          <w:szCs w:val="20"/>
        </w:rPr>
        <w:t>. administration increased the cost of our merchandise sourced from outside of the U.S., which represents a large percentage of our overall merchandise. It remains unclear how tax or trade policies, tariffs or trade relations may change under the current U</w:t>
      </w:r>
      <w:r>
        <w:rPr>
          <w:rFonts w:eastAsia="Times New Roman"/>
          <w:color w:val="000000"/>
          <w:sz w:val="20"/>
          <w:szCs w:val="20"/>
        </w:rPr>
        <w:t>.S. administration, which could adversely affect our business, results of operations, effective income tax rate, liquidity and net income.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the imposition of tariffs by the U.S. has resulted in the adoption of tariffs by China on U.S. exports</w:t>
      </w:r>
      <w:r>
        <w:rPr>
          <w:rFonts w:eastAsia="Times New Roman"/>
          <w:color w:val="000000"/>
          <w:sz w:val="20"/>
          <w:szCs w:val="20"/>
        </w:rPr>
        <w:t xml:space="preserve"> and could result in the adoption of tariffs by other countries as well. A resulting trade war could have a significant adverse effect on world trade and the world economy. Further, the imposition of tariffs or other changes in world trade could have an im</w:t>
      </w:r>
      <w:r>
        <w:rPr>
          <w:rFonts w:eastAsia="Times New Roman"/>
          <w:color w:val="000000"/>
          <w:sz w:val="20"/>
          <w:szCs w:val="20"/>
        </w:rPr>
        <w:t>pact on certain U.S. industries and consumers and could negatively impact the consumer demand for products that we sell.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continue to evaluate the impact of the effective and potential tariffs on our supply chain, costs, sales, and profitability as wel</w:t>
      </w:r>
      <w:r>
        <w:rPr>
          <w:rFonts w:eastAsia="Times New Roman"/>
          <w:color w:val="000000"/>
          <w:sz w:val="20"/>
          <w:szCs w:val="20"/>
        </w:rPr>
        <w:t>l as our strategies to mitigate any negative impact, including negotiating with our vendors, seeking alternative sourcing options, and adjusting retail selling prices. Given the uncertainty regarding the scope and duration of the current and potential tari</w:t>
      </w:r>
      <w:r>
        <w:rPr>
          <w:rFonts w:eastAsia="Times New Roman"/>
          <w:color w:val="000000"/>
          <w:sz w:val="20"/>
          <w:szCs w:val="20"/>
        </w:rPr>
        <w:t>ffs, as well as the potential for additional trade actions by the U.S. or other countries, the impact on our business, results of operations, and financial condition is uncertain but could be significant. Thus, we can provide no assurance that any strategi</w:t>
      </w:r>
      <w:r>
        <w:rPr>
          <w:rFonts w:eastAsia="Times New Roman"/>
          <w:color w:val="000000"/>
          <w:sz w:val="20"/>
          <w:szCs w:val="20"/>
        </w:rPr>
        <w:t>es we implement to mitigate the impact of such tariffs or other trade actions will be successful in whole or in part. To the extent that our supply chain, costs, sales, or profitability are negatively affected by the tariffs or other trade actions, our bus</w:t>
      </w:r>
      <w:r>
        <w:rPr>
          <w:rFonts w:eastAsia="Times New Roman"/>
          <w:color w:val="000000"/>
          <w:sz w:val="20"/>
          <w:szCs w:val="20"/>
        </w:rPr>
        <w:t>iness, financial condition, and results of operations may be materially adversely affected.</w:t>
      </w:r>
    </w:p>
    <w:p w:rsidR="00000000" w:rsidRDefault="001F39D7">
      <w:pPr>
        <w:divId w:val="1228416630"/>
        <w:rPr>
          <w:rFonts w:eastAsia="Times New Roman"/>
        </w:rPr>
      </w:pPr>
    </w:p>
    <w:p w:rsidR="00000000" w:rsidRDefault="001F39D7">
      <w:pPr>
        <w:jc w:val="both"/>
        <w:rPr>
          <w:rFonts w:eastAsia="Times New Roman"/>
        </w:rPr>
      </w:pPr>
      <w:r>
        <w:rPr>
          <w:rFonts w:eastAsia="Times New Roman"/>
          <w:i/>
          <w:iCs/>
          <w:color w:val="000000"/>
          <w:sz w:val="20"/>
          <w:szCs w:val="20"/>
        </w:rPr>
        <w:t>A significant disruption to our distribution network or to the timely receipt of inventory could adversely impact sales or increase our transportation costs, whic</w:t>
      </w:r>
      <w:r>
        <w:rPr>
          <w:rFonts w:eastAsia="Times New Roman"/>
          <w:i/>
          <w:iCs/>
          <w:color w:val="000000"/>
          <w:sz w:val="20"/>
          <w:szCs w:val="20"/>
        </w:rPr>
        <w:t xml:space="preserve">h would decrease our profits.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rely on our distribution and transportation network, including third-party logistics providers, to provide goods to our stores in a timely and cost-effective manner through deliveries to our distribution facilities from </w:t>
      </w:r>
      <w:r>
        <w:rPr>
          <w:rFonts w:eastAsia="Times New Roman"/>
          <w:color w:val="000000"/>
          <w:sz w:val="20"/>
          <w:szCs w:val="20"/>
        </w:rPr>
        <w:t xml:space="preserve">vendors and then from the distribution facilities or direct ship vendors to our stores or customers by various means of transportation, including shipments by sea, air, rail, and truck. Any disruption, unanticipated expense, or operational failure related </w:t>
      </w:r>
      <w:r>
        <w:rPr>
          <w:rFonts w:eastAsia="Times New Roman"/>
          <w:color w:val="000000"/>
          <w:sz w:val="20"/>
          <w:szCs w:val="20"/>
        </w:rPr>
        <w:t>to this process could negatively affect our operations. For example, unexpected delivery delays (including delays due to weather, fuel shortages, work stoppages, global or regional health epidemics, product shortages from vendors, or other reasons) or incr</w:t>
      </w:r>
      <w:r>
        <w:rPr>
          <w:rFonts w:eastAsia="Times New Roman"/>
          <w:color w:val="000000"/>
          <w:sz w:val="20"/>
          <w:szCs w:val="20"/>
        </w:rPr>
        <w:t xml:space="preserve">eases in transportation costs (including increased fuel costs or a decrease in transportation capacity for overseas shipments) could significantly decrease our ability to provide adequate products to meet increased customer demand for certain products, or </w:t>
      </w:r>
      <w:r>
        <w:rPr>
          <w:rFonts w:eastAsia="Times New Roman"/>
          <w:color w:val="000000"/>
          <w:sz w:val="20"/>
          <w:szCs w:val="20"/>
        </w:rPr>
        <w:t>products at a desired price, resulting in lower sales and profitability. In addition, labor shortages or work stoppages in the transportation industry or long-term disruptions to the national and international transportation infrastructure that lead to del</w:t>
      </w:r>
      <w:r>
        <w:rPr>
          <w:rFonts w:eastAsia="Times New Roman"/>
          <w:color w:val="000000"/>
          <w:sz w:val="20"/>
          <w:szCs w:val="20"/>
        </w:rPr>
        <w:t>ays or interruptions of deliveries could negatively affect our business. Also, a fire, tornado, or other disaster at one of our distribution facilities could disrupt our timely receiving, processing, and shipment of merchandise to our stores which could ad</w:t>
      </w:r>
      <w:r>
        <w:rPr>
          <w:rFonts w:eastAsia="Times New Roman"/>
          <w:color w:val="000000"/>
          <w:sz w:val="20"/>
          <w:szCs w:val="20"/>
        </w:rPr>
        <w:t>versely affect our business. While we believe there are adequate reserve quantities and alternative suppliers available, shortages or interruptions in the receipt or supply of products caused by unanticipated demand, such as occurred during, and as the eco</w:t>
      </w:r>
      <w:r>
        <w:rPr>
          <w:rFonts w:eastAsia="Times New Roman"/>
          <w:color w:val="000000"/>
          <w:sz w:val="20"/>
          <w:szCs w:val="20"/>
        </w:rPr>
        <w:t xml:space="preserve">nomy recovers from, the COVID-19 pandemic, problems in production or distribution, financial or other difficulties of supplies, </w:t>
      </w:r>
    </w:p>
    <w:p w:rsidR="00000000" w:rsidRDefault="001F39D7">
      <w:pPr>
        <w:jc w:val="center"/>
        <w:divId w:val="301617432"/>
        <w:rPr>
          <w:rFonts w:eastAsia="Times New Roman"/>
        </w:rPr>
      </w:pPr>
      <w:r>
        <w:rPr>
          <w:rFonts w:eastAsia="Times New Roman"/>
          <w:color w:val="000000"/>
          <w:sz w:val="20"/>
          <w:szCs w:val="20"/>
        </w:rPr>
        <w:t>16</w:t>
      </w:r>
    </w:p>
    <w:p w:rsidR="00000000" w:rsidRDefault="001F39D7">
      <w:pPr>
        <w:rPr>
          <w:rFonts w:eastAsia="Times New Roman"/>
        </w:rPr>
      </w:pPr>
      <w:r>
        <w:rPr>
          <w:rFonts w:eastAsia="Times New Roman"/>
        </w:rPr>
        <w:pict>
          <v:rect id="_x0000_i1044" style="width:0;height:1.5pt" o:hralign="center" o:hrstd="t" o:hr="t" fillcolor="#a0a0a0" stroked="f"/>
        </w:pict>
      </w:r>
    </w:p>
    <w:p w:rsidR="00000000" w:rsidRDefault="001F39D7">
      <w:pPr>
        <w:divId w:val="1499416417"/>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inclement weather or other economic conditions, including the availability of qualified drivers and distribution center team members, could adversely affect the availability, quality and cost of products, and our operating results.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The implementation of</w:t>
      </w:r>
      <w:r>
        <w:rPr>
          <w:rFonts w:eastAsia="Times New Roman"/>
          <w:i/>
          <w:iCs/>
          <w:color w:val="000000"/>
          <w:sz w:val="20"/>
          <w:szCs w:val="20"/>
        </w:rPr>
        <w:t xml:space="preserve"> our supply chain initiatives could disrupt our operations in the near term, and these initiatives might not provide the anticipated benefits or might fail.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maintain a network of distribution facilities and have plans to build new distribution facilit</w:t>
      </w:r>
      <w:r>
        <w:rPr>
          <w:rFonts w:eastAsia="Times New Roman"/>
          <w:color w:val="000000"/>
          <w:sz w:val="20"/>
          <w:szCs w:val="20"/>
        </w:rPr>
        <w:t>ies and expand existing facilities to support our long-term strategic growth initiatives. Delays in opening new or expanded distribution facilities could adversely affect our future operations by slowing store growth or negatively impacting our fulfillment</w:t>
      </w:r>
      <w:r>
        <w:rPr>
          <w:rFonts w:eastAsia="Times New Roman"/>
          <w:color w:val="000000"/>
          <w:sz w:val="20"/>
          <w:szCs w:val="20"/>
        </w:rPr>
        <w:t xml:space="preserve"> capabilities, which may in turn reduce revenue growth. In addition, distribution-related construction or expansion projects entail risks which could cause delays and cost overruns, such as: shortages of materials; shortages of skilled labor or work stoppa</w:t>
      </w:r>
      <w:r>
        <w:rPr>
          <w:rFonts w:eastAsia="Times New Roman"/>
          <w:color w:val="000000"/>
          <w:sz w:val="20"/>
          <w:szCs w:val="20"/>
        </w:rPr>
        <w:t>ges; unforeseen construction, scheduling, engineering, environmental, or geological problems; weather interference; fires or other casualty losses; and unanticipated cost increases. The completion date and ultimate cost of future projects could differ sign</w:t>
      </w:r>
      <w:r>
        <w:rPr>
          <w:rFonts w:eastAsia="Times New Roman"/>
          <w:color w:val="000000"/>
          <w:sz w:val="20"/>
          <w:szCs w:val="20"/>
        </w:rPr>
        <w:t xml:space="preserve">ificantly from initial expectations due to construction-related or other reasons. We cannot guarantee that all projects will be completed on time or within established budgets.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continue to make significant technology investments in our supply chain. </w:t>
      </w:r>
      <w:r>
        <w:rPr>
          <w:rFonts w:eastAsia="Times New Roman"/>
          <w:color w:val="000000"/>
          <w:sz w:val="20"/>
          <w:szCs w:val="20"/>
        </w:rPr>
        <w:t>These initiatives are designed to streamline our distribution process so that we can optimize the delivery of goods and services to our stores, distribution facilities, and customers in a timely manner and at a reasonable cost. The cost and potential probl</w:t>
      </w:r>
      <w:r>
        <w:rPr>
          <w:rFonts w:eastAsia="Times New Roman"/>
          <w:color w:val="000000"/>
          <w:sz w:val="20"/>
          <w:szCs w:val="20"/>
        </w:rPr>
        <w:t>ems and interruptions associated with the implementation of these initiatives, including those associated with managing third-party service providers and employing new web-based tools and services, could disrupt or reduce the efficiency of our operations i</w:t>
      </w:r>
      <w:r>
        <w:rPr>
          <w:rFonts w:eastAsia="Times New Roman"/>
          <w:color w:val="000000"/>
          <w:sz w:val="20"/>
          <w:szCs w:val="20"/>
        </w:rPr>
        <w:t>n the near term. In addition, our improved supply chain technology might not provide the anticipated benefits, it might take longer than expected to realize the anticipated benefits, or the initiatives might fail altogether.</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Technology, Data Security, Bu</w:t>
      </w:r>
      <w:r>
        <w:rPr>
          <w:rFonts w:eastAsia="Times New Roman"/>
          <w:b/>
          <w:bCs/>
          <w:color w:val="000000"/>
          <w:sz w:val="20"/>
          <w:szCs w:val="20"/>
        </w:rPr>
        <w:t>siness Continuity and Disaster Recovery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Any failure to maintain the security of the information relating to our business, customers, team members, and vendors that we hold, whether as a result of cybersecurity attacks or otherwise, could damage our</w:t>
      </w:r>
      <w:r>
        <w:rPr>
          <w:rFonts w:eastAsia="Times New Roman"/>
          <w:i/>
          <w:iCs/>
          <w:color w:val="000000"/>
          <w:sz w:val="20"/>
          <w:szCs w:val="20"/>
        </w:rPr>
        <w:t xml:space="preserve"> reputation with customers, employees, and vendors, could cause us to incur substantial additional costs and to become subject to litigation, and could materially affect our operating results, financial condition, and liquidity.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depend on information</w:t>
      </w:r>
      <w:r>
        <w:rPr>
          <w:rFonts w:eastAsia="Times New Roman"/>
          <w:color w:val="000000"/>
          <w:sz w:val="20"/>
          <w:szCs w:val="20"/>
        </w:rPr>
        <w:t xml:space="preserve"> systems and technology, some of which are managed or provided by third-parties, for many activities important to our business. As do most retailers, we receive and store in our information systems certain personal and other sensitive information about our</w:t>
      </w:r>
      <w:r>
        <w:rPr>
          <w:rFonts w:eastAsia="Times New Roman"/>
          <w:color w:val="000000"/>
          <w:sz w:val="20"/>
          <w:szCs w:val="20"/>
        </w:rPr>
        <w:t xml:space="preserve"> business</w:t>
      </w:r>
      <w:r>
        <w:rPr>
          <w:rFonts w:eastAsia="Times New Roman"/>
          <w:color w:val="000000"/>
          <w:sz w:val="20"/>
          <w:szCs w:val="20"/>
          <w:shd w:val="clear" w:color="auto" w:fill="FFFFFF"/>
        </w:rPr>
        <w:t>, customers, team members</w:t>
      </w:r>
      <w:r>
        <w:rPr>
          <w:rFonts w:eastAsia="Times New Roman"/>
          <w:color w:val="000000"/>
          <w:sz w:val="20"/>
          <w:szCs w:val="20"/>
        </w:rPr>
        <w:t xml:space="preserve">, and vendors. Additionally, we also receive and process information permitting cashless payments as part of our in-store and online operations at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xml:space="preserve"> and on our mobile application, some of w</w:t>
      </w:r>
      <w:r>
        <w:rPr>
          <w:rFonts w:eastAsia="Times New Roman"/>
          <w:color w:val="000000"/>
          <w:sz w:val="20"/>
          <w:szCs w:val="20"/>
        </w:rPr>
        <w:t>hich depend upon the secure transmission of confidential information over public networks. The information that we receive and store makes us subject to cybersecurity attacks and cyber incidents, which are occurring more frequently, are constantly evolving</w:t>
      </w:r>
      <w:r>
        <w:rPr>
          <w:rFonts w:eastAsia="Times New Roman"/>
          <w:color w:val="000000"/>
          <w:sz w:val="20"/>
          <w:szCs w:val="20"/>
        </w:rPr>
        <w:t xml:space="preserve"> in nature, are becoming more sophisticated, and are being made by groups and individuals with a wide range of expertise and motives. We are the target of attempted cyber and other security threats and we continuously monitor our information technology net</w:t>
      </w:r>
      <w:r>
        <w:rPr>
          <w:rFonts w:eastAsia="Times New Roman"/>
          <w:color w:val="000000"/>
          <w:sz w:val="20"/>
          <w:szCs w:val="20"/>
        </w:rPr>
        <w:t xml:space="preserve">works and infrastructure in an effort to prevent, detect, address and mitigate the risk of unauthorized access, misuse, computer viruses and other events that could have a security impact. However, these security measures cannot provide absolute assurance </w:t>
      </w:r>
      <w:r>
        <w:rPr>
          <w:rFonts w:eastAsia="Times New Roman"/>
          <w:color w:val="000000"/>
          <w:sz w:val="20"/>
          <w:szCs w:val="20"/>
        </w:rPr>
        <w:t>or guarantee that we will be successful in preventing, detecting, or responding to every such breach or disruption and/or preventing the misuse of confidential information of our busines</w:t>
      </w:r>
      <w:r>
        <w:rPr>
          <w:rFonts w:eastAsia="Times New Roman"/>
          <w:color w:val="000000"/>
          <w:sz w:val="20"/>
          <w:szCs w:val="20"/>
          <w:shd w:val="clear" w:color="auto" w:fill="FFFFFF"/>
        </w:rPr>
        <w:t>s, customers, team members,</w:t>
      </w:r>
      <w:r>
        <w:rPr>
          <w:rFonts w:eastAsia="Times New Roman"/>
          <w:color w:val="000000"/>
          <w:sz w:val="20"/>
          <w:szCs w:val="20"/>
        </w:rPr>
        <w:t xml:space="preserve"> or vendors. Similar risks exist with respe</w:t>
      </w:r>
      <w:r>
        <w:rPr>
          <w:rFonts w:eastAsia="Times New Roman"/>
          <w:color w:val="000000"/>
          <w:sz w:val="20"/>
          <w:szCs w:val="20"/>
        </w:rPr>
        <w:t xml:space="preserve">ct to the third-party vendors on which we rely for aspects of our information technology support services and administrative functions, even if the attack or breach does not directly impact our systems or information.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 compromise of our information sec</w:t>
      </w:r>
      <w:r>
        <w:rPr>
          <w:rFonts w:eastAsia="Times New Roman"/>
          <w:color w:val="000000"/>
          <w:sz w:val="20"/>
          <w:szCs w:val="20"/>
        </w:rPr>
        <w:t>urity and privacy controls, or those of businesses and vendors with whom we interact, which results in confidential information being accessed, obtained, damaged, or used by unauthorized or improper parties; loss or unavailability of data; disruptions to o</w:t>
      </w:r>
      <w:r>
        <w:rPr>
          <w:rFonts w:eastAsia="Times New Roman"/>
          <w:color w:val="000000"/>
          <w:sz w:val="20"/>
          <w:szCs w:val="20"/>
        </w:rPr>
        <w:t>ur business activities; or any other outcome stemming from a cybersecurity incident could materially adversely affect our reputation with our custome</w:t>
      </w:r>
      <w:r>
        <w:rPr>
          <w:rFonts w:eastAsia="Times New Roman"/>
          <w:color w:val="000000"/>
          <w:sz w:val="20"/>
          <w:szCs w:val="20"/>
          <w:shd w:val="clear" w:color="auto" w:fill="FFFFFF"/>
        </w:rPr>
        <w:t>rs, team members, a</w:t>
      </w:r>
      <w:r>
        <w:rPr>
          <w:rFonts w:eastAsia="Times New Roman"/>
          <w:color w:val="000000"/>
          <w:sz w:val="20"/>
          <w:szCs w:val="20"/>
        </w:rPr>
        <w:t>nd vendors, as well as our operations, results of operations, financial condition, and l</w:t>
      </w:r>
      <w:r>
        <w:rPr>
          <w:rFonts w:eastAsia="Times New Roman"/>
          <w:color w:val="000000"/>
          <w:sz w:val="20"/>
          <w:szCs w:val="20"/>
        </w:rPr>
        <w:t xml:space="preserve">iquidity, and could result in significant legal and financial exposure beyond the scope or limits of insurance coverage. Moreover, a security breach could require that we expend significant additional resources to respond to the attack or breach and could </w:t>
      </w:r>
      <w:r>
        <w:rPr>
          <w:rFonts w:eastAsia="Times New Roman"/>
          <w:color w:val="000000"/>
          <w:sz w:val="20"/>
          <w:szCs w:val="20"/>
        </w:rPr>
        <w:t>result in a disruption of our operations.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states and the federal government have enacted laws and regulations relating to privacy, data breaches, and theft of employee and customer data.  These laws have increased the costs of doing business</w:t>
      </w:r>
      <w:r>
        <w:rPr>
          <w:rFonts w:eastAsia="Times New Roman"/>
          <w:color w:val="000000"/>
          <w:sz w:val="20"/>
          <w:szCs w:val="20"/>
        </w:rPr>
        <w:t xml:space="preserve"> and, if we fail to comply with these laws and regulations to implement appropriate safeguards or to detect and provide prompt notice of unauthorized access as required </w:t>
      </w:r>
    </w:p>
    <w:p w:rsidR="00000000" w:rsidRDefault="001F39D7">
      <w:pPr>
        <w:jc w:val="center"/>
        <w:divId w:val="729766021"/>
        <w:rPr>
          <w:rFonts w:eastAsia="Times New Roman"/>
        </w:rPr>
      </w:pPr>
      <w:r>
        <w:rPr>
          <w:rFonts w:eastAsia="Times New Roman"/>
          <w:color w:val="000000"/>
          <w:sz w:val="20"/>
          <w:szCs w:val="20"/>
        </w:rPr>
        <w:t>17</w:t>
      </w:r>
    </w:p>
    <w:p w:rsidR="00000000" w:rsidRDefault="001F39D7">
      <w:pPr>
        <w:rPr>
          <w:rFonts w:eastAsia="Times New Roman"/>
        </w:rPr>
      </w:pPr>
      <w:r>
        <w:rPr>
          <w:rFonts w:eastAsia="Times New Roman"/>
        </w:rPr>
        <w:pict>
          <v:rect id="_x0000_i1045" style="width:0;height:1.5pt" o:hralign="center" o:hrstd="t" o:hr="t" fillcolor="#a0a0a0" stroked="f"/>
        </w:pict>
      </w:r>
    </w:p>
    <w:p w:rsidR="00000000" w:rsidRDefault="001F39D7">
      <w:pPr>
        <w:divId w:val="138000965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by some of these new laws, we could be subject to potential claims for damages and other remedies, which could harm our business. </w:t>
      </w:r>
    </w:p>
    <w:p w:rsidR="00000000" w:rsidRDefault="001F39D7">
      <w:pPr>
        <w:divId w:val="459569996"/>
        <w:rPr>
          <w:rFonts w:eastAsia="Times New Roman"/>
        </w:rPr>
      </w:pPr>
    </w:p>
    <w:p w:rsidR="00000000" w:rsidRDefault="001F39D7">
      <w:pPr>
        <w:jc w:val="both"/>
        <w:rPr>
          <w:rFonts w:eastAsia="Times New Roman"/>
        </w:rPr>
      </w:pPr>
      <w:r>
        <w:rPr>
          <w:rFonts w:eastAsia="Times New Roman"/>
          <w:i/>
          <w:iCs/>
          <w:color w:val="000000"/>
          <w:sz w:val="20"/>
          <w:szCs w:val="20"/>
        </w:rPr>
        <w:t>We are subject to payments-related risks that could increase our operating costs, expose us to fraud, sub</w:t>
      </w:r>
      <w:r>
        <w:rPr>
          <w:rFonts w:eastAsia="Times New Roman"/>
          <w:i/>
          <w:iCs/>
          <w:color w:val="000000"/>
          <w:sz w:val="20"/>
          <w:szCs w:val="20"/>
        </w:rPr>
        <w:t>ject us to potential liability, and potentially disrupt our business.</w:t>
      </w:r>
    </w:p>
    <w:p w:rsidR="00000000" w:rsidRDefault="001F39D7">
      <w:pPr>
        <w:divId w:val="906913402"/>
        <w:rPr>
          <w:rFonts w:eastAsia="Times New Roman"/>
        </w:rPr>
      </w:pPr>
    </w:p>
    <w:p w:rsidR="00000000" w:rsidRDefault="001F39D7">
      <w:pPr>
        <w:jc w:val="both"/>
        <w:rPr>
          <w:rFonts w:eastAsia="Times New Roman"/>
        </w:rPr>
      </w:pPr>
      <w:r>
        <w:rPr>
          <w:rFonts w:eastAsia="Times New Roman"/>
          <w:color w:val="000000"/>
          <w:sz w:val="20"/>
          <w:szCs w:val="20"/>
        </w:rPr>
        <w:t>We accept payments using a variety of methods, including credit cards, debit cards, credit accounts, our private label credit cards, gift cards, direct debit from a customer’s bank acc</w:t>
      </w:r>
      <w:r>
        <w:rPr>
          <w:rFonts w:eastAsia="Times New Roman"/>
          <w:color w:val="000000"/>
          <w:sz w:val="20"/>
          <w:szCs w:val="20"/>
        </w:rPr>
        <w:t>ount, consumer invoicing, and physical bank checks, and we may offer different payment options over time. These payment options subject us to many compliance requirements, including, but not limited to, compliance with payment card association operating ru</w:t>
      </w:r>
      <w:r>
        <w:rPr>
          <w:rFonts w:eastAsia="Times New Roman"/>
          <w:color w:val="000000"/>
          <w:sz w:val="20"/>
          <w:szCs w:val="20"/>
        </w:rPr>
        <w:t>les, including data security rules, certification requirements, rules governing electronic funds transfers, and Payment Card Industry Data Security Standards. They also subject us to potential fraud by criminal elements seeking to discover and take advanta</w:t>
      </w:r>
      <w:r>
        <w:rPr>
          <w:rFonts w:eastAsia="Times New Roman"/>
          <w:color w:val="000000"/>
          <w:sz w:val="20"/>
          <w:szCs w:val="20"/>
        </w:rPr>
        <w:t>ge of security vulnerabilities that may exist in some of these payment systems. For certain payment methods, including credit and debit cards, we pay interchange and other fees, which may increase over time and raise our operating costs and lower profitabi</w:t>
      </w:r>
      <w:r>
        <w:rPr>
          <w:rFonts w:eastAsia="Times New Roman"/>
          <w:color w:val="000000"/>
          <w:sz w:val="20"/>
          <w:szCs w:val="20"/>
        </w:rPr>
        <w:t xml:space="preserve">lity. We rely on third parties to provide payment processing services, including the processing of credit cards, debit cards, electronic checks, gift cards and promotional financing, and it could disrupt our business if these companies become unwilling or </w:t>
      </w:r>
      <w:r>
        <w:rPr>
          <w:rFonts w:eastAsia="Times New Roman"/>
          <w:color w:val="000000"/>
          <w:sz w:val="20"/>
          <w:szCs w:val="20"/>
        </w:rPr>
        <w:t>unable to provide these services to us. If we fail to comply with these rules or requirements, adequately encrypt payment transaction data, or if our data security systems are breached or compromised, we may be liable for card issuing banks’ costs, subject</w:t>
      </w:r>
      <w:r>
        <w:rPr>
          <w:rFonts w:eastAsia="Times New Roman"/>
          <w:color w:val="000000"/>
          <w:sz w:val="20"/>
          <w:szCs w:val="20"/>
        </w:rPr>
        <w:t xml:space="preserve"> to fines and higher transaction fees, and lose our ability to accept credit and debit card payments from our customers, process electronic funds transfers, or facilitate other types of online payments, and our business and operating results could be adver</w:t>
      </w:r>
      <w:r>
        <w:rPr>
          <w:rFonts w:eastAsia="Times New Roman"/>
          <w:color w:val="000000"/>
          <w:sz w:val="20"/>
          <w:szCs w:val="20"/>
        </w:rPr>
        <w:t>sely affected.</w:t>
      </w:r>
    </w:p>
    <w:p w:rsidR="00000000" w:rsidRDefault="001F39D7">
      <w:pPr>
        <w:divId w:val="2004549979"/>
        <w:rPr>
          <w:rFonts w:eastAsia="Times New Roman"/>
        </w:rPr>
      </w:pPr>
    </w:p>
    <w:p w:rsidR="00000000" w:rsidRDefault="001F39D7">
      <w:pPr>
        <w:jc w:val="both"/>
        <w:rPr>
          <w:rFonts w:eastAsia="Times New Roman"/>
        </w:rPr>
      </w:pPr>
      <w:r>
        <w:rPr>
          <w:rFonts w:eastAsia="Times New Roman"/>
          <w:i/>
          <w:iCs/>
          <w:color w:val="000000"/>
          <w:sz w:val="20"/>
          <w:szCs w:val="20"/>
        </w:rPr>
        <w:t>Our business and operations could suffer material losses in the event of system interruptions or failures.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information technology systems, some of which are dependent on services managed or provided by third-parties, serve an important role in the operation and administration of our business. These systems are vulnerable to damages from any number of source</w:t>
      </w:r>
      <w:r>
        <w:rPr>
          <w:rFonts w:eastAsia="Times New Roman"/>
          <w:color w:val="000000"/>
          <w:sz w:val="20"/>
          <w:szCs w:val="20"/>
        </w:rPr>
        <w:t>s, including, but not limited to, human error, cybersecurity attacks, computer viruses, unauthorized access, fire, flood, power outages, telecommunication failures, facility or equipment damage, natural disasters, terrorism, and war.  In addition, we conti</w:t>
      </w:r>
      <w:r>
        <w:rPr>
          <w:rFonts w:eastAsia="Times New Roman"/>
          <w:color w:val="000000"/>
          <w:sz w:val="20"/>
          <w:szCs w:val="20"/>
        </w:rPr>
        <w:t>nually make investments in technology to implement new processes and systems, as well as to maintain and update our existing processes and systems. Implementing process and system changes increases the risk of disruption. If our information technology syst</w:t>
      </w:r>
      <w:r>
        <w:rPr>
          <w:rFonts w:eastAsia="Times New Roman"/>
          <w:color w:val="000000"/>
          <w:sz w:val="20"/>
          <w:szCs w:val="20"/>
        </w:rPr>
        <w:t>ems are interrupted or fail and our redundant systems or recovery plans are not adequate to address such interruptions or failures on a timely basis, our revenues and profits could be reduced and the reputation of our brand and our business could be materi</w:t>
      </w:r>
      <w:r>
        <w:rPr>
          <w:rFonts w:eastAsia="Times New Roman"/>
          <w:color w:val="000000"/>
          <w:sz w:val="20"/>
          <w:szCs w:val="20"/>
        </w:rPr>
        <w:t>ally adversely affected.  Additionally, remediation of any problems with our systems could result in significant, unplanned expenses.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Customer-facing technology systems are an important part of our sales and marketing strategy and the failure of those sy</w:t>
      </w:r>
      <w:r>
        <w:rPr>
          <w:rFonts w:eastAsia="Times New Roman"/>
          <w:i/>
          <w:iCs/>
          <w:color w:val="000000"/>
          <w:sz w:val="20"/>
          <w:szCs w:val="20"/>
        </w:rPr>
        <w:t>stems to perform effectively and reliably could keep us from delivering positive customer experiences.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Through our continued information technology enhancements, we believe we are able to provide an improved overall shopping environment and an omni-chann</w:t>
      </w:r>
      <w:r>
        <w:rPr>
          <w:rFonts w:eastAsia="Times New Roman"/>
          <w:color w:val="000000"/>
          <w:sz w:val="20"/>
          <w:szCs w:val="20"/>
        </w:rPr>
        <w:t xml:space="preserve">el experience that empowers our customers to shop and interact with us from computers, tablets, smart phones, and other mobile communication devices. We use our websites,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and our mobile application as both a sales channe</w:t>
      </w:r>
      <w:r>
        <w:rPr>
          <w:rFonts w:eastAsia="Times New Roman"/>
          <w:color w:val="000000"/>
          <w:sz w:val="20"/>
          <w:szCs w:val="20"/>
        </w:rPr>
        <w:t xml:space="preserve">l for our products and as a method of providing product, project, and other relevant information to our customers to drive in-store and online sales. Omni-channel retailing is continually evolving and expanding, and we must effectively respond to changing </w:t>
      </w:r>
      <w:r>
        <w:rPr>
          <w:rFonts w:eastAsia="Times New Roman"/>
          <w:color w:val="000000"/>
          <w:sz w:val="20"/>
          <w:szCs w:val="20"/>
        </w:rPr>
        <w:t>customer expectations and new developments. The portion of total consumer expenditures with retailers occurring online and through mobile applications has continued to increase and has accelerated significantly during the COVID-19 pandemic. The pace of thi</w:t>
      </w:r>
      <w:r>
        <w:rPr>
          <w:rFonts w:eastAsia="Times New Roman"/>
          <w:color w:val="000000"/>
          <w:sz w:val="20"/>
          <w:szCs w:val="20"/>
        </w:rPr>
        <w:t>s increase could further accelerate in the future. Our business has evolved from an in-store experience to interaction with customers across numerous channels, including in-store, online, mobile and social media, among others. Omni-channel retailing is rap</w:t>
      </w:r>
      <w:r>
        <w:rPr>
          <w:rFonts w:eastAsia="Times New Roman"/>
          <w:color w:val="000000"/>
          <w:sz w:val="20"/>
          <w:szCs w:val="20"/>
        </w:rPr>
        <w:t>idly evolving, and we must keep pace with changing customer expectations and new developments by our competitors. Our customers are increasingly using mobile phones, tablets, computers, and other devices to shop and to interact with us through social media</w:t>
      </w:r>
      <w:r>
        <w:rPr>
          <w:rFonts w:eastAsia="Times New Roman"/>
          <w:color w:val="000000"/>
          <w:sz w:val="20"/>
          <w:szCs w:val="20"/>
        </w:rPr>
        <w:t>, particularly in the wake of COVID-19. We are making investments in our websites and mobile applications. If we are unable to make, improve, or develop relevant customer-facing technology in a timely manner, our ability to compete and our results of opera</w:t>
      </w:r>
      <w:r>
        <w:rPr>
          <w:rFonts w:eastAsia="Times New Roman"/>
          <w:color w:val="000000"/>
          <w:sz w:val="20"/>
          <w:szCs w:val="20"/>
        </w:rPr>
        <w:t xml:space="preserve">tions could be adversely affected. Disruptions, failures, or other performance issues with these customer-facing technology systems could impair the benefits that they provide to our in-store and online business and negatively affect our relationship with </w:t>
      </w:r>
      <w:r>
        <w:rPr>
          <w:rFonts w:eastAsia="Times New Roman"/>
          <w:color w:val="000000"/>
          <w:sz w:val="20"/>
          <w:szCs w:val="20"/>
        </w:rPr>
        <w:t>our customers.</w:t>
      </w:r>
    </w:p>
    <w:p w:rsidR="00000000" w:rsidRDefault="001F39D7">
      <w:pPr>
        <w:jc w:val="both"/>
        <w:rPr>
          <w:rFonts w:eastAsia="Times New Roman"/>
        </w:rPr>
      </w:pPr>
    </w:p>
    <w:p w:rsidR="00000000" w:rsidRDefault="001F39D7">
      <w:pPr>
        <w:jc w:val="center"/>
        <w:divId w:val="167646030"/>
        <w:rPr>
          <w:rFonts w:eastAsia="Times New Roman"/>
        </w:rPr>
      </w:pPr>
      <w:r>
        <w:rPr>
          <w:rFonts w:eastAsia="Times New Roman"/>
          <w:color w:val="000000"/>
          <w:sz w:val="20"/>
          <w:szCs w:val="20"/>
        </w:rPr>
        <w:t>18</w:t>
      </w:r>
    </w:p>
    <w:p w:rsidR="00000000" w:rsidRDefault="001F39D7">
      <w:pPr>
        <w:rPr>
          <w:rFonts w:eastAsia="Times New Roman"/>
        </w:rPr>
      </w:pPr>
      <w:r>
        <w:rPr>
          <w:rFonts w:eastAsia="Times New Roman"/>
        </w:rPr>
        <w:pict>
          <v:rect id="_x0000_i1046" style="width:0;height:1.5pt" o:hralign="center" o:hrstd="t" o:hr="t" fillcolor="#a0a0a0" stroked="f"/>
        </w:pict>
      </w:r>
    </w:p>
    <w:p w:rsidR="00000000" w:rsidRDefault="001F39D7">
      <w:pPr>
        <w:divId w:val="172694905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i/>
          <w:iCs/>
          <w:color w:val="000000"/>
          <w:sz w:val="20"/>
          <w:szCs w:val="20"/>
        </w:rPr>
        <w:t>If we are unable to maintain or upgrade our management information systems and software programs or if we are unable to convert to alter</w:t>
      </w:r>
      <w:r>
        <w:rPr>
          <w:rFonts w:eastAsia="Times New Roman"/>
          <w:i/>
          <w:iCs/>
          <w:color w:val="000000"/>
          <w:sz w:val="20"/>
          <w:szCs w:val="20"/>
        </w:rPr>
        <w:t>nate systems in an efficient and timely manner, our operations may be disrupted or become less efficient and our long-term strategic growth initiatives may not be successful.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depend on management information systems for many aspects of our business.  </w:t>
      </w:r>
      <w:r>
        <w:rPr>
          <w:rFonts w:eastAsia="Times New Roman"/>
          <w:color w:val="000000"/>
          <w:sz w:val="20"/>
          <w:szCs w:val="20"/>
        </w:rPr>
        <w:t>We rely on certain software vendors to maintain and periodically upgrade many of these systems so that we can continue to support our business. We could be materially adversely affected if we experienced a disruption or data loss relating to our management</w:t>
      </w:r>
      <w:r>
        <w:rPr>
          <w:rFonts w:eastAsia="Times New Roman"/>
          <w:color w:val="000000"/>
          <w:sz w:val="20"/>
          <w:szCs w:val="20"/>
        </w:rPr>
        <w:t xml:space="preserve"> information systems and are unable to recover timely. We could also be adversely impacted if we are unable to improve, upgrade, maintain, and expand our management information systems, particularly in light of the contemplated continued store growth.</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w:t>
      </w:r>
      <w:r>
        <w:rPr>
          <w:rFonts w:eastAsia="Times New Roman"/>
          <w:color w:val="000000"/>
          <w:sz w:val="20"/>
          <w:szCs w:val="20"/>
        </w:rPr>
        <w:t>e success of our long-term strategic growth initiatives designed to increase our sales and improve margin are dependent in varying degrees on the timely delivery and the functionality of information technology systems to support them.  Extended delays or c</w:t>
      </w:r>
      <w:r>
        <w:rPr>
          <w:rFonts w:eastAsia="Times New Roman"/>
          <w:color w:val="000000"/>
          <w:sz w:val="20"/>
          <w:szCs w:val="20"/>
        </w:rPr>
        <w:t>ost overruns in securing, developing, and otherwise implementing technology solutions to support the long-term strategic growth initiatives would delay and possibly even prevent us from realizing the projected benefits of those initiatives.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Financial Ris</w:t>
      </w:r>
      <w:r>
        <w:rPr>
          <w:rFonts w:eastAsia="Times New Roman"/>
          <w:b/>
          <w:bCs/>
          <w:color w:val="000000"/>
          <w:sz w:val="20"/>
          <w:szCs w:val="20"/>
        </w:rPr>
        <w:t>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Changes in market conditions or in our credit rating could restrict capital and adversely affect our business operations and growth initiatives.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rely on the positive cash flow we generate from our operating activities and our access to the credit</w:t>
      </w:r>
      <w:r>
        <w:rPr>
          <w:rFonts w:eastAsia="Times New Roman"/>
          <w:color w:val="000000"/>
          <w:sz w:val="20"/>
          <w:szCs w:val="20"/>
        </w:rPr>
        <w:t xml:space="preserve"> and capital markets to fund our operations, growth strategy, capital expenditures, and return of cash to our stockholders through share repurchases and dividends. Changes in the credit and capital markets, including market disruptions, limited liquidity a</w:t>
      </w:r>
      <w:r>
        <w:rPr>
          <w:rFonts w:eastAsia="Times New Roman"/>
          <w:color w:val="000000"/>
          <w:sz w:val="20"/>
          <w:szCs w:val="20"/>
        </w:rPr>
        <w:t>nd interest rate fluctuations, may increase the cost of financing or restrict our access to these potential sources of future liquidity. Our continued access to liquidity sources on favorable terms depends on multiple factors, including our operating perfo</w:t>
      </w:r>
      <w:r>
        <w:rPr>
          <w:rFonts w:eastAsia="Times New Roman"/>
          <w:color w:val="000000"/>
          <w:sz w:val="20"/>
          <w:szCs w:val="20"/>
        </w:rPr>
        <w:t>rmance and credit ratings. There can be no assurance that we will be able to maintain and/or improve our current credit ratings. A rating organization may lower our rating, or change our ratings’ outlook, or decide not to rate our securities, temporarily o</w:t>
      </w:r>
      <w:r>
        <w:rPr>
          <w:rFonts w:eastAsia="Times New Roman"/>
          <w:color w:val="000000"/>
          <w:sz w:val="20"/>
          <w:szCs w:val="20"/>
        </w:rPr>
        <w:t>r permanently, in its sole discretion. In the event that our current credit ratings are downgraded or removed, we would most likely incur higher borrowing costs and experience greater difficulty in obtaining additional financing, which in turn would have a</w:t>
      </w:r>
      <w:r>
        <w:rPr>
          <w:rFonts w:eastAsia="Times New Roman"/>
          <w:color w:val="000000"/>
          <w:sz w:val="20"/>
          <w:szCs w:val="20"/>
        </w:rPr>
        <w:t xml:space="preserve"> material adverse impact on our financial condition, results of operations, cash flows, and liquidity. We can make no assurances that our ability to obtain additional financing through the debt and equity markets will not be adversely affected by economic </w:t>
      </w:r>
      <w:r>
        <w:rPr>
          <w:rFonts w:eastAsia="Times New Roman"/>
          <w:color w:val="000000"/>
          <w:sz w:val="20"/>
          <w:szCs w:val="20"/>
        </w:rPr>
        <w:t>conditions or that we will be able to maintain or improve our current credit ratings.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tight lending practices may make it difficult for our real estate developers to obtain financing under acceptable loan terms and conditions.  Unfavorable l</w:t>
      </w:r>
      <w:r>
        <w:rPr>
          <w:rFonts w:eastAsia="Times New Roman"/>
          <w:color w:val="000000"/>
          <w:sz w:val="20"/>
          <w:szCs w:val="20"/>
        </w:rPr>
        <w:t>ending conditions could impact the timing of our store openings and materially adversely affect our ability to open new stores in desirable locations.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Longer-term disruptions in the capital and credit markets as a result of uncertainty, changing or incre</w:t>
      </w:r>
      <w:r>
        <w:rPr>
          <w:rFonts w:eastAsia="Times New Roman"/>
          <w:color w:val="000000"/>
          <w:sz w:val="20"/>
          <w:szCs w:val="20"/>
        </w:rPr>
        <w:t>ased regulation, reduced funding alternatives, or failures of significant financial institutions could adversely affect our access to liquidity needed for our business.  Any disruption could require us to take measures to conserve cash until the markets st</w:t>
      </w:r>
      <w:r>
        <w:rPr>
          <w:rFonts w:eastAsia="Times New Roman"/>
          <w:color w:val="000000"/>
          <w:sz w:val="20"/>
          <w:szCs w:val="20"/>
        </w:rPr>
        <w:t>abilize or until alternative credit arrangements or other funding for our business needs can be arranged.  Such measures could include deferring capital expenditures and reducing or eliminating future share repurchases, cash dividends, or other discretiona</w:t>
      </w:r>
      <w:r>
        <w:rPr>
          <w:rFonts w:eastAsia="Times New Roman"/>
          <w:color w:val="000000"/>
          <w:sz w:val="20"/>
          <w:szCs w:val="20"/>
        </w:rPr>
        <w:t>ry uses of cash.</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Our level of indebtedness could limit our cash flow available for operations and could adversely affect our ability to service our debt or obtain additional financing.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As of December 25, 2021, our total outstanding consolidated debt wa</w:t>
      </w:r>
      <w:r>
        <w:rPr>
          <w:rFonts w:eastAsia="Times New Roman"/>
          <w:color w:val="000000"/>
          <w:sz w:val="20"/>
          <w:szCs w:val="20"/>
        </w:rPr>
        <w:t xml:space="preserve">s approximately $986.4 million. Our level of indebtedness could restrict our operations and make it more difficult for us to satisfy our debt obligations. Our ability to make payments on our indebtedness, to refinance our indebtedness, and to fund planned </w:t>
      </w:r>
      <w:r>
        <w:rPr>
          <w:rFonts w:eastAsia="Times New Roman"/>
          <w:color w:val="000000"/>
          <w:sz w:val="20"/>
          <w:szCs w:val="20"/>
        </w:rPr>
        <w:t>capital expenditures will depend on our ability to generate cash in the future.</w:t>
      </w:r>
      <w:r>
        <w:rPr>
          <w:rFonts w:eastAsia="Times New Roman"/>
          <w:color w:val="000000"/>
        </w:rPr>
        <w:t xml:space="preserve"> </w:t>
      </w:r>
      <w:r>
        <w:rPr>
          <w:rFonts w:eastAsia="Times New Roman"/>
          <w:color w:val="000000"/>
          <w:sz w:val="20"/>
          <w:szCs w:val="20"/>
        </w:rPr>
        <w:t xml:space="preserve">This ability, to a certain extent, is subject to general economic, financial, competitive, legislative, regulatory, and other factors that are beyond our control. Our business </w:t>
      </w:r>
      <w:r>
        <w:rPr>
          <w:rFonts w:eastAsia="Times New Roman"/>
          <w:color w:val="000000"/>
          <w:sz w:val="20"/>
          <w:szCs w:val="20"/>
        </w:rPr>
        <w:t>may not be able to generate sufficient cash flow from operations, and future borrowings may not be available to us in an amount sufficient to enable us to pay our indebtedness or to fund our other liquidity needs.</w:t>
      </w:r>
      <w:r>
        <w:rPr>
          <w:rFonts w:eastAsia="Times New Roman"/>
          <w:color w:val="000000"/>
        </w:rPr>
        <w:t xml:space="preserve"> </w:t>
      </w:r>
      <w:r>
        <w:rPr>
          <w:rFonts w:eastAsia="Times New Roman"/>
          <w:color w:val="000000"/>
          <w:sz w:val="20"/>
          <w:szCs w:val="20"/>
        </w:rPr>
        <w:t xml:space="preserve">We may need to refinance all or a portion </w:t>
      </w:r>
      <w:r>
        <w:rPr>
          <w:rFonts w:eastAsia="Times New Roman"/>
          <w:color w:val="000000"/>
          <w:sz w:val="20"/>
          <w:szCs w:val="20"/>
        </w:rPr>
        <w:t>of our indebtedness on or before maturity.</w:t>
      </w:r>
      <w:r>
        <w:rPr>
          <w:rFonts w:eastAsia="Times New Roman"/>
          <w:color w:val="000000"/>
        </w:rPr>
        <w:t xml:space="preserve"> </w:t>
      </w:r>
      <w:r>
        <w:rPr>
          <w:rFonts w:eastAsia="Times New Roman"/>
          <w:color w:val="000000"/>
          <w:sz w:val="20"/>
          <w:szCs w:val="20"/>
        </w:rPr>
        <w:t>Our ability to refinance all or a portion of our indebtedness on acceptable terms, or at all, will be dependent upon a number of factors, including our degree of leverage, the value of our assets, borrowing and ot</w:t>
      </w:r>
      <w:r>
        <w:rPr>
          <w:rFonts w:eastAsia="Times New Roman"/>
          <w:color w:val="000000"/>
          <w:sz w:val="20"/>
          <w:szCs w:val="20"/>
        </w:rPr>
        <w:t xml:space="preserve">her financial restrictions imposed by lenders and conditions in the credit markets at the time we refinance. If we are unable to refinance our indebtedness on acceptable terms, we may be forced to agree to otherwise unfavorable financing terms. This could </w:t>
      </w:r>
      <w:r>
        <w:rPr>
          <w:rFonts w:eastAsia="Times New Roman"/>
          <w:color w:val="000000"/>
          <w:sz w:val="20"/>
          <w:szCs w:val="20"/>
        </w:rPr>
        <w:t>have a material adverse effect on our business, financial condition and results of operations.</w:t>
      </w:r>
    </w:p>
    <w:p w:rsidR="00000000" w:rsidRDefault="001F39D7">
      <w:pPr>
        <w:jc w:val="center"/>
        <w:divId w:val="488983945"/>
        <w:rPr>
          <w:rFonts w:eastAsia="Times New Roman"/>
        </w:rPr>
      </w:pPr>
      <w:r>
        <w:rPr>
          <w:rFonts w:eastAsia="Times New Roman"/>
          <w:color w:val="000000"/>
          <w:sz w:val="20"/>
          <w:szCs w:val="20"/>
        </w:rPr>
        <w:t>19</w:t>
      </w:r>
    </w:p>
    <w:p w:rsidR="00000000" w:rsidRDefault="001F39D7">
      <w:pPr>
        <w:rPr>
          <w:rFonts w:eastAsia="Times New Roman"/>
        </w:rPr>
      </w:pPr>
      <w:r>
        <w:rPr>
          <w:rFonts w:eastAsia="Times New Roman"/>
        </w:rPr>
        <w:pict>
          <v:rect id="_x0000_i1047" style="width:0;height:1.5pt" o:hralign="center" o:hrstd="t" o:hr="t" fillcolor="#a0a0a0" stroked="f"/>
        </w:pict>
      </w:r>
    </w:p>
    <w:p w:rsidR="00000000" w:rsidRDefault="001F39D7">
      <w:pPr>
        <w:divId w:val="18097174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so long as we comply with any existing limitations in our credit and debt agreements while they are in effect, we may issue an indeterminate amount of debt securities from time to time. If new debt is added to our and our subsidiaries' current</w:t>
      </w:r>
      <w:r>
        <w:rPr>
          <w:rFonts w:eastAsia="Times New Roman"/>
          <w:color w:val="000000"/>
          <w:sz w:val="20"/>
          <w:szCs w:val="20"/>
        </w:rPr>
        <w:t xml:space="preserve"> debt levels, the related risks that we and they now face could intensify.</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Our credit facilities, the indenture related to our 1.75% Senior Notes, and other debt instruments have restrictive covenants and change of control provisions that could limit our</w:t>
      </w:r>
      <w:r>
        <w:rPr>
          <w:rFonts w:eastAsia="Times New Roman"/>
          <w:i/>
          <w:iCs/>
          <w:color w:val="000000"/>
          <w:sz w:val="20"/>
          <w:szCs w:val="20"/>
        </w:rPr>
        <w:t xml:space="preserve"> financial and business flexibility.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credit agreement governing our senior credit facilities and our note purchase and private shelf agreement governing our senior unsecured notes due August 14, 2029 (the “2029 notes”) each contain financial, operati</w:t>
      </w:r>
      <w:r>
        <w:rPr>
          <w:rFonts w:eastAsia="Times New Roman"/>
          <w:color w:val="000000"/>
          <w:sz w:val="20"/>
          <w:szCs w:val="20"/>
        </w:rPr>
        <w:t>ve and other restrictive covenants in addition to the restrictive covenants contained in the indenture governing our 1.75% Senior Notes (as defined in the Notes to the Consolidated Financial Statements). Our failure to comply with those covenants could res</w:t>
      </w:r>
      <w:r>
        <w:rPr>
          <w:rFonts w:eastAsia="Times New Roman"/>
          <w:color w:val="000000"/>
          <w:sz w:val="20"/>
          <w:szCs w:val="20"/>
        </w:rPr>
        <w:t>ult in an event of default which, if not cured or waived, could result in the acceleration of all of our debt, which would have a material adverse effect on our financial condition. In addition, upon certain events constituting a change of control, as that</w:t>
      </w:r>
      <w:r>
        <w:rPr>
          <w:rFonts w:eastAsia="Times New Roman"/>
          <w:color w:val="000000"/>
          <w:sz w:val="20"/>
          <w:szCs w:val="20"/>
        </w:rPr>
        <w:t xml:space="preserve"> term is defined in the indenture for our 1.75% Senior Notes and in our note purchase and private shelf agreement for our 2029 notes, we are required to make an offer in cash to repurchase all or any part of each holder's 1.75% Senior Notes at a repurchase</w:t>
      </w:r>
      <w:r>
        <w:rPr>
          <w:rFonts w:eastAsia="Times New Roman"/>
          <w:color w:val="000000"/>
          <w:sz w:val="20"/>
          <w:szCs w:val="20"/>
        </w:rPr>
        <w:t xml:space="preserve"> price equal to 101% of the principal thereof, plus accrued interest, and to prepay all of each holder’s 2029 notes at a prepayment price equal to 100% of the principal thereof, plus accrued interest. Sufficient funds may not be available to us, however, a</w:t>
      </w:r>
      <w:r>
        <w:rPr>
          <w:rFonts w:eastAsia="Times New Roman"/>
          <w:color w:val="000000"/>
          <w:sz w:val="20"/>
          <w:szCs w:val="20"/>
        </w:rPr>
        <w:t>t the time of any change of control event to repurchase and prepay, as applicable, all or a portion of the tendered notes pursuant to these requirements. Our failure to offer to repurchase 1.75% Senior Notes and prepay 2029 notes, or to repurchase and prep</w:t>
      </w:r>
      <w:r>
        <w:rPr>
          <w:rFonts w:eastAsia="Times New Roman"/>
          <w:color w:val="000000"/>
          <w:sz w:val="20"/>
          <w:szCs w:val="20"/>
        </w:rPr>
        <w:t>ay, as applicable, notes tendered, following a change of control will result in a default under the indentures for our 1.75% Senior Notes and the note purchase and private shelf agreement for our 2029 notes, which could lead to a cross-default under our cr</w:t>
      </w:r>
      <w:r>
        <w:rPr>
          <w:rFonts w:eastAsia="Times New Roman"/>
          <w:color w:val="000000"/>
          <w:sz w:val="20"/>
          <w:szCs w:val="20"/>
        </w:rPr>
        <w:t xml:space="preserve">edit agreement for our senior credit facilities.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 xml:space="preserve">We cannot provide any guaranty of future dividend payments or that we will continue to repurchase our common stock pursuant to our stock repurchase program.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Although our Board of Directors has indicate</w:t>
      </w:r>
      <w:r>
        <w:rPr>
          <w:rFonts w:eastAsia="Times New Roman"/>
          <w:color w:val="000000"/>
          <w:sz w:val="20"/>
          <w:szCs w:val="20"/>
        </w:rPr>
        <w:t>d an intention to pay future quarterly cash dividends on our common stock, any determination to pay or increase cash dividends on our common stock in the future will be based primarily upon our financial condition, results of operations, business requireme</w:t>
      </w:r>
      <w:r>
        <w:rPr>
          <w:rFonts w:eastAsia="Times New Roman"/>
          <w:color w:val="000000"/>
          <w:sz w:val="20"/>
          <w:szCs w:val="20"/>
        </w:rPr>
        <w:t>nts, and our Board of Directors’ continuing determination that the declaration of dividends is in the best interests of our stockholders and is in compliance with all laws and agreements applicable to the dividend. Furthermore, although our Board of Direct</w:t>
      </w:r>
      <w:r>
        <w:rPr>
          <w:rFonts w:eastAsia="Times New Roman"/>
          <w:color w:val="000000"/>
          <w:sz w:val="20"/>
          <w:szCs w:val="20"/>
        </w:rPr>
        <w:t xml:space="preserve">ors has authorized a share repurchase program of up to $6.5 billion, we may temporarily pause or permanently discontinue this program at any time or significantly reduce the amount of repurchases under the program. The currently authorized amount reflects </w:t>
      </w:r>
      <w:r>
        <w:rPr>
          <w:rFonts w:eastAsia="Times New Roman"/>
          <w:color w:val="000000"/>
          <w:sz w:val="20"/>
          <w:szCs w:val="20"/>
        </w:rPr>
        <w:t>a $2.0 billion increase to the existing share repurchase program which was approved by our Board of Directors o</w:t>
      </w:r>
      <w:r>
        <w:rPr>
          <w:rFonts w:eastAsia="Times New Roman"/>
          <w:color w:val="000000"/>
          <w:sz w:val="20"/>
          <w:szCs w:val="20"/>
          <w:shd w:val="clear" w:color="auto" w:fill="FFFFFF"/>
        </w:rPr>
        <w:t>n January 26, 2022. The share r</w:t>
      </w:r>
      <w:r>
        <w:rPr>
          <w:rFonts w:eastAsia="Times New Roman"/>
          <w:color w:val="000000"/>
          <w:sz w:val="20"/>
          <w:szCs w:val="20"/>
        </w:rPr>
        <w:t>epurchase program does not have an expiration date. As of December 25, 2021, prior to the expanded $2.0 billion re</w:t>
      </w:r>
      <w:r>
        <w:rPr>
          <w:rFonts w:eastAsia="Times New Roman"/>
          <w:color w:val="000000"/>
          <w:sz w:val="20"/>
          <w:szCs w:val="20"/>
        </w:rPr>
        <w:t xml:space="preserve">purchase authorization, the Company had remaining authorization under the share repurchase program of $345.0 million, exclusive of any fees, commissions or other expenses.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The market price for our common stock might be volatile and could result in a dec</w:t>
      </w:r>
      <w:r>
        <w:rPr>
          <w:rFonts w:eastAsia="Times New Roman"/>
          <w:i/>
          <w:iCs/>
          <w:color w:val="000000"/>
          <w:sz w:val="20"/>
          <w:szCs w:val="20"/>
        </w:rPr>
        <w:t xml:space="preserve">line in value.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price at which our common stock trades may be volatile and could be subject to significant fluctuations in response to our operating results, general trends and prospects for the retail industry, announcements by our competitors, anal</w:t>
      </w:r>
      <w:r>
        <w:rPr>
          <w:rFonts w:eastAsia="Times New Roman"/>
          <w:color w:val="000000"/>
          <w:sz w:val="20"/>
          <w:szCs w:val="20"/>
        </w:rPr>
        <w:t>yst recommendations, our ability to meet or exceed analysts’ or investors’ expectations, the condition of the financial markets, and other factors. The Company’s stock price is dependent in part on the multiple of earnings that investors are willing to pay</w:t>
      </w:r>
      <w:r>
        <w:rPr>
          <w:rFonts w:eastAsia="Times New Roman"/>
          <w:color w:val="000000"/>
          <w:sz w:val="20"/>
          <w:szCs w:val="20"/>
        </w:rPr>
        <w:t>. That multiple is in part dependent on investors’ perception of the Company’s future earnings growth prospects. If investors’ perception of the Company’s earnings growth prospects change, the Company’s earnings multiple may decline and its stock price cou</w:t>
      </w:r>
      <w:r>
        <w:rPr>
          <w:rFonts w:eastAsia="Times New Roman"/>
          <w:color w:val="000000"/>
          <w:sz w:val="20"/>
          <w:szCs w:val="20"/>
        </w:rPr>
        <w:t>ld be adversely affected.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addition, the stock market has at times experienced extreme price and volume fluctuations that often have been unrelated or disproportionate to the operating performance of companies. These fluctuations, as well as general ec</w:t>
      </w:r>
      <w:r>
        <w:rPr>
          <w:rFonts w:eastAsia="Times New Roman"/>
          <w:color w:val="000000"/>
          <w:sz w:val="20"/>
          <w:szCs w:val="20"/>
        </w:rPr>
        <w:t xml:space="preserve">onomic and market conditions, may adversely affect the market price of our common stock notwithstanding our actual operating performance.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Impairment of the carrying value of our goodwill or other intangible assets could adversely affect our financial co</w:t>
      </w:r>
      <w:r>
        <w:rPr>
          <w:rFonts w:eastAsia="Times New Roman"/>
          <w:i/>
          <w:iCs/>
          <w:color w:val="000000"/>
          <w:sz w:val="20"/>
          <w:szCs w:val="20"/>
        </w:rPr>
        <w:t>ndition and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Goodwill represents the difference between the purchase price of an acquired company and the related fair value of net assets acquired. A significant amount of judgment is involved in determining if an indication of imp</w:t>
      </w:r>
      <w:r>
        <w:rPr>
          <w:rFonts w:eastAsia="Times New Roman"/>
          <w:color w:val="000000"/>
          <w:sz w:val="20"/>
          <w:szCs w:val="20"/>
        </w:rPr>
        <w:t xml:space="preserve">airment of goodwill exists. As </w:t>
      </w:r>
    </w:p>
    <w:p w:rsidR="00000000" w:rsidRDefault="001F39D7">
      <w:pPr>
        <w:jc w:val="center"/>
        <w:divId w:val="342631955"/>
        <w:rPr>
          <w:rFonts w:eastAsia="Times New Roman"/>
        </w:rPr>
      </w:pPr>
      <w:r>
        <w:rPr>
          <w:rFonts w:eastAsia="Times New Roman"/>
          <w:color w:val="000000"/>
          <w:sz w:val="20"/>
          <w:szCs w:val="20"/>
        </w:rPr>
        <w:t>20</w:t>
      </w:r>
    </w:p>
    <w:p w:rsidR="00000000" w:rsidRDefault="001F39D7">
      <w:pPr>
        <w:rPr>
          <w:rFonts w:eastAsia="Times New Roman"/>
        </w:rPr>
      </w:pPr>
      <w:r>
        <w:rPr>
          <w:rFonts w:eastAsia="Times New Roman"/>
        </w:rPr>
        <w:pict>
          <v:rect id="_x0000_i1048" style="width:0;height:1.5pt" o:hralign="center" o:hrstd="t" o:hr="t" fillcolor="#a0a0a0" stroked="f"/>
        </w:pict>
      </w:r>
    </w:p>
    <w:p w:rsidR="00000000" w:rsidRDefault="001F39D7">
      <w:pPr>
        <w:divId w:val="79556537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with goodwill, we also test our indefinite-lived intangible assets for impairment annually and whenever events or change</w:t>
      </w:r>
      <w:r>
        <w:rPr>
          <w:rFonts w:eastAsia="Times New Roman"/>
          <w:color w:val="000000"/>
          <w:sz w:val="20"/>
          <w:szCs w:val="20"/>
        </w:rPr>
        <w:t xml:space="preserve">s in circumstances indicate that their carrying value may not be recoverable. Factors indicating impairment of goodwill or other intangible assets may include, among others: a significant decline in our expected future cash flows; a sustained, significant </w:t>
      </w:r>
      <w:r>
        <w:rPr>
          <w:rFonts w:eastAsia="Times New Roman"/>
          <w:color w:val="000000"/>
          <w:sz w:val="20"/>
          <w:szCs w:val="20"/>
        </w:rPr>
        <w:t xml:space="preserve">decline in our stock price and market capitalization; a significant adverse change in legal factors or in the business climate; unanticipated or changing competition; the testing for recoverability of a significant asset group within a reporting unit; and </w:t>
      </w:r>
      <w:r>
        <w:rPr>
          <w:rFonts w:eastAsia="Times New Roman"/>
          <w:color w:val="000000"/>
          <w:sz w:val="20"/>
          <w:szCs w:val="20"/>
        </w:rPr>
        <w:t>reduced growth rates. Any adverse change in these factors could have a significant impact on the recoverability of these assets and negatively affect our financial condition and results of operations. To the extent that business conditions deteriorate or i</w:t>
      </w:r>
      <w:r>
        <w:rPr>
          <w:rFonts w:eastAsia="Times New Roman"/>
          <w:color w:val="000000"/>
          <w:sz w:val="20"/>
          <w:szCs w:val="20"/>
        </w:rPr>
        <w:t>f changes in key assumptions and estimates differ significantly from management's expectations, it may be necessary to record additional impairment charges in the future which could have an adverse effect on our financial condition and results of operation</w:t>
      </w:r>
      <w:r>
        <w:rPr>
          <w:rFonts w:eastAsia="Times New Roman"/>
          <w:color w:val="000000"/>
          <w:sz w:val="20"/>
          <w:szCs w:val="20"/>
        </w:rPr>
        <w:t>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Legal, Regulatory and Compliance Risks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 xml:space="preserve">We are subject to personal injury, workers’ </w:t>
      </w:r>
      <w:r>
        <w:rPr>
          <w:rFonts w:eastAsia="Times New Roman"/>
          <w:i/>
          <w:iCs/>
          <w:color w:val="000000"/>
          <w:sz w:val="20"/>
          <w:szCs w:val="20"/>
        </w:rPr>
        <w:t>compensation, product liability, discrimination, harassment, wrongful termination, wage and hour, and other claims in the ordinary course of business.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business involves a risk of personal injury, workers’ compensation, product liability, discriminati</w:t>
      </w:r>
      <w:r>
        <w:rPr>
          <w:rFonts w:eastAsia="Times New Roman"/>
          <w:color w:val="000000"/>
          <w:sz w:val="20"/>
          <w:szCs w:val="20"/>
        </w:rPr>
        <w:t>on, harassment, wrongful termination, wage and hour, and other claims in the ordinary course of business.  Product liability claims from customers and product recalls for merchandise alleged to be defective or harmful could lead to the disposal or write-of</w:t>
      </w:r>
      <w:r>
        <w:rPr>
          <w:rFonts w:eastAsia="Times New Roman"/>
          <w:color w:val="000000"/>
          <w:sz w:val="20"/>
          <w:szCs w:val="20"/>
        </w:rPr>
        <w:t>f of merchandise inventories, the incurrence of fines or penalties, and damage to our reputation. We maintain general liability with a self-insured retention and workers’ compensation insurance with a deductible for each occurrence.  We also maintain umbre</w:t>
      </w:r>
      <w:r>
        <w:rPr>
          <w:rFonts w:eastAsia="Times New Roman"/>
          <w:color w:val="000000"/>
          <w:sz w:val="20"/>
          <w:szCs w:val="20"/>
        </w:rPr>
        <w:t>lla limits above the primary general liability and product liability coverage.  In many cases, we have indemnification rights against the manufacturers of the products and their products liability insurance, as well as the property owners of our leased bui</w:t>
      </w:r>
      <w:r>
        <w:rPr>
          <w:rFonts w:eastAsia="Times New Roman"/>
          <w:color w:val="000000"/>
          <w:sz w:val="20"/>
          <w:szCs w:val="20"/>
        </w:rPr>
        <w:t>ldings.  Our ability to recover costs and damages under such insurance or indemnification arrangements is subject to the financial viability of the insurers, manufacturers, and landlords and the specific allegations of a claim.  No assurance can be given t</w:t>
      </w:r>
      <w:r>
        <w:rPr>
          <w:rFonts w:eastAsia="Times New Roman"/>
          <w:color w:val="000000"/>
          <w:sz w:val="20"/>
          <w:szCs w:val="20"/>
        </w:rPr>
        <w:t>hat our insurance coverage or the manufacturers’ or landlords’ indemnity will be available or sufficient in any claims brought against us.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Additionally, we are subject to U.S. federal, state, and local employment laws that expose us to potential liabilit</w:t>
      </w:r>
      <w:r>
        <w:rPr>
          <w:rFonts w:eastAsia="Times New Roman"/>
          <w:color w:val="000000"/>
          <w:sz w:val="20"/>
          <w:szCs w:val="20"/>
        </w:rPr>
        <w:t xml:space="preserve">y if we are determined to have violated such employment laws, including but not limited to, laws pertaining to minimum wage rates, overtime pay, discrimination, harassment, and wrongful termination. Compliance with these laws, including the remediation of </w:t>
      </w:r>
      <w:r>
        <w:rPr>
          <w:rFonts w:eastAsia="Times New Roman"/>
          <w:color w:val="000000"/>
          <w:sz w:val="20"/>
          <w:szCs w:val="20"/>
        </w:rPr>
        <w:t>any alleged violation, may have a material adverse effect on our business or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Our business could be negatively impacted as a result of federal, state, local, or foreign laws and regulations.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are subject to numerous federal, sta</w:t>
      </w:r>
      <w:r>
        <w:rPr>
          <w:rFonts w:eastAsia="Times New Roman"/>
          <w:color w:val="000000"/>
          <w:sz w:val="20"/>
          <w:szCs w:val="20"/>
        </w:rPr>
        <w:t xml:space="preserve">te, local, and foreign laws and governmental regulations including those relating to competition, environmental protection, personal injury, intellectual property, consumer product safety, building, land use and zoning requirements, workplace regulations, </w:t>
      </w:r>
      <w:r>
        <w:rPr>
          <w:rFonts w:eastAsia="Times New Roman"/>
          <w:color w:val="000000"/>
          <w:sz w:val="20"/>
          <w:szCs w:val="20"/>
        </w:rPr>
        <w:t xml:space="preserve">wage and hour, privacy and information security, and employment law matters.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operations, including our outsourced exclusive brand manufacturing partners, are subject to regulation by the Occupational Safety and Health Administration (“OSHA”), the Fo</w:t>
      </w:r>
      <w:r>
        <w:rPr>
          <w:rFonts w:eastAsia="Times New Roman"/>
          <w:color w:val="000000"/>
          <w:sz w:val="20"/>
          <w:szCs w:val="20"/>
        </w:rPr>
        <w:t>od and Drug Administration (the “FDA”), the Department of Agriculture (the “USDA”), the Environmental Protection Agency (the "EPA") and by various other federal, state, local and foreign authorities regarding the processing, packaging, storage, distributio</w:t>
      </w:r>
      <w:r>
        <w:rPr>
          <w:rFonts w:eastAsia="Times New Roman"/>
          <w:color w:val="000000"/>
          <w:sz w:val="20"/>
          <w:szCs w:val="20"/>
        </w:rPr>
        <w:t>n, advertising, labeling and export of our products, including food safety standards.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If we fail to comply with existing or future laws or regulations, or if these laws or regulations are violated by importers, manufacturers or distributors, we may be su</w:t>
      </w:r>
      <w:r>
        <w:rPr>
          <w:rFonts w:eastAsia="Times New Roman"/>
          <w:color w:val="000000"/>
          <w:sz w:val="20"/>
          <w:szCs w:val="20"/>
        </w:rPr>
        <w:t>bject to governmental or judicial fines or sanctions, while incurring substantial legal fees and costs. In addition, our capital expenditures could increase due to remediation measures that may be required if we are found to be noncompliant with any existi</w:t>
      </w:r>
      <w:r>
        <w:rPr>
          <w:rFonts w:eastAsia="Times New Roman"/>
          <w:color w:val="000000"/>
          <w:sz w:val="20"/>
          <w:szCs w:val="20"/>
        </w:rPr>
        <w:t>ng or future laws or regulations.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are also subject to the Foreign Corrupt Practices Act (the “FCPA”), which prohibits U.S. companies and their intermediaries from making improper payments to foreign officials for the purposes of obtaining or retaining</w:t>
      </w:r>
      <w:r>
        <w:rPr>
          <w:rFonts w:eastAsia="Times New Roman"/>
          <w:color w:val="000000"/>
          <w:sz w:val="20"/>
          <w:szCs w:val="20"/>
        </w:rPr>
        <w:t xml:space="preserve"> business, and the anti-bribery laws of other jurisdictions. Failure to comply with the FCPA and similar laws could subject us to, among other things, penalties and legal expenses that could harm our reputation and have a material adverse effect on our bus</w:t>
      </w:r>
      <w:r>
        <w:rPr>
          <w:rFonts w:eastAsia="Times New Roman"/>
          <w:color w:val="000000"/>
          <w:sz w:val="20"/>
          <w:szCs w:val="20"/>
        </w:rPr>
        <w:t>iness, financial condition, and results of operations.</w:t>
      </w:r>
    </w:p>
    <w:p w:rsidR="00000000" w:rsidRDefault="001F39D7">
      <w:pPr>
        <w:jc w:val="both"/>
        <w:rPr>
          <w:rFonts w:eastAsia="Times New Roman"/>
        </w:rPr>
      </w:pPr>
    </w:p>
    <w:p w:rsidR="00000000" w:rsidRDefault="001F39D7">
      <w:pPr>
        <w:jc w:val="center"/>
        <w:divId w:val="1246458439"/>
        <w:rPr>
          <w:rFonts w:eastAsia="Times New Roman"/>
        </w:rPr>
      </w:pPr>
      <w:r>
        <w:rPr>
          <w:rFonts w:eastAsia="Times New Roman"/>
          <w:color w:val="000000"/>
          <w:sz w:val="20"/>
          <w:szCs w:val="20"/>
        </w:rPr>
        <w:t>21</w:t>
      </w:r>
    </w:p>
    <w:p w:rsidR="00000000" w:rsidRDefault="001F39D7">
      <w:pPr>
        <w:rPr>
          <w:rFonts w:eastAsia="Times New Roman"/>
        </w:rPr>
      </w:pPr>
      <w:r>
        <w:rPr>
          <w:rFonts w:eastAsia="Times New Roman"/>
        </w:rPr>
        <w:pict>
          <v:rect id="_x0000_i1049" style="width:0;height:1.5pt" o:hralign="center" o:hrstd="t" o:hr="t" fillcolor="#a0a0a0" stroked="f"/>
        </w:pict>
      </w:r>
    </w:p>
    <w:p w:rsidR="00000000" w:rsidRDefault="001F39D7">
      <w:pPr>
        <w:divId w:val="48114704"/>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i/>
          <w:iCs/>
          <w:color w:val="000000"/>
          <w:sz w:val="20"/>
          <w:szCs w:val="20"/>
        </w:rPr>
        <w:t>Potential noncompliance with environmental regulations could materially impact our results of operations or financial condition.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business is subject to various federal, state, and local laws, regulations, and other requirements pertaining to protecti</w:t>
      </w:r>
      <w:r>
        <w:rPr>
          <w:rFonts w:eastAsia="Times New Roman"/>
          <w:color w:val="000000"/>
          <w:sz w:val="20"/>
          <w:szCs w:val="20"/>
        </w:rPr>
        <w:t>on of the environment and public health, including, for example, regulations governing the management of waste materials and waste waters.  Governmental agencies on the federal, state, and local levels have, in recent years, increasingly focused on the ret</w:t>
      </w:r>
      <w:r>
        <w:rPr>
          <w:rFonts w:eastAsia="Times New Roman"/>
          <w:color w:val="000000"/>
          <w:sz w:val="20"/>
          <w:szCs w:val="20"/>
        </w:rPr>
        <w:t>ail sector’s compliance with such laws and regulations, and have at times pursued enforcement activities.  We periodically receive information requests and notices of potential noncompliance with environmental laws and regulations from governmental agencie</w:t>
      </w:r>
      <w:r>
        <w:rPr>
          <w:rFonts w:eastAsia="Times New Roman"/>
          <w:color w:val="000000"/>
          <w:sz w:val="20"/>
          <w:szCs w:val="20"/>
        </w:rPr>
        <w:t>s, which are addressed on a case-by-case basis with the relevant agency. Any of these events could have a material adverse effect on our results of operations or financial condition.</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Failure to maintain an effective system of internal control over financ</w:t>
      </w:r>
      <w:r>
        <w:rPr>
          <w:rFonts w:eastAsia="Times New Roman"/>
          <w:i/>
          <w:iCs/>
          <w:color w:val="000000"/>
          <w:sz w:val="20"/>
          <w:szCs w:val="20"/>
        </w:rPr>
        <w:t>ial reporting could materially impact our business and results.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Company’s management is responsible for establishing and maintaining adequate internal control over financial reporting. An internal control system, no matter how well designed and opera</w:t>
      </w:r>
      <w:r>
        <w:rPr>
          <w:rFonts w:eastAsia="Times New Roman"/>
          <w:color w:val="000000"/>
          <w:sz w:val="20"/>
          <w:szCs w:val="20"/>
        </w:rPr>
        <w:t xml:space="preserve">ted, can provide only reasonable, not absolute, assurance that the objectives of the control system are met. Further, the design of a control system must reflect the fact that there are resource constraints, and the benefits of controls must be considered </w:t>
      </w:r>
      <w:r>
        <w:rPr>
          <w:rFonts w:eastAsia="Times New Roman"/>
          <w:color w:val="000000"/>
          <w:sz w:val="20"/>
          <w:szCs w:val="20"/>
        </w:rPr>
        <w:t xml:space="preserve">relative to their costs. Because of the inherent limitations in all internal control systems, internal control over financial reporting may not prevent or detect misstatements. Any failure to maintain an effective system of internal control over financial </w:t>
      </w:r>
      <w:r>
        <w:rPr>
          <w:rFonts w:eastAsia="Times New Roman"/>
          <w:color w:val="000000"/>
          <w:sz w:val="20"/>
          <w:szCs w:val="20"/>
        </w:rPr>
        <w:t>reporting could limit our ability to report our financial results accurately and timely or to detect and prevent fraud, and could expose us to litigation or adversely affect the market price of our common stock.</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Effective tax rate changes and results of examinations by taxing authorities could materially impact our results.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future effective tax rates could be adversely affected by legislative tax reform, changes in statutory rates or changes in tax laws, or </w:t>
      </w:r>
      <w:r>
        <w:rPr>
          <w:rFonts w:eastAsia="Times New Roman"/>
          <w:color w:val="000000"/>
          <w:sz w:val="20"/>
          <w:szCs w:val="20"/>
        </w:rPr>
        <w:t>interpretations thereof. Additionally, our future effective tax rates could be adversely affected by the earnings mix being lower than historical results in states where we have lower statutory rates and higher than historical results in states where we ha</w:t>
      </w:r>
      <w:r>
        <w:rPr>
          <w:rFonts w:eastAsia="Times New Roman"/>
          <w:color w:val="000000"/>
          <w:sz w:val="20"/>
          <w:szCs w:val="20"/>
        </w:rPr>
        <w:t xml:space="preserve">ve higher statutory rates or by changes in the measurement of our deferred tax assets and liabilities.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are subject to periodic audits and examinations by the Internal Revenue Service (“IRS”), as well as state and local taxing authorities. Like many r</w:t>
      </w:r>
      <w:r>
        <w:rPr>
          <w:rFonts w:eastAsia="Times New Roman"/>
          <w:color w:val="000000"/>
          <w:sz w:val="20"/>
          <w:szCs w:val="20"/>
        </w:rPr>
        <w:t xml:space="preserve">etailers, a portion of our sales are to tax-exempt customers. The business activities of our customers and the intended use of the unique products sold by us create a challenging and complex compliance environment.  These circumstances create risk that we </w:t>
      </w:r>
      <w:r>
        <w:rPr>
          <w:rFonts w:eastAsia="Times New Roman"/>
          <w:color w:val="000000"/>
          <w:sz w:val="20"/>
          <w:szCs w:val="20"/>
        </w:rPr>
        <w:t>could be challenged as to the propriety of our sales tax compliance. Our results could be materially impacted by the determinations and expenses related to these and other proceedings by the IRS and other state and local taxing authorities.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COVID-19 Risk</w:t>
      </w:r>
      <w:r>
        <w:rPr>
          <w:rFonts w:eastAsia="Times New Roman"/>
          <w:b/>
          <w:bCs/>
          <w:color w:val="000000"/>
          <w:sz w:val="20"/>
          <w:szCs w:val="20"/>
        </w:rPr>
        <w:t>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The COVID-19 coronavirus pandemic has, and could continue to have a material negative effect on our results of operations, cash flows, financial position, and business operations.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COVID-19 pandemic has created significant public health concerns a</w:t>
      </w:r>
      <w:r>
        <w:rPr>
          <w:rFonts w:eastAsia="Times New Roman"/>
          <w:color w:val="000000"/>
          <w:sz w:val="20"/>
          <w:szCs w:val="20"/>
        </w:rPr>
        <w:t>s well as economic disruption, uncertainty, and volatility, such as increased transportation costs, supply chain distributions, labor shortages, increased overhead, among other impacts, which have, and may continue to, negatively affect our business operat</w:t>
      </w:r>
      <w:r>
        <w:rPr>
          <w:rFonts w:eastAsia="Times New Roman"/>
          <w:color w:val="000000"/>
          <w:sz w:val="20"/>
          <w:szCs w:val="20"/>
        </w:rPr>
        <w: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Despite the previous impacts of the pandemic on our business, we are unable to predict the future impact that COVID-19 will have on our results of operations, cash flows, financial position, and business operations due to numerous uncertainties. Th</w:t>
      </w:r>
      <w:r>
        <w:rPr>
          <w:rFonts w:eastAsia="Times New Roman"/>
          <w:color w:val="000000"/>
          <w:sz w:val="20"/>
          <w:szCs w:val="20"/>
        </w:rPr>
        <w:t>ese uncertainties include, but are not limited to: the severity of the virus; the duration of the pandemic, including the likelihood of resurgences and the emergence of variants; the efficacy and public acceptance of vaccines; governmental actions which in</w:t>
      </w:r>
      <w:r>
        <w:rPr>
          <w:rFonts w:eastAsia="Times New Roman"/>
          <w:color w:val="000000"/>
          <w:sz w:val="20"/>
          <w:szCs w:val="20"/>
        </w:rPr>
        <w:t>clude restrictions on our operations up to and including potential closure of our stores and distribution centers; the duration and degree of quarantine or shelter-in-place measures, including additional measures that may still occur; impacts on our supply</w:t>
      </w:r>
      <w:r>
        <w:rPr>
          <w:rFonts w:eastAsia="Times New Roman"/>
          <w:color w:val="000000"/>
          <w:sz w:val="20"/>
          <w:szCs w:val="20"/>
        </w:rPr>
        <w:t xml:space="preserve"> chain which include suppliers of our products and our transportation vendors; impacts on our distribution network; the health of our workforce and our ability to maintain staffing needs to operate our business; how macroeconomic factors evolve including u</w:t>
      </w:r>
      <w:r>
        <w:rPr>
          <w:rFonts w:eastAsia="Times New Roman"/>
          <w:color w:val="000000"/>
          <w:sz w:val="20"/>
          <w:szCs w:val="20"/>
        </w:rPr>
        <w:t>nemployment rates and recessionary pressures; the impact of the pandemic on consumer shopping patterns; volatility in the economy as well as the credit and financial markets; the incremental costs of doing business during the pandemic as well as on a long-</w:t>
      </w:r>
      <w:r>
        <w:rPr>
          <w:rFonts w:eastAsia="Times New Roman"/>
          <w:color w:val="000000"/>
          <w:sz w:val="20"/>
          <w:szCs w:val="20"/>
        </w:rPr>
        <w:t xml:space="preserve">term basis; potential increases in insurance premiums, medical claims costs, and workers' compensation claim costs; unknown consequences on our business performance and initiatives stemming from the substantial investment of time and other </w:t>
      </w:r>
    </w:p>
    <w:p w:rsidR="00000000" w:rsidRDefault="001F39D7">
      <w:pPr>
        <w:jc w:val="center"/>
        <w:divId w:val="1029529205"/>
        <w:rPr>
          <w:rFonts w:eastAsia="Times New Roman"/>
        </w:rPr>
      </w:pPr>
      <w:r>
        <w:rPr>
          <w:rFonts w:eastAsia="Times New Roman"/>
          <w:color w:val="000000"/>
          <w:sz w:val="20"/>
          <w:szCs w:val="20"/>
        </w:rPr>
        <w:t>22</w:t>
      </w:r>
    </w:p>
    <w:p w:rsidR="00000000" w:rsidRDefault="001F39D7">
      <w:pPr>
        <w:rPr>
          <w:rFonts w:eastAsia="Times New Roman"/>
        </w:rPr>
      </w:pPr>
      <w:r>
        <w:rPr>
          <w:rFonts w:eastAsia="Times New Roman"/>
        </w:rPr>
        <w:pict>
          <v:rect id="_x0000_i1050" style="width:0;height:1.5pt" o:hralign="center" o:hrstd="t" o:hr="t" fillcolor="#a0a0a0" stroked="f"/>
        </w:pict>
      </w:r>
    </w:p>
    <w:p w:rsidR="00000000" w:rsidRDefault="001F39D7">
      <w:pPr>
        <w:divId w:val="1312710193"/>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resources to the pandemic response; potential delays in growth initiatives including the timing of new store openings; potential adverse effects on our internal control</w:t>
      </w:r>
      <w:r>
        <w:rPr>
          <w:rFonts w:eastAsia="Times New Roman"/>
          <w:color w:val="000000"/>
          <w:sz w:val="20"/>
          <w:szCs w:val="20"/>
        </w:rPr>
        <w:t xml:space="preserve"> environment and information security as a result of changes to a remote work environment; and the long-term impact of the pandemic on our business.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In addition, we cannot predict the impact that the pandemic will have on our manufacturers and suppliers </w:t>
      </w:r>
      <w:r>
        <w:rPr>
          <w:rFonts w:eastAsia="Times New Roman"/>
          <w:color w:val="000000"/>
          <w:sz w:val="20"/>
          <w:szCs w:val="20"/>
        </w:rPr>
        <w:t>of our products and other business partners such as service vendors; however, any material effect on these parties could adversely impact our results of operations and our ability to operate our business effectively.</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The COVID-19 coronavirus pandemic has</w:t>
      </w:r>
      <w:r>
        <w:rPr>
          <w:rFonts w:eastAsia="Times New Roman"/>
          <w:i/>
          <w:iCs/>
          <w:color w:val="000000"/>
          <w:sz w:val="20"/>
          <w:szCs w:val="20"/>
        </w:rPr>
        <w:t xml:space="preserve"> had, and could continue to have a material negative effect on our supply chain and distribution network.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Circumstances surrounding and related to the COVID-19 pandemic have created unprecedented impacts on the global supply chain. Our business relies on</w:t>
      </w:r>
      <w:r>
        <w:rPr>
          <w:rFonts w:eastAsia="Times New Roman"/>
          <w:color w:val="000000"/>
          <w:sz w:val="20"/>
          <w:szCs w:val="20"/>
        </w:rPr>
        <w:t xml:space="preserve"> an efficient and effective supply chain, including the manufacture and transportation of our products as well as the effective functioning of our distribution centers. Impacts related to the COVID-19 pandemic are placing strains on the domestic and intern</w:t>
      </w:r>
      <w:r>
        <w:rPr>
          <w:rFonts w:eastAsia="Times New Roman"/>
          <w:color w:val="000000"/>
          <w:sz w:val="20"/>
          <w:szCs w:val="20"/>
        </w:rPr>
        <w:t>ational supply chains that have negatively affected, and could continue to negatively affect the flow or availability of our products and result in higher out-of-stock inventory positions due to difficulties in timely obtaining product from the manufacture</w:t>
      </w:r>
      <w:r>
        <w:rPr>
          <w:rFonts w:eastAsia="Times New Roman"/>
          <w:color w:val="000000"/>
          <w:sz w:val="20"/>
          <w:szCs w:val="20"/>
        </w:rPr>
        <w:t>rs and suppliers of our products as well as transportation of those products to our distribution centers and stores. Further, we may have to source products from different manufacturers or geographic locations which could result in, among other things, hig</w:t>
      </w:r>
      <w:r>
        <w:rPr>
          <w:rFonts w:eastAsia="Times New Roman"/>
          <w:color w:val="000000"/>
          <w:sz w:val="20"/>
          <w:szCs w:val="20"/>
        </w:rPr>
        <w:t xml:space="preserve">her product costs, increased transportation costs, delays in receiving products or lower quality of the products.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Additionally, the operation of our distribution centers is crucial to our business operations. If our distribution centers experience closu</w:t>
      </w:r>
      <w:r>
        <w:rPr>
          <w:rFonts w:eastAsia="Times New Roman"/>
          <w:color w:val="000000"/>
          <w:sz w:val="20"/>
          <w:szCs w:val="20"/>
        </w:rPr>
        <w:t xml:space="preserve">res or worker shortages, whether temporary or sustained, we could sustain significant adverse impacts related to the flow or availability of products to our stores and customers.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Any of these circumstances could adversely affect our ability to deliver i</w:t>
      </w:r>
      <w:r>
        <w:rPr>
          <w:rFonts w:eastAsia="Times New Roman"/>
          <w:color w:val="000000"/>
          <w:sz w:val="20"/>
          <w:szCs w:val="20"/>
        </w:rPr>
        <w:t>nventory in a timely manner, which could impair our ability to meet customer demand for products and result in lost sales, increased supply chain costs, or damage to our reputation.</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Economic impacts stemming from the COVID-19 coronavirus pandemic could significantly impact our financial position, including liquidity, capital allocation, and access to capital markets for additional funds to operate our business.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financial and cre</w:t>
      </w:r>
      <w:r>
        <w:rPr>
          <w:rFonts w:eastAsia="Times New Roman"/>
          <w:color w:val="000000"/>
          <w:sz w:val="20"/>
          <w:szCs w:val="20"/>
        </w:rPr>
        <w:t>dit markets have experienced, and may continue to experience significant volatility and turmoil as a result of the COVID-19 pandemic. Changes in the financial and credit markets could adversely impact our ability to access capital on favorable terms and co</w:t>
      </w:r>
      <w:r>
        <w:rPr>
          <w:rFonts w:eastAsia="Times New Roman"/>
          <w:color w:val="000000"/>
          <w:sz w:val="20"/>
          <w:szCs w:val="20"/>
        </w:rPr>
        <w:t>ntinue to meet our liquidity needs.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Additionally, changes in our capital allocation strategy could have significant adverse impacts, both short- and long-term, on our business, results of operations, and financial position. Any future suspension of our s</w:t>
      </w:r>
      <w:r>
        <w:rPr>
          <w:rFonts w:eastAsia="Times New Roman"/>
          <w:color w:val="000000"/>
          <w:sz w:val="20"/>
          <w:szCs w:val="20"/>
        </w:rPr>
        <w:t>hare repurchase program, if necessary and depending on duration, could negatively impact our earnings per share which in turn could adversely impact our common stock price. While not contemplated at this time, any potential suspension or reduction in our d</w:t>
      </w:r>
      <w:r>
        <w:rPr>
          <w:rFonts w:eastAsia="Times New Roman"/>
          <w:color w:val="000000"/>
          <w:sz w:val="20"/>
          <w:szCs w:val="20"/>
        </w:rPr>
        <w:t xml:space="preserve">ividend declaration could have an adverse impact on investor perception and our common stock price. </w:t>
      </w:r>
    </w:p>
    <w:p w:rsidR="00000000" w:rsidRDefault="001F39D7">
      <w:pPr>
        <w:jc w:val="both"/>
        <w:rPr>
          <w:rFonts w:eastAsia="Times New Roman"/>
        </w:rPr>
      </w:pPr>
    </w:p>
    <w:p w:rsidR="00000000" w:rsidRDefault="001F39D7">
      <w:pPr>
        <w:divId w:val="865754089"/>
        <w:rPr>
          <w:rFonts w:eastAsia="Times New Roman"/>
        </w:rPr>
      </w:pPr>
      <w:r>
        <w:rPr>
          <w:rFonts w:eastAsia="Times New Roman"/>
          <w:i/>
          <w:iCs/>
          <w:color w:val="000000"/>
          <w:sz w:val="20"/>
          <w:szCs w:val="20"/>
        </w:rPr>
        <w:t>Actions taken to protect the health and safety of our team members and customers during the COVID-19 coronavirus pandemic have increased our operating co</w:t>
      </w:r>
      <w:r>
        <w:rPr>
          <w:rFonts w:eastAsia="Times New Roman"/>
          <w:i/>
          <w:iCs/>
          <w:color w:val="000000"/>
          <w:sz w:val="20"/>
          <w:szCs w:val="20"/>
        </w:rPr>
        <w:t>sts and may not be sufficient to protect against operational or reputational harm to our business, regulatory actions or claims and litigation.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response to the COVID-19 pandemic, we have taken a number of actions across our business to help protect ou</w:t>
      </w:r>
      <w:r>
        <w:rPr>
          <w:rFonts w:eastAsia="Times New Roman"/>
          <w:color w:val="000000"/>
          <w:sz w:val="20"/>
          <w:szCs w:val="20"/>
        </w:rPr>
        <w:t>r team members, customers, and others in the communities we serve. These measures include encouraging vaccination efforts, personal protective equipment for our team members, following local and federal guidance regarding the use of masks in our facilities</w:t>
      </w:r>
      <w:r>
        <w:rPr>
          <w:rFonts w:eastAsia="Times New Roman"/>
          <w:color w:val="000000"/>
          <w:sz w:val="20"/>
          <w:szCs w:val="20"/>
        </w:rPr>
        <w:t>, increased staffing in order to provide contact-free curbside pickup from stores, expansion of our capabilities to support delivery to customer homes, increased cleaning and sanitizing measures, offering remote work plans at our Store Support Center and m</w:t>
      </w:r>
      <w:r>
        <w:rPr>
          <w:rFonts w:eastAsia="Times New Roman"/>
          <w:color w:val="000000"/>
          <w:sz w:val="20"/>
          <w:szCs w:val="20"/>
        </w:rPr>
        <w:t>onitoring for “social distancing” directives, as well as additional cleaning materials in our facilities. Additionally, we have provided appreciation bonuses as well as permanent increases in compensation and benefits for our team members in our stores and</w:t>
      </w:r>
      <w:r>
        <w:rPr>
          <w:rFonts w:eastAsia="Times New Roman"/>
          <w:color w:val="000000"/>
          <w:sz w:val="20"/>
          <w:szCs w:val="20"/>
        </w:rPr>
        <w:t xml:space="preserve"> distribution centers to further support them during and after the COVID-19 pandemic. Actions such as these have resulted in significant incremental costs in fiscal 2021 and 2020, and we expect that we will continue to incur these costs for the foreseeable</w:t>
      </w:r>
      <w:r>
        <w:rPr>
          <w:rFonts w:eastAsia="Times New Roman"/>
          <w:color w:val="000000"/>
          <w:sz w:val="20"/>
          <w:szCs w:val="20"/>
        </w:rPr>
        <w:t xml:space="preserve"> future, which in turn will have an adverse impact on our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health and safety of our team members and customers are of primary concern to our management team. However, due to the unpredictable nature of this virus and the consequ</w:t>
      </w:r>
      <w:r>
        <w:rPr>
          <w:rFonts w:eastAsia="Times New Roman"/>
          <w:color w:val="000000"/>
          <w:sz w:val="20"/>
          <w:szCs w:val="20"/>
        </w:rPr>
        <w:t xml:space="preserve">ences of our actions, we may see unexpected outcomes notwithstanding </w:t>
      </w:r>
    </w:p>
    <w:p w:rsidR="00000000" w:rsidRDefault="001F39D7">
      <w:pPr>
        <w:jc w:val="center"/>
        <w:divId w:val="221869151"/>
        <w:rPr>
          <w:rFonts w:eastAsia="Times New Roman"/>
        </w:rPr>
      </w:pPr>
      <w:r>
        <w:rPr>
          <w:rFonts w:eastAsia="Times New Roman"/>
          <w:color w:val="000000"/>
          <w:sz w:val="20"/>
          <w:szCs w:val="20"/>
        </w:rPr>
        <w:t>23</w:t>
      </w:r>
    </w:p>
    <w:p w:rsidR="00000000" w:rsidRDefault="001F39D7">
      <w:pPr>
        <w:rPr>
          <w:rFonts w:eastAsia="Times New Roman"/>
        </w:rPr>
      </w:pPr>
      <w:r>
        <w:rPr>
          <w:rFonts w:eastAsia="Times New Roman"/>
        </w:rPr>
        <w:pict>
          <v:rect id="_x0000_i1051" style="width:0;height:1.5pt" o:hralign="center" o:hrstd="t" o:hr="t" fillcolor="#a0a0a0" stroked="f"/>
        </w:pict>
      </w:r>
    </w:p>
    <w:p w:rsidR="00000000" w:rsidRDefault="001F39D7">
      <w:pPr>
        <w:divId w:val="47633845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our added safety measures. For instance, if we do not respond appropriately to the pandemic, or if our team members or customers do not participate in “soci</w:t>
      </w:r>
      <w:r>
        <w:rPr>
          <w:rFonts w:eastAsia="Times New Roman"/>
          <w:color w:val="000000"/>
          <w:sz w:val="20"/>
          <w:szCs w:val="20"/>
        </w:rPr>
        <w:t>al distancing”, vaccination efforts and other safety measures, the well-being of our team members and customers could be jeopardized. Furthermore, any failure to appropriately respond, or the perception of an inadequate response, could cause reputational h</w:t>
      </w:r>
      <w:r>
        <w:rPr>
          <w:rFonts w:eastAsia="Times New Roman"/>
          <w:color w:val="000000"/>
          <w:sz w:val="20"/>
          <w:szCs w:val="20"/>
        </w:rPr>
        <w:t>arm to our brand and subject us to claims and litigation from team members, customers and service providers. Additionally, we may experience increased litigation expenses resulting from team member or customer lawsuits, including those related to the Compa</w:t>
      </w:r>
      <w:r>
        <w:rPr>
          <w:rFonts w:eastAsia="Times New Roman"/>
          <w:color w:val="000000"/>
          <w:sz w:val="20"/>
          <w:szCs w:val="20"/>
        </w:rPr>
        <w:t>ny’s COVID-19 response and team member or customer contraction of COVID-19, increased insurance costs, medical claims costs and workers’ compensation claims costs and an adverse impact of regulatory and judicial changes in liability for workers’ compensati</w:t>
      </w:r>
      <w:r>
        <w:rPr>
          <w:rFonts w:eastAsia="Times New Roman"/>
          <w:color w:val="000000"/>
          <w:sz w:val="20"/>
          <w:szCs w:val="20"/>
        </w:rPr>
        <w:t>on claims related to the COVID-19 pandemic.</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Further, an outbreak of confirmed cases of COVID-19 in our stores or distribution centers could result in temporary or sustained workforce shortages or facility closures which would negatively impact our underl</w:t>
      </w:r>
      <w:r>
        <w:rPr>
          <w:rFonts w:eastAsia="Times New Roman"/>
          <w:color w:val="000000"/>
          <w:sz w:val="20"/>
          <w:szCs w:val="20"/>
        </w:rPr>
        <w:t>ying business and results of operations.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1B</w:t>
      </w:r>
      <w:r>
        <w:rPr>
          <w:rFonts w:eastAsia="Times New Roman"/>
          <w:b/>
          <w:bCs/>
          <w:color w:val="000000"/>
          <w:sz w:val="20"/>
          <w:szCs w:val="20"/>
        </w:rPr>
        <w:t>.    </w:t>
      </w:r>
      <w:r>
        <w:rPr>
          <w:rFonts w:eastAsia="Times New Roman"/>
          <w:b/>
          <w:bCs/>
          <w:color w:val="000000"/>
          <w:sz w:val="20"/>
          <w:szCs w:val="20"/>
          <w:u w:val="single"/>
        </w:rPr>
        <w:t>Unresolved Staff Comments</w:t>
      </w:r>
    </w:p>
    <w:p w:rsidR="00000000" w:rsidRDefault="001F39D7">
      <w:pPr>
        <w:divId w:val="285047571"/>
        <w:rPr>
          <w:rFonts w:eastAsia="Times New Roman"/>
        </w:rPr>
      </w:pPr>
    </w:p>
    <w:p w:rsidR="00000000" w:rsidRDefault="001F39D7">
      <w:pPr>
        <w:jc w:val="both"/>
        <w:rPr>
          <w:rFonts w:eastAsia="Times New Roman"/>
        </w:rPr>
      </w:pPr>
      <w:r>
        <w:rPr>
          <w:rFonts w:eastAsia="Times New Roman"/>
          <w:color w:val="000000"/>
          <w:sz w:val="20"/>
          <w:szCs w:val="20"/>
        </w:rPr>
        <w:t>None.</w:t>
      </w:r>
    </w:p>
    <w:p w:rsidR="00000000" w:rsidRDefault="001F39D7">
      <w:pPr>
        <w:jc w:val="both"/>
        <w:rPr>
          <w:rFonts w:eastAsia="Times New Roman"/>
        </w:rPr>
      </w:pPr>
    </w:p>
    <w:p w:rsidR="00000000" w:rsidRDefault="001F39D7">
      <w:pPr>
        <w:jc w:val="center"/>
        <w:divId w:val="933589592"/>
        <w:rPr>
          <w:rFonts w:eastAsia="Times New Roman"/>
        </w:rPr>
      </w:pPr>
      <w:r>
        <w:rPr>
          <w:rFonts w:eastAsia="Times New Roman"/>
          <w:color w:val="000000"/>
          <w:sz w:val="20"/>
          <w:szCs w:val="20"/>
        </w:rPr>
        <w:t>24</w:t>
      </w:r>
    </w:p>
    <w:p w:rsidR="00000000" w:rsidRDefault="001F39D7">
      <w:pPr>
        <w:rPr>
          <w:rFonts w:eastAsia="Times New Roman"/>
        </w:rPr>
      </w:pPr>
      <w:r>
        <w:rPr>
          <w:rFonts w:eastAsia="Times New Roman"/>
        </w:rPr>
        <w:pict>
          <v:rect id="_x0000_i1052" style="width:0;height:1.5pt" o:hralign="center" o:hrstd="t" o:hr="t" fillcolor="#a0a0a0" stroked="f"/>
        </w:pict>
      </w:r>
    </w:p>
    <w:p w:rsidR="00000000" w:rsidRDefault="001F39D7">
      <w:pPr>
        <w:divId w:val="136466987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2</w:t>
      </w:r>
      <w:r>
        <w:rPr>
          <w:rFonts w:eastAsia="Times New Roman"/>
          <w:b/>
          <w:bCs/>
          <w:color w:val="000000"/>
          <w:sz w:val="20"/>
          <w:szCs w:val="20"/>
        </w:rPr>
        <w:t>.        </w:t>
      </w:r>
      <w:r>
        <w:rPr>
          <w:rFonts w:eastAsia="Times New Roman"/>
          <w:b/>
          <w:bCs/>
          <w:color w:val="000000"/>
          <w:sz w:val="20"/>
          <w:szCs w:val="20"/>
          <w:u w:val="single"/>
        </w:rPr>
        <w:t>Propertie</w:t>
      </w:r>
      <w:r>
        <w:rPr>
          <w:rFonts w:eastAsia="Times New Roman"/>
          <w:b/>
          <w:bCs/>
          <w:color w:val="000000"/>
          <w:sz w:val="20"/>
          <w:szCs w:val="20"/>
          <w:u w:val="single"/>
        </w:rPr>
        <w:t>s</w:t>
      </w:r>
      <w:r>
        <w:rPr>
          <w:rFonts w:eastAsia="Times New Roman"/>
          <w:b/>
          <w:bCs/>
          <w:color w:val="000000"/>
          <w:sz w:val="13"/>
          <w:szCs w:val="13"/>
        </w:rPr>
        <w:t xml:space="preserve"> </w:t>
      </w:r>
    </w:p>
    <w:p w:rsidR="00000000" w:rsidRDefault="001F39D7">
      <w:pPr>
        <w:divId w:val="685449327"/>
        <w:rPr>
          <w:rFonts w:eastAsia="Times New Roman"/>
        </w:rPr>
      </w:pPr>
    </w:p>
    <w:p w:rsidR="00000000" w:rsidRDefault="001F39D7">
      <w:pPr>
        <w:jc w:val="both"/>
        <w:rPr>
          <w:rFonts w:eastAsia="Times New Roman"/>
        </w:rPr>
      </w:pPr>
      <w:r>
        <w:rPr>
          <w:rFonts w:eastAsia="Times New Roman"/>
          <w:color w:val="000000"/>
          <w:sz w:val="20"/>
          <w:szCs w:val="20"/>
        </w:rPr>
        <w:t>At December </w:t>
      </w:r>
      <w:r>
        <w:rPr>
          <w:rFonts w:eastAsia="Times New Roman"/>
          <w:color w:val="000000"/>
          <w:sz w:val="20"/>
          <w:szCs w:val="20"/>
        </w:rPr>
        <w:t>25, 2021, the Company operated 2,181 stores in 49 states (2,003 Tractor Supply and Del’s retail stores and 178 Petsense retail stores).  The Company leases approximately 95% of its stores. Store leases typically have initial terms of between 10 and 15 year</w:t>
      </w:r>
      <w:r>
        <w:rPr>
          <w:rFonts w:eastAsia="Times New Roman"/>
          <w:color w:val="000000"/>
          <w:sz w:val="20"/>
          <w:szCs w:val="20"/>
        </w:rPr>
        <w:t>s, with two to four optional renewal periods of five years each, exercisable at our option.  No single lease is material to the Company’s operations. Approximately 57% of our stores are in freestanding buildings and 43% are located in shopping centers.  Th</w:t>
      </w:r>
      <w:r>
        <w:rPr>
          <w:rFonts w:eastAsia="Times New Roman"/>
          <w:color w:val="000000"/>
          <w:sz w:val="20"/>
          <w:szCs w:val="20"/>
        </w:rPr>
        <w:t>e following is a count of store locations by state:</w:t>
      </w:r>
    </w:p>
    <w:tbl>
      <w:tblPr>
        <w:tblW w:w="4992" w:type="pct"/>
        <w:tblCellMar>
          <w:top w:w="15" w:type="dxa"/>
          <w:left w:w="15" w:type="dxa"/>
          <w:bottom w:w="15" w:type="dxa"/>
          <w:right w:w="15" w:type="dxa"/>
        </w:tblCellMar>
        <w:tblLook w:val="04A0" w:firstRow="1" w:lastRow="0" w:firstColumn="1" w:lastColumn="0" w:noHBand="0" w:noVBand="1"/>
      </w:tblPr>
      <w:tblGrid>
        <w:gridCol w:w="57"/>
        <w:gridCol w:w="2883"/>
        <w:gridCol w:w="37"/>
        <w:gridCol w:w="36"/>
        <w:gridCol w:w="36"/>
        <w:gridCol w:w="36"/>
        <w:gridCol w:w="60"/>
        <w:gridCol w:w="919"/>
        <w:gridCol w:w="36"/>
        <w:gridCol w:w="36"/>
        <w:gridCol w:w="36"/>
        <w:gridCol w:w="36"/>
        <w:gridCol w:w="41"/>
        <w:gridCol w:w="2883"/>
        <w:gridCol w:w="37"/>
        <w:gridCol w:w="36"/>
        <w:gridCol w:w="36"/>
        <w:gridCol w:w="36"/>
        <w:gridCol w:w="60"/>
        <w:gridCol w:w="920"/>
        <w:gridCol w:w="36"/>
      </w:tblGrid>
      <w:tr w:rsidR="00000000">
        <w:tc>
          <w:tcPr>
            <w:tcW w:w="50" w:type="pct"/>
            <w:vAlign w:val="center"/>
            <w:hideMark/>
          </w:tcPr>
          <w:p w:rsidR="00000000" w:rsidRDefault="001F39D7">
            <w:pPr>
              <w:jc w:val="both"/>
              <w:rPr>
                <w:rFonts w:eastAsia="Times New Roman"/>
              </w:rPr>
            </w:pPr>
          </w:p>
        </w:tc>
        <w:tc>
          <w:tcPr>
            <w:tcW w:w="175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75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State</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State</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235</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27</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North Carolina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113</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Maryland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25</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102</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Washington</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25</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Tennessee</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Illinois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24</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Georgia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Massachusetts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24</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Michigan</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97</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Maine</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23</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97</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Colorado</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22</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Florida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96</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Hampshire</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96</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Connecticut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20</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California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74</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Nebraska</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18</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Kentucky</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72</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Utah</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16</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Virginia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71</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Minnesota</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14</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Alabama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67</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North Dakota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14</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Indiana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62</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Oregon</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13</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Louisiana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Iowa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Oklahoma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58</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South Dakota</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South Carolina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54</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Vermont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Mississippi</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Wyoming</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8</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Arkansas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39</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Delaware</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Arizona</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Idaho</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Missouri</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32</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Montana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Mexico</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30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Nevada</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West Virginia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Rhode Island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4</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Wisconsin</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Hawaii</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Kansas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27</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2,181</w:t>
            </w:r>
          </w:p>
        </w:tc>
      </w:tr>
    </w:tbl>
    <w:p w:rsidR="00000000" w:rsidRDefault="001F39D7">
      <w:pPr>
        <w:divId w:val="1027490674"/>
        <w:rPr>
          <w:rFonts w:eastAsia="Times New Roman"/>
        </w:rPr>
      </w:pPr>
    </w:p>
    <w:p w:rsidR="00000000" w:rsidRDefault="001F39D7">
      <w:pPr>
        <w:jc w:val="center"/>
        <w:divId w:val="4095040"/>
        <w:rPr>
          <w:rFonts w:eastAsia="Times New Roman"/>
        </w:rPr>
      </w:pPr>
      <w:r>
        <w:rPr>
          <w:rFonts w:eastAsia="Times New Roman"/>
          <w:color w:val="000000"/>
          <w:sz w:val="20"/>
          <w:szCs w:val="20"/>
        </w:rPr>
        <w:t>25</w:t>
      </w:r>
    </w:p>
    <w:p w:rsidR="00000000" w:rsidRDefault="001F39D7">
      <w:pPr>
        <w:rPr>
          <w:rFonts w:eastAsia="Times New Roman"/>
        </w:rPr>
      </w:pPr>
      <w:r>
        <w:rPr>
          <w:rFonts w:eastAsia="Times New Roman"/>
        </w:rPr>
        <w:pict>
          <v:rect id="_x0000_i1053" style="width:0;height:1.5pt" o:hralign="center" o:hrstd="t" o:hr="t" fillcolor="#a0a0a0" stroked="f"/>
        </w:pict>
      </w:r>
    </w:p>
    <w:p w:rsidR="00000000" w:rsidRDefault="001F39D7">
      <w:pPr>
        <w:divId w:val="342051920"/>
        <w:rPr>
          <w:rFonts w:eastAsia="Times New Roman"/>
        </w:rPr>
      </w:pPr>
      <w:hyperlink w:anchor="ia0680a7a640346e7afc1f53a5745d231_7" w:history="1">
        <w:r>
          <w:rPr>
            <w:rStyle w:val="a3"/>
            <w:rFonts w:eastAsia="Times New Roman"/>
            <w:sz w:val="18"/>
            <w:szCs w:val="18"/>
          </w:rPr>
          <w:t>Index</w:t>
        </w:r>
      </w:hyperlink>
    </w:p>
    <w:p w:rsidR="00000000" w:rsidRDefault="001F39D7">
      <w:pPr>
        <w:divId w:val="168374031"/>
        <w:rPr>
          <w:rFonts w:eastAsia="Times New Roman"/>
        </w:rPr>
      </w:pPr>
    </w:p>
    <w:p w:rsidR="00000000" w:rsidRDefault="001F39D7">
      <w:pPr>
        <w:jc w:val="both"/>
        <w:rPr>
          <w:rFonts w:eastAsia="Times New Roman"/>
        </w:rPr>
      </w:pPr>
      <w:r>
        <w:rPr>
          <w:rFonts w:eastAsia="Times New Roman"/>
          <w:color w:val="000000"/>
          <w:sz w:val="20"/>
          <w:szCs w:val="20"/>
        </w:rPr>
        <w:t>The following is a list of distribution locations including the approximate square footage and if the location is leased or owned:</w:t>
      </w:r>
    </w:p>
    <w:tbl>
      <w:tblPr>
        <w:tblW w:w="4992" w:type="pct"/>
        <w:tblCellMar>
          <w:top w:w="15" w:type="dxa"/>
          <w:left w:w="15" w:type="dxa"/>
          <w:bottom w:w="15" w:type="dxa"/>
          <w:right w:w="15" w:type="dxa"/>
        </w:tblCellMar>
        <w:tblLook w:val="04A0" w:firstRow="1" w:lastRow="0" w:firstColumn="1" w:lastColumn="0" w:noHBand="0" w:noVBand="1"/>
      </w:tblPr>
      <w:tblGrid>
        <w:gridCol w:w="58"/>
        <w:gridCol w:w="3284"/>
        <w:gridCol w:w="36"/>
        <w:gridCol w:w="36"/>
        <w:gridCol w:w="36"/>
        <w:gridCol w:w="36"/>
        <w:gridCol w:w="42"/>
        <w:gridCol w:w="2315"/>
        <w:gridCol w:w="36"/>
        <w:gridCol w:w="36"/>
        <w:gridCol w:w="36"/>
        <w:gridCol w:w="36"/>
        <w:gridCol w:w="47"/>
        <w:gridCol w:w="2223"/>
        <w:gridCol w:w="36"/>
      </w:tblGrid>
      <w:tr w:rsidR="00000000">
        <w:tc>
          <w:tcPr>
            <w:tcW w:w="50" w:type="pct"/>
            <w:vAlign w:val="center"/>
            <w:hideMark/>
          </w:tcPr>
          <w:p w:rsidR="00000000" w:rsidRDefault="001F39D7">
            <w:pPr>
              <w:jc w:val="both"/>
              <w:rPr>
                <w:rFonts w:eastAsia="Times New Roman"/>
              </w:rPr>
            </w:pPr>
          </w:p>
        </w:tc>
        <w:tc>
          <w:tcPr>
            <w:tcW w:w="19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40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35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Distribution Facility Location</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Approximate Square Footage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Owned/Leased Facility</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Frankfort, New York</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924,000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Franklin, Kentucky</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833,000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Pendleton, Indiana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764,000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Macon, Georgia</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684,000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Waco, Texas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666,000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Casa Grande, Arizona</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650,000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Waverly, Nebraska</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592,000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924949762"/>
              <w:rPr>
                <w:rFonts w:eastAsia="Times New Roman"/>
              </w:rPr>
            </w:pPr>
            <w:r>
              <w:rPr>
                <w:rFonts w:eastAsia="Times New Roman"/>
                <w:color w:val="000000"/>
                <w:sz w:val="20"/>
                <w:szCs w:val="20"/>
              </w:rPr>
              <w:t>Hagerstown, Marylan</w:t>
            </w:r>
            <w:r>
              <w:rPr>
                <w:rFonts w:eastAsia="Times New Roman"/>
                <w:color w:val="000000"/>
                <w:sz w:val="20"/>
                <w:szCs w:val="20"/>
              </w:rPr>
              <w:t>d</w:t>
            </w:r>
            <w:r>
              <w:rPr>
                <w:rFonts w:eastAsia="Times New Roman"/>
                <w:color w:val="000000"/>
                <w:sz w:val="13"/>
                <w:szCs w:val="13"/>
              </w:rPr>
              <w:t xml:space="preserve"> (a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482,000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864830145"/>
              <w:rPr>
                <w:rFonts w:eastAsia="Times New Roman"/>
              </w:rPr>
            </w:pPr>
            <w:r>
              <w:rPr>
                <w:rFonts w:eastAsia="Times New Roman"/>
                <w:color w:val="000000"/>
                <w:sz w:val="20"/>
                <w:szCs w:val="20"/>
              </w:rPr>
              <w:t>Hagerstown, Maryland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309,000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Leased</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541015030"/>
              <w:rPr>
                <w:rFonts w:eastAsia="Times New Roman"/>
              </w:rPr>
            </w:pPr>
            <w:r>
              <w:rPr>
                <w:rFonts w:eastAsia="Times New Roman"/>
                <w:color w:val="000000"/>
                <w:sz w:val="20"/>
                <w:szCs w:val="20"/>
              </w:rPr>
              <w:t>Seguin, Texas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71,000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221670561"/>
              <w:rPr>
                <w:rFonts w:eastAsia="Times New Roman"/>
              </w:rPr>
            </w:pPr>
            <w:r>
              <w:rPr>
                <w:rFonts w:eastAsia="Times New Roman"/>
                <w:color w:val="000000"/>
                <w:sz w:val="20"/>
                <w:szCs w:val="20"/>
              </w:rPr>
              <w:t>Lakewood, Washington</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64,000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Leased</w:t>
            </w:r>
          </w:p>
        </w:tc>
      </w:tr>
      <w:tr w:rsidR="00000000">
        <w:tc>
          <w:tcPr>
            <w:tcW w:w="0" w:type="auto"/>
            <w:gridSpan w:val="3"/>
            <w:tcMar>
              <w:top w:w="30" w:type="dxa"/>
              <w:left w:w="20" w:type="dxa"/>
              <w:bottom w:w="30" w:type="dxa"/>
              <w:right w:w="20" w:type="dxa"/>
            </w:tcMar>
            <w:vAlign w:val="bottom"/>
            <w:hideMark/>
          </w:tcPr>
          <w:p w:rsidR="00000000" w:rsidRDefault="001F39D7">
            <w:pPr>
              <w:spacing w:after="100"/>
              <w:divId w:val="1600092242"/>
              <w:rPr>
                <w:rFonts w:eastAsia="Times New Roman"/>
              </w:rPr>
            </w:pPr>
            <w:r>
              <w:rPr>
                <w:rFonts w:eastAsia="Times New Roman"/>
                <w:color w:val="000000"/>
                <w:sz w:val="20"/>
                <w:szCs w:val="20"/>
              </w:rPr>
              <w:t>Longview, Texas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63,000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Owned</w:t>
            </w:r>
          </w:p>
        </w:tc>
      </w:tr>
    </w:tbl>
    <w:p w:rsidR="00000000" w:rsidRDefault="001F39D7">
      <w:pPr>
        <w:ind w:hanging="270"/>
        <w:jc w:val="both"/>
        <w:rPr>
          <w:rFonts w:eastAsia="Times New Roman"/>
        </w:rPr>
      </w:pPr>
    </w:p>
    <w:p w:rsidR="00000000" w:rsidRDefault="001F39D7">
      <w:pPr>
        <w:ind w:hanging="270"/>
        <w:jc w:val="both"/>
        <w:rPr>
          <w:rFonts w:eastAsia="Times New Roman"/>
        </w:rPr>
      </w:pPr>
      <w:r>
        <w:rPr>
          <w:rFonts w:eastAsia="Times New Roman"/>
          <w:color w:val="000000"/>
          <w:sz w:val="16"/>
          <w:szCs w:val="16"/>
        </w:rPr>
        <w:t>(a) The leased distribution center in Hagerstown is treated as an extension of the existing owned Hagerstown location and is not considered a separate distribution center.</w:t>
      </w:r>
    </w:p>
    <w:p w:rsidR="00000000" w:rsidRDefault="001F39D7">
      <w:pPr>
        <w:divId w:val="339743667"/>
        <w:rPr>
          <w:rFonts w:eastAsia="Times New Roman"/>
        </w:rPr>
      </w:pPr>
      <w:r>
        <w:rPr>
          <w:rFonts w:eastAsia="Times New Roman"/>
          <w:color w:val="000000"/>
          <w:sz w:val="16"/>
          <w:szCs w:val="16"/>
        </w:rPr>
        <w:t>(b) This is a mixing center designed to process certain high-volume bulk products.</w:t>
      </w:r>
    </w:p>
    <w:p w:rsidR="00000000" w:rsidRDefault="001F39D7">
      <w:pPr>
        <w:divId w:val="1438712990"/>
        <w:rPr>
          <w:rFonts w:eastAsia="Times New Roman"/>
        </w:rPr>
      </w:pPr>
    </w:p>
    <w:p w:rsidR="00000000" w:rsidRDefault="001F39D7">
      <w:pPr>
        <w:jc w:val="both"/>
        <w:rPr>
          <w:rFonts w:eastAsia="Times New Roman"/>
        </w:rPr>
      </w:pPr>
      <w:r>
        <w:rPr>
          <w:rFonts w:eastAsia="Times New Roman"/>
          <w:color w:val="000000"/>
          <w:sz w:val="20"/>
          <w:szCs w:val="20"/>
        </w:rPr>
        <w:t>The Company’s Store Support Center occupies approximately 260,000 square feet of owned building space in Brentwood, Tennessee, and the Company’s Merchandising Innovation C</w:t>
      </w:r>
      <w:r>
        <w:rPr>
          <w:rFonts w:eastAsia="Times New Roman"/>
          <w:color w:val="000000"/>
          <w:sz w:val="20"/>
          <w:szCs w:val="20"/>
        </w:rPr>
        <w:t>enter occupies approximately 32,000 square feet of leased building space in Nashville, Tennessee.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is building a new distribution center in Navarre, Ohio, which is expected to be approximately 900,000 square feet and is currently anticipated t</w:t>
      </w:r>
      <w:r>
        <w:rPr>
          <w:rFonts w:eastAsia="Times New Roman"/>
          <w:color w:val="000000"/>
          <w:sz w:val="20"/>
          <w:szCs w:val="20"/>
        </w:rPr>
        <w:t>o be completed in the fall of fiscal 2022.</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In addition, on January 26, 2022, the Company announced plans to build a new distribution center in Maumelle, Arkansas. This new distribution center is expected to be approximately 900,000 square feet. Construct</w:t>
      </w:r>
      <w:r>
        <w:rPr>
          <w:rFonts w:eastAsia="Times New Roman"/>
          <w:color w:val="000000"/>
          <w:sz w:val="20"/>
          <w:szCs w:val="20"/>
          <w:shd w:val="clear" w:color="auto" w:fill="FFFFFF"/>
        </w:rPr>
        <w:t>ion is planned to begin in the middle of 2022 and is currently anticipated to be completed in late 2023.</w:t>
      </w:r>
      <w:r>
        <w:rPr>
          <w:rFonts w:eastAsia="Times New Roman"/>
          <w:color w:val="000000"/>
          <w:sz w:val="20"/>
          <w:szCs w:val="20"/>
        </w:rPr>
        <w:t xml:space="preserve"> </w:t>
      </w:r>
    </w:p>
    <w:p w:rsidR="00000000" w:rsidRDefault="001F39D7">
      <w:pPr>
        <w:divId w:val="602684397"/>
        <w:rPr>
          <w:rFonts w:eastAsia="Times New Roman"/>
        </w:rPr>
      </w:pPr>
    </w:p>
    <w:p w:rsidR="00000000" w:rsidRDefault="001F39D7">
      <w:pPr>
        <w:jc w:val="both"/>
        <w:rPr>
          <w:rFonts w:eastAsia="Times New Roman"/>
        </w:rPr>
      </w:pPr>
      <w:r>
        <w:rPr>
          <w:rFonts w:eastAsia="Times New Roman"/>
          <w:color w:val="000000"/>
          <w:sz w:val="20"/>
          <w:szCs w:val="20"/>
        </w:rPr>
        <w:t>We also use third-party operated import centers, mixing centers and pop-up distribution facilities which provide additional distribution capacity.</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3</w:t>
      </w:r>
      <w:r>
        <w:rPr>
          <w:rFonts w:eastAsia="Times New Roman"/>
          <w:b/>
          <w:bCs/>
          <w:color w:val="000000"/>
          <w:sz w:val="20"/>
          <w:szCs w:val="20"/>
        </w:rPr>
        <w:t>.        </w:t>
      </w:r>
      <w:r>
        <w:rPr>
          <w:rFonts w:eastAsia="Times New Roman"/>
          <w:b/>
          <w:bCs/>
          <w:color w:val="000000"/>
          <w:sz w:val="20"/>
          <w:szCs w:val="20"/>
          <w:u w:val="single"/>
        </w:rPr>
        <w:t>Legal Proceedings</w:t>
      </w:r>
    </w:p>
    <w:p w:rsidR="00000000" w:rsidRDefault="001F39D7">
      <w:pPr>
        <w:jc w:val="both"/>
        <w:rPr>
          <w:rFonts w:eastAsia="Times New Roman"/>
        </w:rPr>
      </w:pPr>
    </w:p>
    <w:p w:rsidR="00000000" w:rsidRDefault="001F39D7">
      <w:pPr>
        <w:divId w:val="215629844"/>
        <w:rPr>
          <w:rFonts w:eastAsia="Times New Roman"/>
        </w:rPr>
      </w:pPr>
      <w:r>
        <w:rPr>
          <w:rFonts w:eastAsia="Times New Roman"/>
          <w:color w:val="000000"/>
          <w:sz w:val="20"/>
          <w:szCs w:val="20"/>
        </w:rPr>
        <w:t xml:space="preserve">For a description of the Company's legal proceedings, refer to Note 11 to the Condensed Consolidated </w:t>
      </w:r>
      <w:r>
        <w:rPr>
          <w:rFonts w:eastAsia="Times New Roman"/>
          <w:color w:val="000000"/>
          <w:sz w:val="20"/>
          <w:szCs w:val="20"/>
        </w:rPr>
        <w:t>Financial Statements included under Part II, Item 8 of this Annual Report on Form 10-K.</w:t>
      </w:r>
    </w:p>
    <w:p w:rsidR="00000000" w:rsidRDefault="001F39D7">
      <w:pPr>
        <w:divId w:val="1789397849"/>
        <w:rPr>
          <w:rFonts w:eastAsia="Times New Roman"/>
        </w:rPr>
      </w:pPr>
    </w:p>
    <w:p w:rsidR="00000000" w:rsidRDefault="001F39D7">
      <w:pPr>
        <w:jc w:val="both"/>
        <w:rPr>
          <w:rFonts w:eastAsia="Times New Roman"/>
        </w:rPr>
      </w:pPr>
      <w:r>
        <w:rPr>
          <w:rFonts w:eastAsia="Times New Roman"/>
          <w:b/>
          <w:bCs/>
          <w:color w:val="000000"/>
          <w:sz w:val="20"/>
          <w:szCs w:val="20"/>
          <w:u w:val="single"/>
        </w:rPr>
        <w:t>Item 4</w:t>
      </w:r>
      <w:r>
        <w:rPr>
          <w:rFonts w:eastAsia="Times New Roman"/>
          <w:b/>
          <w:bCs/>
          <w:color w:val="000000"/>
          <w:sz w:val="20"/>
          <w:szCs w:val="20"/>
        </w:rPr>
        <w:t>.        </w:t>
      </w:r>
      <w:r>
        <w:rPr>
          <w:rFonts w:eastAsia="Times New Roman"/>
          <w:b/>
          <w:bCs/>
          <w:color w:val="000000"/>
          <w:sz w:val="20"/>
          <w:szCs w:val="20"/>
          <w:u w:val="single"/>
        </w:rPr>
        <w:t>Mine Safety Disclosures</w:t>
      </w:r>
    </w:p>
    <w:p w:rsidR="00000000" w:rsidRDefault="001F39D7">
      <w:pPr>
        <w:divId w:val="1700813856"/>
        <w:rPr>
          <w:rFonts w:eastAsia="Times New Roman"/>
        </w:rPr>
      </w:pPr>
    </w:p>
    <w:p w:rsidR="00000000" w:rsidRDefault="001F39D7">
      <w:pPr>
        <w:jc w:val="both"/>
        <w:rPr>
          <w:rFonts w:eastAsia="Times New Roman"/>
        </w:rPr>
      </w:pPr>
      <w:r>
        <w:rPr>
          <w:rFonts w:eastAsia="Times New Roman"/>
          <w:color w:val="000000"/>
          <w:sz w:val="20"/>
          <w:szCs w:val="20"/>
        </w:rPr>
        <w:t>Not applicable.</w:t>
      </w:r>
    </w:p>
    <w:p w:rsidR="00000000" w:rsidRDefault="001F39D7">
      <w:pPr>
        <w:jc w:val="both"/>
        <w:rPr>
          <w:rFonts w:eastAsia="Times New Roman"/>
        </w:rPr>
      </w:pPr>
    </w:p>
    <w:p w:rsidR="00000000" w:rsidRDefault="001F39D7">
      <w:pPr>
        <w:jc w:val="center"/>
        <w:divId w:val="1425103386"/>
        <w:rPr>
          <w:rFonts w:eastAsia="Times New Roman"/>
        </w:rPr>
      </w:pPr>
      <w:r>
        <w:rPr>
          <w:rFonts w:eastAsia="Times New Roman"/>
          <w:color w:val="000000"/>
          <w:sz w:val="20"/>
          <w:szCs w:val="20"/>
        </w:rPr>
        <w:t>26</w:t>
      </w:r>
    </w:p>
    <w:p w:rsidR="00000000" w:rsidRDefault="001F39D7">
      <w:pPr>
        <w:rPr>
          <w:rFonts w:eastAsia="Times New Roman"/>
        </w:rPr>
      </w:pPr>
      <w:r>
        <w:rPr>
          <w:rFonts w:eastAsia="Times New Roman"/>
        </w:rPr>
        <w:pict>
          <v:rect id="_x0000_i1054" style="width:0;height:1.5pt" o:hralign="center" o:hrstd="t" o:hr="t" fillcolor="#a0a0a0" stroked="f"/>
        </w:pict>
      </w:r>
    </w:p>
    <w:p w:rsidR="00000000" w:rsidRDefault="001F39D7">
      <w:pPr>
        <w:divId w:val="1058193"/>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center"/>
        <w:rPr>
          <w:rFonts w:eastAsia="Times New Roman"/>
        </w:rPr>
      </w:pPr>
      <w:r>
        <w:rPr>
          <w:rFonts w:eastAsia="Times New Roman"/>
          <w:b/>
          <w:bCs/>
          <w:color w:val="000000"/>
          <w:sz w:val="20"/>
          <w:szCs w:val="20"/>
        </w:rPr>
        <w:t>PA</w:t>
      </w:r>
      <w:r>
        <w:rPr>
          <w:rFonts w:eastAsia="Times New Roman"/>
          <w:b/>
          <w:bCs/>
          <w:color w:val="000000"/>
          <w:sz w:val="20"/>
          <w:szCs w:val="20"/>
        </w:rPr>
        <w:t>RT II</w:t>
      </w:r>
    </w:p>
    <w:p w:rsidR="00000000" w:rsidRDefault="001F39D7">
      <w:pPr>
        <w:divId w:val="766928999"/>
        <w:rPr>
          <w:rFonts w:eastAsia="Times New Roman"/>
        </w:rPr>
      </w:pPr>
    </w:p>
    <w:p w:rsidR="00000000" w:rsidRDefault="001F39D7">
      <w:pPr>
        <w:ind w:hanging="1440"/>
        <w:divId w:val="1445883959"/>
        <w:rPr>
          <w:rFonts w:eastAsia="Times New Roman"/>
        </w:rPr>
      </w:pPr>
      <w:r>
        <w:rPr>
          <w:rFonts w:eastAsia="Times New Roman"/>
          <w:b/>
          <w:bCs/>
          <w:color w:val="000000"/>
          <w:sz w:val="20"/>
          <w:szCs w:val="20"/>
          <w:u w:val="single"/>
        </w:rPr>
        <w:t>Item 5</w:t>
      </w:r>
      <w:r>
        <w:rPr>
          <w:rFonts w:eastAsia="Times New Roman"/>
          <w:b/>
          <w:bCs/>
          <w:color w:val="000000"/>
          <w:sz w:val="20"/>
          <w:szCs w:val="20"/>
        </w:rPr>
        <w:t>.    </w:t>
      </w:r>
      <w:r>
        <w:rPr>
          <w:rFonts w:eastAsia="Times New Roman"/>
          <w:b/>
          <w:bCs/>
          <w:color w:val="000000"/>
          <w:sz w:val="20"/>
          <w:szCs w:val="20"/>
          <w:u w:val="single"/>
        </w:rPr>
        <w:t>Market for Registrant’s Common Equity, Related Stockholder Matters and Issuer Purchases of Equity Securities</w:t>
      </w:r>
    </w:p>
    <w:p w:rsidR="00000000" w:rsidRDefault="001F39D7">
      <w:pPr>
        <w:divId w:val="165941103"/>
        <w:rPr>
          <w:rFonts w:eastAsia="Times New Roman"/>
        </w:rPr>
      </w:pPr>
    </w:p>
    <w:p w:rsidR="00000000" w:rsidRDefault="001F39D7">
      <w:pPr>
        <w:jc w:val="both"/>
        <w:rPr>
          <w:rFonts w:eastAsia="Times New Roman"/>
        </w:rPr>
      </w:pPr>
      <w:r>
        <w:rPr>
          <w:rFonts w:eastAsia="Times New Roman"/>
          <w:b/>
          <w:bCs/>
          <w:color w:val="000000"/>
          <w:sz w:val="20"/>
          <w:szCs w:val="20"/>
        </w:rPr>
        <w:t>Common Stock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Company’s common stock trades on the NASDAQ Global Select Market under the symbol, “TSCO.”</w:t>
      </w:r>
    </w:p>
    <w:p w:rsidR="00000000" w:rsidRDefault="001F39D7">
      <w:pPr>
        <w:divId w:val="692263576"/>
        <w:rPr>
          <w:rFonts w:eastAsia="Times New Roman"/>
        </w:rPr>
      </w:pPr>
    </w:p>
    <w:p w:rsidR="00000000" w:rsidRDefault="001F39D7">
      <w:pPr>
        <w:jc w:val="both"/>
        <w:rPr>
          <w:rFonts w:eastAsia="Times New Roman"/>
        </w:rPr>
      </w:pPr>
      <w:r>
        <w:rPr>
          <w:rFonts w:eastAsia="Times New Roman"/>
          <w:color w:val="000000"/>
          <w:sz w:val="20"/>
          <w:szCs w:val="20"/>
        </w:rPr>
        <w:t>As of January </w:t>
      </w:r>
      <w:r>
        <w:rPr>
          <w:rFonts w:eastAsia="Times New Roman"/>
          <w:color w:val="000000"/>
          <w:sz w:val="20"/>
          <w:szCs w:val="20"/>
        </w:rPr>
        <w:t>22, 2022, the number of record holders of our common stock was 725 (excluding individual participants in nominee security position listings).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Dividends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paid cash dividends totaling $239.0 million and $174.7 million in fiscal 2021 and 2020, respectiv</w:t>
      </w:r>
      <w:r>
        <w:rPr>
          <w:rFonts w:eastAsia="Times New Roman"/>
          <w:color w:val="000000"/>
          <w:sz w:val="20"/>
          <w:szCs w:val="20"/>
        </w:rPr>
        <w:t>ely. In fiscal 2021, we declared and paid cash dividends to stockholders of $2.08 per common share outstanding as compared to $1.50 per common share outstanding in fiscal 2020. These payments reflect an increase in the quarterly dividend to $0.52 in the fi</w:t>
      </w:r>
      <w:r>
        <w:rPr>
          <w:rFonts w:eastAsia="Times New Roman"/>
          <w:color w:val="000000"/>
          <w:sz w:val="20"/>
          <w:szCs w:val="20"/>
        </w:rPr>
        <w:t xml:space="preserve">rst quarter of fiscal 2021 from $0.40 per share and an increase in the third quarter of fiscal 2020 to $0.40 per share from $0.35 per share.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January 26, 2022, the Company’s Board of Directors declared a quarterly cash dividend of $0.92 per share of t</w:t>
      </w:r>
      <w:r>
        <w:rPr>
          <w:rFonts w:eastAsia="Times New Roman"/>
          <w:color w:val="000000"/>
          <w:sz w:val="20"/>
          <w:szCs w:val="20"/>
        </w:rPr>
        <w:t>he Company’s outstanding common stock. The dividend will be paid on March 8, 2022, to stockholders of record as of the close of business on February 21, 2022.</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amount of future dividends will be determined by the Company’s Board of Directors in its sole discretion and will depend upon the earnings, financial co</w:t>
      </w:r>
      <w:r>
        <w:rPr>
          <w:rFonts w:eastAsia="Times New Roman"/>
          <w:color w:val="000000"/>
          <w:sz w:val="20"/>
          <w:szCs w:val="20"/>
        </w:rPr>
        <w:t>ndition, and capital needs of the Company, along with any other factors which the Company’s Board of Directors deem relevant.</w:t>
      </w:r>
    </w:p>
    <w:p w:rsidR="00000000" w:rsidRDefault="001F39D7">
      <w:pPr>
        <w:divId w:val="1121875254"/>
        <w:rPr>
          <w:rFonts w:eastAsia="Times New Roman"/>
        </w:rPr>
      </w:pPr>
    </w:p>
    <w:p w:rsidR="00000000" w:rsidRDefault="001F39D7">
      <w:pPr>
        <w:jc w:val="center"/>
        <w:divId w:val="904950505"/>
        <w:rPr>
          <w:rFonts w:eastAsia="Times New Roman"/>
        </w:rPr>
      </w:pPr>
      <w:r>
        <w:rPr>
          <w:rFonts w:eastAsia="Times New Roman"/>
          <w:color w:val="000000"/>
          <w:sz w:val="20"/>
          <w:szCs w:val="20"/>
        </w:rPr>
        <w:t>27</w:t>
      </w:r>
    </w:p>
    <w:p w:rsidR="00000000" w:rsidRDefault="001F39D7">
      <w:pPr>
        <w:rPr>
          <w:rFonts w:eastAsia="Times New Roman"/>
        </w:rPr>
      </w:pPr>
      <w:r>
        <w:rPr>
          <w:rFonts w:eastAsia="Times New Roman"/>
        </w:rPr>
        <w:pict>
          <v:rect id="_x0000_i1055" style="width:0;height:1.5pt" o:hralign="center" o:hrstd="t" o:hr="t" fillcolor="#a0a0a0" stroked="f"/>
        </w:pict>
      </w:r>
    </w:p>
    <w:p w:rsidR="00000000" w:rsidRDefault="001F39D7">
      <w:pPr>
        <w:divId w:val="1613321360"/>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rPr>
        <w:t>Issuer Purchases of Equity Securities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Company’s Board of Directors has authorized common stock repurchases under a share repurchase program which was </w:t>
      </w:r>
      <w:r>
        <w:rPr>
          <w:rFonts w:eastAsia="Times New Roman"/>
          <w:color w:val="000000"/>
          <w:sz w:val="20"/>
          <w:szCs w:val="20"/>
        </w:rPr>
        <w:t>announced in February 2007. The authorization amount of the program, which has been increased from time to time, is currently authorized for up to $6.5 billion, exclusive of any fees, commissions or other expenses related to such repurchases. The currently</w:t>
      </w:r>
      <w:r>
        <w:rPr>
          <w:rFonts w:eastAsia="Times New Roman"/>
          <w:color w:val="000000"/>
          <w:sz w:val="20"/>
          <w:szCs w:val="20"/>
        </w:rPr>
        <w:t xml:space="preserve"> authorized amount reflects a $2.0 billion increase to the existing share repurchase program which was approved by the Company's Board of Directors </w:t>
      </w:r>
      <w:r>
        <w:rPr>
          <w:rFonts w:eastAsia="Times New Roman"/>
          <w:color w:val="000000"/>
          <w:sz w:val="20"/>
          <w:szCs w:val="20"/>
          <w:shd w:val="clear" w:color="auto" w:fill="FFFFFF"/>
        </w:rPr>
        <w:t xml:space="preserve">on January 26, 2022. </w:t>
      </w:r>
      <w:r>
        <w:rPr>
          <w:rFonts w:eastAsia="Times New Roman"/>
          <w:color w:val="000000"/>
          <w:sz w:val="20"/>
          <w:szCs w:val="20"/>
        </w:rPr>
        <w:t>The share repurchase program does not have an expiration date. As of December 25, 2021,</w:t>
      </w:r>
      <w:r>
        <w:rPr>
          <w:rFonts w:eastAsia="Times New Roman"/>
          <w:color w:val="000000"/>
          <w:sz w:val="20"/>
          <w:szCs w:val="20"/>
        </w:rPr>
        <w:t xml:space="preserve"> prior to the expanded $2.0 billion repurchase authorization, the Company had remaining authorization under the share repurchase program of $345.0 million, exclusive of any fees, commissions or other expenses. Additionally, the Company withholds shares fro</w:t>
      </w:r>
      <w:r>
        <w:rPr>
          <w:rFonts w:eastAsia="Times New Roman"/>
          <w:color w:val="000000"/>
          <w:sz w:val="20"/>
          <w:szCs w:val="20"/>
        </w:rPr>
        <w:t>m vested restricted stock units and performance-based restricted share units to satisfy employees’ minimum statutory tax withholding requirements. Stock purchase activity during fiscal 2021 is set forth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2704"/>
        <w:gridCol w:w="38"/>
        <w:gridCol w:w="36"/>
        <w:gridCol w:w="36"/>
        <w:gridCol w:w="36"/>
        <w:gridCol w:w="84"/>
        <w:gridCol w:w="848"/>
        <w:gridCol w:w="36"/>
        <w:gridCol w:w="36"/>
        <w:gridCol w:w="36"/>
        <w:gridCol w:w="36"/>
        <w:gridCol w:w="120"/>
        <w:gridCol w:w="600"/>
        <w:gridCol w:w="36"/>
        <w:gridCol w:w="36"/>
        <w:gridCol w:w="36"/>
        <w:gridCol w:w="36"/>
        <w:gridCol w:w="94"/>
        <w:gridCol w:w="1537"/>
        <w:gridCol w:w="36"/>
        <w:gridCol w:w="36"/>
        <w:gridCol w:w="36"/>
        <w:gridCol w:w="36"/>
        <w:gridCol w:w="121"/>
        <w:gridCol w:w="1545"/>
        <w:gridCol w:w="36"/>
      </w:tblGrid>
      <w:tr w:rsidR="00000000">
        <w:tc>
          <w:tcPr>
            <w:tcW w:w="50" w:type="pct"/>
            <w:vAlign w:val="center"/>
            <w:hideMark/>
          </w:tcPr>
          <w:p w:rsidR="00000000" w:rsidRDefault="001F39D7">
            <w:pPr>
              <w:jc w:val="both"/>
              <w:rPr>
                <w:rFonts w:eastAsia="Times New Roman"/>
              </w:rPr>
            </w:pPr>
          </w:p>
        </w:tc>
        <w:tc>
          <w:tcPr>
            <w:tcW w:w="189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0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7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2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Total Number</w:t>
            </w:r>
            <w:r>
              <w:rPr>
                <w:rFonts w:eastAsia="Times New Roman"/>
                <w:b/>
                <w:bCs/>
                <w:color w:val="000000"/>
                <w:sz w:val="20"/>
                <w:szCs w:val="20"/>
              </w:rPr>
              <w:br/>
              <w:t>of Shares</w:t>
            </w:r>
            <w:r>
              <w:rPr>
                <w:rFonts w:eastAsia="Times New Roman"/>
                <w:b/>
                <w:bCs/>
                <w:color w:val="000000"/>
                <w:sz w:val="20"/>
                <w:szCs w:val="20"/>
              </w:rPr>
              <w:br/>
              <w:t>Purchased</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Maximum Dollar Value of Shares That May Yet Be</w:t>
            </w:r>
            <w:r>
              <w:rPr>
                <w:rFonts w:eastAsia="Times New Roman"/>
                <w:b/>
                <w:bCs/>
                <w:color w:val="000000"/>
                <w:sz w:val="20"/>
                <w:szCs w:val="20"/>
              </w:rPr>
              <w:br/>
              <w:t>Purchased</w:t>
            </w:r>
            <w:r>
              <w:rPr>
                <w:rFonts w:eastAsia="Times New Roman"/>
                <w:b/>
                <w:bCs/>
                <w:color w:val="000000"/>
                <w:sz w:val="20"/>
                <w:szCs w:val="20"/>
              </w:rPr>
              <w:br/>
              <w:t>Under the Plans or Programs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divId w:val="673609797"/>
              <w:rPr>
                <w:rFonts w:eastAsia="Times New Roman"/>
              </w:rPr>
            </w:pPr>
            <w:r>
              <w:rPr>
                <w:rFonts w:eastAsia="Times New Roman"/>
                <w:color w:val="000000"/>
                <w:sz w:val="20"/>
                <w:szCs w:val="20"/>
              </w:rPr>
              <w:t>First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1,681,348 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1,600,354 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890,467,715 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divId w:val="588273951"/>
              <w:rPr>
                <w:rFonts w:eastAsia="Times New Roman"/>
              </w:rPr>
            </w:pPr>
            <w:r>
              <w:rPr>
                <w:rFonts w:eastAsia="Times New Roman"/>
                <w:color w:val="000000"/>
                <w:sz w:val="20"/>
                <w:szCs w:val="20"/>
              </w:rPr>
              <w:t>Second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1,126,487 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181.83 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1,118,208 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687,175,560 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219486882"/>
              <w:rPr>
                <w:rFonts w:eastAsia="Times New Roman"/>
              </w:rPr>
            </w:pPr>
            <w:r>
              <w:rPr>
                <w:rFonts w:eastAsia="Times New Roman"/>
                <w:color w:val="000000"/>
                <w:sz w:val="20"/>
                <w:szCs w:val="20"/>
              </w:rPr>
              <w:t>Third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748,943 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190.01 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743,344 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545,926,155 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8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039162373"/>
              <w:rPr>
                <w:rFonts w:eastAsia="Times New Roman"/>
              </w:rPr>
            </w:pPr>
            <w:r>
              <w:rPr>
                <w:rFonts w:eastAsia="Times New Roman"/>
                <w:color w:val="000000"/>
                <w:sz w:val="20"/>
                <w:szCs w:val="20"/>
              </w:rPr>
              <w:t>Fourth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9/26/21 - 10/23/21</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160,205 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200.65 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160,000 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513,824,218 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10/24/21 - 11/20/21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165,433 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223.01 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164,569 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477,120,646 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11/21/21 - 12/25/21</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577,384 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228.83 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577,329 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345,018,590 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903,022 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222.76 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901,898 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345,018,590 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8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As of and for the year ended December 25,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4,459,800 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182.47 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4,363,804 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345,018,590 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ind w:hanging="180"/>
        <w:jc w:val="both"/>
        <w:rPr>
          <w:rFonts w:eastAsia="Times New Roman"/>
        </w:rPr>
      </w:pPr>
    </w:p>
    <w:p w:rsidR="00000000" w:rsidRDefault="001F39D7">
      <w:pPr>
        <w:ind w:hanging="180"/>
        <w:jc w:val="both"/>
        <w:rPr>
          <w:rFonts w:eastAsia="Times New Roman"/>
        </w:rPr>
      </w:pPr>
      <w:r>
        <w:rPr>
          <w:rFonts w:eastAsia="Times New Roman"/>
          <w:color w:val="000000"/>
          <w:sz w:val="16"/>
          <w:szCs w:val="16"/>
        </w:rPr>
        <w:t xml:space="preserve">(a) The total number of shares purchased and average price paid per share include shares withheld from vested stock awards to satisfy employees’ minimum statutory tax withholding requirements of 80,994 during the first quarter, 8,279 during </w:t>
      </w:r>
      <w:r>
        <w:rPr>
          <w:rFonts w:eastAsia="Times New Roman"/>
          <w:color w:val="000000"/>
          <w:sz w:val="16"/>
          <w:szCs w:val="16"/>
        </w:rPr>
        <w:t xml:space="preserve">the second quarter, 5,599 during the third quarter, and 1,124 during the fourth quarter.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expect to implement the balance of the repurchase program through purchases made from time to time either in the open market or through private transactions, in </w:t>
      </w:r>
      <w:r>
        <w:rPr>
          <w:rFonts w:eastAsia="Times New Roman"/>
          <w:color w:val="000000"/>
          <w:sz w:val="20"/>
          <w:szCs w:val="20"/>
        </w:rPr>
        <w:t>accordance with regulations of the SEC and other applicable legal requirements.  The timing and amount of any common stock repurchased under the program will depend on a variety of factors including price, corporate and regulatory requirements, capital ava</w:t>
      </w:r>
      <w:r>
        <w:rPr>
          <w:rFonts w:eastAsia="Times New Roman"/>
          <w:color w:val="000000"/>
          <w:sz w:val="20"/>
          <w:szCs w:val="20"/>
        </w:rPr>
        <w:t>ilability, and other market conditions.</w:t>
      </w:r>
    </w:p>
    <w:p w:rsidR="00000000" w:rsidRDefault="001F39D7">
      <w:pPr>
        <w:jc w:val="both"/>
        <w:rPr>
          <w:rFonts w:eastAsia="Times New Roman"/>
        </w:rPr>
      </w:pPr>
      <w:r>
        <w:rPr>
          <w:rFonts w:eastAsia="Times New Roman"/>
          <w:color w:val="000000"/>
          <w:sz w:val="20"/>
          <w:szCs w:val="20"/>
        </w:rPr>
        <w:t> </w:t>
      </w:r>
    </w:p>
    <w:p w:rsidR="00000000" w:rsidRDefault="001F39D7">
      <w:pPr>
        <w:jc w:val="both"/>
        <w:rPr>
          <w:rFonts w:eastAsia="Times New Roman"/>
        </w:rPr>
      </w:pPr>
      <w:r>
        <w:rPr>
          <w:rFonts w:eastAsia="Times New Roman"/>
          <w:color w:val="000000"/>
          <w:sz w:val="20"/>
          <w:szCs w:val="20"/>
        </w:rPr>
        <w:t>Any additional stock repurchase programs will be subject to the discretion of our Board of Directors and will depend upon earnings, financial condition, and capital needs of the Company, along with any other factors which the Board of Directors deem releva</w:t>
      </w:r>
      <w:r>
        <w:rPr>
          <w:rFonts w:eastAsia="Times New Roman"/>
          <w:color w:val="000000"/>
          <w:sz w:val="20"/>
          <w:szCs w:val="20"/>
        </w:rPr>
        <w:t>nt.  The program may be limited, temporarily paused, or terminated at any time, without prior notice.</w:t>
      </w:r>
    </w:p>
    <w:p w:rsidR="00000000" w:rsidRDefault="001F39D7">
      <w:pPr>
        <w:jc w:val="both"/>
        <w:rPr>
          <w:rFonts w:eastAsia="Times New Roman"/>
        </w:rPr>
      </w:pPr>
    </w:p>
    <w:p w:rsidR="00000000" w:rsidRDefault="001F39D7">
      <w:pPr>
        <w:jc w:val="both"/>
        <w:rPr>
          <w:rFonts w:eastAsia="Times New Roman"/>
        </w:rPr>
      </w:pPr>
    </w:p>
    <w:p w:rsidR="00000000" w:rsidRDefault="001F39D7">
      <w:pPr>
        <w:jc w:val="center"/>
        <w:divId w:val="180557171"/>
        <w:rPr>
          <w:rFonts w:eastAsia="Times New Roman"/>
        </w:rPr>
      </w:pPr>
      <w:r>
        <w:rPr>
          <w:rFonts w:eastAsia="Times New Roman"/>
          <w:color w:val="000000"/>
          <w:sz w:val="20"/>
          <w:szCs w:val="20"/>
        </w:rPr>
        <w:t>28</w:t>
      </w:r>
    </w:p>
    <w:p w:rsidR="00000000" w:rsidRDefault="001F39D7">
      <w:pPr>
        <w:rPr>
          <w:rFonts w:eastAsia="Times New Roman"/>
        </w:rPr>
      </w:pPr>
      <w:r>
        <w:rPr>
          <w:rFonts w:eastAsia="Times New Roman"/>
        </w:rPr>
        <w:pict>
          <v:rect id="_x0000_i1056" style="width:0;height:1.5pt" o:hralign="center" o:hrstd="t" o:hr="t" fillcolor="#a0a0a0" stroked="f"/>
        </w:pict>
      </w:r>
    </w:p>
    <w:p w:rsidR="00000000" w:rsidRDefault="001F39D7">
      <w:pPr>
        <w:divId w:val="1597865844"/>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STOCK PERFORMANCE GRAPH</w:t>
      </w:r>
    </w:p>
    <w:p w:rsidR="00000000" w:rsidRDefault="001F39D7">
      <w:pPr>
        <w:divId w:val="1507286200"/>
        <w:rPr>
          <w:rFonts w:eastAsia="Times New Roman"/>
        </w:rPr>
      </w:pPr>
    </w:p>
    <w:p w:rsidR="00000000" w:rsidRDefault="001F39D7">
      <w:pPr>
        <w:jc w:val="both"/>
        <w:rPr>
          <w:rFonts w:eastAsia="Times New Roman"/>
        </w:rPr>
      </w:pPr>
      <w:r>
        <w:rPr>
          <w:rFonts w:eastAsia="Times New Roman"/>
          <w:color w:val="000000"/>
          <w:sz w:val="20"/>
          <w:szCs w:val="20"/>
        </w:rPr>
        <w:t>This performance graph shall not be deemed “filed” for purposes of Section 18 of the Securities Exchange Act of 1934, as amended (the “Exchange Act”) or otherwise subject to the liabilities under that Section and shall not be deemed to be incorporated by r</w:t>
      </w:r>
      <w:r>
        <w:rPr>
          <w:rFonts w:eastAsia="Times New Roman"/>
          <w:color w:val="000000"/>
          <w:sz w:val="20"/>
          <w:szCs w:val="20"/>
        </w:rPr>
        <w:t>eference into any filing of Tractor Supply Company under the Securities Act of 1933, as amended, or the Exchange Act.</w:t>
      </w:r>
    </w:p>
    <w:p w:rsidR="00000000" w:rsidRDefault="001F39D7">
      <w:pPr>
        <w:divId w:val="684285163"/>
        <w:rPr>
          <w:rFonts w:eastAsia="Times New Roman"/>
        </w:rPr>
      </w:pPr>
    </w:p>
    <w:p w:rsidR="00000000" w:rsidRDefault="001F39D7">
      <w:pPr>
        <w:divId w:val="1231188072"/>
        <w:rPr>
          <w:rFonts w:eastAsia="Times New Roman"/>
        </w:rPr>
      </w:pPr>
      <w:r>
        <w:rPr>
          <w:rFonts w:eastAsia="Times New Roman"/>
          <w:color w:val="000000"/>
          <w:sz w:val="2"/>
          <w:szCs w:val="2"/>
        </w:rPr>
        <w:t> </w:t>
      </w:r>
    </w:p>
    <w:p w:rsidR="00000000" w:rsidRDefault="001F39D7">
      <w:pPr>
        <w:jc w:val="both"/>
        <w:rPr>
          <w:rFonts w:eastAsia="Times New Roman"/>
        </w:rPr>
      </w:pPr>
      <w:r>
        <w:rPr>
          <w:rFonts w:eastAsia="Times New Roman"/>
          <w:color w:val="000000"/>
          <w:sz w:val="20"/>
          <w:szCs w:val="20"/>
        </w:rPr>
        <w:t>The following graph compares the cumulative total stockholder return on our common stock from December 31, 2016 to December 25, 2021 (</w:t>
      </w:r>
      <w:r>
        <w:rPr>
          <w:rFonts w:eastAsia="Times New Roman"/>
          <w:color w:val="000000"/>
          <w:sz w:val="20"/>
          <w:szCs w:val="20"/>
        </w:rPr>
        <w:t>the Company’s fiscal year-end), with the cumulative total returns of the S&amp;P 500 Index and the S&amp;P Retail Index over the same period.  The comparison assumes that $100 was invested on December 31, 2016, in our common stock and in each of the foregoing indi</w:t>
      </w:r>
      <w:r>
        <w:rPr>
          <w:rFonts w:eastAsia="Times New Roman"/>
          <w:color w:val="000000"/>
          <w:sz w:val="20"/>
          <w:szCs w:val="20"/>
        </w:rPr>
        <w:t>ces and in each case assumes reinvestment of dividends.  The historical stock price performance shown on this graph is not indicative of future performance.</w:t>
      </w:r>
    </w:p>
    <w:p w:rsidR="00000000" w:rsidRDefault="001F39D7">
      <w:pPr>
        <w:jc w:val="both"/>
        <w:rPr>
          <w:rFonts w:eastAsia="Times New Roman"/>
        </w:rPr>
      </w:pPr>
    </w:p>
    <w:p w:rsidR="00000000" w:rsidRDefault="001F39D7">
      <w:pPr>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1434"/>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tblGrid>
      <w:tr w:rsidR="00000000">
        <w:trPr>
          <w:jc w:val="center"/>
        </w:trPr>
        <w:tc>
          <w:tcPr>
            <w:tcW w:w="50" w:type="pct"/>
            <w:vAlign w:val="center"/>
            <w:hideMark/>
          </w:tcPr>
          <w:p w:rsidR="00000000" w:rsidRDefault="001F39D7">
            <w:pPr>
              <w:jc w:val="center"/>
              <w:rPr>
                <w:rFonts w:eastAsia="Times New Roman"/>
              </w:rPr>
            </w:pPr>
          </w:p>
        </w:tc>
        <w:tc>
          <w:tcPr>
            <w:tcW w:w="120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12/31/2016</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12/30/2017</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12/29/2018</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12/28/2019</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12/26/2020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12/25/2021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Tractor Supply Company</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S&amp;P 500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121.83 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115.49 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153.58 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178.76 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231.39 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S&amp;P Retail Index</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130.40 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146.11 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188.70 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270.43 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326.24 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6</w:t>
      </w:r>
      <w:r>
        <w:rPr>
          <w:rFonts w:eastAsia="Times New Roman"/>
          <w:b/>
          <w:bCs/>
          <w:color w:val="000000"/>
          <w:sz w:val="20"/>
          <w:szCs w:val="20"/>
        </w:rPr>
        <w:t>.        </w:t>
      </w:r>
      <w:r>
        <w:rPr>
          <w:rFonts w:eastAsia="Times New Roman"/>
          <w:b/>
          <w:bCs/>
          <w:color w:val="000000"/>
          <w:sz w:val="20"/>
          <w:szCs w:val="20"/>
          <w:u w:val="single"/>
        </w:rPr>
        <w:t>[Reserved]</w:t>
      </w:r>
    </w:p>
    <w:p w:rsidR="00000000" w:rsidRDefault="001F39D7">
      <w:pPr>
        <w:divId w:val="840391835"/>
        <w:rPr>
          <w:rFonts w:eastAsia="Times New Roman"/>
        </w:rPr>
      </w:pPr>
    </w:p>
    <w:p w:rsidR="00000000" w:rsidRDefault="001F39D7">
      <w:pPr>
        <w:divId w:val="1110196749"/>
        <w:rPr>
          <w:rFonts w:eastAsia="Times New Roman"/>
        </w:rPr>
      </w:pPr>
      <w:r>
        <w:rPr>
          <w:rFonts w:eastAsia="Times New Roman"/>
          <w:color w:val="000000"/>
          <w:sz w:val="20"/>
          <w:szCs w:val="20"/>
        </w:rPr>
        <w:t>The selected financial data previously required by Item 301 of Regulation S-K has been omitted in accordance with the amendments to Regulation S-K.</w:t>
      </w:r>
    </w:p>
    <w:p w:rsidR="00000000" w:rsidRDefault="001F39D7">
      <w:pPr>
        <w:jc w:val="center"/>
        <w:divId w:val="394471410"/>
        <w:rPr>
          <w:rFonts w:eastAsia="Times New Roman"/>
        </w:rPr>
      </w:pPr>
      <w:r>
        <w:rPr>
          <w:rFonts w:eastAsia="Times New Roman"/>
          <w:color w:val="000000"/>
          <w:sz w:val="20"/>
          <w:szCs w:val="20"/>
        </w:rPr>
        <w:t>29</w:t>
      </w:r>
    </w:p>
    <w:p w:rsidR="00000000" w:rsidRDefault="001F39D7">
      <w:pPr>
        <w:rPr>
          <w:rFonts w:eastAsia="Times New Roman"/>
        </w:rPr>
      </w:pPr>
      <w:r>
        <w:rPr>
          <w:rFonts w:eastAsia="Times New Roman"/>
        </w:rPr>
        <w:pict>
          <v:rect id="_x0000_i1058" style="width:0;height:1.5pt" o:hralign="center" o:hrstd="t" o:hr="t" fillcolor="#a0a0a0" stroked="f"/>
        </w:pict>
      </w:r>
    </w:p>
    <w:p w:rsidR="00000000" w:rsidRDefault="001F39D7">
      <w:pPr>
        <w:divId w:val="32121841"/>
        <w:rPr>
          <w:rFonts w:eastAsia="Times New Roman"/>
        </w:rPr>
      </w:pPr>
      <w:hyperlink w:anchor="ia0680a7a640346e7afc1f53a5745d231_7" w:history="1">
        <w:r>
          <w:rPr>
            <w:rStyle w:val="a3"/>
            <w:rFonts w:eastAsia="Times New Roman"/>
            <w:sz w:val="18"/>
            <w:szCs w:val="18"/>
          </w:rPr>
          <w:t>Index</w:t>
        </w:r>
      </w:hyperlink>
    </w:p>
    <w:p w:rsidR="00000000" w:rsidRDefault="001F39D7">
      <w:pPr>
        <w:ind w:hanging="1440"/>
        <w:divId w:val="1465001777"/>
        <w:rPr>
          <w:rFonts w:eastAsia="Times New Roman"/>
        </w:rPr>
      </w:pPr>
      <w:r>
        <w:rPr>
          <w:rFonts w:eastAsia="Times New Roman"/>
          <w:b/>
          <w:bCs/>
          <w:color w:val="000000"/>
          <w:sz w:val="20"/>
          <w:szCs w:val="20"/>
          <w:u w:val="single"/>
        </w:rPr>
        <w:t>Item 7</w:t>
      </w:r>
      <w:r>
        <w:rPr>
          <w:rFonts w:eastAsia="Times New Roman"/>
          <w:b/>
          <w:bCs/>
          <w:color w:val="000000"/>
          <w:sz w:val="20"/>
          <w:szCs w:val="20"/>
        </w:rPr>
        <w:t>.    </w:t>
      </w:r>
      <w:r>
        <w:rPr>
          <w:rFonts w:eastAsia="Times New Roman"/>
          <w:b/>
          <w:bCs/>
          <w:color w:val="000000"/>
          <w:sz w:val="20"/>
          <w:szCs w:val="20"/>
          <w:u w:val="single"/>
        </w:rPr>
        <w:t>Management’s Discussion and Analysis of Financial Condition and Results of Operations</w:t>
      </w:r>
    </w:p>
    <w:p w:rsidR="00000000" w:rsidRDefault="001F39D7">
      <w:pPr>
        <w:divId w:val="686518278"/>
        <w:rPr>
          <w:rFonts w:eastAsia="Times New Roman"/>
        </w:rPr>
      </w:pPr>
    </w:p>
    <w:p w:rsidR="00000000" w:rsidRDefault="001F39D7">
      <w:pPr>
        <w:jc w:val="both"/>
        <w:rPr>
          <w:rFonts w:eastAsia="Times New Roman"/>
        </w:rPr>
      </w:pPr>
      <w:r>
        <w:rPr>
          <w:rFonts w:eastAsia="Times New Roman"/>
          <w:i/>
          <w:iCs/>
          <w:color w:val="000000"/>
          <w:sz w:val="18"/>
          <w:szCs w:val="18"/>
        </w:rPr>
        <w:t>The following discussion and analysis is intended to provide the reader with information that will assist in understanding the significant factors af</w:t>
      </w:r>
      <w:r>
        <w:rPr>
          <w:rFonts w:eastAsia="Times New Roman"/>
          <w:i/>
          <w:iCs/>
          <w:color w:val="000000"/>
          <w:sz w:val="18"/>
          <w:szCs w:val="18"/>
        </w:rPr>
        <w:t>fecting our consolidated operating results, financial condition, liquidity, and capital resources during the two-year period ended December 25, 2021 (our fiscal years 2021 and 2020). For a comparison of our results of operations for fiscal year December 26</w:t>
      </w:r>
      <w:r>
        <w:rPr>
          <w:rFonts w:eastAsia="Times New Roman"/>
          <w:i/>
          <w:iCs/>
          <w:color w:val="000000"/>
          <w:sz w:val="18"/>
          <w:szCs w:val="18"/>
        </w:rPr>
        <w:t>, 2020 and December 28, 2019, see “Part II, Item 7. Management’s Discussion and Analysis of Financial Condition and Results of Operations” of our Annual Report on Form 10-K for the fiscal year ended December 26, 2020, filed with the SEC on February 18, 202</w:t>
      </w:r>
      <w:r>
        <w:rPr>
          <w:rFonts w:eastAsia="Times New Roman"/>
          <w:i/>
          <w:iCs/>
          <w:color w:val="000000"/>
          <w:sz w:val="18"/>
          <w:szCs w:val="18"/>
        </w:rPr>
        <w:t>1. This discussion should be read in conjunction with our Consolidated Financial Statements and Notes to the Consolidated Financial Statements included elsewhere in this report. This discussion contains forward-looking statements and information. See “Forw</w:t>
      </w:r>
      <w:r>
        <w:rPr>
          <w:rFonts w:eastAsia="Times New Roman"/>
          <w:i/>
          <w:iCs/>
          <w:color w:val="000000"/>
          <w:sz w:val="18"/>
          <w:szCs w:val="18"/>
        </w:rPr>
        <w:t>ard-Looking Statements and Information” and “Risk Factors” included elsewhere in this report.</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18"/>
          <w:szCs w:val="18"/>
        </w:rPr>
        <w:t xml:space="preserve">Tractor Supply reports its financial results in accordance with accounting principles generally accepted in the United States of America (“U.S. GAAP”). Tractor </w:t>
      </w:r>
      <w:r>
        <w:rPr>
          <w:rFonts w:eastAsia="Times New Roman"/>
          <w:i/>
          <w:iCs/>
          <w:color w:val="000000"/>
          <w:sz w:val="18"/>
          <w:szCs w:val="18"/>
        </w:rPr>
        <w:t>Supply also uses certain non-GAAP measures that fall within the meaning of Securities and Exchange Commission Regulation G and Regulation S-K Item 10(e), which may provide users of the financial information with additional meaningful comparison to prior re</w:t>
      </w:r>
      <w:r>
        <w:rPr>
          <w:rFonts w:eastAsia="Times New Roman"/>
          <w:i/>
          <w:iCs/>
          <w:color w:val="000000"/>
          <w:sz w:val="18"/>
          <w:szCs w:val="18"/>
        </w:rPr>
        <w:t>ported results. Non-GAAP measures do not have standardized definitions and are not defined by U.S. GAAP. Therefore, Tractor Supply’s non-GAAP measures are unlikely to be comparable to similar measures presented by other companies. The presentation of these</w:t>
      </w:r>
      <w:r>
        <w:rPr>
          <w:rFonts w:eastAsia="Times New Roman"/>
          <w:i/>
          <w:iCs/>
          <w:color w:val="000000"/>
          <w:sz w:val="18"/>
          <w:szCs w:val="18"/>
        </w:rPr>
        <w:t xml:space="preserve"> non-GAAP measures should not be considered in isolation from, as a substitute for, or as superior to the financial information presented in accordance with U.S. GAAP. We believe this information is useful in providing period-to-period comparisons of the r</w:t>
      </w:r>
      <w:r>
        <w:rPr>
          <w:rFonts w:eastAsia="Times New Roman"/>
          <w:i/>
          <w:iCs/>
          <w:color w:val="000000"/>
          <w:sz w:val="18"/>
          <w:szCs w:val="18"/>
        </w:rPr>
        <w:t xml:space="preserve">esults of our continuing operations. </w:t>
      </w:r>
    </w:p>
    <w:p w:rsidR="00000000" w:rsidRDefault="001F39D7">
      <w:pPr>
        <w:divId w:val="920060832"/>
        <w:rPr>
          <w:rFonts w:eastAsia="Times New Roman"/>
        </w:rPr>
      </w:pPr>
    </w:p>
    <w:p w:rsidR="00000000" w:rsidRDefault="001F39D7">
      <w:pPr>
        <w:jc w:val="both"/>
        <w:rPr>
          <w:rFonts w:eastAsia="Times New Roman"/>
        </w:rPr>
      </w:pPr>
      <w:r>
        <w:rPr>
          <w:rFonts w:eastAsia="Times New Roman"/>
          <w:b/>
          <w:bCs/>
          <w:color w:val="000000"/>
          <w:sz w:val="22"/>
          <w:szCs w:val="22"/>
        </w:rPr>
        <w:t>Overview</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Founded in 1938, Tractor Supply Company (the “Company” or "Tractor Supply" or “we” or “our” or “us”) is the largest rural lifestyle retailer in the United States (“U.S.”). The Company is focused on supplyi</w:t>
      </w:r>
      <w:r>
        <w:rPr>
          <w:rFonts w:eastAsia="Times New Roman"/>
          <w:color w:val="000000"/>
          <w:sz w:val="20"/>
          <w:szCs w:val="20"/>
        </w:rPr>
        <w:t>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xml:space="preserve">” lifestyle). As of December 25, 2021, we operated 2,181 retail stores in 49 states under the names </w:t>
      </w:r>
      <w:r>
        <w:rPr>
          <w:rFonts w:eastAsia="Times New Roman"/>
          <w:i/>
          <w:iCs/>
          <w:color w:val="000000"/>
          <w:sz w:val="20"/>
          <w:szCs w:val="20"/>
        </w:rPr>
        <w:t>Tractor Supply Company</w:t>
      </w:r>
      <w:r>
        <w:rPr>
          <w:rFonts w:eastAsia="Times New Roman"/>
          <w:i/>
          <w:iCs/>
          <w:color w:val="000000"/>
          <w:sz w:val="20"/>
          <w:szCs w:val="20"/>
        </w:rPr>
        <w:t>,</w:t>
      </w:r>
      <w:r>
        <w:rPr>
          <w:rFonts w:eastAsia="Times New Roman"/>
          <w:color w:val="000000"/>
          <w:sz w:val="20"/>
          <w:szCs w:val="20"/>
        </w:rPr>
        <w:t xml:space="preserve"> </w:t>
      </w:r>
      <w:r>
        <w:rPr>
          <w:rFonts w:eastAsia="Times New Roman"/>
          <w:i/>
          <w:iCs/>
          <w:color w:val="000000"/>
          <w:sz w:val="20"/>
          <w:szCs w:val="20"/>
        </w:rPr>
        <w:t xml:space="preserve">Petsense, </w:t>
      </w:r>
      <w:r>
        <w:rPr>
          <w:rFonts w:eastAsia="Times New Roman"/>
          <w:color w:val="000000"/>
          <w:sz w:val="20"/>
          <w:szCs w:val="20"/>
        </w:rPr>
        <w:t>and</w:t>
      </w:r>
      <w:r>
        <w:rPr>
          <w:rFonts w:eastAsia="Times New Roman"/>
          <w:i/>
          <w:iCs/>
          <w:color w:val="000000"/>
          <w:sz w:val="20"/>
          <w:szCs w:val="20"/>
        </w:rPr>
        <w:t xml:space="preserve"> Del’s Feed &amp; Farm Supply.</w:t>
      </w:r>
      <w:r>
        <w:rPr>
          <w:rFonts w:eastAsia="Times New Roman"/>
          <w:color w:val="000000"/>
          <w:sz w:val="20"/>
          <w:szCs w:val="20"/>
        </w:rPr>
        <w:t xml:space="preserve"> Our stores are located primarily in towns outlying major metropolitan markets and in rural communities. We also operate websites under the names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xml:space="preserve"> </w:t>
      </w:r>
      <w:r>
        <w:rPr>
          <w:rFonts w:eastAsia="Times New Roman"/>
          <w:color w:val="000000"/>
          <w:sz w:val="20"/>
          <w:szCs w:val="20"/>
        </w:rPr>
        <w:t>as well as a Tractor Supply Company mobile application. Through our stores and e-commerce channels, we offer the following comprehensive selection of merchandise:</w:t>
      </w:r>
    </w:p>
    <w:p w:rsidR="00000000" w:rsidRDefault="001F39D7">
      <w:pPr>
        <w:divId w:val="260382399"/>
        <w:rPr>
          <w:rFonts w:eastAsia="Times New Roman"/>
        </w:rPr>
      </w:pPr>
    </w:p>
    <w:p w:rsidR="00000000" w:rsidRDefault="001F39D7">
      <w:pPr>
        <w:ind w:hanging="360"/>
        <w:divId w:val="603853069"/>
        <w:rPr>
          <w:rFonts w:eastAsia="Times New Roman"/>
        </w:rPr>
      </w:pPr>
      <w:r>
        <w:rPr>
          <w:rFonts w:eastAsia="Times New Roman"/>
          <w:color w:val="000000"/>
          <w:sz w:val="20"/>
          <w:szCs w:val="20"/>
        </w:rPr>
        <w:t>•Equine, livestock, pet, and small animal products, including items necessary for their hea</w:t>
      </w:r>
      <w:r>
        <w:rPr>
          <w:rFonts w:eastAsia="Times New Roman"/>
          <w:color w:val="000000"/>
          <w:sz w:val="20"/>
          <w:szCs w:val="20"/>
        </w:rPr>
        <w:t>lth, care, growth, and containment (i.e. fencing);</w:t>
      </w:r>
    </w:p>
    <w:p w:rsidR="00000000" w:rsidRDefault="001F39D7">
      <w:pPr>
        <w:ind w:hanging="360"/>
        <w:divId w:val="812212975"/>
        <w:rPr>
          <w:rFonts w:eastAsia="Times New Roman"/>
        </w:rPr>
      </w:pPr>
      <w:r>
        <w:rPr>
          <w:rFonts w:eastAsia="Times New Roman"/>
          <w:color w:val="000000"/>
          <w:sz w:val="20"/>
          <w:szCs w:val="20"/>
        </w:rPr>
        <w:t>•Hardware, truck, towing, and tool products;</w:t>
      </w:r>
    </w:p>
    <w:p w:rsidR="00000000" w:rsidRDefault="001F39D7">
      <w:pPr>
        <w:ind w:hanging="360"/>
        <w:divId w:val="134228079"/>
        <w:rPr>
          <w:rFonts w:eastAsia="Times New Roman"/>
        </w:rPr>
      </w:pPr>
      <w:r>
        <w:rPr>
          <w:rFonts w:eastAsia="Times New Roman"/>
          <w:color w:val="000000"/>
          <w:sz w:val="20"/>
          <w:szCs w:val="20"/>
        </w:rPr>
        <w:t>•Seasonal products, including heating, lawn and garden items, power equipment, gifts, and toys;</w:t>
      </w:r>
    </w:p>
    <w:p w:rsidR="00000000" w:rsidRDefault="001F39D7">
      <w:pPr>
        <w:ind w:hanging="360"/>
        <w:divId w:val="754975927"/>
        <w:rPr>
          <w:rFonts w:eastAsia="Times New Roman"/>
        </w:rPr>
      </w:pPr>
      <w:r>
        <w:rPr>
          <w:rFonts w:eastAsia="Times New Roman"/>
          <w:color w:val="000000"/>
          <w:sz w:val="20"/>
          <w:szCs w:val="20"/>
        </w:rPr>
        <w:t>•Work/recreational clothing and footwear; and</w:t>
      </w:r>
    </w:p>
    <w:p w:rsidR="00000000" w:rsidRDefault="001F39D7">
      <w:pPr>
        <w:ind w:hanging="360"/>
        <w:divId w:val="1556966301"/>
        <w:rPr>
          <w:rFonts w:eastAsia="Times New Roman"/>
        </w:rPr>
      </w:pPr>
      <w:r>
        <w:rPr>
          <w:rFonts w:eastAsia="Times New Roman"/>
          <w:color w:val="000000"/>
          <w:sz w:val="20"/>
          <w:szCs w:val="20"/>
        </w:rPr>
        <w:t>•Maintenance produ</w:t>
      </w:r>
      <w:r>
        <w:rPr>
          <w:rFonts w:eastAsia="Times New Roman"/>
          <w:color w:val="000000"/>
          <w:sz w:val="20"/>
          <w:szCs w:val="20"/>
        </w:rPr>
        <w:t>cts for agricultural and rural use.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Tractor Supply Company believes we can grow our business by being an integral part of our customers’ lives as the dependable supplier of </w:t>
      </w:r>
      <w:r>
        <w:rPr>
          <w:rFonts w:eastAsia="Times New Roman"/>
          <w:i/>
          <w:iCs/>
          <w:color w:val="000000"/>
          <w:sz w:val="20"/>
          <w:szCs w:val="20"/>
        </w:rPr>
        <w:t>"Out Here"</w:t>
      </w:r>
      <w:r>
        <w:rPr>
          <w:rFonts w:eastAsia="Times New Roman"/>
          <w:color w:val="000000"/>
          <w:sz w:val="20"/>
          <w:szCs w:val="20"/>
        </w:rPr>
        <w:t xml:space="preserve"> </w:t>
      </w:r>
      <w:r>
        <w:rPr>
          <w:rFonts w:eastAsia="Times New Roman"/>
          <w:color w:val="000000"/>
          <w:sz w:val="20"/>
          <w:szCs w:val="20"/>
        </w:rPr>
        <w:t>lifestyle solutions, creating customer loyalty through personalized experiences, and providing convenience that our customers expect at anytime, anywhere, and in any way they choose. Our long-term growth strategy is to: (1) expand and deepen our customer b</w:t>
      </w:r>
      <w:r>
        <w:rPr>
          <w:rFonts w:eastAsia="Times New Roman"/>
          <w:color w:val="000000"/>
          <w:sz w:val="20"/>
          <w:szCs w:val="20"/>
        </w:rPr>
        <w:t>ase by providing personal, localized, and memorable customer engagements by leveraging content, social media, and digital shopping experiences, attracting new customers and driving loyalty, (2) evolve customer experiences by digitizing our business process</w:t>
      </w:r>
      <w:r>
        <w:rPr>
          <w:rFonts w:eastAsia="Times New Roman"/>
          <w:color w:val="000000"/>
          <w:sz w:val="20"/>
          <w:szCs w:val="20"/>
        </w:rPr>
        <w:t>es and furthering our omni-channel capabilities, (3) offer relevant assortments and services across all channels through exclusive and national brands and continue to grow our total addressable market by introducing new products and services through our te</w:t>
      </w:r>
      <w:r>
        <w:rPr>
          <w:rFonts w:eastAsia="Times New Roman"/>
          <w:color w:val="000000"/>
          <w:sz w:val="20"/>
          <w:szCs w:val="20"/>
        </w:rPr>
        <w:t>st and learn strategy, (4) drive operational excellence and productivity through continuous improvement, increasing space utilization, and implementing advanced supply chain capabilities to support growth, scale and agility, and (5) expand through selectiv</w:t>
      </w:r>
      <w:r>
        <w:rPr>
          <w:rFonts w:eastAsia="Times New Roman"/>
          <w:color w:val="000000"/>
          <w:sz w:val="20"/>
          <w:szCs w:val="20"/>
        </w:rPr>
        <w:t>e acquisitions, as such opportunities arise, to add complementary businesses and to enhance penetration into new and existing markets to supplement organic growth.</w:t>
      </w:r>
    </w:p>
    <w:p w:rsidR="00000000" w:rsidRDefault="001F39D7">
      <w:pPr>
        <w:divId w:val="2107340383"/>
        <w:rPr>
          <w:rFonts w:eastAsia="Times New Roman"/>
        </w:rPr>
      </w:pPr>
    </w:p>
    <w:p w:rsidR="00000000" w:rsidRDefault="001F39D7">
      <w:pPr>
        <w:jc w:val="both"/>
        <w:rPr>
          <w:rFonts w:eastAsia="Times New Roman"/>
        </w:rPr>
      </w:pPr>
      <w:r>
        <w:rPr>
          <w:rFonts w:eastAsia="Times New Roman"/>
          <w:color w:val="000000"/>
          <w:sz w:val="20"/>
          <w:szCs w:val="20"/>
        </w:rPr>
        <w:t>Achieving this strategy will require a foundational focus on: (1) connecting, empowering a</w:t>
      </w:r>
      <w:r>
        <w:rPr>
          <w:rFonts w:eastAsia="Times New Roman"/>
          <w:color w:val="000000"/>
          <w:sz w:val="20"/>
          <w:szCs w:val="20"/>
        </w:rPr>
        <w:t>nd growing our team to enhance their lives and the communities they live in, enabling them to provide legendary service to our customers, and (2) allocating resources in a disciplined and efficient manner to drive profitable growth and build stockholder va</w:t>
      </w:r>
      <w:r>
        <w:rPr>
          <w:rFonts w:eastAsia="Times New Roman"/>
          <w:color w:val="000000"/>
          <w:sz w:val="20"/>
          <w:szCs w:val="20"/>
        </w:rPr>
        <w:t>lue, including leveraging technology and automation, to align our cost structure to support new business capabilities for margin improvement and cost reductions.</w:t>
      </w:r>
    </w:p>
    <w:p w:rsidR="00000000" w:rsidRDefault="001F39D7">
      <w:pPr>
        <w:divId w:val="1272009941"/>
        <w:rPr>
          <w:rFonts w:eastAsia="Times New Roman"/>
        </w:rPr>
      </w:pPr>
    </w:p>
    <w:p w:rsidR="00000000" w:rsidRDefault="001F39D7">
      <w:pPr>
        <w:jc w:val="both"/>
        <w:rPr>
          <w:rFonts w:eastAsia="Times New Roman"/>
        </w:rPr>
      </w:pPr>
      <w:r>
        <w:rPr>
          <w:rFonts w:eastAsia="Times New Roman"/>
          <w:color w:val="000000"/>
          <w:sz w:val="20"/>
          <w:szCs w:val="20"/>
        </w:rPr>
        <w:t>Over the past five years, we have experienced considerable growth in stores, growing from 1,</w:t>
      </w:r>
      <w:r>
        <w:rPr>
          <w:rFonts w:eastAsia="Times New Roman"/>
          <w:color w:val="000000"/>
          <w:sz w:val="20"/>
          <w:szCs w:val="20"/>
        </w:rPr>
        <w:t>738 stores at the end of fiscal 2016 to 2,181 stores (2,003 Tractor Supply and Del’s retail stores and 178 Petsense retail stores) at the end of fiscal 2021, and in net sales, with a compounded annual growth rate of approximately 13.4%. Given the size of t</w:t>
      </w:r>
      <w:r>
        <w:rPr>
          <w:rFonts w:eastAsia="Times New Roman"/>
          <w:color w:val="000000"/>
          <w:sz w:val="20"/>
          <w:szCs w:val="20"/>
        </w:rPr>
        <w:t>he communities that we target, we believe that there is ample opportunity for new store growth in many existing and new markets. We have developed a proven method for selecting store sites, and we believe we have significant additional opportunities for ne</w:t>
      </w:r>
      <w:r>
        <w:rPr>
          <w:rFonts w:eastAsia="Times New Roman"/>
          <w:color w:val="000000"/>
          <w:sz w:val="20"/>
          <w:szCs w:val="20"/>
        </w:rPr>
        <w:t>w Tractor Supply stores. We also believe that there is opportunity for continued growth for Petsense stores.</w:t>
      </w:r>
    </w:p>
    <w:p w:rsidR="00000000" w:rsidRDefault="001F39D7">
      <w:pPr>
        <w:jc w:val="center"/>
        <w:divId w:val="33235213"/>
        <w:rPr>
          <w:rFonts w:eastAsia="Times New Roman"/>
        </w:rPr>
      </w:pPr>
      <w:r>
        <w:rPr>
          <w:rFonts w:eastAsia="Times New Roman"/>
          <w:color w:val="000000"/>
          <w:sz w:val="20"/>
          <w:szCs w:val="20"/>
        </w:rPr>
        <w:t>30</w:t>
      </w:r>
    </w:p>
    <w:p w:rsidR="00000000" w:rsidRDefault="001F39D7">
      <w:pPr>
        <w:rPr>
          <w:rFonts w:eastAsia="Times New Roman"/>
        </w:rPr>
      </w:pPr>
      <w:r>
        <w:rPr>
          <w:rFonts w:eastAsia="Times New Roman"/>
        </w:rPr>
        <w:pict>
          <v:rect id="_x0000_i1059" style="width:0;height:1.5pt" o:hralign="center" o:hrstd="t" o:hr="t" fillcolor="#a0a0a0" stroked="f"/>
        </w:pict>
      </w:r>
    </w:p>
    <w:p w:rsidR="00000000" w:rsidRDefault="001F39D7">
      <w:pPr>
        <w:divId w:val="1494832687"/>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Executive Summary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fiscal 2021, we ope</w:t>
      </w:r>
      <w:r>
        <w:rPr>
          <w:rFonts w:eastAsia="Times New Roman"/>
          <w:color w:val="000000"/>
          <w:sz w:val="20"/>
          <w:szCs w:val="20"/>
        </w:rPr>
        <w:t>ned 80 new Tractor Supply stores in 27 states and seven new Petsense stores in four states. In fiscal 2020, we opened 80 new Tractor Supply stores in 31 states and nine new Petsense stores in three states. This resulted in a selling square footage increase</w:t>
      </w:r>
      <w:r>
        <w:rPr>
          <w:rFonts w:eastAsia="Times New Roman"/>
          <w:color w:val="000000"/>
          <w:sz w:val="20"/>
          <w:szCs w:val="20"/>
        </w:rPr>
        <w:t xml:space="preserve"> of approximately 4% in each of fiscal 2021 and fiscal 2020.</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Net sales increased 19.9% to $12.73 billion in fiscal 2021 from $10.62 billion in fiscal 2020 as we experienced significant demand for our products across all product categories, geographies an</w:t>
      </w:r>
      <w:r>
        <w:rPr>
          <w:rFonts w:eastAsia="Times New Roman"/>
          <w:color w:val="000000"/>
          <w:sz w:val="20"/>
          <w:szCs w:val="20"/>
        </w:rPr>
        <w:t>d channels in fiscal 2021 as we acquired new customers who entered our markets and our existing customers focused on the care of their homes, land, and animals while navigating the COVID-19 pandemic. Comparable store sales increased 16.9% in fiscal 2021 ve</w:t>
      </w:r>
      <w:r>
        <w:rPr>
          <w:rFonts w:eastAsia="Times New Roman"/>
          <w:color w:val="000000"/>
          <w:sz w:val="20"/>
          <w:szCs w:val="20"/>
        </w:rPr>
        <w:t>rsus a 23.1% increase in fiscal 2020. Gross profit increased 19.0% to $4.48 billion in fiscal 2021 from $3.76 billion in fiscal 2020, and gross margin decreased 25 basis points to 35.2% of net sales in fiscal 2021 from 35.4% of net sales in fiscal 2020. Op</w:t>
      </w:r>
      <w:r>
        <w:rPr>
          <w:rFonts w:eastAsia="Times New Roman"/>
          <w:color w:val="000000"/>
          <w:sz w:val="20"/>
          <w:szCs w:val="20"/>
        </w:rPr>
        <w:t>erating income increased 88 basis points to 10.3% of net sales in fiscal 2021 from 9.4% of net sales in fiscal 2020. For fiscal 2021, net income was $997.1 million, or $8.61 per diluted share, compared to $749.0 million, or $6.38 per diluted share, in fisc</w:t>
      </w:r>
      <w:r>
        <w:rPr>
          <w:rFonts w:eastAsia="Times New Roman"/>
          <w:color w:val="000000"/>
          <w:sz w:val="20"/>
          <w:szCs w:val="20"/>
        </w:rPr>
        <w:t xml:space="preserve">al 2020.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ended fiscal 2021 with $878.0 million in cash and cash equivalents and outstanding debt of $986.4 million, after returning $1.04 billion to our stockholders through stock repurchases and quarterly cash dividends.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Information Regarding COVI</w:t>
      </w:r>
      <w:r>
        <w:rPr>
          <w:rFonts w:eastAsia="Times New Roman"/>
          <w:b/>
          <w:bCs/>
          <w:color w:val="000000"/>
          <w:sz w:val="20"/>
          <w:szCs w:val="20"/>
        </w:rPr>
        <w:t>D-19 Coronavirus Pandemic</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Company has been and continues to closely monitor the impact of the COVID-19 pandemic on all facets of our business. This includes the impact on our team members, customers, suppliers, vendors, business partners, and supply </w:t>
      </w:r>
      <w:r>
        <w:rPr>
          <w:rFonts w:eastAsia="Times New Roman"/>
          <w:color w:val="000000"/>
          <w:sz w:val="20"/>
          <w:szCs w:val="20"/>
        </w:rPr>
        <w:t>chain networks.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The health and safety of our team members and customers are the primary concerns of our management team. We have taken and continue to take numerous actions to promote health and safety, including, encouraging vaccination efforts, providi</w:t>
      </w:r>
      <w:r>
        <w:rPr>
          <w:rFonts w:eastAsia="Times New Roman"/>
          <w:color w:val="000000"/>
          <w:sz w:val="20"/>
          <w:szCs w:val="20"/>
          <w:shd w:val="clear" w:color="auto" w:fill="FFFFFF"/>
        </w:rPr>
        <w:t>ng personal protective equipment to our team members, following local and federal guidance regarding the use of masks in our facilities, maintaining enhanced services for cleaning and sanitation, continuing to provide additional functionality to support co</w:t>
      </w:r>
      <w:r>
        <w:rPr>
          <w:rFonts w:eastAsia="Times New Roman"/>
          <w:color w:val="000000"/>
          <w:sz w:val="20"/>
          <w:szCs w:val="20"/>
          <w:shd w:val="clear" w:color="auto" w:fill="FFFFFF"/>
        </w:rPr>
        <w:t>ntactless shopping experiences, promoting social distancing in our stores, and continuing to offer remote work plans at our Store Support Center.</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As further described in the results of operations, our net sales have significantly increased due to unprece</w:t>
      </w:r>
      <w:r>
        <w:rPr>
          <w:rFonts w:eastAsia="Times New Roman"/>
          <w:color w:val="000000"/>
          <w:sz w:val="20"/>
          <w:szCs w:val="20"/>
        </w:rPr>
        <w:t>dented customer demand across all major product categories, channels, and geographic regions. However, the net incremental costs of doing business during this crisis have increased as a result of the aforementioned actions we have taken to support and prom</w:t>
      </w:r>
      <w:r>
        <w:rPr>
          <w:rFonts w:eastAsia="Times New Roman"/>
          <w:color w:val="000000"/>
          <w:sz w:val="20"/>
          <w:szCs w:val="20"/>
        </w:rPr>
        <w:t>ote the safety and well-being of our team members and customers, and we believe some of these incremental costs will continue after the pandemic is over.</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are numerous uncertainties surrounding the pandemic and its impact on the economy and our busi</w:t>
      </w:r>
      <w:r>
        <w:rPr>
          <w:rFonts w:eastAsia="Times New Roman"/>
          <w:color w:val="000000"/>
          <w:sz w:val="20"/>
          <w:szCs w:val="20"/>
        </w:rPr>
        <w:t>ness, as further described in the Risk Factors section under Part I Item 1A. of this Form 10-K, which make it difficult to predict the impact on our business, financial position, or results of operations in fiscal 2022 and beyond. While our stores, distrib</w:t>
      </w:r>
      <w:r>
        <w:rPr>
          <w:rFonts w:eastAsia="Times New Roman"/>
          <w:color w:val="000000"/>
          <w:sz w:val="20"/>
          <w:szCs w:val="20"/>
        </w:rPr>
        <w:t>ution centers, and e-commerce operations are open and plan to remain open, we cannot predict the uncertainties, or the corresponding impacts on our business, at this time.</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Performance Metrics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u w:val="single"/>
        </w:rPr>
        <w:t>Comparable Store Metrics</w:t>
      </w:r>
    </w:p>
    <w:p w:rsidR="00000000" w:rsidRDefault="001F39D7">
      <w:pPr>
        <w:divId w:val="1807579470"/>
        <w:rPr>
          <w:rFonts w:eastAsia="Times New Roman"/>
        </w:rPr>
      </w:pPr>
    </w:p>
    <w:p w:rsidR="00000000" w:rsidRDefault="001F39D7">
      <w:pPr>
        <w:jc w:val="both"/>
        <w:rPr>
          <w:rFonts w:eastAsia="Times New Roman"/>
        </w:rPr>
      </w:pPr>
      <w:r>
        <w:rPr>
          <w:rFonts w:eastAsia="Times New Roman"/>
          <w:color w:val="000000"/>
          <w:sz w:val="20"/>
          <w:szCs w:val="20"/>
        </w:rPr>
        <w:t>Comparable store metrics are a key performance indicator used in the retail industry and by the Company to measure the performance of the underlying business.</w:t>
      </w:r>
      <w:r>
        <w:rPr>
          <w:rFonts w:eastAsia="Times New Roman"/>
          <w:color w:val="000000"/>
        </w:rPr>
        <w:t xml:space="preserve"> </w:t>
      </w:r>
      <w:r>
        <w:rPr>
          <w:rFonts w:eastAsia="Times New Roman"/>
          <w:color w:val="000000"/>
          <w:sz w:val="20"/>
          <w:szCs w:val="20"/>
        </w:rPr>
        <w:t>Our comparable store metrics are calculated on an annual basis using sales generated from all sto</w:t>
      </w:r>
      <w:r>
        <w:rPr>
          <w:rFonts w:eastAsia="Times New Roman"/>
          <w:color w:val="000000"/>
          <w:sz w:val="20"/>
          <w:szCs w:val="20"/>
        </w:rPr>
        <w:t>res open at least one year and all online sales and exclude certain adjustments to net sales.</w:t>
      </w:r>
      <w:r>
        <w:rPr>
          <w:rFonts w:eastAsia="Times New Roman"/>
          <w:color w:val="000000"/>
        </w:rPr>
        <w:t xml:space="preserve"> </w:t>
      </w:r>
      <w:r>
        <w:rPr>
          <w:rFonts w:eastAsia="Times New Roman"/>
          <w:color w:val="000000"/>
          <w:sz w:val="20"/>
          <w:szCs w:val="20"/>
        </w:rPr>
        <w:t>Stores closed during either of the years being compared are removed from our comparable store metrics calculations.</w:t>
      </w:r>
      <w:r>
        <w:rPr>
          <w:rFonts w:eastAsia="Times New Roman"/>
          <w:color w:val="000000"/>
        </w:rPr>
        <w:t xml:space="preserve"> </w:t>
      </w:r>
      <w:r>
        <w:rPr>
          <w:rFonts w:eastAsia="Times New Roman"/>
          <w:color w:val="000000"/>
          <w:sz w:val="20"/>
          <w:szCs w:val="20"/>
        </w:rPr>
        <w:t>Stores relocated during either of the years be</w:t>
      </w:r>
      <w:r>
        <w:rPr>
          <w:rFonts w:eastAsia="Times New Roman"/>
          <w:color w:val="000000"/>
          <w:sz w:val="20"/>
          <w:szCs w:val="20"/>
        </w:rPr>
        <w:t>ing compared are not removed from our comparable store metrics calculations.</w:t>
      </w:r>
      <w:r>
        <w:rPr>
          <w:rFonts w:eastAsia="Times New Roman"/>
          <w:color w:val="000000"/>
        </w:rPr>
        <w:t xml:space="preserve"> </w:t>
      </w:r>
      <w:r>
        <w:rPr>
          <w:rFonts w:eastAsia="Times New Roman"/>
          <w:color w:val="000000"/>
          <w:sz w:val="20"/>
          <w:szCs w:val="20"/>
        </w:rPr>
        <w:t>If the effect of relocated stores on our comparable store metrics calculations became material, we would remove relocated stores from the calculations.</w:t>
      </w:r>
    </w:p>
    <w:p w:rsidR="00000000" w:rsidRDefault="001F39D7">
      <w:pPr>
        <w:divId w:val="1372538492"/>
        <w:rPr>
          <w:rFonts w:eastAsia="Times New Roman"/>
        </w:rPr>
      </w:pPr>
    </w:p>
    <w:p w:rsidR="00000000" w:rsidRDefault="001F39D7">
      <w:pPr>
        <w:jc w:val="center"/>
        <w:divId w:val="246891703"/>
        <w:rPr>
          <w:rFonts w:eastAsia="Times New Roman"/>
        </w:rPr>
      </w:pPr>
      <w:r>
        <w:rPr>
          <w:rFonts w:eastAsia="Times New Roman"/>
          <w:color w:val="000000"/>
          <w:sz w:val="20"/>
          <w:szCs w:val="20"/>
        </w:rPr>
        <w:t>31</w:t>
      </w:r>
    </w:p>
    <w:p w:rsidR="00000000" w:rsidRDefault="001F39D7">
      <w:pPr>
        <w:rPr>
          <w:rFonts w:eastAsia="Times New Roman"/>
        </w:rPr>
      </w:pPr>
      <w:r>
        <w:rPr>
          <w:rFonts w:eastAsia="Times New Roman"/>
        </w:rPr>
        <w:pict>
          <v:rect id="_x0000_i1060" style="width:0;height:1.5pt" o:hralign="center" o:hrstd="t" o:hr="t" fillcolor="#a0a0a0" stroked="f"/>
        </w:pict>
      </w:r>
    </w:p>
    <w:p w:rsidR="00000000" w:rsidRDefault="001F39D7">
      <w:pPr>
        <w:divId w:val="944531700"/>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u w:val="single"/>
        </w:rPr>
        <w:t>Transaction Count and Transaction Value</w:t>
      </w:r>
    </w:p>
    <w:p w:rsidR="00000000" w:rsidRDefault="001F39D7">
      <w:pPr>
        <w:divId w:val="485971917"/>
        <w:rPr>
          <w:rFonts w:eastAsia="Times New Roman"/>
        </w:rPr>
      </w:pPr>
    </w:p>
    <w:p w:rsidR="00000000" w:rsidRDefault="001F39D7">
      <w:pPr>
        <w:jc w:val="both"/>
        <w:rPr>
          <w:rFonts w:eastAsia="Times New Roman"/>
        </w:rPr>
      </w:pPr>
      <w:r>
        <w:rPr>
          <w:rFonts w:eastAsia="Times New Roman"/>
          <w:color w:val="000000"/>
          <w:sz w:val="20"/>
          <w:szCs w:val="20"/>
        </w:rPr>
        <w:t>Transaction count and transaction value metrics are used by the Company to measure sales performance.</w:t>
      </w:r>
      <w:r>
        <w:rPr>
          <w:rFonts w:eastAsia="Times New Roman"/>
          <w:color w:val="000000"/>
        </w:rPr>
        <w:t xml:space="preserve"> </w:t>
      </w:r>
      <w:r>
        <w:rPr>
          <w:rFonts w:eastAsia="Times New Roman"/>
          <w:color w:val="000000"/>
          <w:sz w:val="20"/>
          <w:szCs w:val="20"/>
        </w:rPr>
        <w:t>Transaction count represents the n</w:t>
      </w:r>
      <w:r>
        <w:rPr>
          <w:rFonts w:eastAsia="Times New Roman"/>
          <w:color w:val="000000"/>
          <w:sz w:val="20"/>
          <w:szCs w:val="20"/>
        </w:rPr>
        <w:t>umber of customer transactions during a given period.</w:t>
      </w:r>
      <w:r>
        <w:rPr>
          <w:rFonts w:eastAsia="Times New Roman"/>
          <w:color w:val="000000"/>
        </w:rPr>
        <w:t xml:space="preserve"> </w:t>
      </w:r>
      <w:r>
        <w:rPr>
          <w:rFonts w:eastAsia="Times New Roman"/>
          <w:color w:val="000000"/>
          <w:sz w:val="20"/>
          <w:szCs w:val="20"/>
        </w:rPr>
        <w:t>Transaction value represents the average amount paid per transaction and is calculated as net sales divided by the total number of customer transactions during a given period.</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2"/>
          <w:szCs w:val="22"/>
        </w:rPr>
        <w:t>Significant Accounting P</w:t>
      </w:r>
      <w:r>
        <w:rPr>
          <w:rFonts w:eastAsia="Times New Roman"/>
          <w:b/>
          <w:bCs/>
          <w:color w:val="000000"/>
          <w:sz w:val="22"/>
          <w:szCs w:val="22"/>
        </w:rPr>
        <w:t>olicies and Estimates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Management’s discussion and analysis of our financial position and results of operations are based upon our Consolidated Financial Statements, which have been prepared in accordance with U.S. GAAP.  The preparation of these financia</w:t>
      </w:r>
      <w:r>
        <w:rPr>
          <w:rFonts w:eastAsia="Times New Roman"/>
          <w:color w:val="000000"/>
          <w:sz w:val="20"/>
          <w:szCs w:val="20"/>
        </w:rPr>
        <w:t>l statements requires management to make informed estimates and judgments that affect the reported amounts of assets, liabilities, revenues and expenses, and related disclosure of contingent assets and liabilities.  Our financial position and/or results of</w:t>
      </w:r>
      <w:r>
        <w:rPr>
          <w:rFonts w:eastAsia="Times New Roman"/>
          <w:color w:val="000000"/>
          <w:sz w:val="20"/>
          <w:szCs w:val="20"/>
        </w:rPr>
        <w:t xml:space="preserve"> operations may be materially different when reported under different conditions or when using different assumptions in the application of such policies.  In the event estimates or assumptions prove to be different from actual amounts, adjustments are made</w:t>
      </w:r>
      <w:r>
        <w:rPr>
          <w:rFonts w:eastAsia="Times New Roman"/>
          <w:color w:val="000000"/>
          <w:sz w:val="20"/>
          <w:szCs w:val="20"/>
        </w:rPr>
        <w:t xml:space="preserve"> in subsequent periods to reflect more current information.  Our significant accounting policies are disclosed in Note 1 to the Consolidated Financial Statements.  The following discussion addresses our most critical accounting policies and estimates, whic</w:t>
      </w:r>
      <w:r>
        <w:rPr>
          <w:rFonts w:eastAsia="Times New Roman"/>
          <w:color w:val="000000"/>
          <w:sz w:val="20"/>
          <w:szCs w:val="20"/>
        </w:rPr>
        <w:t>h are those that are both important to the portrayal of our financial condition and results of operations and that require significant judgment or use of complex estimates.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Merchandise Inventory: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identify potentially excess and slow-moving inventory</w:t>
      </w:r>
      <w:r>
        <w:rPr>
          <w:rFonts w:eastAsia="Times New Roman"/>
          <w:color w:val="000000"/>
          <w:sz w:val="20"/>
          <w:szCs w:val="20"/>
        </w:rPr>
        <w:t xml:space="preserve"> by evaluating turn rates, historical and expected future sales trends, age of merchandise, overall inventory levels, current cost of inventory, and other benchmarks. We have established an inventory valuation reserve to recognize the estimated impairment </w:t>
      </w:r>
      <w:r>
        <w:rPr>
          <w:rFonts w:eastAsia="Times New Roman"/>
          <w:color w:val="000000"/>
          <w:sz w:val="20"/>
          <w:szCs w:val="20"/>
        </w:rPr>
        <w:t>in value (i.e., an inability to realize the full carrying value) based on our aggregate assessment of these valuation indicators under prevailing market conditions and current merchandising strategies.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also have established a reserve for estimating in</w:t>
      </w:r>
      <w:r>
        <w:rPr>
          <w:rFonts w:eastAsia="Times New Roman"/>
          <w:color w:val="000000"/>
          <w:sz w:val="20"/>
          <w:szCs w:val="20"/>
        </w:rPr>
        <w:t>ventory shrinkage between physical inventory counts. The reserve is established by assessing the chain-wide average shrinkage experience rate, applied to the related periods’ sales volumes. Such assessments are updated on a regular basis for the most recen</w:t>
      </w:r>
      <w:r>
        <w:rPr>
          <w:rFonts w:eastAsia="Times New Roman"/>
          <w:color w:val="000000"/>
          <w:sz w:val="20"/>
          <w:szCs w:val="20"/>
        </w:rPr>
        <w:t>t individual store experiences. Our general policy is to perform physical inventories at least once a year for each store that has been open more than twelve months.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receive funding from substantially all of our significant merchandise vendors, in sup</w:t>
      </w:r>
      <w:r>
        <w:rPr>
          <w:rFonts w:eastAsia="Times New Roman"/>
          <w:color w:val="000000"/>
          <w:sz w:val="20"/>
          <w:szCs w:val="20"/>
        </w:rPr>
        <w:t>port of our business initiatives, through a variety of programs and arrangements, including guaranteed vendor support funds (“vendor support”) and volume-based rebate funds (“volume rebates”). The amounts received are subject to terms of vendor agreements,</w:t>
      </w:r>
      <w:r>
        <w:rPr>
          <w:rFonts w:eastAsia="Times New Roman"/>
          <w:color w:val="000000"/>
          <w:sz w:val="20"/>
          <w:szCs w:val="20"/>
        </w:rPr>
        <w:t xml:space="preserve"> most of which are “evergreen”, reflecting the on-going relationship with our significant merchandise vendors. Certain of our agreements, primarily volume rebates, are renegotiated annually, based on expected annual purchases of the vendor’s product. Vendo</w:t>
      </w:r>
      <w:r>
        <w:rPr>
          <w:rFonts w:eastAsia="Times New Roman"/>
          <w:color w:val="000000"/>
          <w:sz w:val="20"/>
          <w:szCs w:val="20"/>
        </w:rPr>
        <w:t>r funding is initially deferred as a reduction of the purchase price of inventory, and then recognized as a reduction of cost of merchandise as the related inventory is sold. During interim periods, the amount of vendor support and volume rebates are estim</w:t>
      </w:r>
      <w:r>
        <w:rPr>
          <w:rFonts w:eastAsia="Times New Roman"/>
          <w:color w:val="000000"/>
          <w:sz w:val="20"/>
          <w:szCs w:val="20"/>
        </w:rPr>
        <w:t>ated based upon initial commitments and anticipated purchase levels with applicable vendors.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do not believe our merchandise inventories are subject to significant risk of obsolescence in the near term. However, changes in market conditions or consumer</w:t>
      </w:r>
      <w:r>
        <w:rPr>
          <w:rFonts w:eastAsia="Times New Roman"/>
          <w:color w:val="000000"/>
          <w:sz w:val="20"/>
          <w:szCs w:val="20"/>
        </w:rPr>
        <w:t xml:space="preserve"> purchasing patterns could result in the need for additional reserves. Our impairment reserves contain uncertainties because the calculations require management to make assumptions and to apply judgment regarding forecasted customer demand and the promotio</w:t>
      </w:r>
      <w:r>
        <w:rPr>
          <w:rFonts w:eastAsia="Times New Roman"/>
          <w:color w:val="000000"/>
          <w:sz w:val="20"/>
          <w:szCs w:val="20"/>
        </w:rPr>
        <w:t>nal environment. The estimated store inventory shrink rate is based on historical experience. We believe historical rates are a reasonably accurate reflection of future trends. Our shrinkage reserve contains uncertainties because the calculation requires m</w:t>
      </w:r>
      <w:r>
        <w:rPr>
          <w:rFonts w:eastAsia="Times New Roman"/>
          <w:color w:val="000000"/>
          <w:sz w:val="20"/>
          <w:szCs w:val="20"/>
        </w:rPr>
        <w:t>anagement to make assumptions and to apply judgment regarding future shrinkage trends, the effect of loss prevention measures and merchandising strategies.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For vendor funding, we estimate the purchase volume (and related vendor funding) based on our current knowledge of inventory levels, sales trends and expected customer demand, as well as planned new store openings and relocations. Although we believe we ca</w:t>
      </w:r>
      <w:r>
        <w:rPr>
          <w:rFonts w:eastAsia="Times New Roman"/>
          <w:color w:val="000000"/>
          <w:sz w:val="20"/>
          <w:szCs w:val="20"/>
        </w:rPr>
        <w:t>n reasonably estimate purchase volume and related volume rebates at interim periods, it is possible that actual year-end results could be different from previously estimated amounts. Our allocation methodology contains uncertainties because the calculation</w:t>
      </w:r>
      <w:r>
        <w:rPr>
          <w:rFonts w:eastAsia="Times New Roman"/>
          <w:color w:val="000000"/>
          <w:sz w:val="20"/>
          <w:szCs w:val="20"/>
        </w:rPr>
        <w:t xml:space="preserve"> requires management to make assumptions and to apply judgment regarding customer demand, purchasing activity, target thresholds, vendor attrition and collectability.</w:t>
      </w:r>
    </w:p>
    <w:p w:rsidR="00000000" w:rsidRDefault="001F39D7">
      <w:pPr>
        <w:jc w:val="both"/>
        <w:rPr>
          <w:rFonts w:eastAsia="Times New Roman"/>
        </w:rPr>
      </w:pPr>
    </w:p>
    <w:p w:rsidR="00000000" w:rsidRDefault="001F39D7">
      <w:pPr>
        <w:jc w:val="center"/>
        <w:divId w:val="1973366811"/>
        <w:rPr>
          <w:rFonts w:eastAsia="Times New Roman"/>
        </w:rPr>
      </w:pPr>
      <w:r>
        <w:rPr>
          <w:rFonts w:eastAsia="Times New Roman"/>
          <w:color w:val="000000"/>
          <w:sz w:val="20"/>
          <w:szCs w:val="20"/>
        </w:rPr>
        <w:t>32</w:t>
      </w:r>
    </w:p>
    <w:p w:rsidR="00000000" w:rsidRDefault="001F39D7">
      <w:pPr>
        <w:rPr>
          <w:rFonts w:eastAsia="Times New Roman"/>
        </w:rPr>
      </w:pPr>
      <w:r>
        <w:rPr>
          <w:rFonts w:eastAsia="Times New Roman"/>
        </w:rPr>
        <w:pict>
          <v:rect id="_x0000_i1061" style="width:0;height:1.5pt" o:hralign="center" o:hrstd="t" o:hr="t" fillcolor="#a0a0a0" stroked="f"/>
        </w:pict>
      </w:r>
    </w:p>
    <w:p w:rsidR="00000000" w:rsidRDefault="001F39D7">
      <w:pPr>
        <w:divId w:val="187749889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We have not made any material changes in the accounting methodology used to recognize inventory impairment reserves or shrinkage in the financial periods presented. We do not believe there is a reasonable likelihood that there will be a material change in </w:t>
      </w:r>
      <w:r>
        <w:rPr>
          <w:rFonts w:eastAsia="Times New Roman"/>
          <w:color w:val="000000"/>
          <w:sz w:val="20"/>
          <w:szCs w:val="20"/>
        </w:rPr>
        <w:t>the future estimates or assumptions we use to calculate impairment or shrinkage. However, if assumptions regarding consumer demand, clearance potential or inventory loss for certain products are inaccurate, we may be exposed to losses or gains that could b</w:t>
      </w:r>
      <w:r>
        <w:rPr>
          <w:rFonts w:eastAsia="Times New Roman"/>
          <w:color w:val="000000"/>
          <w:sz w:val="20"/>
          <w:szCs w:val="20"/>
        </w:rPr>
        <w:t>e material. A 10% change in our inventory impairment reserve as of December 25, 2021, would have affected net income by approximately $1.3 million in fiscal 2021. A 10% change in our shrinkage reserve as of December 25, 2021, would have affected net income</w:t>
      </w:r>
      <w:r>
        <w:rPr>
          <w:rFonts w:eastAsia="Times New Roman"/>
          <w:color w:val="000000"/>
          <w:sz w:val="20"/>
          <w:szCs w:val="20"/>
        </w:rPr>
        <w:t xml:space="preserve"> by approximately $4.2 million in fiscal 2021.</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have not made any material changes in the accounting methodology used to establish our vendor funding reserves in the financial periods presented. At the end of each fiscal year, a significant portion of </w:t>
      </w:r>
      <w:r>
        <w:rPr>
          <w:rFonts w:eastAsia="Times New Roman"/>
          <w:color w:val="000000"/>
          <w:sz w:val="20"/>
          <w:szCs w:val="20"/>
        </w:rPr>
        <w:t>the actual purchase activity is known. Thus, we do not believe there is a reasonable likelihood that there will be a material change in the amounts recorded as vendor funding. We do not believe there is a significant collectability risk related to vendor f</w:t>
      </w:r>
      <w:r>
        <w:rPr>
          <w:rFonts w:eastAsia="Times New Roman"/>
          <w:color w:val="000000"/>
          <w:sz w:val="20"/>
          <w:szCs w:val="20"/>
        </w:rPr>
        <w:t>unding amounts due to us at the end of fiscal 2021. If a 10% reserve had been applied against our outstanding vendor funding due as of December 25, 2021, net income would have been affected by approximately $2.3 million in fiscal 2021. Although it is unlik</w:t>
      </w:r>
      <w:r>
        <w:rPr>
          <w:rFonts w:eastAsia="Times New Roman"/>
          <w:color w:val="000000"/>
          <w:sz w:val="20"/>
          <w:szCs w:val="20"/>
        </w:rPr>
        <w:t>ely that there will be any significant reduction in historical levels of vendor funding, if such a reduction were to occur in future periods, the Company could experience a higher inventory balance and higher cost of sales.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Self-Insurance Reserves: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w:t>
      </w:r>
      <w:r>
        <w:rPr>
          <w:rFonts w:eastAsia="Times New Roman"/>
          <w:color w:val="000000"/>
          <w:sz w:val="20"/>
          <w:szCs w:val="20"/>
        </w:rPr>
        <w:t>self-insure a significant portion of our workers’ compensation insurance and general liability (including product liability) insurance plans. We have stop-loss insurance policies to protect from individual losses over specified dollar values. Provisions fo</w:t>
      </w:r>
      <w:r>
        <w:rPr>
          <w:rFonts w:eastAsia="Times New Roman"/>
          <w:color w:val="000000"/>
          <w:sz w:val="20"/>
          <w:szCs w:val="20"/>
        </w:rPr>
        <w:t>r losses related to our self-insured liabilities are based upon periodic independent actuarially determined estimates that consider a number of factors including historical claims experience, loss development factors, and severity factors.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full exten</w:t>
      </w:r>
      <w:r>
        <w:rPr>
          <w:rFonts w:eastAsia="Times New Roman"/>
          <w:color w:val="000000"/>
          <w:sz w:val="20"/>
          <w:szCs w:val="20"/>
        </w:rPr>
        <w:t>t of certain workers’ compensation and general liability claims may not become fully determined for several years. Our self-insured liabilities contain uncertainties because management is required to make assumptions and to apply judgment to estimate the u</w:t>
      </w:r>
      <w:r>
        <w:rPr>
          <w:rFonts w:eastAsia="Times New Roman"/>
          <w:color w:val="000000"/>
          <w:sz w:val="20"/>
          <w:szCs w:val="20"/>
        </w:rPr>
        <w:t>ltimate cost to settle reported claims and claims incurred but not reported as of the balance sheet date based upon historical data and experience, including actuarial calculations.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have not made any material changes in the accounting methodology used</w:t>
      </w:r>
      <w:r>
        <w:rPr>
          <w:rFonts w:eastAsia="Times New Roman"/>
          <w:color w:val="000000"/>
          <w:sz w:val="20"/>
          <w:szCs w:val="20"/>
        </w:rPr>
        <w:t xml:space="preserve"> to establish our self-insurance reserves in the financial periods presented. We do not believe there is a reasonable likelihood that there will be a material change in the assumptions we use to calculate insurance reserves. However, if we experience a sig</w:t>
      </w:r>
      <w:r>
        <w:rPr>
          <w:rFonts w:eastAsia="Times New Roman"/>
          <w:color w:val="000000"/>
          <w:sz w:val="20"/>
          <w:szCs w:val="20"/>
        </w:rPr>
        <w:t>nificant increase in the number of claims or the cost associated with these claims, we may be exposed to losses that could be material. A 10% change in our self-insurance reserves as of December 25, 2021, would have affected net income by approximately $8.</w:t>
      </w:r>
      <w:r>
        <w:rPr>
          <w:rFonts w:eastAsia="Times New Roman"/>
          <w:color w:val="000000"/>
          <w:sz w:val="20"/>
          <w:szCs w:val="20"/>
        </w:rPr>
        <w:t>4 million in fiscal 2021.</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Impairment of Long-Lived Assets: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Long-lived assets, including lease right-of-use assets, are evaluated for impairment whenever events or changes in circumstances indicate that the carrying value may not be recoverable. When ev</w:t>
      </w:r>
      <w:r>
        <w:rPr>
          <w:rFonts w:eastAsia="Times New Roman"/>
          <w:color w:val="000000"/>
          <w:sz w:val="20"/>
          <w:szCs w:val="20"/>
        </w:rPr>
        <w:t>aluating long-lived assets for potential impairment, we first compare the carrying value of the asset or asset group to its estimated undiscounted future cash flows. The evaluation for long-lived assets is performed at the lowest level of identifiable cash</w:t>
      </w:r>
      <w:r>
        <w:rPr>
          <w:rFonts w:eastAsia="Times New Roman"/>
          <w:color w:val="000000"/>
          <w:sz w:val="20"/>
          <w:szCs w:val="20"/>
        </w:rPr>
        <w:t xml:space="preserve"> flows, which is generally the individual store level. The significant assumptions used to determine estimated undiscounted cash flows include cash inflows and outflows directly resulting from the use of those assets in operations, including margin on net </w:t>
      </w:r>
      <w:r>
        <w:rPr>
          <w:rFonts w:eastAsia="Times New Roman"/>
          <w:color w:val="000000"/>
          <w:sz w:val="20"/>
          <w:szCs w:val="20"/>
        </w:rPr>
        <w:t>sales, payroll and related items, occupancy costs, insurance allocations, and other costs to operate a store. If the estimated future cash flows are less than the carrying value of the related asset, we calculate an impairment loss. The impairment loss cal</w:t>
      </w:r>
      <w:r>
        <w:rPr>
          <w:rFonts w:eastAsia="Times New Roman"/>
          <w:color w:val="000000"/>
          <w:sz w:val="20"/>
          <w:szCs w:val="20"/>
        </w:rPr>
        <w:t>culation compares the carrying value of the related asset or asset group to its estimated fair value, which may be based on an estimated future cash flow model, market valuation, or other valuation technique, as appropriate. We recognize an impairment loss</w:t>
      </w:r>
      <w:r>
        <w:rPr>
          <w:rFonts w:eastAsia="Times New Roman"/>
          <w:color w:val="000000"/>
          <w:sz w:val="20"/>
          <w:szCs w:val="20"/>
        </w:rPr>
        <w:t xml:space="preserve"> if the amount of the asset’s carrying value exceeds the asset’s estimated fair value. If we recognize an impairment loss, the adjusted carrying amount of the asset becomes its new cost basis. For a depreciable long-lived asset, the new cost basis will be </w:t>
      </w:r>
      <w:r>
        <w:rPr>
          <w:rFonts w:eastAsia="Times New Roman"/>
          <w:color w:val="000000"/>
          <w:sz w:val="20"/>
          <w:szCs w:val="20"/>
        </w:rPr>
        <w:t>depreciated (amortized) over the remaining estimated useful life of that asset.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impairment loss calculations contain uncertainties because they require management to make assumptions and to apply judgment to estimate future cash flows and asset fair </w:t>
      </w:r>
      <w:r>
        <w:rPr>
          <w:rFonts w:eastAsia="Times New Roman"/>
          <w:color w:val="000000"/>
          <w:sz w:val="20"/>
          <w:szCs w:val="20"/>
        </w:rPr>
        <w:t>values.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have not made any material changes in our impairment loss assessment methodology in the financial periods presented.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do not believe there is a reasonable likelihood that there will be a material change in the estimates or assumptions we u</w:t>
      </w:r>
      <w:r>
        <w:rPr>
          <w:rFonts w:eastAsia="Times New Roman"/>
          <w:color w:val="000000"/>
          <w:sz w:val="20"/>
          <w:szCs w:val="20"/>
        </w:rPr>
        <w:t xml:space="preserve">se to calculate long-lived asset impairment losses. None of these estimates and assumptions are significantly sensitive, and a 10% </w:t>
      </w:r>
    </w:p>
    <w:p w:rsidR="00000000" w:rsidRDefault="001F39D7">
      <w:pPr>
        <w:jc w:val="center"/>
        <w:divId w:val="1332754437"/>
        <w:rPr>
          <w:rFonts w:eastAsia="Times New Roman"/>
        </w:rPr>
      </w:pPr>
      <w:r>
        <w:rPr>
          <w:rFonts w:eastAsia="Times New Roman"/>
          <w:color w:val="000000"/>
          <w:sz w:val="20"/>
          <w:szCs w:val="20"/>
        </w:rPr>
        <w:t>33</w:t>
      </w:r>
    </w:p>
    <w:p w:rsidR="00000000" w:rsidRDefault="001F39D7">
      <w:pPr>
        <w:rPr>
          <w:rFonts w:eastAsia="Times New Roman"/>
        </w:rPr>
      </w:pPr>
      <w:r>
        <w:rPr>
          <w:rFonts w:eastAsia="Times New Roman"/>
        </w:rPr>
        <w:pict>
          <v:rect id="_x0000_i1062" style="width:0;height:1.5pt" o:hralign="center" o:hrstd="t" o:hr="t" fillcolor="#a0a0a0" stroked="f"/>
        </w:pict>
      </w:r>
    </w:p>
    <w:p w:rsidR="00000000" w:rsidRDefault="001F39D7">
      <w:pPr>
        <w:divId w:val="127247315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change in any of these estimates would not have a material impact on our analysis. However, if actual results are not consistent with our estimates and assumptions used in estimating future ca</w:t>
      </w:r>
      <w:r>
        <w:rPr>
          <w:rFonts w:eastAsia="Times New Roman"/>
          <w:color w:val="000000"/>
          <w:sz w:val="20"/>
          <w:szCs w:val="20"/>
        </w:rPr>
        <w:t xml:space="preserve">sh flows and asset fair values, we may be exposed to losses that could be material.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were no significant long-lived assets impairment charges recognized in fiscal 2021.</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Impairment of Goodwill and Other Indefinite-Lived Intangible Assets: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Goodwi</w:t>
      </w:r>
      <w:r>
        <w:rPr>
          <w:rFonts w:eastAsia="Times New Roman"/>
          <w:color w:val="000000"/>
          <w:sz w:val="20"/>
          <w:szCs w:val="20"/>
        </w:rPr>
        <w:t>ll and other indefinite-lived intangible assets are evaluated for impairment annually, or whenever events or changes in circumstances indicate that the carrying value may not be recoverable. In accordance with the accounting standards, an entity has the op</w:t>
      </w:r>
      <w:r>
        <w:rPr>
          <w:rFonts w:eastAsia="Times New Roman"/>
          <w:color w:val="000000"/>
          <w:sz w:val="20"/>
          <w:szCs w:val="20"/>
        </w:rPr>
        <w:t>tion first to assess qualitative factors to determine whether events and circumstances indicate that it is more likely than not that goodwill or an indefinite-lived intangible asset is impaired. If after such assessment an entity concludes that the asset i</w:t>
      </w:r>
      <w:r>
        <w:rPr>
          <w:rFonts w:eastAsia="Times New Roman"/>
          <w:color w:val="000000"/>
          <w:sz w:val="20"/>
          <w:szCs w:val="20"/>
        </w:rPr>
        <w:t>s not impaired, then the entity is not required to take further action. However, if an entity concludes otherwise, then it is required to determine the fair value of the asset using a quantitative impairment test, and if impaired, the associated assets mus</w:t>
      </w:r>
      <w:r>
        <w:rPr>
          <w:rFonts w:eastAsia="Times New Roman"/>
          <w:color w:val="000000"/>
          <w:sz w:val="20"/>
          <w:szCs w:val="20"/>
        </w:rPr>
        <w:t xml:space="preserve">t be written down to fair value.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quantitative impairment test for goodwill compares the fair value of a reporting unit with the carrying value of its net assets, including goodwill. If the fair value of the reporting unit is less than the carrying v</w:t>
      </w:r>
      <w:r>
        <w:rPr>
          <w:rFonts w:eastAsia="Times New Roman"/>
          <w:color w:val="000000"/>
          <w:sz w:val="20"/>
          <w:szCs w:val="20"/>
        </w:rPr>
        <w:t>alue of the reporting unit, an impairment charge would be recorded to the Company’s operations, for the amount in which the carrying amount exceeds the reporting unit’s fair value. We determine fair values for each reporting unit using the market approach,</w:t>
      </w:r>
      <w:r>
        <w:rPr>
          <w:rFonts w:eastAsia="Times New Roman"/>
          <w:color w:val="000000"/>
          <w:sz w:val="20"/>
          <w:szCs w:val="20"/>
        </w:rPr>
        <w:t xml:space="preserve"> when available and appropriate, the income approach, or a combination of both. The income approach involves forecasting projected financial information (such as revenue growth rates, profit margins, tax rates, and capital expenditures) and selecting a dis</w:t>
      </w:r>
      <w:r>
        <w:rPr>
          <w:rFonts w:eastAsia="Times New Roman"/>
          <w:color w:val="000000"/>
          <w:sz w:val="20"/>
          <w:szCs w:val="20"/>
        </w:rPr>
        <w:t xml:space="preserve">count rate that reflects the risk inherent in estimated future cash flows. Under the market approach, the fair value is based on observed market data. If multiple valuation methodologies are used, the results are weighted appropriately.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quantitative</w:t>
      </w:r>
      <w:r>
        <w:rPr>
          <w:rFonts w:eastAsia="Times New Roman"/>
          <w:color w:val="000000"/>
          <w:sz w:val="20"/>
          <w:szCs w:val="20"/>
        </w:rPr>
        <w:t xml:space="preserve"> impairment test for other indefinite-lived intangible assets involves comparing the carrying amount of the asset to the sum of the discounted cash flows expected to be generated by the asset. If the implied fair value of the indefinite-lived intangible as</w:t>
      </w:r>
      <w:r>
        <w:rPr>
          <w:rFonts w:eastAsia="Times New Roman"/>
          <w:color w:val="000000"/>
          <w:sz w:val="20"/>
          <w:szCs w:val="20"/>
        </w:rPr>
        <w:t xml:space="preserve">set is less than the carrying value, an impairment charge would be recorded to the Company’s operations.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impairment loss calculation contains uncertainties because they require management to make assumptions and to apply judgment to qualitative fact</w:t>
      </w:r>
      <w:r>
        <w:rPr>
          <w:rFonts w:eastAsia="Times New Roman"/>
          <w:color w:val="000000"/>
          <w:sz w:val="20"/>
          <w:szCs w:val="20"/>
        </w:rPr>
        <w:t>ors as well as estimate future cash flows and asset fair values, including forecasting projected financial information and selecting the discount rate that reflects the risk inherent in future cash flows.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valuation approaches utilized to estimate fai</w:t>
      </w:r>
      <w:r>
        <w:rPr>
          <w:rFonts w:eastAsia="Times New Roman"/>
          <w:color w:val="000000"/>
          <w:sz w:val="20"/>
          <w:szCs w:val="20"/>
        </w:rPr>
        <w:t>r value for the purposes of the impairment tests of goodwill and other indefinite-lived intangible assets require the use of assumptions and estimates, which involve a degree of uncertainty. If actual results are not consistent with our estimates and assum</w:t>
      </w:r>
      <w:r>
        <w:rPr>
          <w:rFonts w:eastAsia="Times New Roman"/>
          <w:color w:val="000000"/>
          <w:sz w:val="20"/>
          <w:szCs w:val="20"/>
        </w:rPr>
        <w:t>ptions used in estimating future cash flows and asset fair values, we may be exposed to non-cash impairment losses that could be material.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were no goodwill or other indefinite-lived intangible assets impairment charges recognized in fiscal 2021.</w:t>
      </w:r>
    </w:p>
    <w:p w:rsidR="00000000" w:rsidRDefault="001F39D7">
      <w:pPr>
        <w:jc w:val="both"/>
        <w:rPr>
          <w:rFonts w:eastAsia="Times New Roman"/>
        </w:rPr>
      </w:pPr>
    </w:p>
    <w:p w:rsidR="00000000" w:rsidRDefault="001F39D7">
      <w:pPr>
        <w:jc w:val="center"/>
        <w:divId w:val="1893273722"/>
        <w:rPr>
          <w:rFonts w:eastAsia="Times New Roman"/>
        </w:rPr>
      </w:pPr>
      <w:r>
        <w:rPr>
          <w:rFonts w:eastAsia="Times New Roman"/>
          <w:color w:val="000000"/>
          <w:sz w:val="20"/>
          <w:szCs w:val="20"/>
        </w:rPr>
        <w:t>34</w:t>
      </w:r>
    </w:p>
    <w:p w:rsidR="00000000" w:rsidRDefault="001F39D7">
      <w:pPr>
        <w:rPr>
          <w:rFonts w:eastAsia="Times New Roman"/>
        </w:rPr>
      </w:pPr>
      <w:r>
        <w:rPr>
          <w:rFonts w:eastAsia="Times New Roman"/>
        </w:rPr>
        <w:pict>
          <v:rect id="_x0000_i1063" style="width:0;height:1.5pt" o:hralign="center" o:hrstd="t" o:hr="t" fillcolor="#a0a0a0" stroked="f"/>
        </w:pict>
      </w:r>
    </w:p>
    <w:p w:rsidR="00000000" w:rsidRDefault="001F39D7">
      <w:pPr>
        <w:divId w:val="381514595"/>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2"/>
          <w:szCs w:val="22"/>
        </w:rPr>
        <w:t>Results of Operations</w:t>
      </w:r>
    </w:p>
    <w:p w:rsidR="00000000" w:rsidRDefault="001F39D7">
      <w:pPr>
        <w:divId w:val="532810348"/>
        <w:rPr>
          <w:rFonts w:eastAsia="Times New Roman"/>
        </w:rPr>
      </w:pPr>
    </w:p>
    <w:p w:rsidR="00000000" w:rsidRDefault="001F39D7">
      <w:pPr>
        <w:jc w:val="both"/>
        <w:rPr>
          <w:rFonts w:eastAsia="Times New Roman"/>
        </w:rPr>
      </w:pPr>
      <w:r>
        <w:rPr>
          <w:rFonts w:eastAsia="Times New Roman"/>
          <w:color w:val="000000"/>
          <w:sz w:val="20"/>
          <w:szCs w:val="20"/>
        </w:rPr>
        <w:t>The following table sets forth, for the periods indicated, certain items in the Consolidated Statements of Income expressed as a percentage of net sales.</w:t>
      </w:r>
    </w:p>
    <w:tbl>
      <w:tblPr>
        <w:tblW w:w="4963" w:type="pct"/>
        <w:tblCellMar>
          <w:top w:w="15" w:type="dxa"/>
          <w:left w:w="15" w:type="dxa"/>
          <w:bottom w:w="15" w:type="dxa"/>
          <w:right w:w="15" w:type="dxa"/>
        </w:tblCellMar>
        <w:tblLook w:val="04A0" w:firstRow="1" w:lastRow="0" w:firstColumn="1" w:lastColumn="0" w:noHBand="0" w:noVBand="1"/>
      </w:tblPr>
      <w:tblGrid>
        <w:gridCol w:w="39"/>
        <w:gridCol w:w="5740"/>
        <w:gridCol w:w="37"/>
        <w:gridCol w:w="49"/>
        <w:gridCol w:w="845"/>
        <w:gridCol w:w="187"/>
        <w:gridCol w:w="36"/>
        <w:gridCol w:w="36"/>
        <w:gridCol w:w="36"/>
        <w:gridCol w:w="49"/>
        <w:gridCol w:w="788"/>
        <w:gridCol w:w="187"/>
        <w:gridCol w:w="36"/>
        <w:gridCol w:w="36"/>
        <w:gridCol w:w="36"/>
        <w:gridCol w:w="36"/>
        <w:gridCol w:w="36"/>
        <w:gridCol w:w="36"/>
      </w:tblGrid>
      <w:tr w:rsidR="00000000">
        <w:tc>
          <w:tcPr>
            <w:tcW w:w="50" w:type="pct"/>
            <w:vAlign w:val="center"/>
            <w:hideMark/>
          </w:tcPr>
          <w:p w:rsidR="00000000" w:rsidRDefault="001F39D7">
            <w:pPr>
              <w:jc w:val="both"/>
              <w:rPr>
                <w:rFonts w:eastAsia="Times New Roman"/>
              </w:rPr>
            </w:pPr>
          </w:p>
        </w:tc>
        <w:tc>
          <w:tcPr>
            <w:tcW w:w="36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rPr>
          <w:trHeight w:val="16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9"/>
            <w:vMerge/>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vAlign w:val="center"/>
            <w:hideMark/>
          </w:tcPr>
          <w:p w:rsidR="00000000" w:rsidRDefault="001F39D7">
            <w:pPr>
              <w:spacing w:after="100"/>
              <w:jc w:val="center"/>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sales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1382439524"/>
              <w:rPr>
                <w:rFonts w:eastAsia="Times New Roman"/>
              </w:rPr>
            </w:pPr>
            <w:r>
              <w:rPr>
                <w:rFonts w:eastAsia="Times New Roman"/>
                <w:color w:val="000000"/>
                <w:sz w:val="20"/>
                <w:szCs w:val="20"/>
              </w:rPr>
              <w:t>Cost of merchandise sold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64.83 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64.58 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divId w:val="1499033114"/>
              <w:rPr>
                <w:rFonts w:eastAsia="Times New Roman"/>
              </w:rPr>
            </w:pPr>
            <w:r>
              <w:rPr>
                <w:rFonts w:eastAsia="Times New Roman"/>
                <w:color w:val="000000"/>
                <w:sz w:val="20"/>
                <w:szCs w:val="20"/>
              </w:rPr>
              <w:t>Gross margin</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54206784"/>
              <w:rPr>
                <w:rFonts w:eastAsia="Times New Roman"/>
              </w:rPr>
            </w:pPr>
            <w:r>
              <w:rPr>
                <w:rFonts w:eastAsia="Times New Roman"/>
                <w:color w:val="000000"/>
                <w:sz w:val="20"/>
                <w:szCs w:val="20"/>
              </w:rPr>
              <w:t>Selling, general and administrative expenses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22.78 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23.34 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Impairment of goodwill and 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0.65 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0.21 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0.27 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income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r>
    </w:tbl>
    <w:p w:rsidR="00000000" w:rsidRDefault="001F39D7">
      <w:pPr>
        <w:ind w:hanging="180"/>
        <w:jc w:val="both"/>
        <w:rPr>
          <w:rFonts w:eastAsia="Times New Roman"/>
        </w:rPr>
      </w:pPr>
    </w:p>
    <w:p w:rsidR="00000000" w:rsidRDefault="001F39D7">
      <w:pPr>
        <w:ind w:hanging="180"/>
        <w:jc w:val="both"/>
        <w:rPr>
          <w:rFonts w:eastAsia="Times New Roman"/>
        </w:rPr>
      </w:pPr>
      <w:r>
        <w:rPr>
          <w:rFonts w:eastAsia="Times New Roman"/>
          <w:color w:val="000000"/>
          <w:sz w:val="10"/>
          <w:szCs w:val="10"/>
        </w:rPr>
        <w:t>(a</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Our gross margin amounts may not be comparable to those of other retailers since some retailers include all of the costs related to their distribution facility network in cost of merchandise sold and others (like our Company) exclude a portion of these dis</w:t>
      </w:r>
      <w:r>
        <w:rPr>
          <w:rFonts w:eastAsia="Times New Roman"/>
          <w:color w:val="000000"/>
          <w:sz w:val="16"/>
          <w:szCs w:val="16"/>
        </w:rPr>
        <w:t>tribution facility network costs from gross margin and instead include them in selling, general, and administrative expenses; refer to Note 1 – Significant Accounting Policies of the Notes to the Consolidated Financial Statements, included in Item 8 Financ</w:t>
      </w:r>
      <w:r>
        <w:rPr>
          <w:rFonts w:eastAsia="Times New Roman"/>
          <w:color w:val="000000"/>
          <w:sz w:val="16"/>
          <w:szCs w:val="16"/>
        </w:rPr>
        <w:t>ial Statements and Supplementary Data, of this Annual Report on Form 10-K.</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 xml:space="preserve">Fiscal 2021 Compared to Fiscal 2020 </w:t>
      </w:r>
    </w:p>
    <w:p w:rsidR="00000000" w:rsidRDefault="001F39D7">
      <w:pPr>
        <w:divId w:val="410079302"/>
        <w:rPr>
          <w:rFonts w:eastAsia="Times New Roman"/>
        </w:rPr>
      </w:pPr>
    </w:p>
    <w:p w:rsidR="00000000" w:rsidRDefault="001F39D7">
      <w:pPr>
        <w:jc w:val="both"/>
        <w:rPr>
          <w:rFonts w:eastAsia="Times New Roman"/>
        </w:rPr>
      </w:pPr>
      <w:r>
        <w:rPr>
          <w:rFonts w:eastAsia="Times New Roman"/>
          <w:color w:val="000000"/>
          <w:sz w:val="20"/>
          <w:szCs w:val="20"/>
        </w:rPr>
        <w:t>Net sales increased 19.9% to $12.73 billion in fiscal 2021 from $10.62 billion in fiscal 2020. Comparable store sales increased 16.9% to $12.43 billion versus a 23.1% increase in fiscal 2020. The comparable store average transaction value increased 9.8% an</w:t>
      </w:r>
      <w:r>
        <w:rPr>
          <w:rFonts w:eastAsia="Times New Roman"/>
          <w:color w:val="000000"/>
          <w:sz w:val="20"/>
          <w:szCs w:val="20"/>
        </w:rPr>
        <w:t>d comparable store average transaction count increased 7.1% for fiscal 2021, as compared to an increase of 12.2% and 10.9% in fiscal 2020, respectively.</w:t>
      </w:r>
    </w:p>
    <w:p w:rsidR="00000000" w:rsidRDefault="001F39D7">
      <w:pPr>
        <w:divId w:val="744030626"/>
        <w:rPr>
          <w:rFonts w:eastAsia="Times New Roman"/>
        </w:rPr>
      </w:pPr>
    </w:p>
    <w:p w:rsidR="00000000" w:rsidRDefault="001F39D7">
      <w:pPr>
        <w:jc w:val="both"/>
        <w:rPr>
          <w:rFonts w:eastAsia="Times New Roman"/>
        </w:rPr>
      </w:pPr>
      <w:r>
        <w:rPr>
          <w:rFonts w:eastAsia="Times New Roman"/>
          <w:color w:val="000000"/>
          <w:sz w:val="20"/>
          <w:szCs w:val="20"/>
        </w:rPr>
        <w:t>Our sales performance continued to benefit from the shift of consumer behavior trends due to the COVI</w:t>
      </w:r>
      <w:r>
        <w:rPr>
          <w:rFonts w:eastAsia="Times New Roman"/>
          <w:color w:val="000000"/>
          <w:sz w:val="20"/>
          <w:szCs w:val="20"/>
        </w:rPr>
        <w:t xml:space="preserve">D-19 pandemic as customers focused on the care of their homes, land, and animals, targeted investments in marketing to increase our unaided brand awareness, and other key initiatives to enhance customers' shopping experience, including the relaunch of the </w:t>
      </w:r>
      <w:r>
        <w:rPr>
          <w:rFonts w:eastAsia="Times New Roman"/>
          <w:color w:val="000000"/>
          <w:sz w:val="20"/>
          <w:szCs w:val="20"/>
        </w:rPr>
        <w:t>Neighbor's Club loyalty program. These factors led to growth in new customer acquisition and increased spend from existing customers, which further resulted in an increase in comparable store sales across all major product categories, driven by robust grow</w:t>
      </w:r>
      <w:r>
        <w:rPr>
          <w:rFonts w:eastAsia="Times New Roman"/>
          <w:color w:val="000000"/>
          <w:sz w:val="20"/>
          <w:szCs w:val="20"/>
        </w:rPr>
        <w:t>th for everyday merchandise, including C.U.E. products, and solid demand for seasonal categories. In addition, the Company’s e-commerce sales experienced double-digit percentage growth in fiscal 2021 as compared to fiscal 2020.</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In addition to comparable </w:t>
      </w:r>
      <w:r>
        <w:rPr>
          <w:rFonts w:eastAsia="Times New Roman"/>
          <w:color w:val="000000"/>
          <w:sz w:val="20"/>
          <w:szCs w:val="20"/>
        </w:rPr>
        <w:t>store sales growth in fiscal 2021, sales from stores opened less than one year were $324.6 million in fiscal 2021, which represented 3.1 percentage points of the 19.9% increase over fiscal 2020 net sales. Sales from stores opened less than one year were $3</w:t>
      </w:r>
      <w:r>
        <w:rPr>
          <w:rFonts w:eastAsia="Times New Roman"/>
          <w:color w:val="000000"/>
          <w:sz w:val="20"/>
          <w:szCs w:val="20"/>
        </w:rPr>
        <w:t>55.3 million in fiscal 2020, which represented 4.3 percentage points of the 27.2% increase over fiscal 2019 net sales.</w:t>
      </w:r>
    </w:p>
    <w:p w:rsidR="00000000" w:rsidRDefault="001F39D7">
      <w:pPr>
        <w:jc w:val="both"/>
        <w:rPr>
          <w:rFonts w:eastAsia="Times New Roman"/>
        </w:rPr>
      </w:pPr>
    </w:p>
    <w:p w:rsidR="00000000" w:rsidRDefault="001F39D7">
      <w:pPr>
        <w:jc w:val="center"/>
        <w:divId w:val="792402171"/>
        <w:rPr>
          <w:rFonts w:eastAsia="Times New Roman"/>
        </w:rPr>
      </w:pPr>
      <w:r>
        <w:rPr>
          <w:rFonts w:eastAsia="Times New Roman"/>
          <w:color w:val="000000"/>
          <w:sz w:val="20"/>
          <w:szCs w:val="20"/>
        </w:rPr>
        <w:t>35</w:t>
      </w:r>
    </w:p>
    <w:p w:rsidR="00000000" w:rsidRDefault="001F39D7">
      <w:pPr>
        <w:rPr>
          <w:rFonts w:eastAsia="Times New Roman"/>
        </w:rPr>
      </w:pPr>
      <w:r>
        <w:rPr>
          <w:rFonts w:eastAsia="Times New Roman"/>
        </w:rPr>
        <w:pict>
          <v:rect id="_x0000_i1064" style="width:0;height:1.5pt" o:hralign="center" o:hrstd="t" o:hr="t" fillcolor="#a0a0a0" stroked="f"/>
        </w:pict>
      </w:r>
    </w:p>
    <w:p w:rsidR="00000000" w:rsidRDefault="001F39D7">
      <w:pPr>
        <w:divId w:val="1867668226"/>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The following table summarizes our store growth during fiscal 2021 and 2020:</w:t>
      </w:r>
    </w:p>
    <w:tbl>
      <w:tblPr>
        <w:tblW w:w="5000" w:type="pct"/>
        <w:tblCellMar>
          <w:top w:w="15" w:type="dxa"/>
          <w:left w:w="15" w:type="dxa"/>
          <w:bottom w:w="15" w:type="dxa"/>
          <w:right w:w="15" w:type="dxa"/>
        </w:tblCellMar>
        <w:tblLook w:val="04A0" w:firstRow="1" w:lastRow="0" w:firstColumn="1" w:lastColumn="0" w:noHBand="0" w:noVBand="1"/>
      </w:tblPr>
      <w:tblGrid>
        <w:gridCol w:w="58"/>
        <w:gridCol w:w="5568"/>
        <w:gridCol w:w="36"/>
        <w:gridCol w:w="36"/>
        <w:gridCol w:w="36"/>
        <w:gridCol w:w="36"/>
        <w:gridCol w:w="42"/>
        <w:gridCol w:w="1134"/>
        <w:gridCol w:w="37"/>
        <w:gridCol w:w="37"/>
        <w:gridCol w:w="37"/>
        <w:gridCol w:w="36"/>
        <w:gridCol w:w="41"/>
        <w:gridCol w:w="1136"/>
        <w:gridCol w:w="36"/>
      </w:tblGrid>
      <w:tr w:rsidR="00000000">
        <w:tc>
          <w:tcPr>
            <w:tcW w:w="50" w:type="pct"/>
            <w:vAlign w:val="center"/>
            <w:hideMark/>
          </w:tcPr>
          <w:p w:rsidR="00000000" w:rsidRDefault="001F39D7">
            <w:pPr>
              <w:jc w:val="both"/>
              <w:rPr>
                <w:rFonts w:eastAsia="Times New Roman"/>
              </w:rPr>
            </w:pPr>
          </w:p>
        </w:tc>
        <w:tc>
          <w:tcPr>
            <w:tcW w:w="33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9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ign w:val="center"/>
            <w:hideMark/>
          </w:tcPr>
          <w:p w:rsidR="00000000" w:rsidRDefault="001F39D7">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Store Count Information:</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i/>
                <w:iCs/>
                <w:color w:val="000000"/>
                <w:sz w:val="20"/>
                <w:szCs w:val="20"/>
                <w:u w:val="single"/>
              </w:rPr>
              <w:t>Tractor Supply</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1,844 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stores opened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Stores closed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i/>
                <w:iCs/>
                <w:color w:val="000000"/>
                <w:sz w:val="20"/>
                <w:szCs w:val="20"/>
                <w:u w:val="single"/>
              </w:rPr>
              <w:t>Petsense</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xml:space="preserve">Beginning of period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stores opened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Stores closed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Consolidated end of period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xml:space="preserve">Stores relocated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915358383"/>
        <w:rPr>
          <w:rFonts w:eastAsia="Times New Roman"/>
        </w:rPr>
      </w:pPr>
    </w:p>
    <w:p w:rsidR="00000000" w:rsidRDefault="001F39D7">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5511"/>
        <w:gridCol w:w="38"/>
        <w:gridCol w:w="36"/>
        <w:gridCol w:w="36"/>
        <w:gridCol w:w="36"/>
        <w:gridCol w:w="38"/>
        <w:gridCol w:w="1024"/>
        <w:gridCol w:w="188"/>
        <w:gridCol w:w="37"/>
        <w:gridCol w:w="36"/>
        <w:gridCol w:w="36"/>
        <w:gridCol w:w="37"/>
        <w:gridCol w:w="1027"/>
        <w:gridCol w:w="187"/>
      </w:tblGrid>
      <w:tr w:rsidR="00000000">
        <w:tc>
          <w:tcPr>
            <w:tcW w:w="50" w:type="pct"/>
            <w:vAlign w:val="center"/>
            <w:hideMark/>
          </w:tcPr>
          <w:p w:rsidR="00000000" w:rsidRDefault="001F39D7">
            <w:pPr>
              <w:jc w:val="both"/>
              <w:rPr>
                <w:rFonts w:eastAsia="Times New Roman"/>
              </w:rPr>
            </w:pPr>
          </w:p>
        </w:tc>
        <w:tc>
          <w:tcPr>
            <w:tcW w:w="33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9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Percent of Net Sales</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Product Category:</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Livestock and Pet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Hardware, Tools and Truck</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Seasonal, Gift and Toy Products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Clothing and Footwear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Agriculture</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r>
    </w:tbl>
    <w:p w:rsidR="00000000" w:rsidRDefault="001F39D7">
      <w:pPr>
        <w:divId w:val="478033658"/>
        <w:rPr>
          <w:rFonts w:eastAsia="Times New Roman"/>
        </w:rPr>
      </w:pPr>
    </w:p>
    <w:p w:rsidR="00000000" w:rsidRDefault="001F39D7">
      <w:pPr>
        <w:jc w:val="both"/>
        <w:rPr>
          <w:rFonts w:eastAsia="Times New Roman"/>
        </w:rPr>
      </w:pPr>
      <w:r>
        <w:rPr>
          <w:rFonts w:eastAsia="Times New Roman"/>
          <w:color w:val="000000"/>
          <w:sz w:val="20"/>
          <w:szCs w:val="20"/>
        </w:rPr>
        <w:t>Gross profit increased 19.0% to $4.48 billion in fiscal 2021 compared to $3.76 billion in fiscal 2020.  </w:t>
      </w:r>
      <w:r>
        <w:rPr>
          <w:rFonts w:eastAsia="Times New Roman"/>
          <w:color w:val="000000"/>
          <w:sz w:val="20"/>
          <w:szCs w:val="20"/>
        </w:rPr>
        <w:t>As a percent of net sales, gross margin decreased 25 basis points to 35.2% for fiscal 2021 compared to 35.4% for fiscal 2020. The decrease in gross margin as a percentage of net sales was primarily driven by higher product cost inflation, higher transporta</w:t>
      </w:r>
      <w:r>
        <w:rPr>
          <w:rFonts w:eastAsia="Times New Roman"/>
          <w:color w:val="000000"/>
          <w:sz w:val="20"/>
          <w:szCs w:val="20"/>
        </w:rPr>
        <w:t>tion costs driven by increased pressures on domestic freight, import freight, and rising fuel prices, and product mix shift towards C.U.E. products, which run at a slightly lower margin rate. Partially offsetting the decrease was the Company's price manage</w:t>
      </w:r>
      <w:r>
        <w:rPr>
          <w:rFonts w:eastAsia="Times New Roman"/>
          <w:color w:val="000000"/>
          <w:sz w:val="20"/>
          <w:szCs w:val="20"/>
        </w:rPr>
        <w:t xml:space="preserve">ment program and limited promotional and clearance activity, which effectively offset a significant portion of the inflation and transportation pressures. </w:t>
      </w:r>
    </w:p>
    <w:p w:rsidR="00000000" w:rsidRDefault="001F39D7">
      <w:pPr>
        <w:divId w:val="665131755"/>
        <w:rPr>
          <w:rFonts w:eastAsia="Times New Roman"/>
        </w:rPr>
      </w:pPr>
    </w:p>
    <w:p w:rsidR="00000000" w:rsidRDefault="001F39D7">
      <w:pPr>
        <w:jc w:val="both"/>
        <w:rPr>
          <w:rFonts w:eastAsia="Times New Roman"/>
        </w:rPr>
      </w:pPr>
      <w:r>
        <w:rPr>
          <w:rFonts w:eastAsia="Times New Roman"/>
          <w:color w:val="000000"/>
          <w:sz w:val="20"/>
          <w:szCs w:val="20"/>
        </w:rPr>
        <w:t>Total selling, general and administrative (“SG&amp;A”) expenses, including depreciation and amortizati</w:t>
      </w:r>
      <w:r>
        <w:rPr>
          <w:rFonts w:eastAsia="Times New Roman"/>
          <w:color w:val="000000"/>
          <w:sz w:val="20"/>
          <w:szCs w:val="20"/>
        </w:rPr>
        <w:t>on and asset impairment, increased 14.7% to $3.17 billion in fiscal 2021 from $2.76 billion in fiscal 2020.  SG&amp;A expenses, as a percent of net sales, improved 113 basis points to 24.9% in fiscal 2021 from 26.0% in fiscal 2020. </w:t>
      </w:r>
      <w:r>
        <w:rPr>
          <w:rFonts w:eastAsia="Times New Roman"/>
          <w:color w:val="000000"/>
          <w:sz w:val="20"/>
          <w:szCs w:val="20"/>
          <w:shd w:val="clear" w:color="auto" w:fill="FFFFFF"/>
        </w:rPr>
        <w:t> The SG&amp;A expenses in fiscal</w:t>
      </w:r>
      <w:r>
        <w:rPr>
          <w:rFonts w:eastAsia="Times New Roman"/>
          <w:color w:val="000000"/>
          <w:sz w:val="20"/>
          <w:szCs w:val="20"/>
          <w:shd w:val="clear" w:color="auto" w:fill="FFFFFF"/>
        </w:rPr>
        <w:t xml:space="preserve"> 2020 were impacted by discrete non-cash impairment charges for the Petsense business of $74.1 million due primarily to a strategic reassessment of the business and a decision to reduce the number of new store openings planned over the long term and, to a </w:t>
      </w:r>
      <w:r>
        <w:rPr>
          <w:rFonts w:eastAsia="Times New Roman"/>
          <w:color w:val="000000"/>
          <w:sz w:val="20"/>
          <w:szCs w:val="20"/>
          <w:shd w:val="clear" w:color="auto" w:fill="FFFFFF"/>
        </w:rPr>
        <w:t>lesser extent, the impairment of long-lived assets at underperforming locations.</w:t>
      </w:r>
      <w:r>
        <w:rPr>
          <w:rFonts w:eastAsia="Times New Roman"/>
          <w:color w:val="000000"/>
          <w:sz w:val="22"/>
          <w:szCs w:val="22"/>
          <w:shd w:val="clear" w:color="auto" w:fill="FFFFFF"/>
        </w:rPr>
        <w:t xml:space="preserve"> </w:t>
      </w:r>
      <w:r>
        <w:rPr>
          <w:rFonts w:eastAsia="Times New Roman"/>
          <w:color w:val="000000"/>
          <w:sz w:val="20"/>
          <w:szCs w:val="20"/>
        </w:rPr>
        <w:t>On an adjusted basis, excluding the impact of the discrete impairment charges in the prior year, SG&amp;A expenses increased 17.8% to $3.17 billion in fiscal 2021 from $2.69 billi</w:t>
      </w:r>
      <w:r>
        <w:rPr>
          <w:rFonts w:eastAsia="Times New Roman"/>
          <w:color w:val="000000"/>
          <w:sz w:val="20"/>
          <w:szCs w:val="20"/>
        </w:rPr>
        <w:t>on in fiscal 2020. On an adjusted basis, SG&amp;A expenses, as a percent of net sales, improved 43 basis points to 24.9% in fiscal 2021 from 25.3% in fiscal 2020. The improvement in SG&amp;A as a percent as net sales was primarily attributable to strong leverage i</w:t>
      </w:r>
      <w:r>
        <w:rPr>
          <w:rFonts w:eastAsia="Times New Roman"/>
          <w:color w:val="000000"/>
          <w:sz w:val="20"/>
          <w:szCs w:val="20"/>
        </w:rPr>
        <w:t xml:space="preserve">n occupancy and other fixed costs from the increase in comparable store sales and lower COVID-19 pandemic response costs. COVID-19 pandemic response costs in fiscal 2021 of $63.3 million consisted of sick pay, benefits, and other health and safety related </w:t>
      </w:r>
      <w:r>
        <w:rPr>
          <w:rFonts w:eastAsia="Times New Roman"/>
          <w:color w:val="000000"/>
          <w:sz w:val="20"/>
          <w:szCs w:val="20"/>
        </w:rPr>
        <w:t>expenses, as compared to $117.1 million in fiscal 2020. The leverage from these SG&amp;A expenses was partially offset by higher store wage rates, additional store labor hours, and investment in the Company's strategic initiatives.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effective income tax r</w:t>
      </w:r>
      <w:r>
        <w:rPr>
          <w:rFonts w:eastAsia="Times New Roman"/>
          <w:color w:val="000000"/>
          <w:sz w:val="20"/>
          <w:szCs w:val="20"/>
        </w:rPr>
        <w:t xml:space="preserve">ate decreased to 22.1% for fiscal 2021 compared to 22.6% in fiscal 2020. The primary drivers for the decrease in the Company's effective income tax rate were additional benefits from share-based compensation, a reduction in </w:t>
      </w:r>
    </w:p>
    <w:p w:rsidR="00000000" w:rsidRDefault="001F39D7">
      <w:pPr>
        <w:jc w:val="center"/>
        <w:divId w:val="1130246998"/>
        <w:rPr>
          <w:rFonts w:eastAsia="Times New Roman"/>
        </w:rPr>
      </w:pPr>
      <w:r>
        <w:rPr>
          <w:rFonts w:eastAsia="Times New Roman"/>
          <w:color w:val="000000"/>
          <w:sz w:val="20"/>
          <w:szCs w:val="20"/>
        </w:rPr>
        <w:t>36</w:t>
      </w:r>
    </w:p>
    <w:p w:rsidR="00000000" w:rsidRDefault="001F39D7">
      <w:pPr>
        <w:rPr>
          <w:rFonts w:eastAsia="Times New Roman"/>
        </w:rPr>
      </w:pPr>
      <w:r>
        <w:rPr>
          <w:rFonts w:eastAsia="Times New Roman"/>
        </w:rPr>
        <w:pict>
          <v:rect id="_x0000_i1065" style="width:0;height:1.5pt" o:hralign="center" o:hrstd="t" o:hr="t" fillcolor="#a0a0a0" stroked="f"/>
        </w:pict>
      </w:r>
    </w:p>
    <w:p w:rsidR="00000000" w:rsidRDefault="001F39D7">
      <w:pPr>
        <w:divId w:val="74318365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disallowed executive compensation, and increases in available tax credits, partially offset by a small increase in the Company's provision for state taxes.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Net income in fiscal 2021 was $997.1 million, or $8.61 per diluted share, compared to $749.0 milli</w:t>
      </w:r>
      <w:r>
        <w:rPr>
          <w:rFonts w:eastAsia="Times New Roman"/>
          <w:color w:val="000000"/>
          <w:sz w:val="20"/>
          <w:szCs w:val="20"/>
        </w:rPr>
        <w:t xml:space="preserve">on, or $6.38 per diluted share, in fiscal 2020. </w:t>
      </w:r>
      <w:r>
        <w:rPr>
          <w:rFonts w:eastAsia="Times New Roman"/>
          <w:color w:val="000000"/>
          <w:sz w:val="20"/>
          <w:szCs w:val="20"/>
          <w:shd w:val="clear" w:color="auto" w:fill="FFFFFF"/>
        </w:rPr>
        <w:t xml:space="preserve">The aforementioned non-cash impairment expense related to the Petsense business had an after-tax impact on fiscal </w:t>
      </w:r>
      <w:r>
        <w:rPr>
          <w:rFonts w:eastAsia="Times New Roman"/>
          <w:color w:val="000000"/>
          <w:sz w:val="20"/>
          <w:szCs w:val="20"/>
        </w:rPr>
        <w:t>2020</w:t>
      </w:r>
      <w:r>
        <w:rPr>
          <w:rFonts w:eastAsia="Times New Roman"/>
          <w:color w:val="000000"/>
          <w:sz w:val="20"/>
          <w:szCs w:val="20"/>
          <w:shd w:val="clear" w:color="auto" w:fill="FFFFFF"/>
        </w:rPr>
        <w:t xml:space="preserve"> net income of approximately </w:t>
      </w:r>
      <w:r>
        <w:rPr>
          <w:rFonts w:eastAsia="Times New Roman"/>
          <w:color w:val="000000"/>
          <w:sz w:val="20"/>
          <w:szCs w:val="20"/>
        </w:rPr>
        <w:t>$57.3 million</w:t>
      </w:r>
      <w:r>
        <w:rPr>
          <w:rFonts w:eastAsia="Times New Roman"/>
          <w:color w:val="000000"/>
          <w:sz w:val="20"/>
          <w:szCs w:val="20"/>
          <w:shd w:val="clear" w:color="auto" w:fill="FFFFFF"/>
        </w:rPr>
        <w:t xml:space="preserve"> or $0.49 per diluted share. On an adjusted basi</w:t>
      </w:r>
      <w:r>
        <w:rPr>
          <w:rFonts w:eastAsia="Times New Roman"/>
          <w:color w:val="000000"/>
          <w:sz w:val="20"/>
          <w:szCs w:val="20"/>
          <w:shd w:val="clear" w:color="auto" w:fill="FFFFFF"/>
        </w:rPr>
        <w:t xml:space="preserve">s, considering the after-tax impact of the non-cash impairment charges related to the Petsense business, net income was </w:t>
      </w:r>
      <w:r>
        <w:rPr>
          <w:rFonts w:eastAsia="Times New Roman"/>
          <w:color w:val="000000"/>
          <w:sz w:val="20"/>
          <w:szCs w:val="20"/>
        </w:rPr>
        <w:t>$806.2 million</w:t>
      </w:r>
      <w:r>
        <w:rPr>
          <w:rFonts w:eastAsia="Times New Roman"/>
          <w:color w:val="000000"/>
          <w:sz w:val="20"/>
          <w:szCs w:val="20"/>
          <w:shd w:val="clear" w:color="auto" w:fill="FFFFFF"/>
        </w:rPr>
        <w:t xml:space="preserve">, or $6.87 per diluted share, for fiscal </w:t>
      </w:r>
      <w:r>
        <w:rPr>
          <w:rFonts w:eastAsia="Times New Roman"/>
          <w:color w:val="000000"/>
          <w:sz w:val="20"/>
          <w:szCs w:val="20"/>
        </w:rPr>
        <w:t>2020</w:t>
      </w:r>
      <w:r>
        <w:rPr>
          <w:rFonts w:eastAsia="Times New Roman"/>
          <w:color w:val="000000"/>
          <w:sz w:val="20"/>
          <w:szCs w:val="20"/>
          <w:shd w:val="clear" w:color="auto" w:fill="FFFFFF"/>
        </w:rPr>
        <w:t xml:space="preserve">. Adjusted net income and adjusted net income per diluted share are non-GAAP </w:t>
      </w:r>
      <w:r>
        <w:rPr>
          <w:rFonts w:eastAsia="Times New Roman"/>
          <w:color w:val="000000"/>
          <w:sz w:val="20"/>
          <w:szCs w:val="20"/>
          <w:shd w:val="clear" w:color="auto" w:fill="FFFFFF"/>
        </w:rPr>
        <w:t xml:space="preserve">measures which have been provided in order to enhance comparability for the periods presented given that the impairment charges related to the Petsense business are non-recurring in nature. A reconciliation of these non-GAAP financial measures is included </w:t>
      </w:r>
      <w:r>
        <w:rPr>
          <w:rFonts w:eastAsia="Times New Roman"/>
          <w:color w:val="000000"/>
          <w:sz w:val="20"/>
          <w:szCs w:val="20"/>
          <w:shd w:val="clear" w:color="auto" w:fill="FFFFFF"/>
        </w:rPr>
        <w:t>in the following table.</w:t>
      </w:r>
    </w:p>
    <w:p w:rsidR="00000000" w:rsidRDefault="001F39D7">
      <w:pPr>
        <w:jc w:val="both"/>
        <w:rPr>
          <w:rFonts w:eastAsia="Times New Roman"/>
        </w:rPr>
      </w:pPr>
    </w:p>
    <w:p w:rsidR="00000000" w:rsidRDefault="001F39D7">
      <w:pPr>
        <w:jc w:val="center"/>
        <w:rPr>
          <w:rFonts w:eastAsia="Times New Roman"/>
        </w:rPr>
      </w:pPr>
      <w:r>
        <w:rPr>
          <w:rFonts w:eastAsia="Times New Roman"/>
          <w:b/>
          <w:bCs/>
          <w:color w:val="000000"/>
          <w:sz w:val="20"/>
          <w:szCs w:val="20"/>
          <w:u w:val="single"/>
        </w:rPr>
        <w:t>Reconciliation of Non-GAAP Financial Measures</w:t>
      </w:r>
    </w:p>
    <w:p w:rsidR="00000000" w:rsidRDefault="001F39D7">
      <w:pPr>
        <w:jc w:val="center"/>
        <w:rPr>
          <w:rFonts w:eastAsia="Times New Roman"/>
        </w:rPr>
      </w:pPr>
      <w:r>
        <w:rPr>
          <w:rFonts w:eastAsia="Times New Roman"/>
          <w:b/>
          <w:bCs/>
          <w:color w:val="000000"/>
          <w:sz w:val="18"/>
          <w:szCs w:val="18"/>
        </w:rPr>
        <w:t>(in thousands,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7"/>
        <w:gridCol w:w="3211"/>
        <w:gridCol w:w="36"/>
        <w:gridCol w:w="120"/>
        <w:gridCol w:w="1391"/>
        <w:gridCol w:w="36"/>
        <w:gridCol w:w="36"/>
        <w:gridCol w:w="36"/>
        <w:gridCol w:w="36"/>
        <w:gridCol w:w="121"/>
        <w:gridCol w:w="1473"/>
        <w:gridCol w:w="36"/>
        <w:gridCol w:w="36"/>
        <w:gridCol w:w="36"/>
        <w:gridCol w:w="36"/>
        <w:gridCol w:w="120"/>
        <w:gridCol w:w="1473"/>
        <w:gridCol w:w="36"/>
      </w:tblGrid>
      <w:tr w:rsidR="00000000">
        <w:tc>
          <w:tcPr>
            <w:tcW w:w="50" w:type="pct"/>
            <w:vAlign w:val="center"/>
            <w:hideMark/>
          </w:tcPr>
          <w:p w:rsidR="00000000" w:rsidRDefault="001F39D7">
            <w:pPr>
              <w:jc w:val="center"/>
              <w:rPr>
                <w:rFonts w:eastAsia="Times New Roman"/>
              </w:rPr>
            </w:pPr>
          </w:p>
        </w:tc>
        <w:tc>
          <w:tcPr>
            <w:tcW w:w="196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93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93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2020</w:t>
            </w:r>
          </w:p>
        </w:tc>
        <w:tc>
          <w:tcPr>
            <w:tcW w:w="0" w:type="auto"/>
            <w:gridSpan w:val="6"/>
            <w:tcMar>
              <w:top w:w="30" w:type="dxa"/>
              <w:left w:w="20" w:type="dxa"/>
              <w:bottom w:w="30" w:type="dxa"/>
              <w:right w:w="20" w:type="dxa"/>
            </w:tcMar>
            <w:vAlign w:val="center"/>
            <w:hideMark/>
          </w:tcPr>
          <w:p w:rsidR="00000000" w:rsidRDefault="001F39D7">
            <w:pPr>
              <w:spacing w:after="100"/>
              <w:jc w:val="center"/>
              <w:rPr>
                <w:rFonts w:eastAsia="Times New Roman"/>
              </w:rPr>
            </w:pPr>
            <w:r>
              <w:rPr>
                <w:rFonts w:eastAsia="Times New Roman"/>
                <w:b/>
                <w:bCs/>
                <w:color w:val="000000"/>
                <w:sz w:val="20"/>
                <w:szCs w:val="20"/>
              </w:rPr>
              <w:t>Impairment</w:t>
            </w:r>
            <w:r>
              <w:rPr>
                <w:rFonts w:eastAsia="Times New Roman"/>
                <w:b/>
                <w:bCs/>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2020</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i/>
                <w:iCs/>
                <w:color w:val="000000"/>
                <w:sz w:val="20"/>
                <w:szCs w:val="20"/>
              </w:rPr>
              <w:t>(As Reported)</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i/>
                <w:iCs/>
                <w:color w:val="000000"/>
                <w:sz w:val="20"/>
                <w:szCs w:val="20"/>
              </w:rPr>
              <w:t>(Adjustment)</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i/>
                <w:iCs/>
                <w:color w:val="000000"/>
                <w:sz w:val="20"/>
                <w:szCs w:val="20"/>
              </w:rPr>
              <w:t>(As Adjusted)</w:t>
            </w: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SG&amp;A (including depreciation and amortization and asset impairment)</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2,764,621 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(74,051)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2,690,570 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Operating income</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996,928 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74,051 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1,070,979 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Income before income taxes</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968,147 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74,051 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1,042,198 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 expense</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219,189 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16,765 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235,954 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748,958 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57,286 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806,244 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Diluted net income per share</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0.49 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center"/>
        <w:rPr>
          <w:rFonts w:eastAsia="Times New Roman"/>
        </w:rPr>
      </w:pPr>
    </w:p>
    <w:p w:rsidR="00000000" w:rsidRDefault="001F39D7">
      <w:pPr>
        <w:divId w:val="2142569589"/>
        <w:rPr>
          <w:rFonts w:eastAsia="Times New Roman"/>
        </w:rPr>
      </w:pPr>
      <w:r>
        <w:rPr>
          <w:rFonts w:eastAsia="Times New Roman"/>
          <w:color w:val="000000"/>
          <w:sz w:val="13"/>
          <w:szCs w:val="13"/>
        </w:rPr>
        <w:t>(a) Comprised of $68.97 million of impairment of goodwill and other intangible assets along with $5.0</w:t>
      </w:r>
      <w:r>
        <w:rPr>
          <w:rFonts w:eastAsia="Times New Roman"/>
          <w:color w:val="000000"/>
          <w:sz w:val="13"/>
          <w:szCs w:val="13"/>
        </w:rPr>
        <w:t>8 million of impairment of other long-lived assets related to the Petsense reporting uni</w:t>
      </w:r>
      <w:r>
        <w:rPr>
          <w:rFonts w:eastAsia="Times New Roman"/>
          <w:color w:val="000000"/>
          <w:sz w:val="13"/>
          <w:szCs w:val="13"/>
        </w:rPr>
        <w:t>t</w:t>
      </w:r>
    </w:p>
    <w:p w:rsidR="00000000" w:rsidRDefault="001F39D7">
      <w:pPr>
        <w:divId w:val="2104034776"/>
        <w:rPr>
          <w:rFonts w:eastAsia="Times New Roman"/>
        </w:rPr>
      </w:pPr>
    </w:p>
    <w:p w:rsidR="00000000" w:rsidRDefault="001F39D7">
      <w:pPr>
        <w:jc w:val="both"/>
        <w:rPr>
          <w:rFonts w:eastAsia="Times New Roman"/>
        </w:rPr>
      </w:pPr>
      <w:r>
        <w:rPr>
          <w:rFonts w:eastAsia="Times New Roman"/>
          <w:color w:val="000000"/>
          <w:sz w:val="20"/>
          <w:szCs w:val="20"/>
        </w:rPr>
        <w:t xml:space="preserve">During fiscal 2021, we repurchased approximately 4.4 million shares of the Company’s common stock at a total cost of $798.9 million as part of our share repurchase </w:t>
      </w:r>
      <w:r>
        <w:rPr>
          <w:rFonts w:eastAsia="Times New Roman"/>
          <w:color w:val="000000"/>
          <w:sz w:val="20"/>
          <w:szCs w:val="20"/>
        </w:rPr>
        <w:t>program.  In fiscal 2020, we repurchased approximately 3.4 million shares at a total cost of $343.0 million. S</w:t>
      </w:r>
      <w:r>
        <w:rPr>
          <w:rFonts w:eastAsia="Times New Roman"/>
          <w:color w:val="000000"/>
          <w:sz w:val="20"/>
          <w:szCs w:val="20"/>
          <w:shd w:val="clear" w:color="auto" w:fill="FFFFFF"/>
        </w:rPr>
        <w:t>hares repurchased in fiscal 2020 were impacted by the temporary suspension of our share repurchase program from March 12, 2020 until November 5, 2</w:t>
      </w:r>
      <w:r>
        <w:rPr>
          <w:rFonts w:eastAsia="Times New Roman"/>
          <w:color w:val="000000"/>
          <w:sz w:val="20"/>
          <w:szCs w:val="20"/>
          <w:shd w:val="clear" w:color="auto" w:fill="FFFFFF"/>
        </w:rPr>
        <w:t>020, in order to strengthen our liquidity and preserve cash while navigating the COVID-19 pandemic.</w:t>
      </w:r>
    </w:p>
    <w:p w:rsidR="00000000" w:rsidRDefault="001F39D7">
      <w:pPr>
        <w:divId w:val="1131752645"/>
        <w:rPr>
          <w:rFonts w:eastAsia="Times New Roman"/>
        </w:rPr>
      </w:pPr>
    </w:p>
    <w:p w:rsidR="00000000" w:rsidRDefault="001F39D7">
      <w:pPr>
        <w:jc w:val="both"/>
        <w:rPr>
          <w:rFonts w:eastAsia="Times New Roman"/>
        </w:rPr>
      </w:pPr>
      <w:r>
        <w:rPr>
          <w:rFonts w:eastAsia="Times New Roman"/>
          <w:b/>
          <w:bCs/>
          <w:color w:val="000000"/>
          <w:sz w:val="20"/>
          <w:szCs w:val="20"/>
        </w:rPr>
        <w:t xml:space="preserve">Fiscal 2020 Compared to Fiscal 2019 </w:t>
      </w:r>
    </w:p>
    <w:p w:rsidR="00000000" w:rsidRDefault="001F39D7">
      <w:pPr>
        <w:divId w:val="449977915"/>
        <w:rPr>
          <w:rFonts w:eastAsia="Times New Roman"/>
        </w:rPr>
      </w:pPr>
    </w:p>
    <w:p w:rsidR="00000000" w:rsidRDefault="001F39D7">
      <w:pPr>
        <w:jc w:val="both"/>
        <w:rPr>
          <w:rFonts w:eastAsia="Times New Roman"/>
        </w:rPr>
      </w:pPr>
      <w:r>
        <w:rPr>
          <w:rFonts w:eastAsia="Times New Roman"/>
          <w:color w:val="000000"/>
          <w:sz w:val="20"/>
          <w:szCs w:val="20"/>
        </w:rPr>
        <w:t>For a comparison of our performance and financial metrics for the fiscal years ended December 26, 2020 and December</w:t>
      </w:r>
      <w:r>
        <w:rPr>
          <w:rFonts w:eastAsia="Times New Roman"/>
          <w:color w:val="000000"/>
          <w:sz w:val="20"/>
          <w:szCs w:val="20"/>
        </w:rPr>
        <w:t> 28, 2019, see “Part II, Item 7. Management’s Discussion and Analysis of Financial Condition and Results of Operations” of our Annual Report on Form 10-K for the fiscal year ended December 26, 2020, filed with the SEC on February 18, 2021.</w:t>
      </w:r>
    </w:p>
    <w:p w:rsidR="00000000" w:rsidRDefault="001F39D7">
      <w:pPr>
        <w:divId w:val="1613710200"/>
        <w:rPr>
          <w:rFonts w:eastAsia="Times New Roman"/>
        </w:rPr>
      </w:pPr>
    </w:p>
    <w:p w:rsidR="00000000" w:rsidRDefault="001F39D7">
      <w:pPr>
        <w:jc w:val="both"/>
        <w:rPr>
          <w:rFonts w:eastAsia="Times New Roman"/>
        </w:rPr>
      </w:pPr>
      <w:r>
        <w:rPr>
          <w:rFonts w:eastAsia="Times New Roman"/>
          <w:b/>
          <w:bCs/>
          <w:color w:val="000000"/>
          <w:sz w:val="22"/>
          <w:szCs w:val="22"/>
        </w:rPr>
        <w:t>Liquidity and Capital Resources</w:t>
      </w:r>
    </w:p>
    <w:p w:rsidR="00000000" w:rsidRDefault="001F39D7">
      <w:pPr>
        <w:jc w:val="both"/>
        <w:rPr>
          <w:rFonts w:eastAsia="Times New Roman"/>
        </w:rPr>
      </w:pPr>
      <w:r>
        <w:rPr>
          <w:rFonts w:eastAsia="Times New Roman"/>
          <w:color w:val="000000"/>
          <w:sz w:val="20"/>
          <w:szCs w:val="20"/>
        </w:rPr>
        <w:t> </w:t>
      </w:r>
    </w:p>
    <w:p w:rsidR="00000000" w:rsidRDefault="001F39D7">
      <w:pPr>
        <w:jc w:val="both"/>
        <w:rPr>
          <w:rFonts w:eastAsia="Times New Roman"/>
        </w:rPr>
      </w:pPr>
      <w:r>
        <w:rPr>
          <w:rFonts w:eastAsia="Times New Roman"/>
          <w:color w:val="000000"/>
          <w:sz w:val="20"/>
          <w:szCs w:val="20"/>
        </w:rPr>
        <w:t>In addition to normal operating expenses and expenses associated with COVID-19, our primary ongoing cash requirements are for new store expansion, existing store remodeling and improvements, store relocations, distribution</w:t>
      </w:r>
      <w:r>
        <w:rPr>
          <w:rFonts w:eastAsia="Times New Roman"/>
          <w:color w:val="000000"/>
          <w:sz w:val="20"/>
          <w:szCs w:val="20"/>
        </w:rPr>
        <w:t xml:space="preserve"> facility capacity and improvements, information technology, inventory purchases, repayment of existing borrowings under our debt facilities, share repurchases, cash dividends, and selective acquisitions as opportunities arise.  </w:t>
      </w:r>
    </w:p>
    <w:p w:rsidR="00000000" w:rsidRDefault="001F39D7">
      <w:pPr>
        <w:divId w:val="2107335758"/>
        <w:rPr>
          <w:rFonts w:eastAsia="Times New Roman"/>
        </w:rPr>
      </w:pPr>
    </w:p>
    <w:p w:rsidR="00000000" w:rsidRDefault="001F39D7">
      <w:pPr>
        <w:jc w:val="both"/>
        <w:rPr>
          <w:rFonts w:eastAsia="Times New Roman"/>
        </w:rPr>
      </w:pPr>
      <w:r>
        <w:rPr>
          <w:rFonts w:eastAsia="Times New Roman"/>
          <w:color w:val="000000"/>
          <w:sz w:val="20"/>
          <w:szCs w:val="20"/>
        </w:rPr>
        <w:t>Our primary ongoing sour</w:t>
      </w:r>
      <w:r>
        <w:rPr>
          <w:rFonts w:eastAsia="Times New Roman"/>
          <w:color w:val="000000"/>
          <w:sz w:val="20"/>
          <w:szCs w:val="20"/>
        </w:rPr>
        <w:t xml:space="preserve">ces of liquidity are existing cash balances, cash provided from operations, remaining funds available under our debt facilities, operating and finance leases, and normal trade credit.  Our inventory and accounts payable levels typically build in the first </w:t>
      </w:r>
      <w:r>
        <w:rPr>
          <w:rFonts w:eastAsia="Times New Roman"/>
          <w:color w:val="000000"/>
          <w:sz w:val="20"/>
          <w:szCs w:val="20"/>
        </w:rPr>
        <w:t>and third fiscal quarters to support the higher sales volume of the spring and cold-weather selling seasons, respectively.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believe that our existing cash balances, expected cash flow from future operations, funds available under our debt facilities, o</w:t>
      </w:r>
      <w:r>
        <w:rPr>
          <w:rFonts w:eastAsia="Times New Roman"/>
          <w:color w:val="000000"/>
          <w:sz w:val="20"/>
          <w:szCs w:val="20"/>
        </w:rPr>
        <w:t xml:space="preserve">perating and finance leases, and normal trade credit will be sufficient to fund our operations, including expenses associated with COVID-19, and our capital expenditure needs, including new store openings, existing store remodeling and improvements, </w:t>
      </w:r>
    </w:p>
    <w:p w:rsidR="00000000" w:rsidRDefault="001F39D7">
      <w:pPr>
        <w:jc w:val="center"/>
        <w:divId w:val="1002005905"/>
        <w:rPr>
          <w:rFonts w:eastAsia="Times New Roman"/>
        </w:rPr>
      </w:pPr>
      <w:r>
        <w:rPr>
          <w:rFonts w:eastAsia="Times New Roman"/>
          <w:color w:val="000000"/>
          <w:sz w:val="20"/>
          <w:szCs w:val="20"/>
        </w:rPr>
        <w:t>37</w:t>
      </w:r>
    </w:p>
    <w:p w:rsidR="00000000" w:rsidRDefault="001F39D7">
      <w:pPr>
        <w:rPr>
          <w:rFonts w:eastAsia="Times New Roman"/>
        </w:rPr>
      </w:pPr>
      <w:r>
        <w:rPr>
          <w:rFonts w:eastAsia="Times New Roman"/>
        </w:rPr>
        <w:pict>
          <v:rect id="_x0000_i1066" style="width:0;height:1.5pt" o:hralign="center" o:hrstd="t" o:hr="t" fillcolor="#a0a0a0" stroked="f"/>
        </w:pict>
      </w:r>
    </w:p>
    <w:p w:rsidR="00000000" w:rsidRDefault="001F39D7">
      <w:pPr>
        <w:divId w:val="38163760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 xml:space="preserve">store relocations, distribution facility capacity and improvements, and information technology improvements through the end of fiscal 2022. We are not aware of any trends or events that would materially affect our capital requirements or liquidity.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Work</w:t>
      </w:r>
      <w:r>
        <w:rPr>
          <w:rFonts w:eastAsia="Times New Roman"/>
          <w:b/>
          <w:bCs/>
          <w:color w:val="000000"/>
          <w:sz w:val="20"/>
          <w:szCs w:val="20"/>
        </w:rPr>
        <w:t>ing Capital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At December 25, 2021, the Company had working capital of $1.19 billion, which decreased $329.3 million from fiscal 2020.  The shifts in working capital were attributable to changes in the following components of current assets and current lia</w:t>
      </w:r>
      <w:r>
        <w:rPr>
          <w:rFonts w:eastAsia="Times New Roman"/>
          <w:color w:val="000000"/>
          <w:sz w:val="20"/>
          <w:szCs w:val="20"/>
        </w:rPr>
        <w:t>bilities (in millions):</w:t>
      </w:r>
    </w:p>
    <w:tbl>
      <w:tblPr>
        <w:tblW w:w="4912" w:type="pct"/>
        <w:tblCellMar>
          <w:top w:w="15" w:type="dxa"/>
          <w:left w:w="15" w:type="dxa"/>
          <w:bottom w:w="15" w:type="dxa"/>
          <w:right w:w="15" w:type="dxa"/>
        </w:tblCellMar>
        <w:tblLook w:val="04A0" w:firstRow="1" w:lastRow="0" w:firstColumn="1" w:lastColumn="0" w:noHBand="0" w:noVBand="1"/>
      </w:tblPr>
      <w:tblGrid>
        <w:gridCol w:w="39"/>
        <w:gridCol w:w="4508"/>
        <w:gridCol w:w="38"/>
        <w:gridCol w:w="121"/>
        <w:gridCol w:w="989"/>
        <w:gridCol w:w="36"/>
        <w:gridCol w:w="36"/>
        <w:gridCol w:w="36"/>
        <w:gridCol w:w="36"/>
        <w:gridCol w:w="121"/>
        <w:gridCol w:w="948"/>
        <w:gridCol w:w="36"/>
        <w:gridCol w:w="36"/>
        <w:gridCol w:w="36"/>
        <w:gridCol w:w="36"/>
        <w:gridCol w:w="121"/>
        <w:gridCol w:w="951"/>
        <w:gridCol w:w="36"/>
      </w:tblGrid>
      <w:tr w:rsidR="00000000">
        <w:tc>
          <w:tcPr>
            <w:tcW w:w="50" w:type="pct"/>
            <w:vAlign w:val="center"/>
            <w:hideMark/>
          </w:tcPr>
          <w:p w:rsidR="00000000" w:rsidRDefault="001F39D7">
            <w:pPr>
              <w:jc w:val="both"/>
              <w:rPr>
                <w:rFonts w:eastAsia="Times New Roman"/>
              </w:rPr>
            </w:pPr>
          </w:p>
        </w:tc>
        <w:tc>
          <w:tcPr>
            <w:tcW w:w="27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3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 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Variance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878.0 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1,341.8 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(463.8)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2,191.2 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1,783.3 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407.9 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1,155.6 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976.1 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179.5 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109.6 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119.7 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474.4 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324.8 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149.6 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portion of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portion of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321.3 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298.7 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1,185.6 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In comparison to December 26, 2020, working capital as of December 25, 2021 was impacted most significantly by changes in cash and cash equivalents, inventories, accounts payable and </w:t>
      </w:r>
      <w:r>
        <w:rPr>
          <w:rFonts w:eastAsia="Times New Roman"/>
          <w:color w:val="000000"/>
          <w:sz w:val="20"/>
          <w:szCs w:val="20"/>
        </w:rPr>
        <w:t>other accrued expenses.</w:t>
      </w:r>
    </w:p>
    <w:p w:rsidR="00000000" w:rsidRDefault="001F39D7">
      <w:pPr>
        <w:jc w:val="both"/>
        <w:rPr>
          <w:rFonts w:eastAsia="Times New Roman"/>
        </w:rPr>
      </w:pPr>
    </w:p>
    <w:p w:rsidR="00000000" w:rsidRDefault="001F39D7">
      <w:pPr>
        <w:ind w:hanging="360"/>
        <w:jc w:val="both"/>
        <w:rPr>
          <w:rFonts w:eastAsia="Times New Roman"/>
        </w:rPr>
      </w:pPr>
      <w:r>
        <w:rPr>
          <w:rFonts w:eastAsia="Times New Roman"/>
          <w:color w:val="000000"/>
          <w:sz w:val="20"/>
          <w:szCs w:val="20"/>
          <w:shd w:val="clear" w:color="auto" w:fill="FFFFFF"/>
        </w:rPr>
        <w:t xml:space="preserve">•The decrease in cash and cash equivalents was primarily driven by share repurchases, capital expenditures to support strategic growth, and cash dividends to stockholders. </w:t>
      </w:r>
    </w:p>
    <w:p w:rsidR="00000000" w:rsidRDefault="001F39D7">
      <w:pPr>
        <w:ind w:hanging="360"/>
        <w:jc w:val="both"/>
        <w:rPr>
          <w:rFonts w:eastAsia="Times New Roman"/>
        </w:rPr>
      </w:pPr>
      <w:r>
        <w:rPr>
          <w:rFonts w:eastAsia="Times New Roman"/>
          <w:color w:val="000000"/>
          <w:sz w:val="20"/>
          <w:szCs w:val="20"/>
          <w:shd w:val="clear" w:color="auto" w:fill="FFFFFF"/>
        </w:rPr>
        <w:t>•The increase in inventories resulted from an increase in</w:t>
      </w:r>
      <w:r>
        <w:rPr>
          <w:rFonts w:eastAsia="Times New Roman"/>
          <w:color w:val="000000"/>
          <w:sz w:val="20"/>
          <w:szCs w:val="20"/>
          <w:shd w:val="clear" w:color="auto" w:fill="FFFFFF"/>
        </w:rPr>
        <w:t xml:space="preserve"> average inventory per store driven by our commitment to support our strong sales trends, along with the impact of inflation and the purchase of additional inventory to support new store growth. </w:t>
      </w:r>
    </w:p>
    <w:p w:rsidR="00000000" w:rsidRDefault="001F39D7">
      <w:pPr>
        <w:ind w:hanging="360"/>
        <w:jc w:val="both"/>
        <w:rPr>
          <w:rFonts w:eastAsia="Times New Roman"/>
        </w:rPr>
      </w:pPr>
      <w:r>
        <w:rPr>
          <w:rFonts w:eastAsia="Times New Roman"/>
          <w:color w:val="000000"/>
          <w:sz w:val="20"/>
          <w:szCs w:val="20"/>
          <w:shd w:val="clear" w:color="auto" w:fill="FFFFFF"/>
        </w:rPr>
        <w:t>•The increase in accounts payable resulted from the purchase</w:t>
      </w:r>
      <w:r>
        <w:rPr>
          <w:rFonts w:eastAsia="Times New Roman"/>
          <w:color w:val="000000"/>
          <w:sz w:val="20"/>
          <w:szCs w:val="20"/>
          <w:shd w:val="clear" w:color="auto" w:fill="FFFFFF"/>
        </w:rPr>
        <w:t xml:space="preserve"> of additional inventory to support new store growth and strong sales volume trends. </w:t>
      </w:r>
    </w:p>
    <w:p w:rsidR="00000000" w:rsidRDefault="001F39D7">
      <w:pPr>
        <w:ind w:hanging="360"/>
        <w:jc w:val="both"/>
        <w:rPr>
          <w:rFonts w:eastAsia="Times New Roman"/>
        </w:rPr>
      </w:pPr>
      <w:r>
        <w:rPr>
          <w:rFonts w:eastAsia="Times New Roman"/>
          <w:color w:val="000000"/>
          <w:sz w:val="20"/>
          <w:szCs w:val="20"/>
          <w:shd w:val="clear" w:color="auto" w:fill="FFFFFF"/>
        </w:rPr>
        <w:t xml:space="preserve">•Other accrued expenses increased primarily due to increases in freight and other payables due to the growth in sales. </w:t>
      </w:r>
    </w:p>
    <w:p w:rsidR="00000000" w:rsidRDefault="001F39D7">
      <w:pPr>
        <w:jc w:val="both"/>
        <w:rPr>
          <w:rFonts w:eastAsia="Times New Roman"/>
        </w:rPr>
      </w:pPr>
    </w:p>
    <w:p w:rsidR="00000000" w:rsidRDefault="001F39D7">
      <w:pPr>
        <w:jc w:val="center"/>
        <w:divId w:val="984699617"/>
        <w:rPr>
          <w:rFonts w:eastAsia="Times New Roman"/>
        </w:rPr>
      </w:pPr>
      <w:r>
        <w:rPr>
          <w:rFonts w:eastAsia="Times New Roman"/>
          <w:color w:val="000000"/>
          <w:sz w:val="20"/>
          <w:szCs w:val="20"/>
        </w:rPr>
        <w:t>38</w:t>
      </w:r>
    </w:p>
    <w:p w:rsidR="00000000" w:rsidRDefault="001F39D7">
      <w:pPr>
        <w:rPr>
          <w:rFonts w:eastAsia="Times New Roman"/>
        </w:rPr>
      </w:pPr>
      <w:r>
        <w:rPr>
          <w:rFonts w:eastAsia="Times New Roman"/>
        </w:rPr>
        <w:pict>
          <v:rect id="_x0000_i1067" style="width:0;height:1.5pt" o:hralign="center" o:hrstd="t" o:hr="t" fillcolor="#a0a0a0" stroked="f"/>
        </w:pict>
      </w:r>
    </w:p>
    <w:p w:rsidR="00000000" w:rsidRDefault="001F39D7">
      <w:pPr>
        <w:divId w:val="410077704"/>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rPr>
        <w:t>Debt</w:t>
      </w:r>
    </w:p>
    <w:p w:rsidR="00000000" w:rsidRDefault="001F39D7">
      <w:pPr>
        <w:divId w:val="1392538150"/>
        <w:rPr>
          <w:rFonts w:eastAsia="Times New Roman"/>
        </w:rPr>
      </w:pPr>
    </w:p>
    <w:p w:rsidR="00000000" w:rsidRDefault="001F39D7">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92" w:type="pct"/>
        <w:tblCellMar>
          <w:top w:w="15" w:type="dxa"/>
          <w:left w:w="15" w:type="dxa"/>
          <w:bottom w:w="15" w:type="dxa"/>
          <w:right w:w="15" w:type="dxa"/>
        </w:tblCellMar>
        <w:tblLook w:val="04A0" w:firstRow="1" w:lastRow="0" w:firstColumn="1" w:lastColumn="0" w:noHBand="0" w:noVBand="1"/>
      </w:tblPr>
      <w:tblGrid>
        <w:gridCol w:w="41"/>
        <w:gridCol w:w="5554"/>
        <w:gridCol w:w="40"/>
        <w:gridCol w:w="36"/>
        <w:gridCol w:w="36"/>
        <w:gridCol w:w="36"/>
        <w:gridCol w:w="121"/>
        <w:gridCol w:w="1028"/>
        <w:gridCol w:w="36"/>
        <w:gridCol w:w="36"/>
        <w:gridCol w:w="36"/>
        <w:gridCol w:w="36"/>
        <w:gridCol w:w="121"/>
        <w:gridCol w:w="1028"/>
        <w:gridCol w:w="36"/>
        <w:gridCol w:w="36"/>
        <w:gridCol w:w="36"/>
      </w:tblGrid>
      <w:tr w:rsidR="00000000">
        <w:tc>
          <w:tcPr>
            <w:tcW w:w="50" w:type="pct"/>
            <w:vAlign w:val="center"/>
            <w:hideMark/>
          </w:tcPr>
          <w:p w:rsidR="00000000" w:rsidRDefault="001F39D7">
            <w:pPr>
              <w:jc w:val="both"/>
              <w:rPr>
                <w:rFonts w:eastAsia="Times New Roman"/>
              </w:rPr>
            </w:pPr>
          </w:p>
        </w:tc>
        <w:tc>
          <w:tcPr>
            <w:tcW w:w="340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7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7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vAlign w:val="center"/>
            <w:hideMark/>
          </w:tcPr>
          <w:p w:rsidR="00000000" w:rsidRDefault="001F39D7">
            <w:pPr>
              <w:spacing w:after="100"/>
              <w:jc w:val="center"/>
              <w:rPr>
                <w:rFonts w:eastAsia="Times New Roman"/>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Less: unamortized debt issuance costs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On October 30, 2020, the Company issued and sold, in a public offering, $650 million in aggregate principal amount of senior unsecured notes due November 1, 2030 bearing interest at 1.75% per annum (the “1.75% Senior Notes”). In support of the issuance of </w:t>
      </w:r>
      <w:r>
        <w:rPr>
          <w:rFonts w:eastAsia="Times New Roman"/>
          <w:color w:val="000000"/>
          <w:sz w:val="20"/>
          <w:szCs w:val="20"/>
        </w:rPr>
        <w:t>the 1.75% Senior Notes, we obtained credit ratings from Moody's Investor Services and Standard &amp; Poor's.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manage our business and financial ratios to target an investment-grade bond rating, which has historically allowed flexible access to financing at</w:t>
      </w:r>
      <w:r>
        <w:rPr>
          <w:rFonts w:eastAsia="Times New Roman"/>
          <w:color w:val="000000"/>
          <w:sz w:val="20"/>
          <w:szCs w:val="20"/>
        </w:rPr>
        <w:t xml:space="preserve"> reasonable market costs. As of December 25, 2021, and the date of this filing, February 17, 2022, the Company's senior unsecured debt is rated “Baa1,” by Moody’s Investor Services with a stable outlook and “BBB” by Standard &amp; Poor’s with a stable outlook.</w:t>
      </w:r>
      <w:r>
        <w:rPr>
          <w:rFonts w:eastAsia="Times New Roman"/>
          <w:color w:val="000000"/>
          <w:sz w:val="20"/>
          <w:szCs w:val="20"/>
        </w:rPr>
        <w:t xml:space="preserve"> These ratings have been obtained with the understanding that Moody’s Investors Services and Standard &amp; Poor’s will continue to monitor our credit and make future adjustments to these ratings to the extent warranted. The ratings are not a recommendation to</w:t>
      </w:r>
      <w:r>
        <w:rPr>
          <w:rFonts w:eastAsia="Times New Roman"/>
          <w:color w:val="000000"/>
          <w:sz w:val="20"/>
          <w:szCs w:val="20"/>
        </w:rPr>
        <w:t xml:space="preserve"> buy, sell or hold our securities, may be changed, superseded or withdrawn at any time and should be evaluated independently of any other rating.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Our current ratings, as well as future rating agency actions, could impact our ability to finance our operat</w:t>
      </w:r>
      <w:r>
        <w:rPr>
          <w:rFonts w:eastAsia="Times New Roman"/>
          <w:color w:val="000000"/>
          <w:sz w:val="20"/>
          <w:szCs w:val="20"/>
        </w:rPr>
        <w:t xml:space="preserve">ions on satisfactory terms and affect our financing costs. There can be no assurance that we will maintain or improve our current credit ratings.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also maintain a $500 million revolving credit facility (the “Revolver”) under the senior credit facility</w:t>
      </w:r>
      <w:r>
        <w:rPr>
          <w:rFonts w:eastAsia="Times New Roman"/>
          <w:color w:val="000000"/>
          <w:sz w:val="20"/>
          <w:szCs w:val="20"/>
        </w:rPr>
        <w:t xml:space="preserve"> (the "Senior Credit Facility") with a sublimit of $50 million for swingline loans and a sublimit of $150 million for letters of credit.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For additional information about the Company’s debt and credit facilities, refer to Note 4 to the Consolidated Financ</w:t>
      </w:r>
      <w:r>
        <w:rPr>
          <w:rFonts w:eastAsia="Times New Roman"/>
          <w:color w:val="000000"/>
          <w:sz w:val="20"/>
          <w:szCs w:val="20"/>
        </w:rPr>
        <w:t xml:space="preserve">ial Statements.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shd w:val="clear" w:color="auto" w:fill="FFFFFF"/>
        </w:rPr>
        <w:t>Sources and Uses of Cash</w:t>
      </w:r>
    </w:p>
    <w:p w:rsidR="00000000" w:rsidRDefault="001F39D7">
      <w:pPr>
        <w:divId w:val="1911427448"/>
        <w:rPr>
          <w:rFonts w:eastAsia="Times New Roman"/>
        </w:rPr>
      </w:pPr>
    </w:p>
    <w:p w:rsidR="00000000" w:rsidRDefault="001F39D7">
      <w:pPr>
        <w:jc w:val="both"/>
        <w:rPr>
          <w:rFonts w:eastAsia="Times New Roman"/>
        </w:rPr>
      </w:pPr>
      <w:r>
        <w:rPr>
          <w:rFonts w:eastAsia="Times New Roman"/>
          <w:color w:val="000000"/>
          <w:sz w:val="20"/>
          <w:szCs w:val="20"/>
        </w:rPr>
        <w:t>Our primary source of liquidity is cash provided by operations and funds available under our debt facilities.  Principal uses of cash for investing activities are capital expenditures while principal uses of ca</w:t>
      </w:r>
      <w:r>
        <w:rPr>
          <w:rFonts w:eastAsia="Times New Roman"/>
          <w:color w:val="000000"/>
          <w:sz w:val="20"/>
          <w:szCs w:val="20"/>
        </w:rPr>
        <w:t>sh for financing activities are repurchase of the Company’s common stock and cash dividends paid to stockholders.  </w:t>
      </w:r>
    </w:p>
    <w:p w:rsidR="00000000" w:rsidRDefault="001F39D7">
      <w:pPr>
        <w:jc w:val="center"/>
        <w:divId w:val="825319313"/>
        <w:rPr>
          <w:rFonts w:eastAsia="Times New Roman"/>
        </w:rPr>
      </w:pPr>
      <w:r>
        <w:rPr>
          <w:rFonts w:eastAsia="Times New Roman"/>
          <w:color w:val="000000"/>
          <w:sz w:val="20"/>
          <w:szCs w:val="20"/>
        </w:rPr>
        <w:t>39</w:t>
      </w:r>
    </w:p>
    <w:p w:rsidR="00000000" w:rsidRDefault="001F39D7">
      <w:pPr>
        <w:rPr>
          <w:rFonts w:eastAsia="Times New Roman"/>
        </w:rPr>
      </w:pPr>
      <w:r>
        <w:rPr>
          <w:rFonts w:eastAsia="Times New Roman"/>
        </w:rPr>
        <w:pict>
          <v:rect id="_x0000_i1068" style="width:0;height:1.5pt" o:hralign="center" o:hrstd="t" o:hr="t" fillcolor="#a0a0a0" stroked="f"/>
        </w:pict>
      </w:r>
    </w:p>
    <w:p w:rsidR="00000000" w:rsidRDefault="001F39D7">
      <w:pPr>
        <w:divId w:val="229463335"/>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table presents a summary of cash flows provided by or used in operating, investing, and financing activities for fiscal years 2021 and 2020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198"/>
        <w:gridCol w:w="38"/>
        <w:gridCol w:w="120"/>
        <w:gridCol w:w="1323"/>
        <w:gridCol w:w="36"/>
        <w:gridCol w:w="36"/>
        <w:gridCol w:w="36"/>
        <w:gridCol w:w="36"/>
        <w:gridCol w:w="120"/>
        <w:gridCol w:w="1287"/>
        <w:gridCol w:w="36"/>
      </w:tblGrid>
      <w:tr w:rsidR="00000000">
        <w:tc>
          <w:tcPr>
            <w:tcW w:w="50" w:type="pct"/>
            <w:vAlign w:val="center"/>
            <w:hideMark/>
          </w:tcPr>
          <w:p w:rsidR="00000000" w:rsidRDefault="001F39D7">
            <w:pPr>
              <w:jc w:val="both"/>
              <w:rPr>
                <w:rFonts w:eastAsia="Times New Roman"/>
              </w:rPr>
            </w:pPr>
          </w:p>
        </w:tc>
        <w:tc>
          <w:tcPr>
            <w:tcW w:w="315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2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2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used in investing activities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(627.3)</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(292.2)</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(used in)/provided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(975.1)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155.2 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(decrease)/increase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(463.7)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1,257.5 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ind w:hanging="180"/>
        <w:jc w:val="both"/>
        <w:rPr>
          <w:rFonts w:eastAsia="Times New Roman"/>
        </w:rPr>
      </w:pPr>
    </w:p>
    <w:p w:rsidR="00000000" w:rsidRDefault="001F39D7">
      <w:pPr>
        <w:jc w:val="both"/>
        <w:rPr>
          <w:rFonts w:eastAsia="Times New Roman"/>
        </w:rPr>
      </w:pPr>
      <w:r>
        <w:rPr>
          <w:rFonts w:eastAsia="Times New Roman"/>
          <w:b/>
          <w:bCs/>
          <w:color w:val="000000"/>
          <w:sz w:val="20"/>
          <w:szCs w:val="20"/>
        </w:rPr>
        <w:t>Operating Activities</w:t>
      </w:r>
    </w:p>
    <w:p w:rsidR="00000000" w:rsidRDefault="001F39D7">
      <w:pPr>
        <w:divId w:val="897785525"/>
        <w:rPr>
          <w:rFonts w:eastAsia="Times New Roman"/>
        </w:rPr>
      </w:pPr>
    </w:p>
    <w:p w:rsidR="00000000" w:rsidRDefault="001F39D7">
      <w:pPr>
        <w:jc w:val="both"/>
        <w:rPr>
          <w:rFonts w:eastAsia="Times New Roman"/>
        </w:rPr>
      </w:pPr>
      <w:r>
        <w:rPr>
          <w:rFonts w:eastAsia="Times New Roman"/>
          <w:color w:val="000000"/>
          <w:sz w:val="20"/>
          <w:szCs w:val="20"/>
        </w:rPr>
        <w:t>Operating activities provided cash of $1.14 billion and $1.39 billion in fiscal 2021 and 2020, respectively. The $255.8 million decrease in net cash provided by operating activities in fiscal 2021, compared to fiscal 2020, was due to changes in the followi</w:t>
      </w:r>
      <w:r>
        <w:rPr>
          <w:rFonts w:eastAsia="Times New Roman"/>
          <w:color w:val="000000"/>
          <w:sz w:val="20"/>
          <w:szCs w:val="20"/>
        </w:rPr>
        <w:t xml:space="preserve">ng (in millions): </w:t>
      </w:r>
    </w:p>
    <w:tbl>
      <w:tblPr>
        <w:tblW w:w="4992" w:type="pct"/>
        <w:tblCellMar>
          <w:top w:w="15" w:type="dxa"/>
          <w:left w:w="15" w:type="dxa"/>
          <w:bottom w:w="15" w:type="dxa"/>
          <w:right w:w="15" w:type="dxa"/>
        </w:tblCellMar>
        <w:tblLook w:val="04A0" w:firstRow="1" w:lastRow="0" w:firstColumn="1" w:lastColumn="0" w:noHBand="0" w:noVBand="1"/>
      </w:tblPr>
      <w:tblGrid>
        <w:gridCol w:w="39"/>
        <w:gridCol w:w="3658"/>
        <w:gridCol w:w="37"/>
        <w:gridCol w:w="120"/>
        <w:gridCol w:w="1318"/>
        <w:gridCol w:w="36"/>
        <w:gridCol w:w="36"/>
        <w:gridCol w:w="36"/>
        <w:gridCol w:w="36"/>
        <w:gridCol w:w="120"/>
        <w:gridCol w:w="1278"/>
        <w:gridCol w:w="36"/>
        <w:gridCol w:w="36"/>
        <w:gridCol w:w="36"/>
        <w:gridCol w:w="36"/>
        <w:gridCol w:w="121"/>
        <w:gridCol w:w="1278"/>
        <w:gridCol w:w="36"/>
      </w:tblGrid>
      <w:tr w:rsidR="00000000">
        <w:tc>
          <w:tcPr>
            <w:tcW w:w="50" w:type="pct"/>
            <w:vAlign w:val="center"/>
            <w:hideMark/>
          </w:tcPr>
          <w:p w:rsidR="00000000" w:rsidRDefault="001F39D7">
            <w:pPr>
              <w:jc w:val="both"/>
              <w:rPr>
                <w:rFonts w:eastAsia="Times New Roman"/>
              </w:rPr>
            </w:pPr>
          </w:p>
        </w:tc>
        <w:tc>
          <w:tcPr>
            <w:tcW w:w="22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2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2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2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Variance</w:t>
            </w: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9"/>
            <w:vMerge/>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vMerge/>
            <w:vAlign w:val="center"/>
            <w:hideMark/>
          </w:tcPr>
          <w:p w:rsidR="00000000" w:rsidRDefault="001F39D7">
            <w:pPr>
              <w:spacing w:after="100"/>
              <w:rPr>
                <w:rFonts w:eastAsia="Times New Roman"/>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ign w:val="center"/>
            <w:hideMark/>
          </w:tcPr>
          <w:p w:rsidR="00000000" w:rsidRDefault="001F39D7">
            <w:pPr>
              <w:spacing w:after="100"/>
              <w:rPr>
                <w:rFonts w:eastAsia="Times New Roman"/>
              </w:rPr>
            </w:pPr>
          </w:p>
        </w:tc>
      </w:tr>
      <w:tr w:rsidR="00000000">
        <w:trPr>
          <w:trHeight w:val="28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ign w:val="center"/>
            <w:hideMark/>
          </w:tcPr>
          <w:p w:rsidR="00000000" w:rsidRDefault="001F39D7">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270.2 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217.1 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53.1 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Impairment expense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(31.7)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60.8 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(228.4)</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152.6 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(381.0)</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(30.5)</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Accrued expenses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127.8 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152.4 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(24.6)</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(51.0)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(255.8)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038242055"/>
        <w:rPr>
          <w:rFonts w:eastAsia="Times New Roman"/>
        </w:rPr>
      </w:pPr>
    </w:p>
    <w:p w:rsidR="00000000" w:rsidRDefault="001F39D7">
      <w:pPr>
        <w:jc w:val="both"/>
        <w:rPr>
          <w:rFonts w:eastAsia="Times New Roman"/>
        </w:rPr>
      </w:pPr>
      <w:r>
        <w:rPr>
          <w:rFonts w:eastAsia="Times New Roman"/>
          <w:color w:val="000000"/>
          <w:sz w:val="20"/>
          <w:szCs w:val="20"/>
        </w:rPr>
        <w:t>The $255.8 million decrease in net cash provided by operating activities in fiscal 2021, compared to fiscal 2020, is primarily driv</w:t>
      </w:r>
      <w:r>
        <w:rPr>
          <w:rFonts w:eastAsia="Times New Roman"/>
          <w:color w:val="000000"/>
          <w:sz w:val="20"/>
          <w:szCs w:val="20"/>
          <w:shd w:val="clear" w:color="auto" w:fill="FFFFFF"/>
        </w:rPr>
        <w:t>en by a significant increase in inventory and timing of payments and accruals, partially offset by an increase in our net inc</w:t>
      </w:r>
      <w:r>
        <w:rPr>
          <w:rFonts w:eastAsia="Times New Roman"/>
          <w:color w:val="000000"/>
          <w:sz w:val="20"/>
          <w:szCs w:val="20"/>
          <w:shd w:val="clear" w:color="auto" w:fill="FFFFFF"/>
        </w:rPr>
        <w:t xml:space="preserve">ome.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Investing Activities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Investing activities used cash of $627.3 million and $292.2 million in fiscal 2021 and 2020, respectively.  </w:t>
      </w:r>
      <w:r>
        <w:rPr>
          <w:rFonts w:eastAsia="Times New Roman"/>
          <w:color w:val="000000"/>
          <w:sz w:val="20"/>
          <w:szCs w:val="20"/>
        </w:rPr>
        <w:t>The $335.1 million increase in net cash used in investing activities primarily reflects an increase in capital expenditures in fiscal 2021 compared to fiscal 2020.</w:t>
      </w:r>
    </w:p>
    <w:p w:rsidR="00000000" w:rsidRDefault="001F39D7">
      <w:pPr>
        <w:jc w:val="center"/>
        <w:divId w:val="196550947"/>
        <w:rPr>
          <w:rFonts w:eastAsia="Times New Roman"/>
        </w:rPr>
      </w:pPr>
      <w:r>
        <w:rPr>
          <w:rFonts w:eastAsia="Times New Roman"/>
          <w:color w:val="000000"/>
          <w:sz w:val="20"/>
          <w:szCs w:val="20"/>
        </w:rPr>
        <w:t>40</w:t>
      </w:r>
    </w:p>
    <w:p w:rsidR="00000000" w:rsidRDefault="001F39D7">
      <w:pPr>
        <w:rPr>
          <w:rFonts w:eastAsia="Times New Roman"/>
        </w:rPr>
      </w:pPr>
      <w:r>
        <w:rPr>
          <w:rFonts w:eastAsia="Times New Roman"/>
        </w:rPr>
        <w:pict>
          <v:rect id="_x0000_i1069" style="width:0;height:1.5pt" o:hralign="center" o:hrstd="t" o:hr="t" fillcolor="#a0a0a0" stroked="f"/>
        </w:pict>
      </w:r>
    </w:p>
    <w:p w:rsidR="00000000" w:rsidRDefault="001F39D7">
      <w:pPr>
        <w:divId w:val="1460948949"/>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Investing activities, including capital expenditures, for fiscal 2021 and 2020 were as follows (in millions):</w:t>
      </w:r>
    </w:p>
    <w:p w:rsidR="00000000" w:rsidRDefault="001F39D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802"/>
        <w:gridCol w:w="38"/>
        <w:gridCol w:w="120"/>
        <w:gridCol w:w="940"/>
        <w:gridCol w:w="36"/>
        <w:gridCol w:w="36"/>
        <w:gridCol w:w="36"/>
        <w:gridCol w:w="36"/>
        <w:gridCol w:w="120"/>
        <w:gridCol w:w="901"/>
        <w:gridCol w:w="36"/>
        <w:gridCol w:w="36"/>
        <w:gridCol w:w="36"/>
        <w:gridCol w:w="36"/>
        <w:gridCol w:w="121"/>
        <w:gridCol w:w="901"/>
        <w:gridCol w:w="36"/>
      </w:tblGrid>
      <w:tr w:rsidR="00000000">
        <w:tc>
          <w:tcPr>
            <w:tcW w:w="50" w:type="pct"/>
            <w:vAlign w:val="center"/>
            <w:hideMark/>
          </w:tcPr>
          <w:p w:rsidR="00000000" w:rsidRDefault="001F39D7">
            <w:pPr>
              <w:jc w:val="both"/>
              <w:rPr>
                <w:rFonts w:eastAsia="Times New Roman"/>
              </w:rPr>
            </w:pPr>
          </w:p>
        </w:tc>
        <w:tc>
          <w:tcPr>
            <w:tcW w:w="292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restart"/>
            <w:tcBorders>
              <w:bottom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Variance</w:t>
            </w: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9"/>
            <w:vMerge/>
            <w:tcBorders>
              <w:bottom w:val="single" w:sz="8" w:space="0" w:color="000000"/>
            </w:tcBorders>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vMerge/>
            <w:vAlign w:val="center"/>
            <w:hideMark/>
          </w:tcPr>
          <w:p w:rsidR="00000000" w:rsidRDefault="001F39D7">
            <w:pPr>
              <w:spacing w:after="100"/>
              <w:rPr>
                <w:rFonts w:eastAsia="Times New Roman"/>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ign w:val="center"/>
            <w:hideMark/>
          </w:tcPr>
          <w:p w:rsidR="00000000" w:rsidRDefault="001F39D7">
            <w:pPr>
              <w:spacing w:after="100"/>
              <w:rPr>
                <w:rFonts w:eastAsia="Times New Roman"/>
              </w:rPr>
            </w:pPr>
          </w:p>
        </w:tc>
      </w:tr>
      <w:tr w:rsidR="00000000">
        <w:trPr>
          <w:trHeight w:val="28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ign w:val="center"/>
            <w:hideMark/>
          </w:tcPr>
          <w:p w:rsidR="00000000" w:rsidRDefault="001F39D7">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124.8 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133.0 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93.3 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69.9 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58.8 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capital expenditures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used in investing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339888252"/>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The increase in spending for existing stores in fiscal 2021 as compared to fiscal 2020 principally reflects our strategic initiatives related to store remodels, including internal space productivity and the outside side lot improvements. The spending on in</w:t>
      </w:r>
      <w:r>
        <w:rPr>
          <w:rFonts w:eastAsia="Times New Roman"/>
          <w:color w:val="000000"/>
          <w:sz w:val="20"/>
          <w:szCs w:val="20"/>
          <w:shd w:val="clear" w:color="auto" w:fill="FFFFFF"/>
        </w:rPr>
        <w:t>formation technology represents continued support of our store growth and our omni-channel initiatives, as well as improvements in security and compliance, enhancements and upgrades to our customer loyalty program, mobility in our stores, and other strateg</w:t>
      </w:r>
      <w:r>
        <w:rPr>
          <w:rFonts w:eastAsia="Times New Roman"/>
          <w:color w:val="000000"/>
          <w:sz w:val="20"/>
          <w:szCs w:val="20"/>
          <w:shd w:val="clear" w:color="auto" w:fill="FFFFFF"/>
        </w:rPr>
        <w:t xml:space="preserve">ic initiatives.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 xml:space="preserve">The increase in spending for distribution center capacity and improvements in fiscal 2021 as compared to fiscal 2020 is principally related to beginning construction of a new distribution center in Navarre, Ohio, which is expected to be </w:t>
      </w:r>
      <w:r>
        <w:rPr>
          <w:rFonts w:eastAsia="Times New Roman"/>
          <w:color w:val="000000"/>
          <w:sz w:val="20"/>
          <w:szCs w:val="20"/>
          <w:shd w:val="clear" w:color="auto" w:fill="FFFFFF"/>
        </w:rPr>
        <w:t xml:space="preserve">approximately 900,000 square feet and is currently anticipated to be completed in the fall of fiscal 2022.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above table reflects an investment in 80 new Tractor Supply stores, and seven new Petsense stores during fiscal 2021. In fiscal 2020, we opene</w:t>
      </w:r>
      <w:r>
        <w:rPr>
          <w:rFonts w:eastAsia="Times New Roman"/>
          <w:color w:val="000000"/>
          <w:sz w:val="20"/>
          <w:szCs w:val="20"/>
        </w:rPr>
        <w:t>d 80 new Tractor Supply stores, nine new Petsense stores, and had one store relocation.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Our projected capital expenditures for fiscal 2022 are currently estimated to be in a range of approximately $625 million to $675 million. The capital expenditures i</w:t>
      </w:r>
      <w:r>
        <w:rPr>
          <w:rFonts w:eastAsia="Times New Roman"/>
          <w:color w:val="000000"/>
          <w:sz w:val="20"/>
          <w:szCs w:val="20"/>
          <w:shd w:val="clear" w:color="auto" w:fill="FFFFFF"/>
        </w:rPr>
        <w:t>nclude a plan to open approximately 75 to 80 new Tractor Supply stores, remodel more than 150 stores and transform the side lots in approximately 100 locations, along with opening 10 new Petsense stores. We also anticipate the opening of our ninth distribu</w:t>
      </w:r>
      <w:r>
        <w:rPr>
          <w:rFonts w:eastAsia="Times New Roman"/>
          <w:color w:val="000000"/>
          <w:sz w:val="20"/>
          <w:szCs w:val="20"/>
          <w:shd w:val="clear" w:color="auto" w:fill="FFFFFF"/>
        </w:rPr>
        <w:t xml:space="preserve">tion center in Navarre, Ohio in the fall of 2022. Additionally, we plan to begin construction in the middle of fiscal 2022 on a new distribution center in Maumelle, Arkansas, which is currently anticipated to be complete in late 2023. In addition, we plan </w:t>
      </w:r>
      <w:r>
        <w:rPr>
          <w:rFonts w:eastAsia="Times New Roman"/>
          <w:color w:val="000000"/>
          <w:sz w:val="20"/>
          <w:szCs w:val="20"/>
          <w:shd w:val="clear" w:color="auto" w:fill="FFFFFF"/>
        </w:rPr>
        <w:t>to support our continued improvements in technology and infrastructure at our existing stores, and ongoing investments to enhance our digital and omni-channel capabilities to better serve our customers.</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Financing Activities</w:t>
      </w:r>
    </w:p>
    <w:p w:rsidR="00000000" w:rsidRDefault="001F39D7">
      <w:pPr>
        <w:divId w:val="587276775"/>
        <w:rPr>
          <w:rFonts w:eastAsia="Times New Roman"/>
        </w:rPr>
      </w:pPr>
    </w:p>
    <w:p w:rsidR="00000000" w:rsidRDefault="001F39D7">
      <w:pPr>
        <w:jc w:val="both"/>
        <w:rPr>
          <w:rFonts w:eastAsia="Times New Roman"/>
        </w:rPr>
      </w:pPr>
      <w:r>
        <w:rPr>
          <w:rFonts w:eastAsia="Times New Roman"/>
          <w:color w:val="000000"/>
          <w:sz w:val="20"/>
          <w:szCs w:val="20"/>
        </w:rPr>
        <w:t>Financing activities used ca</w:t>
      </w:r>
      <w:r>
        <w:rPr>
          <w:rFonts w:eastAsia="Times New Roman"/>
          <w:color w:val="000000"/>
          <w:sz w:val="20"/>
          <w:szCs w:val="20"/>
        </w:rPr>
        <w:t>sh of $975.1 million in fiscal 2021, while financing activities provided $155.2 million in fiscal 2020. The $1.13 billion decrease in net cash provided by financing activities in fiscal 2021, compared to fiscal 2020, was due to changes in the following (in</w:t>
      </w:r>
      <w:r>
        <w:rPr>
          <w:rFonts w:eastAsia="Times New Roman"/>
          <w:color w:val="000000"/>
          <w:sz w:val="20"/>
          <w:szCs w:val="20"/>
        </w:rPr>
        <w:t xml:space="preserve"> millions): </w:t>
      </w:r>
    </w:p>
    <w:p w:rsidR="00000000" w:rsidRDefault="001F39D7">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4909"/>
        <w:gridCol w:w="38"/>
        <w:gridCol w:w="120"/>
        <w:gridCol w:w="941"/>
        <w:gridCol w:w="36"/>
        <w:gridCol w:w="36"/>
        <w:gridCol w:w="36"/>
        <w:gridCol w:w="36"/>
        <w:gridCol w:w="120"/>
        <w:gridCol w:w="900"/>
        <w:gridCol w:w="36"/>
        <w:gridCol w:w="36"/>
        <w:gridCol w:w="36"/>
        <w:gridCol w:w="36"/>
        <w:gridCol w:w="120"/>
        <w:gridCol w:w="734"/>
        <w:gridCol w:w="36"/>
      </w:tblGrid>
      <w:tr w:rsidR="00000000">
        <w:tc>
          <w:tcPr>
            <w:tcW w:w="50" w:type="pct"/>
            <w:vAlign w:val="center"/>
            <w:hideMark/>
          </w:tcPr>
          <w:p w:rsidR="00000000" w:rsidRDefault="001F39D7">
            <w:pPr>
              <w:jc w:val="both"/>
              <w:rPr>
                <w:rFonts w:eastAsia="Times New Roman"/>
              </w:rPr>
            </w:pPr>
          </w:p>
        </w:tc>
        <w:tc>
          <w:tcPr>
            <w:tcW w:w="300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0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0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vMerge/>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trHeight w:val="300"/>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Variance</w:t>
            </w:r>
          </w:p>
        </w:tc>
      </w:tr>
      <w:tr w:rsidR="00000000">
        <w:trPr>
          <w:trHeight w:val="30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ign w:val="center"/>
            <w:hideMark/>
          </w:tcPr>
          <w:p w:rsidR="00000000" w:rsidRDefault="001F39D7">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borrowings and repayments under debt facilities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(602.5)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(798.9)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(343.0)</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(455.9)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(239.0)</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(174.7)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(64.3)</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(19.4)</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(used in)/provided by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(975.1)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(1,130.3)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center"/>
        <w:divId w:val="710617152"/>
        <w:rPr>
          <w:rFonts w:eastAsia="Times New Roman"/>
        </w:rPr>
      </w:pPr>
      <w:r>
        <w:rPr>
          <w:rFonts w:eastAsia="Times New Roman"/>
          <w:color w:val="000000"/>
          <w:sz w:val="20"/>
          <w:szCs w:val="20"/>
        </w:rPr>
        <w:t>41</w:t>
      </w:r>
    </w:p>
    <w:p w:rsidR="00000000" w:rsidRDefault="001F39D7">
      <w:pPr>
        <w:rPr>
          <w:rFonts w:eastAsia="Times New Roman"/>
        </w:rPr>
      </w:pPr>
      <w:r>
        <w:rPr>
          <w:rFonts w:eastAsia="Times New Roman"/>
        </w:rPr>
        <w:pict>
          <v:rect id="_x0000_i1070" style="width:0;height:1.5pt" o:hralign="center" o:hrstd="t" o:hr="t" fillcolor="#a0a0a0" stroked="f"/>
        </w:pict>
      </w:r>
    </w:p>
    <w:p w:rsidR="00000000" w:rsidRDefault="001F39D7">
      <w:pPr>
        <w:divId w:val="21817856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shd w:val="clear" w:color="auto" w:fill="FFFFFF"/>
        </w:rPr>
        <w:t>The decrease in net cash from financing activities in fiscal 2021, compared to fiscal 2020, is principally due to actions taken in fiscal 2020 intended to s</w:t>
      </w:r>
      <w:r>
        <w:rPr>
          <w:rFonts w:eastAsia="Times New Roman"/>
          <w:color w:val="000000"/>
          <w:sz w:val="20"/>
          <w:szCs w:val="20"/>
          <w:shd w:val="clear" w:color="auto" w:fill="FFFFFF"/>
        </w:rPr>
        <w:t xml:space="preserve">trengthen our liquidity and preserve cash while navigating the COVID-19 pandemic, including borrowings under our debt facilities as well as a temporary suspension of our share repurchase program.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Repurchase of Common Stock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Company’s Board of Direc</w:t>
      </w:r>
      <w:r>
        <w:rPr>
          <w:rFonts w:eastAsia="Times New Roman"/>
          <w:color w:val="000000"/>
          <w:sz w:val="20"/>
          <w:szCs w:val="20"/>
        </w:rPr>
        <w:t>tors has authorized common stock repurchases under a share repurchase program which was announced in February 2007. The authorization amount of the program, which has been increased from time to time, is currently authorized for up to $6.50 billion, exclus</w:t>
      </w:r>
      <w:r>
        <w:rPr>
          <w:rFonts w:eastAsia="Times New Roman"/>
          <w:color w:val="000000"/>
          <w:sz w:val="20"/>
          <w:szCs w:val="20"/>
        </w:rPr>
        <w:t>ive of any fees, commissions or other expenses related to such repurchases. The currently authorized amount reflects a $2.0 billion increase to the existing share repurchase program which was approved by our Board of Directors o</w:t>
      </w:r>
      <w:r>
        <w:rPr>
          <w:rFonts w:eastAsia="Times New Roman"/>
          <w:color w:val="000000"/>
          <w:sz w:val="20"/>
          <w:szCs w:val="20"/>
          <w:shd w:val="clear" w:color="auto" w:fill="FFFFFF"/>
        </w:rPr>
        <w:t>n January 26, 2022. The s</w:t>
      </w:r>
      <w:r>
        <w:rPr>
          <w:rFonts w:eastAsia="Times New Roman"/>
          <w:color w:val="000000"/>
          <w:sz w:val="20"/>
          <w:szCs w:val="20"/>
        </w:rPr>
        <w:t>har</w:t>
      </w:r>
      <w:r>
        <w:rPr>
          <w:rFonts w:eastAsia="Times New Roman"/>
          <w:color w:val="000000"/>
          <w:sz w:val="20"/>
          <w:szCs w:val="20"/>
        </w:rPr>
        <w:t>e repurchase program does not have an expiration date. The repurchases may be made from time to time on the open market or in privately negotiated transactions. The timing and amount of any shares repurchased under the program will depend on a variety of f</w:t>
      </w:r>
      <w:r>
        <w:rPr>
          <w:rFonts w:eastAsia="Times New Roman"/>
          <w:color w:val="000000"/>
          <w:sz w:val="20"/>
          <w:szCs w:val="20"/>
        </w:rPr>
        <w:t>actors, including price, corporate and regulatory requirements, capital availability, and other market conditions. Repurchased shares are accounted for at cost and will be held in treasury for future issuance. The program may be limited, temporarily paused</w:t>
      </w:r>
      <w:r>
        <w:rPr>
          <w:rFonts w:eastAsia="Times New Roman"/>
          <w:color w:val="000000"/>
          <w:sz w:val="20"/>
          <w:szCs w:val="20"/>
        </w:rPr>
        <w:t xml:space="preserve">, or terminated at any time without prior notice.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repurchased approximately 4.4 million and 3.4 million shares of common stock under the share repurchase program at a total cost of $798.9 million and $343.0 million in fiscal 2021 and 2020, respective</w:t>
      </w:r>
      <w:r>
        <w:rPr>
          <w:rFonts w:eastAsia="Times New Roman"/>
          <w:color w:val="000000"/>
          <w:sz w:val="20"/>
          <w:szCs w:val="20"/>
        </w:rPr>
        <w:t>ly.  As of December 25, 2021, prior to the expanded $2.0 billion repurchase authorization, the Company had remaining authorization under the share repurchase program of $345.0 million, exclusive of any fees, commissions, or other expenses. Shares repurchas</w:t>
      </w:r>
      <w:r>
        <w:rPr>
          <w:rFonts w:eastAsia="Times New Roman"/>
          <w:color w:val="000000"/>
          <w:sz w:val="20"/>
          <w:szCs w:val="20"/>
        </w:rPr>
        <w:t>ed in fiscal 2020 were impacted by the temporary suspension of our share repurchase program from March 12, 2020 until November 5, 2020, in order to strengthen our liquidity and preserve cash while navigating the COVID-19 pandemic. Our projected share repur</w:t>
      </w:r>
      <w:r>
        <w:rPr>
          <w:rFonts w:eastAsia="Times New Roman"/>
          <w:color w:val="000000"/>
          <w:sz w:val="20"/>
          <w:szCs w:val="20"/>
        </w:rPr>
        <w:t xml:space="preserve">chases for fiscal 2022 are currently estimated to be in a range of approximately $700 million to $800 million.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Cash Dividends Paid to Stockholders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paid cash dividends totaling $239.0 million and $174.7 million in fiscal 2021 and 2020, respectively. In fiscal 2021, we declared and paid cash dividends to stockholders of $2.08 per common share outstanding as compared to $1.50 per common share outstan</w:t>
      </w:r>
      <w:r>
        <w:rPr>
          <w:rFonts w:eastAsia="Times New Roman"/>
          <w:color w:val="000000"/>
          <w:sz w:val="20"/>
          <w:szCs w:val="20"/>
        </w:rPr>
        <w:t>ding in fiscal 2020. These payments reflect an increase in the quarterly dividend in the first quarter of fiscal 2021 to $0.52 per share from $0.40 per share and an increase in the quarterly dividend in the third quarter of fiscal 2020 from $0.35 per share</w:t>
      </w:r>
      <w:r>
        <w:rPr>
          <w:rFonts w:eastAsia="Times New Roman"/>
          <w:color w:val="000000"/>
          <w:sz w:val="20"/>
          <w:szCs w:val="2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January 26, 2022, the Company’s Board of Directors declared a quarterly cash dividend of $0.92 per share of the Company’s outstanding common stock.  The dividend will be paid on March 8, 2022, to stockholders of record as of the close of business o</w:t>
      </w:r>
      <w:r>
        <w:rPr>
          <w:rFonts w:eastAsia="Times New Roman"/>
          <w:color w:val="000000"/>
          <w:sz w:val="20"/>
          <w:szCs w:val="20"/>
        </w:rPr>
        <w:t>n February 21, 2022.</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amount of future dividends will be determined by the Company’s Board of Directors in i</w:t>
      </w:r>
      <w:r>
        <w:rPr>
          <w:rFonts w:eastAsia="Times New Roman"/>
          <w:color w:val="000000"/>
          <w:sz w:val="20"/>
          <w:szCs w:val="20"/>
        </w:rPr>
        <w:t>ts sole discretion and will depend upon the earnings, financial condition, and capital needs of the Company, along with any other factors which the Company’s Board of Directors deem relevant.</w:t>
      </w:r>
    </w:p>
    <w:p w:rsidR="00000000" w:rsidRDefault="001F39D7">
      <w:pPr>
        <w:divId w:val="666134317"/>
        <w:rPr>
          <w:rFonts w:eastAsia="Times New Roman"/>
        </w:rPr>
      </w:pPr>
    </w:p>
    <w:p w:rsidR="00000000" w:rsidRDefault="001F39D7">
      <w:pPr>
        <w:jc w:val="both"/>
        <w:rPr>
          <w:rFonts w:eastAsia="Times New Roman"/>
        </w:rPr>
      </w:pPr>
      <w:r>
        <w:rPr>
          <w:rFonts w:eastAsia="Times New Roman"/>
          <w:b/>
          <w:bCs/>
          <w:color w:val="000000"/>
          <w:sz w:val="20"/>
          <w:szCs w:val="20"/>
        </w:rPr>
        <w:t>New Accounting Pronouncements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Refer</w:t>
      </w:r>
      <w:r>
        <w:rPr>
          <w:rFonts w:eastAsia="Times New Roman"/>
          <w:color w:val="000000"/>
          <w:sz w:val="20"/>
          <w:szCs w:val="20"/>
          <w:shd w:val="clear" w:color="auto" w:fill="FFFFFF"/>
        </w:rPr>
        <w:t xml:space="preserve"> to Note 1 to the </w:t>
      </w:r>
      <w:r>
        <w:rPr>
          <w:rFonts w:eastAsia="Times New Roman"/>
          <w:color w:val="000000"/>
          <w:sz w:val="20"/>
          <w:szCs w:val="20"/>
        </w:rPr>
        <w:t>Consoli</w:t>
      </w:r>
      <w:r>
        <w:rPr>
          <w:rFonts w:eastAsia="Times New Roman"/>
          <w:color w:val="000000"/>
          <w:sz w:val="20"/>
          <w:szCs w:val="20"/>
        </w:rPr>
        <w:t>dated Financial Statements for recently adopted accounting pronouncements and recently issued pronouncements not yet adopted as of December 25, 2021.</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7A</w:t>
      </w:r>
      <w:r>
        <w:rPr>
          <w:rFonts w:eastAsia="Times New Roman"/>
          <w:b/>
          <w:bCs/>
          <w:color w:val="000000"/>
          <w:sz w:val="20"/>
          <w:szCs w:val="20"/>
        </w:rPr>
        <w:t>.     </w:t>
      </w:r>
      <w:r>
        <w:rPr>
          <w:rFonts w:eastAsia="Times New Roman"/>
          <w:b/>
          <w:bCs/>
          <w:color w:val="000000"/>
          <w:sz w:val="20"/>
          <w:szCs w:val="20"/>
          <w:u w:val="single"/>
        </w:rPr>
        <w:t>Quantitative and Qualitative Disclosures About Market Risk</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Interest Rate Risk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are exposed to interest rate changes, primarily as a result of borrowings under our Senior Credit Facility (as discussed in Note 4 to the Consolidated Financial Statements), which bear interest based on variable rates.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 1% change in interest rates on</w:t>
      </w:r>
      <w:r>
        <w:rPr>
          <w:rFonts w:eastAsia="Times New Roman"/>
          <w:color w:val="000000"/>
          <w:sz w:val="20"/>
          <w:szCs w:val="20"/>
        </w:rPr>
        <w:t xml:space="preserve"> our variable rate debt in excess of that amount covered by the interest rate swaps would have affected interest expense by approximately $2.0 million, $2.4 million, and $1.9 million in fiscal 2021, 2020, and 2019, respectively. Based on the amount of outs</w:t>
      </w:r>
      <w:r>
        <w:rPr>
          <w:rFonts w:eastAsia="Times New Roman"/>
          <w:color w:val="000000"/>
          <w:sz w:val="20"/>
          <w:szCs w:val="20"/>
        </w:rPr>
        <w:t>tanding variable rate debt as of December 25, 2021, excluding those borrowings for which we have interest rate swaps, a 1% change in interest rates would not result in any material increase in our interest expense on a prospective basis.</w:t>
      </w:r>
    </w:p>
    <w:p w:rsidR="00000000" w:rsidRDefault="001F39D7">
      <w:pPr>
        <w:jc w:val="center"/>
        <w:divId w:val="1589804497"/>
        <w:rPr>
          <w:rFonts w:eastAsia="Times New Roman"/>
        </w:rPr>
      </w:pPr>
      <w:r>
        <w:rPr>
          <w:rFonts w:eastAsia="Times New Roman"/>
          <w:color w:val="000000"/>
          <w:sz w:val="20"/>
          <w:szCs w:val="20"/>
        </w:rPr>
        <w:t>42</w:t>
      </w:r>
    </w:p>
    <w:p w:rsidR="00000000" w:rsidRDefault="001F39D7">
      <w:pPr>
        <w:rPr>
          <w:rFonts w:eastAsia="Times New Roman"/>
        </w:rPr>
      </w:pPr>
      <w:r>
        <w:rPr>
          <w:rFonts w:eastAsia="Times New Roman"/>
        </w:rPr>
        <w:pict>
          <v:rect id="_x0000_i1071" style="width:0;height:1.5pt" o:hralign="center" o:hrstd="t" o:hr="t" fillcolor="#a0a0a0" stroked="f"/>
        </w:pict>
      </w:r>
    </w:p>
    <w:p w:rsidR="00000000" w:rsidRDefault="001F39D7">
      <w:pPr>
        <w:divId w:val="118451609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Purchase Price Volatility</w:t>
      </w:r>
    </w:p>
    <w:p w:rsidR="00000000" w:rsidRDefault="001F39D7">
      <w:pPr>
        <w:divId w:val="1329409481"/>
        <w:rPr>
          <w:rFonts w:eastAsia="Times New Roman"/>
        </w:rPr>
      </w:pPr>
    </w:p>
    <w:p w:rsidR="00000000" w:rsidRDefault="001F39D7">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operations ar</w:t>
      </w:r>
      <w:r>
        <w:rPr>
          <w:rFonts w:eastAsia="Times New Roman"/>
          <w:color w:val="000000"/>
          <w:sz w:val="20"/>
          <w:szCs w:val="20"/>
        </w:rPr>
        <w:t>e affected by both.  We are subject to market risk with respect to the pricing of certain products and services, which include, among other items, grain, corn, steel, petroleum, cotton, and other commodities, as well as duties, tariffs, diesel fuel, and tr</w:t>
      </w:r>
      <w:r>
        <w:rPr>
          <w:rFonts w:eastAsia="Times New Roman"/>
          <w:color w:val="000000"/>
          <w:sz w:val="20"/>
          <w:szCs w:val="20"/>
        </w:rPr>
        <w:t>ansportation services.  Therefore, we may experience both inflationary and deflationary pressure on product cost, which may impact consumer demand and, as a result, sales and gross margin.  Our strategy is to reduce or mitigate the effects of purchase pric</w:t>
      </w:r>
      <w:r>
        <w:rPr>
          <w:rFonts w:eastAsia="Times New Roman"/>
          <w:color w:val="000000"/>
          <w:sz w:val="20"/>
          <w:szCs w:val="20"/>
        </w:rPr>
        <w:t>e volatility, principally by taking advantage of vendor incentive programs, economies of scale from increased volume of purchases, adjusting retail prices, and selectively buying from the most competitive vendors without sacrificing quality.</w:t>
      </w:r>
    </w:p>
    <w:p w:rsidR="00000000" w:rsidRDefault="001F39D7">
      <w:pPr>
        <w:jc w:val="both"/>
        <w:rPr>
          <w:rFonts w:eastAsia="Times New Roman"/>
        </w:rPr>
      </w:pPr>
    </w:p>
    <w:p w:rsidR="00000000" w:rsidRDefault="001F39D7">
      <w:pPr>
        <w:jc w:val="center"/>
        <w:divId w:val="113985635"/>
        <w:rPr>
          <w:rFonts w:eastAsia="Times New Roman"/>
        </w:rPr>
      </w:pPr>
      <w:r>
        <w:rPr>
          <w:rFonts w:eastAsia="Times New Roman"/>
          <w:color w:val="000000"/>
          <w:sz w:val="20"/>
          <w:szCs w:val="20"/>
        </w:rPr>
        <w:t>43</w:t>
      </w:r>
    </w:p>
    <w:p w:rsidR="00000000" w:rsidRDefault="001F39D7">
      <w:pPr>
        <w:rPr>
          <w:rFonts w:eastAsia="Times New Roman"/>
        </w:rPr>
      </w:pPr>
      <w:r>
        <w:rPr>
          <w:rFonts w:eastAsia="Times New Roman"/>
        </w:rPr>
        <w:pict>
          <v:rect id="_x0000_i1072" style="width:0;height:1.5pt" o:hralign="center" o:hrstd="t" o:hr="t" fillcolor="#a0a0a0" stroked="f"/>
        </w:pict>
      </w:r>
    </w:p>
    <w:p w:rsidR="00000000" w:rsidRDefault="001F39D7">
      <w:pPr>
        <w:divId w:val="1266763304"/>
        <w:rPr>
          <w:rFonts w:eastAsia="Times New Roman"/>
        </w:rPr>
      </w:pPr>
      <w:hyperlink w:anchor="ia0680a7a640346e7afc1f53a5745d231_7" w:history="1">
        <w:r>
          <w:rPr>
            <w:rStyle w:val="a3"/>
            <w:rFonts w:eastAsia="Times New Roman"/>
            <w:sz w:val="18"/>
            <w:szCs w:val="18"/>
          </w:rPr>
          <w:t>Index</w:t>
        </w:r>
      </w:hyperlink>
    </w:p>
    <w:p w:rsidR="00000000" w:rsidRDefault="001F39D7">
      <w:pPr>
        <w:ind w:hanging="1440"/>
        <w:divId w:val="1707945843"/>
        <w:rPr>
          <w:rFonts w:eastAsia="Times New Roman"/>
        </w:rPr>
      </w:pPr>
      <w:r>
        <w:rPr>
          <w:rFonts w:eastAsia="Times New Roman"/>
          <w:b/>
          <w:bCs/>
          <w:color w:val="000000"/>
          <w:sz w:val="20"/>
          <w:szCs w:val="20"/>
          <w:u w:val="single"/>
        </w:rPr>
        <w:t>Item 8</w:t>
      </w:r>
      <w:r>
        <w:rPr>
          <w:rFonts w:eastAsia="Times New Roman"/>
          <w:b/>
          <w:bCs/>
          <w:color w:val="000000"/>
          <w:sz w:val="20"/>
          <w:szCs w:val="20"/>
        </w:rPr>
        <w:t>.    </w:t>
      </w:r>
      <w:r>
        <w:rPr>
          <w:rFonts w:eastAsia="Times New Roman"/>
          <w:b/>
          <w:bCs/>
          <w:color w:val="000000"/>
          <w:sz w:val="20"/>
          <w:szCs w:val="20"/>
          <w:u w:val="single"/>
        </w:rPr>
        <w:t>Financial Statements and Supplementary Data</w:t>
      </w:r>
    </w:p>
    <w:p w:rsidR="00000000" w:rsidRDefault="001F39D7">
      <w:pPr>
        <w:divId w:val="1892112958"/>
        <w:rPr>
          <w:rFonts w:eastAsia="Times New Roman"/>
        </w:rPr>
      </w:pPr>
    </w:p>
    <w:p w:rsidR="00000000" w:rsidRDefault="001F39D7">
      <w:pPr>
        <w:jc w:val="center"/>
        <w:rPr>
          <w:rFonts w:eastAsia="Times New Roman"/>
        </w:rPr>
      </w:pPr>
      <w:r>
        <w:rPr>
          <w:rFonts w:eastAsia="Times New Roman"/>
          <w:b/>
          <w:bCs/>
          <w:color w:val="000000"/>
          <w:sz w:val="20"/>
          <w:szCs w:val="20"/>
        </w:rPr>
        <w:t>INDEX</w:t>
      </w:r>
    </w:p>
    <w:p w:rsidR="00000000" w:rsidRDefault="001F39D7">
      <w:pPr>
        <w:divId w:val="525680942"/>
        <w:rPr>
          <w:rFonts w:eastAsia="Times New Roman"/>
        </w:rPr>
      </w:pPr>
    </w:p>
    <w:p w:rsidR="00000000" w:rsidRDefault="001F39D7">
      <w:pPr>
        <w:jc w:val="center"/>
        <w:rPr>
          <w:rFonts w:eastAsia="Times New Roman"/>
        </w:rPr>
      </w:pPr>
      <w:r>
        <w:rPr>
          <w:rFonts w:eastAsia="Times New Roman"/>
          <w:b/>
          <w:bCs/>
          <w:color w:val="000000"/>
          <w:sz w:val="20"/>
          <w:szCs w:val="20"/>
        </w:rPr>
        <w:t>TRACTOR SUPPLY COMPANY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473"/>
        <w:gridCol w:w="37"/>
        <w:gridCol w:w="69"/>
        <w:gridCol w:w="622"/>
        <w:gridCol w:w="36"/>
      </w:tblGrid>
      <w:tr w:rsidR="00000000">
        <w:trPr>
          <w:jc w:val="center"/>
        </w:trPr>
        <w:tc>
          <w:tcPr>
            <w:tcW w:w="50" w:type="pct"/>
            <w:vAlign w:val="center"/>
            <w:hideMark/>
          </w:tcPr>
          <w:p w:rsidR="00000000" w:rsidRDefault="001F39D7">
            <w:pPr>
              <w:jc w:val="center"/>
              <w:rPr>
                <w:rFonts w:eastAsia="Times New Roman"/>
              </w:rPr>
            </w:pPr>
          </w:p>
        </w:tc>
        <w:tc>
          <w:tcPr>
            <w:tcW w:w="450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38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 </w:t>
            </w:r>
            <w:r>
              <w:rPr>
                <w:rFonts w:eastAsia="Times New Roman"/>
                <w:b/>
                <w:bCs/>
                <w:color w:val="000000"/>
                <w:sz w:val="20"/>
                <w:szCs w:val="20"/>
                <w:u w:val="single"/>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202790869"/>
              <w:rPr>
                <w:rFonts w:eastAsia="Times New Roman"/>
              </w:rPr>
            </w:pPr>
            <w:hyperlink w:anchor="ia0680a7a640346e7afc1f53a5745d231_76" w:history="1">
              <w:r>
                <w:rPr>
                  <w:rStyle w:val="a3"/>
                  <w:rFonts w:eastAsia="Times New Roman"/>
                  <w:sz w:val="20"/>
                  <w:szCs w:val="20"/>
                </w:rPr>
                <w:t>Management's Report on Internal Control over Financial Reporting</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76" w:history="1">
              <w:r>
                <w:rPr>
                  <w:rStyle w:val="a3"/>
                  <w:rFonts w:eastAsia="Times New Roman"/>
                  <w:sz w:val="20"/>
                  <w:szCs w:val="20"/>
                </w:rPr>
                <w:t>45</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690566149"/>
              <w:rPr>
                <w:rFonts w:eastAsia="Times New Roman"/>
              </w:rPr>
            </w:pPr>
            <w:hyperlink w:anchor="ia0680a7a640346e7afc1f53a5745d231_79" w:history="1">
              <w:r>
                <w:rPr>
                  <w:rStyle w:val="a3"/>
                  <w:rFonts w:eastAsia="Times New Roman"/>
                  <w:color w:val="3051F2"/>
                  <w:sz w:val="20"/>
                  <w:szCs w:val="20"/>
                </w:rPr>
                <w:t xml:space="preserve">Reports of </w:t>
              </w:r>
            </w:hyperlink>
            <w:r>
              <w:rPr>
                <w:rFonts w:eastAsia="Times New Roman"/>
                <w:color w:val="3051F2"/>
                <w:sz w:val="20"/>
                <w:szCs w:val="20"/>
                <w:u w:val="single"/>
              </w:rPr>
              <w:t>Ernst &amp; Young LLP</w:t>
            </w:r>
            <w:hyperlink w:anchor="ia0680a7a640346e7afc1f53a5745d231_79" w:history="1">
              <w:r>
                <w:rPr>
                  <w:rStyle w:val="a3"/>
                  <w:rFonts w:eastAsia="Times New Roman"/>
                  <w:color w:val="3051F2"/>
                  <w:sz w:val="20"/>
                  <w:szCs w:val="20"/>
                </w:rPr>
                <w:t xml:space="preserve">, </w:t>
              </w:r>
            </w:hyperlink>
            <w:hyperlink w:anchor="ia0680a7a640346e7afc1f53a5745d231_79" w:history="1">
              <w:r>
                <w:rPr>
                  <w:rStyle w:val="a3"/>
                  <w:rFonts w:eastAsia="Times New Roman"/>
                  <w:color w:val="3051F2"/>
                  <w:sz w:val="20"/>
                  <w:szCs w:val="20"/>
                </w:rPr>
                <w:t>Independent Registered Public Accounting Firm (PC</w:t>
              </w:r>
              <w:r>
                <w:rPr>
                  <w:rStyle w:val="a3"/>
                  <w:rFonts w:eastAsia="Times New Roman"/>
                  <w:color w:val="3051F2"/>
                  <w:sz w:val="20"/>
                  <w:szCs w:val="20"/>
                </w:rPr>
                <w:t xml:space="preserve">AOB ID: </w:t>
              </w:r>
            </w:hyperlink>
            <w:r>
              <w:rPr>
                <w:rFonts w:eastAsia="Times New Roman"/>
                <w:color w:val="3051F2"/>
                <w:sz w:val="20"/>
                <w:szCs w:val="20"/>
                <w:u w:val="single"/>
              </w:rPr>
              <w:t>42</w:t>
            </w:r>
            <w:hyperlink w:anchor="ia0680a7a640346e7afc1f53a5745d231_79" w:history="1">
              <w:r>
                <w:rPr>
                  <w:rStyle w:val="a3"/>
                  <w:rFonts w:eastAsia="Times New Roman"/>
                  <w:color w:val="3051F2"/>
                  <w:sz w:val="20"/>
                  <w:szCs w:val="20"/>
                </w:rPr>
                <w:t>)</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79" w:history="1">
              <w:r>
                <w:rPr>
                  <w:rStyle w:val="a3"/>
                  <w:rFonts w:eastAsia="Times New Roman"/>
                  <w:sz w:val="20"/>
                  <w:szCs w:val="20"/>
                </w:rPr>
                <w:t>46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1176923265"/>
              <w:rPr>
                <w:rFonts w:eastAsia="Times New Roman"/>
              </w:rPr>
            </w:pPr>
            <w:hyperlink w:anchor="ia0680a7a640346e7afc1f53a5745d231_85" w:history="1">
              <w:r>
                <w:rPr>
                  <w:rStyle w:val="a3"/>
                  <w:rFonts w:eastAsia="Times New Roman"/>
                  <w:sz w:val="20"/>
                  <w:szCs w:val="20"/>
                </w:rPr>
                <w:t>Consolidated Statements of Income for the fiscal years ended December 2</w:t>
              </w:r>
            </w:hyperlink>
            <w:hyperlink w:anchor="ia0680a7a640346e7afc1f53a5745d231_85" w:history="1">
              <w:r>
                <w:rPr>
                  <w:rStyle w:val="a3"/>
                  <w:rFonts w:eastAsia="Times New Roman"/>
                  <w:sz w:val="20"/>
                  <w:szCs w:val="20"/>
                </w:rPr>
                <w:t>5</w:t>
              </w:r>
            </w:hyperlink>
            <w:hyperlink w:anchor="ia0680a7a640346e7afc1f53a5745d231_85" w:history="1">
              <w:r>
                <w:rPr>
                  <w:rStyle w:val="a3"/>
                  <w:rFonts w:eastAsia="Times New Roman"/>
                  <w:sz w:val="20"/>
                  <w:szCs w:val="20"/>
                </w:rPr>
                <w:t>, 202</w:t>
              </w:r>
            </w:hyperlink>
            <w:hyperlink w:anchor="ia0680a7a640346e7afc1f53a5745d231_85" w:history="1">
              <w:r>
                <w:rPr>
                  <w:rStyle w:val="a3"/>
                  <w:rFonts w:eastAsia="Times New Roman"/>
                  <w:sz w:val="20"/>
                  <w:szCs w:val="20"/>
                </w:rPr>
                <w:t>1</w:t>
              </w:r>
            </w:hyperlink>
            <w:hyperlink w:anchor="ia0680a7a640346e7afc1f53a5745d231_85" w:history="1">
              <w:r>
                <w:rPr>
                  <w:rStyle w:val="a3"/>
                  <w:rFonts w:eastAsia="Times New Roman"/>
                  <w:sz w:val="20"/>
                  <w:szCs w:val="20"/>
                </w:rPr>
                <w:t xml:space="preserve">, </w:t>
              </w:r>
            </w:hyperlink>
            <w:hyperlink w:anchor="ia0680a7a640346e7afc1f53a5745d231_85" w:history="1">
              <w:r>
                <w:rPr>
                  <w:rStyle w:val="a3"/>
                  <w:rFonts w:eastAsia="Times New Roman"/>
                  <w:sz w:val="20"/>
                  <w:szCs w:val="20"/>
                </w:rPr>
                <w:t>December 26, 2020</w:t>
              </w:r>
            </w:hyperlink>
            <w:hyperlink w:anchor="ia0680a7a640346e7afc1f53a5745d231_85" w:history="1">
              <w:r>
                <w:rPr>
                  <w:rStyle w:val="a3"/>
                  <w:rFonts w:eastAsia="Times New Roman"/>
                  <w:sz w:val="20"/>
                  <w:szCs w:val="20"/>
                </w:rPr>
                <w:t xml:space="preserve">, and </w:t>
              </w:r>
            </w:hyperlink>
            <w:hyperlink w:anchor="ia0680a7a640346e7afc1f53a5745d231_85" w:history="1">
              <w:r>
                <w:rPr>
                  <w:rStyle w:val="a3"/>
                  <w:rFonts w:eastAsia="Times New Roman"/>
                  <w:sz w:val="20"/>
                  <w:szCs w:val="20"/>
                </w:rPr>
                <w:t>December 28, 2019</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85" w:history="1">
              <w:r>
                <w:rPr>
                  <w:rStyle w:val="a3"/>
                  <w:rFonts w:eastAsia="Times New Roman"/>
                  <w:sz w:val="20"/>
                  <w:szCs w:val="20"/>
                </w:rPr>
                <w:t>49</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655572438"/>
              <w:rPr>
                <w:rFonts w:eastAsia="Times New Roman"/>
              </w:rPr>
            </w:pPr>
            <w:hyperlink w:anchor="ia0680a7a640346e7afc1f53a5745d231_88" w:history="1">
              <w:r>
                <w:rPr>
                  <w:rStyle w:val="a3"/>
                  <w:rFonts w:eastAsia="Times New Roman"/>
                  <w:sz w:val="20"/>
                  <w:szCs w:val="20"/>
                </w:rPr>
                <w:t>Consolidated Statements of Comprehensive Income for the fiscal years ended December 2</w:t>
              </w:r>
            </w:hyperlink>
            <w:hyperlink w:anchor="ia0680a7a640346e7afc1f53a5745d231_88" w:history="1">
              <w:r>
                <w:rPr>
                  <w:rStyle w:val="a3"/>
                  <w:rFonts w:eastAsia="Times New Roman"/>
                  <w:sz w:val="20"/>
                  <w:szCs w:val="20"/>
                </w:rPr>
                <w:t>5</w:t>
              </w:r>
            </w:hyperlink>
            <w:hyperlink w:anchor="ia0680a7a640346e7afc1f53a5745d231_88" w:history="1">
              <w:r>
                <w:rPr>
                  <w:rStyle w:val="a3"/>
                  <w:rFonts w:eastAsia="Times New Roman"/>
                  <w:sz w:val="20"/>
                  <w:szCs w:val="20"/>
                </w:rPr>
                <w:t>, 202</w:t>
              </w:r>
            </w:hyperlink>
            <w:hyperlink w:anchor="ia0680a7a640346e7afc1f53a5745d231_88" w:history="1">
              <w:r>
                <w:rPr>
                  <w:rStyle w:val="a3"/>
                  <w:rFonts w:eastAsia="Times New Roman"/>
                  <w:sz w:val="20"/>
                  <w:szCs w:val="20"/>
                </w:rPr>
                <w:t>1</w:t>
              </w:r>
            </w:hyperlink>
            <w:hyperlink w:anchor="ia0680a7a640346e7afc1f53a5745d231_88" w:history="1">
              <w:r>
                <w:rPr>
                  <w:rStyle w:val="a3"/>
                  <w:rFonts w:eastAsia="Times New Roman"/>
                  <w:sz w:val="20"/>
                  <w:szCs w:val="20"/>
                </w:rPr>
                <w:t>, December 2</w:t>
              </w:r>
            </w:hyperlink>
            <w:hyperlink w:anchor="ia0680a7a640346e7afc1f53a5745d231_88" w:history="1">
              <w:r>
                <w:rPr>
                  <w:rStyle w:val="a3"/>
                  <w:rFonts w:eastAsia="Times New Roman"/>
                  <w:sz w:val="20"/>
                  <w:szCs w:val="20"/>
                </w:rPr>
                <w:t>6</w:t>
              </w:r>
            </w:hyperlink>
            <w:hyperlink w:anchor="ia0680a7a640346e7afc1f53a5745d231_88" w:history="1">
              <w:r>
                <w:rPr>
                  <w:rStyle w:val="a3"/>
                  <w:rFonts w:eastAsia="Times New Roman"/>
                  <w:sz w:val="20"/>
                  <w:szCs w:val="20"/>
                </w:rPr>
                <w:t>, 20</w:t>
              </w:r>
            </w:hyperlink>
            <w:hyperlink w:anchor="ia0680a7a640346e7afc1f53a5745d231_88" w:history="1">
              <w:r>
                <w:rPr>
                  <w:rStyle w:val="a3"/>
                  <w:rFonts w:eastAsia="Times New Roman"/>
                  <w:sz w:val="20"/>
                  <w:szCs w:val="20"/>
                </w:rPr>
                <w:t>20</w:t>
              </w:r>
            </w:hyperlink>
            <w:hyperlink w:anchor="ia0680a7a640346e7afc1f53a5745d231_88" w:history="1">
              <w:r>
                <w:rPr>
                  <w:rStyle w:val="a3"/>
                  <w:rFonts w:eastAsia="Times New Roman"/>
                  <w:sz w:val="20"/>
                  <w:szCs w:val="20"/>
                </w:rPr>
                <w:t>, and December 2</w:t>
              </w:r>
            </w:hyperlink>
            <w:hyperlink w:anchor="ia0680a7a640346e7afc1f53a5745d231_88" w:history="1">
              <w:r>
                <w:rPr>
                  <w:rStyle w:val="a3"/>
                  <w:rFonts w:eastAsia="Times New Roman"/>
                  <w:sz w:val="20"/>
                  <w:szCs w:val="20"/>
                </w:rPr>
                <w:t>8</w:t>
              </w:r>
            </w:hyperlink>
            <w:hyperlink w:anchor="ia0680a7a640346e7afc1f53a5745d231_88" w:history="1">
              <w:r>
                <w:rPr>
                  <w:rStyle w:val="a3"/>
                  <w:rFonts w:eastAsia="Times New Roman"/>
                  <w:sz w:val="20"/>
                  <w:szCs w:val="20"/>
                </w:rPr>
                <w:t>, 201</w:t>
              </w:r>
            </w:hyperlink>
            <w:hyperlink w:anchor="ia0680a7a640346e7afc1f53a5745d231_88" w:history="1">
              <w:r>
                <w:rPr>
                  <w:rStyle w:val="a3"/>
                  <w:rFonts w:eastAsia="Times New Roman"/>
                  <w:sz w:val="20"/>
                  <w:szCs w:val="20"/>
                </w:rPr>
                <w:t>9</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88" w:history="1">
              <w:r>
                <w:rPr>
                  <w:rStyle w:val="a3"/>
                  <w:rFonts w:eastAsia="Times New Roman"/>
                  <w:sz w:val="20"/>
                  <w:szCs w:val="20"/>
                </w:rPr>
                <w:t>50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1588540397"/>
              <w:rPr>
                <w:rFonts w:eastAsia="Times New Roman"/>
              </w:rPr>
            </w:pPr>
            <w:hyperlink w:anchor="ia0680a7a640346e7afc1f53a5745d231_91" w:history="1">
              <w:r>
                <w:rPr>
                  <w:rStyle w:val="a3"/>
                  <w:rFonts w:eastAsia="Times New Roman"/>
                  <w:sz w:val="20"/>
                  <w:szCs w:val="20"/>
                </w:rPr>
                <w:t>Consolidated Balance Sheets as of December 2</w:t>
              </w:r>
            </w:hyperlink>
            <w:hyperlink w:anchor="ia0680a7a640346e7afc1f53a5745d231_91" w:history="1">
              <w:r>
                <w:rPr>
                  <w:rStyle w:val="a3"/>
                  <w:rFonts w:eastAsia="Times New Roman"/>
                  <w:sz w:val="20"/>
                  <w:szCs w:val="20"/>
                </w:rPr>
                <w:t>5</w:t>
              </w:r>
            </w:hyperlink>
            <w:hyperlink w:anchor="ia0680a7a640346e7afc1f53a5745d231_91" w:history="1">
              <w:r>
                <w:rPr>
                  <w:rStyle w:val="a3"/>
                  <w:rFonts w:eastAsia="Times New Roman"/>
                  <w:sz w:val="20"/>
                  <w:szCs w:val="20"/>
                </w:rPr>
                <w:t>, 202</w:t>
              </w:r>
            </w:hyperlink>
            <w:hyperlink w:anchor="ia0680a7a640346e7afc1f53a5745d231_91" w:history="1">
              <w:r>
                <w:rPr>
                  <w:rStyle w:val="a3"/>
                  <w:rFonts w:eastAsia="Times New Roman"/>
                  <w:sz w:val="20"/>
                  <w:szCs w:val="20"/>
                </w:rPr>
                <w:t>1</w:t>
              </w:r>
            </w:hyperlink>
            <w:hyperlink w:anchor="ia0680a7a640346e7afc1f53a5745d231_91" w:history="1">
              <w:r>
                <w:rPr>
                  <w:rStyle w:val="a3"/>
                  <w:rFonts w:eastAsia="Times New Roman"/>
                  <w:sz w:val="20"/>
                  <w:szCs w:val="20"/>
                </w:rPr>
                <w:t xml:space="preserve"> and December</w:t>
              </w:r>
              <w:r>
                <w:rPr>
                  <w:rStyle w:val="a3"/>
                  <w:rFonts w:eastAsia="Times New Roman"/>
                  <w:sz w:val="20"/>
                  <w:szCs w:val="20"/>
                </w:rPr>
                <w:t xml:space="preserve"> 2</w:t>
              </w:r>
            </w:hyperlink>
            <w:hyperlink w:anchor="ia0680a7a640346e7afc1f53a5745d231_91" w:history="1">
              <w:r>
                <w:rPr>
                  <w:rStyle w:val="a3"/>
                  <w:rFonts w:eastAsia="Times New Roman"/>
                  <w:sz w:val="20"/>
                  <w:szCs w:val="20"/>
                </w:rPr>
                <w:t>6</w:t>
              </w:r>
            </w:hyperlink>
            <w:hyperlink w:anchor="ia0680a7a640346e7afc1f53a5745d231_91" w:history="1">
              <w:r>
                <w:rPr>
                  <w:rStyle w:val="a3"/>
                  <w:rFonts w:eastAsia="Times New Roman"/>
                  <w:sz w:val="20"/>
                  <w:szCs w:val="20"/>
                </w:rPr>
                <w:t>, 20</w:t>
              </w:r>
            </w:hyperlink>
            <w:hyperlink w:anchor="ia0680a7a640346e7afc1f53a5745d231_91" w:history="1">
              <w:r>
                <w:rPr>
                  <w:rStyle w:val="a3"/>
                  <w:rFonts w:eastAsia="Times New Roman"/>
                  <w:sz w:val="20"/>
                  <w:szCs w:val="20"/>
                </w:rPr>
                <w:t>2</w:t>
              </w:r>
            </w:hyperlink>
            <w:hyperlink w:anchor="ia0680a7a640346e7afc1f53a5745d231_91" w:history="1">
              <w:r>
                <w:rPr>
                  <w:rStyle w:val="a3"/>
                  <w:rFonts w:eastAsia="Times New Roman"/>
                  <w:sz w:val="20"/>
                  <w:szCs w:val="20"/>
                </w:rPr>
                <w:t>0</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91" w:history="1">
              <w:r>
                <w:rPr>
                  <w:rStyle w:val="a3"/>
                  <w:rFonts w:eastAsia="Times New Roman"/>
                  <w:sz w:val="20"/>
                  <w:szCs w:val="20"/>
                </w:rPr>
                <w:t>51</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829490755"/>
              <w:rPr>
                <w:rFonts w:eastAsia="Times New Roman"/>
              </w:rPr>
            </w:pPr>
            <w:hyperlink w:anchor="ia0680a7a640346e7afc1f53a5745d231_94" w:history="1">
              <w:r>
                <w:rPr>
                  <w:rStyle w:val="a3"/>
                  <w:rFonts w:eastAsia="Times New Roman"/>
                  <w:sz w:val="20"/>
                  <w:szCs w:val="20"/>
                </w:rPr>
                <w:t>Consolidated Statements of Stockholders’ Equity for the fiscal years ended December 2</w:t>
              </w:r>
            </w:hyperlink>
            <w:hyperlink w:anchor="ia0680a7a640346e7afc1f53a5745d231_94" w:history="1">
              <w:r>
                <w:rPr>
                  <w:rStyle w:val="a3"/>
                  <w:rFonts w:eastAsia="Times New Roman"/>
                  <w:sz w:val="20"/>
                  <w:szCs w:val="20"/>
                </w:rPr>
                <w:t>5</w:t>
              </w:r>
            </w:hyperlink>
            <w:hyperlink w:anchor="ia0680a7a640346e7afc1f53a5745d231_94" w:history="1">
              <w:r>
                <w:rPr>
                  <w:rStyle w:val="a3"/>
                  <w:rFonts w:eastAsia="Times New Roman"/>
                  <w:sz w:val="20"/>
                  <w:szCs w:val="20"/>
                </w:rPr>
                <w:t>, 202</w:t>
              </w:r>
            </w:hyperlink>
            <w:hyperlink w:anchor="ia0680a7a640346e7afc1f53a5745d231_94" w:history="1">
              <w:r>
                <w:rPr>
                  <w:rStyle w:val="a3"/>
                  <w:rFonts w:eastAsia="Times New Roman"/>
                  <w:sz w:val="20"/>
                  <w:szCs w:val="20"/>
                </w:rPr>
                <w:t>1</w:t>
              </w:r>
            </w:hyperlink>
            <w:hyperlink w:anchor="ia0680a7a640346e7afc1f53a5745d231_94" w:history="1">
              <w:r>
                <w:rPr>
                  <w:rStyle w:val="a3"/>
                  <w:rFonts w:eastAsia="Times New Roman"/>
                  <w:sz w:val="20"/>
                  <w:szCs w:val="20"/>
                </w:rPr>
                <w:t>, December 2</w:t>
              </w:r>
            </w:hyperlink>
            <w:hyperlink w:anchor="ia0680a7a640346e7afc1f53a5745d231_94" w:history="1">
              <w:r>
                <w:rPr>
                  <w:rStyle w:val="a3"/>
                  <w:rFonts w:eastAsia="Times New Roman"/>
                  <w:sz w:val="20"/>
                  <w:szCs w:val="20"/>
                </w:rPr>
                <w:t>6</w:t>
              </w:r>
            </w:hyperlink>
            <w:hyperlink w:anchor="ia0680a7a640346e7afc1f53a5745d231_94" w:history="1">
              <w:r>
                <w:rPr>
                  <w:rStyle w:val="a3"/>
                  <w:rFonts w:eastAsia="Times New Roman"/>
                  <w:sz w:val="20"/>
                  <w:szCs w:val="20"/>
                </w:rPr>
                <w:t>, 20</w:t>
              </w:r>
            </w:hyperlink>
            <w:hyperlink w:anchor="ia0680a7a640346e7afc1f53a5745d231_94" w:history="1">
              <w:r>
                <w:rPr>
                  <w:rStyle w:val="a3"/>
                  <w:rFonts w:eastAsia="Times New Roman"/>
                  <w:sz w:val="20"/>
                  <w:szCs w:val="20"/>
                </w:rPr>
                <w:t>20</w:t>
              </w:r>
            </w:hyperlink>
            <w:hyperlink w:anchor="ia0680a7a640346e7afc1f53a5745d231_94" w:history="1">
              <w:r>
                <w:rPr>
                  <w:rStyle w:val="a3"/>
                  <w:rFonts w:eastAsia="Times New Roman"/>
                  <w:sz w:val="20"/>
                  <w:szCs w:val="20"/>
                </w:rPr>
                <w:t>, and December 2</w:t>
              </w:r>
            </w:hyperlink>
            <w:hyperlink w:anchor="ia0680a7a640346e7afc1f53a5745d231_94" w:history="1">
              <w:r>
                <w:rPr>
                  <w:rStyle w:val="a3"/>
                  <w:rFonts w:eastAsia="Times New Roman"/>
                  <w:sz w:val="20"/>
                  <w:szCs w:val="20"/>
                </w:rPr>
                <w:t>8</w:t>
              </w:r>
            </w:hyperlink>
            <w:hyperlink w:anchor="ia0680a7a640346e7afc1f53a5745d231_94" w:history="1">
              <w:r>
                <w:rPr>
                  <w:rStyle w:val="a3"/>
                  <w:rFonts w:eastAsia="Times New Roman"/>
                  <w:sz w:val="20"/>
                  <w:szCs w:val="20"/>
                </w:rPr>
                <w:t>, 201</w:t>
              </w:r>
            </w:hyperlink>
            <w:hyperlink w:anchor="ia0680a7a640346e7afc1f53a5745d231_94" w:history="1">
              <w:r>
                <w:rPr>
                  <w:rStyle w:val="a3"/>
                  <w:rFonts w:eastAsia="Times New Roman"/>
                  <w:sz w:val="20"/>
                  <w:szCs w:val="20"/>
                </w:rPr>
                <w:t>9</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94" w:history="1">
              <w:r>
                <w:rPr>
                  <w:rStyle w:val="a3"/>
                  <w:rFonts w:eastAsia="Times New Roman"/>
                  <w:sz w:val="20"/>
                  <w:szCs w:val="20"/>
                </w:rPr>
                <w:t>52</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1407801531"/>
              <w:rPr>
                <w:rFonts w:eastAsia="Times New Roman"/>
              </w:rPr>
            </w:pPr>
            <w:hyperlink w:anchor="ia0680a7a640346e7afc1f53a5745d231_97" w:history="1">
              <w:r>
                <w:rPr>
                  <w:rStyle w:val="a3"/>
                  <w:rFonts w:eastAsia="Times New Roman"/>
                  <w:sz w:val="20"/>
                  <w:szCs w:val="20"/>
                </w:rPr>
                <w:t>Consolidated Statements of Cash Flows for the fiscal years ended December 2</w:t>
              </w:r>
            </w:hyperlink>
            <w:hyperlink w:anchor="ia0680a7a640346e7afc1f53a5745d231_97" w:history="1">
              <w:r>
                <w:rPr>
                  <w:rStyle w:val="a3"/>
                  <w:rFonts w:eastAsia="Times New Roman"/>
                  <w:sz w:val="20"/>
                  <w:szCs w:val="20"/>
                </w:rPr>
                <w:t>5</w:t>
              </w:r>
            </w:hyperlink>
            <w:hyperlink w:anchor="ia0680a7a640346e7afc1f53a5745d231_97" w:history="1">
              <w:r>
                <w:rPr>
                  <w:rStyle w:val="a3"/>
                  <w:rFonts w:eastAsia="Times New Roman"/>
                  <w:sz w:val="20"/>
                  <w:szCs w:val="20"/>
                </w:rPr>
                <w:t>, 202</w:t>
              </w:r>
            </w:hyperlink>
            <w:hyperlink w:anchor="ia0680a7a640346e7afc1f53a5745d231_97" w:history="1">
              <w:r>
                <w:rPr>
                  <w:rStyle w:val="a3"/>
                  <w:rFonts w:eastAsia="Times New Roman"/>
                  <w:sz w:val="20"/>
                  <w:szCs w:val="20"/>
                </w:rPr>
                <w:t>1</w:t>
              </w:r>
            </w:hyperlink>
            <w:hyperlink w:anchor="ia0680a7a640346e7afc1f53a5745d231_97" w:history="1">
              <w:r>
                <w:rPr>
                  <w:rStyle w:val="a3"/>
                  <w:rFonts w:eastAsia="Times New Roman"/>
                  <w:sz w:val="20"/>
                  <w:szCs w:val="20"/>
                </w:rPr>
                <w:t>, December 2</w:t>
              </w:r>
            </w:hyperlink>
            <w:hyperlink w:anchor="ia0680a7a640346e7afc1f53a5745d231_97" w:history="1">
              <w:r>
                <w:rPr>
                  <w:rStyle w:val="a3"/>
                  <w:rFonts w:eastAsia="Times New Roman"/>
                  <w:sz w:val="20"/>
                  <w:szCs w:val="20"/>
                </w:rPr>
                <w:t>6</w:t>
              </w:r>
            </w:hyperlink>
            <w:hyperlink w:anchor="ia0680a7a640346e7afc1f53a5745d231_97" w:history="1">
              <w:r>
                <w:rPr>
                  <w:rStyle w:val="a3"/>
                  <w:rFonts w:eastAsia="Times New Roman"/>
                  <w:sz w:val="20"/>
                  <w:szCs w:val="20"/>
                </w:rPr>
                <w:t>, 20</w:t>
              </w:r>
            </w:hyperlink>
            <w:hyperlink w:anchor="ia0680a7a640346e7afc1f53a5745d231_97" w:history="1">
              <w:r>
                <w:rPr>
                  <w:rStyle w:val="a3"/>
                  <w:rFonts w:eastAsia="Times New Roman"/>
                  <w:sz w:val="20"/>
                  <w:szCs w:val="20"/>
                </w:rPr>
                <w:t>20</w:t>
              </w:r>
            </w:hyperlink>
            <w:hyperlink w:anchor="ia0680a7a640346e7afc1f53a5745d231_97" w:history="1">
              <w:r>
                <w:rPr>
                  <w:rStyle w:val="a3"/>
                  <w:rFonts w:eastAsia="Times New Roman"/>
                  <w:sz w:val="20"/>
                  <w:szCs w:val="20"/>
                </w:rPr>
                <w:t>, and Decembe</w:t>
              </w:r>
              <w:r>
                <w:rPr>
                  <w:rStyle w:val="a3"/>
                  <w:rFonts w:eastAsia="Times New Roman"/>
                  <w:sz w:val="20"/>
                  <w:szCs w:val="20"/>
                </w:rPr>
                <w:t>r 2</w:t>
              </w:r>
            </w:hyperlink>
            <w:hyperlink w:anchor="ia0680a7a640346e7afc1f53a5745d231_97" w:history="1">
              <w:r>
                <w:rPr>
                  <w:rStyle w:val="a3"/>
                  <w:rFonts w:eastAsia="Times New Roman"/>
                  <w:sz w:val="20"/>
                  <w:szCs w:val="20"/>
                </w:rPr>
                <w:t>8</w:t>
              </w:r>
            </w:hyperlink>
            <w:hyperlink w:anchor="ia0680a7a640346e7afc1f53a5745d231_97" w:history="1">
              <w:r>
                <w:rPr>
                  <w:rStyle w:val="a3"/>
                  <w:rFonts w:eastAsia="Times New Roman"/>
                  <w:sz w:val="20"/>
                  <w:szCs w:val="20"/>
                </w:rPr>
                <w:t>, 201</w:t>
              </w:r>
            </w:hyperlink>
            <w:hyperlink w:anchor="ia0680a7a640346e7afc1f53a5745d231_97" w:history="1">
              <w:r>
                <w:rPr>
                  <w:rStyle w:val="a3"/>
                  <w:rFonts w:eastAsia="Times New Roman"/>
                  <w:sz w:val="20"/>
                  <w:szCs w:val="20"/>
                </w:rPr>
                <w:t>9</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97" w:history="1">
              <w:r>
                <w:rPr>
                  <w:rStyle w:val="a3"/>
                  <w:rFonts w:eastAsia="Times New Roman"/>
                  <w:sz w:val="20"/>
                  <w:szCs w:val="20"/>
                </w:rPr>
                <w:t>53</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divId w:val="547449312"/>
              <w:rPr>
                <w:rFonts w:eastAsia="Times New Roman"/>
              </w:rPr>
            </w:pPr>
            <w:hyperlink w:anchor="ia0680a7a640346e7afc1f53a5745d231_100"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hyperlink w:anchor="ia0680a7a640346e7afc1f53a5745d231_100" w:history="1">
              <w:r>
                <w:rPr>
                  <w:rStyle w:val="a3"/>
                  <w:rFonts w:eastAsia="Times New Roman"/>
                  <w:sz w:val="20"/>
                  <w:szCs w:val="20"/>
                </w:rPr>
                <w:t>54</w:t>
              </w:r>
            </w:hyperlink>
          </w:p>
        </w:tc>
      </w:tr>
    </w:tbl>
    <w:p w:rsidR="00000000" w:rsidRDefault="001F39D7">
      <w:pPr>
        <w:divId w:val="1849440235"/>
        <w:rPr>
          <w:rFonts w:eastAsia="Times New Roman"/>
        </w:rPr>
      </w:pPr>
    </w:p>
    <w:p w:rsidR="00000000" w:rsidRDefault="001F39D7">
      <w:pPr>
        <w:jc w:val="center"/>
        <w:divId w:val="1317996580"/>
        <w:rPr>
          <w:rFonts w:eastAsia="Times New Roman"/>
        </w:rPr>
      </w:pPr>
      <w:r>
        <w:rPr>
          <w:rFonts w:eastAsia="Times New Roman"/>
          <w:color w:val="000000"/>
          <w:sz w:val="20"/>
          <w:szCs w:val="20"/>
        </w:rPr>
        <w:t>44</w:t>
      </w:r>
    </w:p>
    <w:p w:rsidR="00000000" w:rsidRDefault="001F39D7">
      <w:pPr>
        <w:rPr>
          <w:rFonts w:eastAsia="Times New Roman"/>
        </w:rPr>
      </w:pPr>
      <w:r>
        <w:rPr>
          <w:rFonts w:eastAsia="Times New Roman"/>
        </w:rPr>
        <w:pict>
          <v:rect id="_x0000_i1073" style="width:0;height:1.5pt" o:hralign="center" o:hrstd="t" o:hr="t" fillcolor="#a0a0a0" stroked="f"/>
        </w:pict>
      </w:r>
    </w:p>
    <w:p w:rsidR="00000000" w:rsidRDefault="001F39D7">
      <w:pPr>
        <w:divId w:val="1944873520"/>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Management’s Report on Internal Control Over Financial Reporting</w:t>
      </w:r>
    </w:p>
    <w:p w:rsidR="00000000" w:rsidRDefault="001F39D7">
      <w:pPr>
        <w:divId w:val="1581135538"/>
        <w:rPr>
          <w:rFonts w:eastAsia="Times New Roman"/>
        </w:rPr>
      </w:pPr>
    </w:p>
    <w:p w:rsidR="00000000" w:rsidRDefault="001F39D7">
      <w:pPr>
        <w:jc w:val="both"/>
        <w:rPr>
          <w:rFonts w:eastAsia="Times New Roman"/>
        </w:rPr>
      </w:pPr>
      <w:r>
        <w:rPr>
          <w:rFonts w:eastAsia="Times New Roman"/>
          <w:color w:val="000000"/>
          <w:sz w:val="20"/>
          <w:szCs w:val="20"/>
        </w:rPr>
        <w:t>Management is responsible for establishing and maintaining adequate internal control over financial reporting (as defined in Rules 13a-15(f) under the Securities Exchange Act of 1934, as amended).  The Company’s internal control over financial reporting is</w:t>
      </w:r>
      <w:r>
        <w:rPr>
          <w:rFonts w:eastAsia="Times New Roman"/>
          <w:color w:val="000000"/>
          <w:sz w:val="20"/>
          <w:szCs w:val="20"/>
        </w:rPr>
        <w:t xml:space="preserve"> a process designed to provide reasonable assurance regarding the reliability of financial reporting and the preparation of financial statements for external purposes in accordance with generally accepted accounting principles.</w:t>
      </w:r>
    </w:p>
    <w:p w:rsidR="00000000" w:rsidRDefault="001F39D7">
      <w:pPr>
        <w:divId w:val="1884293937"/>
        <w:rPr>
          <w:rFonts w:eastAsia="Times New Roman"/>
        </w:rPr>
      </w:pPr>
    </w:p>
    <w:p w:rsidR="00000000" w:rsidRDefault="001F39D7">
      <w:pPr>
        <w:jc w:val="both"/>
        <w:rPr>
          <w:rFonts w:eastAsia="Times New Roman"/>
        </w:rPr>
      </w:pPr>
      <w:r>
        <w:rPr>
          <w:rFonts w:eastAsia="Times New Roman"/>
          <w:color w:val="000000"/>
          <w:sz w:val="20"/>
          <w:szCs w:val="20"/>
        </w:rPr>
        <w:t>Because of its inherent limitations, internal control over financial reporting may not prevent or detect misstatements.  Therefore, even those systems determined to be effective can provide only reasonable assurance with respect to financial statement prep</w:t>
      </w:r>
      <w:r>
        <w:rPr>
          <w:rFonts w:eastAsia="Times New Roman"/>
          <w:color w:val="000000"/>
          <w:sz w:val="20"/>
          <w:szCs w:val="20"/>
        </w:rPr>
        <w:t>aration and presentation.</w:t>
      </w:r>
    </w:p>
    <w:p w:rsidR="00000000" w:rsidRDefault="001F39D7">
      <w:pPr>
        <w:divId w:val="1890532900"/>
        <w:rPr>
          <w:rFonts w:eastAsia="Times New Roman"/>
        </w:rPr>
      </w:pPr>
    </w:p>
    <w:p w:rsidR="00000000" w:rsidRDefault="001F39D7">
      <w:pPr>
        <w:jc w:val="both"/>
        <w:rPr>
          <w:rFonts w:eastAsia="Times New Roman"/>
        </w:rPr>
      </w:pPr>
      <w:r>
        <w:rPr>
          <w:rFonts w:eastAsia="Times New Roman"/>
          <w:color w:val="000000"/>
          <w:sz w:val="20"/>
          <w:szCs w:val="20"/>
        </w:rPr>
        <w:t>Management assessed the effectiveness of the Company’s internal control over financial reporting as of December 25, 2021.  In making this assessment, management used the criteria established in Internal Control-Integrated Framew</w:t>
      </w:r>
      <w:r>
        <w:rPr>
          <w:rFonts w:eastAsia="Times New Roman"/>
          <w:color w:val="000000"/>
          <w:sz w:val="20"/>
          <w:szCs w:val="20"/>
        </w:rPr>
        <w:t>ork issued by the Committee of Sponsoring Organizations of the Treadway Commission (2013 framework) (the COSO criteria).  Based on this assessment, management believes that, as of December 25, 2021, the Company’s internal control over financial reporting i</w:t>
      </w:r>
      <w:r>
        <w:rPr>
          <w:rFonts w:eastAsia="Times New Roman"/>
          <w:color w:val="000000"/>
          <w:sz w:val="20"/>
          <w:szCs w:val="20"/>
        </w:rPr>
        <w:t>s effective based on those criteria.</w:t>
      </w:r>
    </w:p>
    <w:p w:rsidR="00000000" w:rsidRDefault="001F39D7">
      <w:pPr>
        <w:divId w:val="1991404989"/>
        <w:rPr>
          <w:rFonts w:eastAsia="Times New Roman"/>
        </w:rPr>
      </w:pPr>
    </w:p>
    <w:p w:rsidR="00000000" w:rsidRDefault="001F39D7">
      <w:pPr>
        <w:jc w:val="both"/>
        <w:rPr>
          <w:rFonts w:eastAsia="Times New Roman"/>
        </w:rPr>
      </w:pPr>
      <w:r>
        <w:rPr>
          <w:rFonts w:eastAsia="Times New Roman"/>
          <w:color w:val="000000"/>
          <w:sz w:val="20"/>
          <w:szCs w:val="20"/>
        </w:rPr>
        <w:t xml:space="preserve">Ernst &amp; Young LLP, the independent registered public accounting firm which also audited the Company’s Consolidated Financial Statements, has issued a report on the Company’s internal control over financial reporting, </w:t>
      </w:r>
      <w:r>
        <w:rPr>
          <w:rFonts w:eastAsia="Times New Roman"/>
          <w:color w:val="000000"/>
          <w:sz w:val="20"/>
          <w:szCs w:val="20"/>
        </w:rPr>
        <w:t>which is included herein.</w:t>
      </w:r>
    </w:p>
    <w:p w:rsidR="00000000" w:rsidRDefault="001F39D7">
      <w:pPr>
        <w:divId w:val="206574988"/>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9"/>
        <w:gridCol w:w="3777"/>
        <w:gridCol w:w="36"/>
        <w:gridCol w:w="36"/>
        <w:gridCol w:w="44"/>
        <w:gridCol w:w="36"/>
        <w:gridCol w:w="59"/>
        <w:gridCol w:w="212"/>
        <w:gridCol w:w="36"/>
        <w:gridCol w:w="36"/>
        <w:gridCol w:w="44"/>
        <w:gridCol w:w="36"/>
        <w:gridCol w:w="59"/>
        <w:gridCol w:w="3800"/>
        <w:gridCol w:w="36"/>
      </w:tblGrid>
      <w:tr w:rsidR="00000000">
        <w:trPr>
          <w:divId w:val="206574988"/>
        </w:trPr>
        <w:tc>
          <w:tcPr>
            <w:tcW w:w="50" w:type="pct"/>
            <w:vAlign w:val="center"/>
            <w:hideMark/>
          </w:tcPr>
          <w:p w:rsidR="00000000" w:rsidRDefault="001F39D7">
            <w:pPr>
              <w:rPr>
                <w:rFonts w:eastAsia="Times New Roman"/>
              </w:rPr>
            </w:pPr>
          </w:p>
        </w:tc>
        <w:tc>
          <w:tcPr>
            <w:tcW w:w="22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4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230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206574988"/>
          <w:trHeight w:val="78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206574988"/>
          <w:trHeight w:val="24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206574988"/>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/s/    Harry A. Lawton, III</w:t>
            </w:r>
            <w:r>
              <w:rPr>
                <w:rFonts w:eastAsia="Times New Roman"/>
                <w:color w:val="000000"/>
                <w:sz w:val="14"/>
                <w:szCs w:val="14"/>
              </w:rPr>
              <w:t xml:space="preserve">    </w:t>
            </w: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4"/>
                <w:szCs w:val="14"/>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/s/    Kurt D. Barton</w:t>
            </w:r>
            <w:r>
              <w:rPr>
                <w:rFonts w:eastAsia="Times New Roman"/>
                <w:color w:val="000000"/>
                <w:sz w:val="14"/>
                <w:szCs w:val="14"/>
              </w:rPr>
              <w:t>  </w:t>
            </w:r>
          </w:p>
        </w:tc>
      </w:tr>
      <w:tr w:rsidR="00000000">
        <w:trPr>
          <w:divId w:val="2065749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1F39D7">
            <w:pPr>
              <w:spacing w:after="100"/>
              <w:jc w:val="center"/>
              <w:rPr>
                <w:rFonts w:eastAsia="Times New Roman"/>
              </w:rPr>
            </w:pPr>
            <w:r>
              <w:rPr>
                <w:rFonts w:eastAsia="Times New Roman"/>
                <w:b/>
                <w:bCs/>
                <w:color w:val="000000"/>
                <w:sz w:val="18"/>
                <w:szCs w:val="18"/>
              </w:rPr>
              <w:t>Harry A. Lawton, III</w:t>
            </w:r>
          </w:p>
          <w:p w:rsidR="00000000" w:rsidRDefault="001F39D7">
            <w:pPr>
              <w:spacing w:after="100"/>
              <w:jc w:val="center"/>
              <w:rPr>
                <w:rFonts w:eastAsia="Times New Roman"/>
              </w:rPr>
            </w:pPr>
            <w:r>
              <w:rPr>
                <w:rFonts w:eastAsia="Times New Roman"/>
                <w:b/>
                <w:bCs/>
                <w:color w:val="000000"/>
                <w:sz w:val="18"/>
                <w:szCs w:val="18"/>
              </w:rPr>
              <w:t>President and Chief Executive Officer</w:t>
            </w: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Kurt D. Barton</w:t>
            </w:r>
          </w:p>
          <w:p w:rsidR="00000000" w:rsidRDefault="001F39D7">
            <w:pPr>
              <w:spacing w:after="100"/>
              <w:jc w:val="center"/>
              <w:rPr>
                <w:rFonts w:eastAsia="Times New Roman"/>
              </w:rPr>
            </w:pPr>
            <w:r>
              <w:rPr>
                <w:rFonts w:eastAsia="Times New Roman"/>
                <w:b/>
                <w:bCs/>
                <w:color w:val="000000"/>
                <w:sz w:val="18"/>
                <w:szCs w:val="18"/>
              </w:rPr>
              <w:t>Executive Vice President -</w:t>
            </w:r>
          </w:p>
          <w:p w:rsidR="00000000" w:rsidRDefault="001F39D7">
            <w:pPr>
              <w:spacing w:after="100"/>
              <w:jc w:val="center"/>
              <w:divId w:val="614485808"/>
              <w:rPr>
                <w:rFonts w:eastAsia="Times New Roman"/>
              </w:rPr>
            </w:pPr>
            <w:r>
              <w:rPr>
                <w:rFonts w:eastAsia="Times New Roman"/>
                <w:b/>
                <w:bCs/>
                <w:color w:val="000000"/>
                <w:sz w:val="18"/>
                <w:szCs w:val="18"/>
              </w:rPr>
              <w:t>Chief Financial Officer and Treasurer</w:t>
            </w:r>
          </w:p>
        </w:tc>
      </w:tr>
      <w:tr w:rsidR="00000000">
        <w:trPr>
          <w:divId w:val="206574988"/>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February 17, 2022</w:t>
            </w: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February 17, 2022</w:t>
            </w:r>
          </w:p>
        </w:tc>
      </w:tr>
    </w:tbl>
    <w:p w:rsidR="00000000" w:rsidRDefault="001F39D7">
      <w:pPr>
        <w:divId w:val="793715430"/>
        <w:rPr>
          <w:rFonts w:eastAsia="Times New Roman"/>
        </w:rPr>
      </w:pPr>
    </w:p>
    <w:p w:rsidR="00000000" w:rsidRDefault="001F39D7">
      <w:pPr>
        <w:jc w:val="center"/>
        <w:divId w:val="1689061013"/>
        <w:rPr>
          <w:rFonts w:eastAsia="Times New Roman"/>
        </w:rPr>
      </w:pPr>
      <w:r>
        <w:rPr>
          <w:rFonts w:eastAsia="Times New Roman"/>
          <w:color w:val="000000"/>
          <w:sz w:val="20"/>
          <w:szCs w:val="20"/>
        </w:rPr>
        <w:t>45</w:t>
      </w:r>
    </w:p>
    <w:p w:rsidR="00000000" w:rsidRDefault="001F39D7">
      <w:pPr>
        <w:rPr>
          <w:rFonts w:eastAsia="Times New Roman"/>
        </w:rPr>
      </w:pPr>
      <w:r>
        <w:rPr>
          <w:rFonts w:eastAsia="Times New Roman"/>
        </w:rPr>
        <w:pict>
          <v:rect id="_x0000_i1074" style="width:0;height:1.5pt" o:hralign="center" o:hrstd="t" o:hr="t" fillcolor="#a0a0a0" stroked="f"/>
        </w:pict>
      </w:r>
    </w:p>
    <w:p w:rsidR="00000000" w:rsidRDefault="001F39D7">
      <w:pPr>
        <w:divId w:val="786122390"/>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Report of Independent Registered Public Accounting Firm</w:t>
      </w:r>
    </w:p>
    <w:p w:rsidR="00000000" w:rsidRDefault="001F39D7">
      <w:pPr>
        <w:divId w:val="1072702330"/>
        <w:rPr>
          <w:rFonts w:eastAsia="Times New Roman"/>
        </w:rPr>
      </w:pPr>
    </w:p>
    <w:p w:rsidR="00000000" w:rsidRDefault="001F39D7">
      <w:pPr>
        <w:divId w:val="91164976"/>
        <w:rPr>
          <w:rFonts w:eastAsia="Times New Roman"/>
        </w:rPr>
      </w:pPr>
    </w:p>
    <w:p w:rsidR="00000000" w:rsidRDefault="001F39D7">
      <w:pPr>
        <w:divId w:val="2083988548"/>
        <w:rPr>
          <w:rFonts w:eastAsia="Times New Roman"/>
        </w:rPr>
      </w:pPr>
      <w:r>
        <w:rPr>
          <w:rFonts w:eastAsia="Times New Roman"/>
          <w:b/>
          <w:bCs/>
          <w:color w:val="000000"/>
          <w:sz w:val="20"/>
          <w:szCs w:val="20"/>
        </w:rPr>
        <w:t>To the Shareholders and the Board of Directors of Tractor Supply Company</w:t>
      </w:r>
    </w:p>
    <w:p w:rsidR="00000000" w:rsidRDefault="001F39D7">
      <w:pPr>
        <w:divId w:val="1621372107"/>
        <w:rPr>
          <w:rFonts w:eastAsia="Times New Roman"/>
        </w:rPr>
      </w:pPr>
    </w:p>
    <w:p w:rsidR="00000000" w:rsidRDefault="001F39D7">
      <w:pPr>
        <w:divId w:val="17856499"/>
        <w:rPr>
          <w:rFonts w:eastAsia="Times New Roman"/>
        </w:rPr>
      </w:pPr>
      <w:r>
        <w:rPr>
          <w:rFonts w:eastAsia="Times New Roman"/>
          <w:b/>
          <w:bCs/>
          <w:color w:val="000000"/>
          <w:sz w:val="20"/>
          <w:szCs w:val="20"/>
        </w:rPr>
        <w:t>Opinion on Internal Control Over Financial Reporting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We have audited Tractor Supply Company’s internal control over financial reporting as of December 25, 2021, based on criteria </w:t>
      </w:r>
      <w:r>
        <w:rPr>
          <w:rFonts w:eastAsia="Times New Roman"/>
          <w:color w:val="000000"/>
          <w:sz w:val="20"/>
          <w:szCs w:val="20"/>
        </w:rPr>
        <w:t>established in Internal Control—Integrated Framework issued by the Committee of Sponsoring Organizations of the Treadway Commission (2013 framework) (the COSO criteria). In our opinion, Tractor Supply Company (the Company) maintained, in all material respe</w:t>
      </w:r>
      <w:r>
        <w:rPr>
          <w:rFonts w:eastAsia="Times New Roman"/>
          <w:color w:val="000000"/>
          <w:sz w:val="20"/>
          <w:szCs w:val="20"/>
        </w:rPr>
        <w:t>cts, effective internal control over financial reporting as of December 25, 2021, based on the COSO criteria.</w:t>
      </w:r>
    </w:p>
    <w:p w:rsidR="00000000" w:rsidRDefault="001F39D7">
      <w:pPr>
        <w:divId w:val="1099257302"/>
        <w:rPr>
          <w:rFonts w:eastAsia="Times New Roman"/>
        </w:rPr>
      </w:pPr>
    </w:p>
    <w:p w:rsidR="00000000" w:rsidRDefault="001F39D7">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Consolidate</w:t>
      </w:r>
      <w:r>
        <w:rPr>
          <w:rFonts w:eastAsia="Times New Roman"/>
          <w:color w:val="000000"/>
          <w:sz w:val="20"/>
          <w:szCs w:val="20"/>
        </w:rPr>
        <w:t>d Balance Sheets of Tractor Supply Company as of December 25, 2021 and December 26, 2020, and the related Consolidated Statements of Income, Comprehensive Income, Stockholders’ Equity, and Cash Flows for each of the three fiscal years in the period ended D</w:t>
      </w:r>
      <w:r>
        <w:rPr>
          <w:rFonts w:eastAsia="Times New Roman"/>
          <w:color w:val="000000"/>
          <w:sz w:val="20"/>
          <w:szCs w:val="20"/>
        </w:rPr>
        <w:t>ecember 25, 2021, and the related notes and our report dated February 17, 2022, expressed an unqualified opinion thereon.</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Basis for Opinion</w:t>
      </w:r>
    </w:p>
    <w:p w:rsidR="00000000" w:rsidRDefault="001F39D7">
      <w:pPr>
        <w:jc w:val="both"/>
        <w:rPr>
          <w:rFonts w:eastAsia="Times New Roman"/>
        </w:rPr>
      </w:pPr>
    </w:p>
    <w:p w:rsidR="00000000" w:rsidRDefault="001F39D7">
      <w:pPr>
        <w:divId w:val="291905706"/>
        <w:rPr>
          <w:rFonts w:eastAsia="Times New Roman"/>
        </w:rPr>
      </w:pPr>
      <w:r>
        <w:rPr>
          <w:rFonts w:eastAsia="Times New Roman"/>
          <w:color w:val="000000"/>
          <w:sz w:val="20"/>
          <w:szCs w:val="20"/>
        </w:rPr>
        <w:t xml:space="preserve">The Company’s management is responsible for maintaining effective internal control over financial reporting and </w:t>
      </w:r>
      <w:r>
        <w:rPr>
          <w:rFonts w:eastAsia="Times New Roman"/>
          <w:color w:val="000000"/>
          <w:sz w:val="20"/>
          <w:szCs w:val="20"/>
        </w:rPr>
        <w:t>for its assessment of the effectiveness of internal control over financial reporting included in the accompanying Management’s Report on Internal Control Over Financial Reporting. Our responsibility is to express an opinion on the Company’s internal contro</w:t>
      </w:r>
      <w:r>
        <w:rPr>
          <w:rFonts w:eastAsia="Times New Roman"/>
          <w:color w:val="000000"/>
          <w:sz w:val="20"/>
          <w:szCs w:val="20"/>
        </w:rPr>
        <w:t>l over financial reporting based on our audit. We are a public accounting firm registered with the PCAOB and are required to be independent with respect to the Company in accordance with U.S. federal securities laws and the applicable rules and regulations</w:t>
      </w:r>
      <w:r>
        <w:rPr>
          <w:rFonts w:eastAsia="Times New Roman"/>
          <w:color w:val="000000"/>
          <w:sz w:val="20"/>
          <w:szCs w:val="20"/>
        </w:rPr>
        <w:t xml:space="preserve"> of the Securities and Exchange Commission and the PCAOB.</w:t>
      </w:r>
    </w:p>
    <w:p w:rsidR="00000000" w:rsidRDefault="001F39D7">
      <w:pPr>
        <w:jc w:val="both"/>
        <w:rPr>
          <w:rFonts w:eastAsia="Times New Roman"/>
        </w:rPr>
      </w:pPr>
    </w:p>
    <w:p w:rsidR="00000000" w:rsidRDefault="001F39D7">
      <w:pPr>
        <w:divId w:val="689181324"/>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w:t>
      </w:r>
      <w:r>
        <w:rPr>
          <w:rFonts w:eastAsia="Times New Roman"/>
          <w:color w:val="000000"/>
          <w:sz w:val="20"/>
          <w:szCs w:val="20"/>
        </w:rPr>
        <w:t xml:space="preserve">trol over financial reporting was maintained in all material respects.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Our audit included obtaining an understanding of internal control over financial reporting, assessing the risk that a material weakness exists, testing and evaluating the design and </w:t>
      </w:r>
      <w:r>
        <w:rPr>
          <w:rFonts w:eastAsia="Times New Roman"/>
          <w:color w:val="000000"/>
          <w:sz w:val="20"/>
          <w:szCs w:val="20"/>
        </w:rPr>
        <w:t>operating effectiveness of internal control based on the assessed risk, and performing such other procedures as we considered necessary in the circumstances. We believe that our audit provides a reasonable basis for our opinion.</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Definition and Limitation</w:t>
      </w:r>
      <w:r>
        <w:rPr>
          <w:rFonts w:eastAsia="Times New Roman"/>
          <w:b/>
          <w:bCs/>
          <w:color w:val="000000"/>
          <w:sz w:val="20"/>
          <w:szCs w:val="20"/>
        </w:rPr>
        <w:t>s of Internal Control Over Financial Reporting</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w:t>
      </w:r>
      <w:r>
        <w:rPr>
          <w:rFonts w:eastAsia="Times New Roman"/>
          <w:color w:val="000000"/>
          <w:sz w:val="20"/>
          <w:szCs w:val="20"/>
        </w:rPr>
        <w:t xml:space="preserve">ternal purposes in accordance with generally accepted accounting principles. A company’s internal control over financial reporting includes those policies and procedures that (1) pertain to the maintenance of records that, in reasonable detail, accurately </w:t>
      </w:r>
      <w:r>
        <w:rPr>
          <w:rFonts w:eastAsia="Times New Roman"/>
          <w:color w:val="000000"/>
          <w:sz w:val="20"/>
          <w:szCs w:val="20"/>
        </w:rPr>
        <w:t>and fairly reflect the transactions and dispositions of the assets of the company; (2) provide reasonable assurance that transactions are recorded as necessary to permit preparation of financial statements in accordance with generally accepted accounting p</w:t>
      </w:r>
      <w:r>
        <w:rPr>
          <w:rFonts w:eastAsia="Times New Roman"/>
          <w:color w:val="000000"/>
          <w:sz w:val="20"/>
          <w:szCs w:val="20"/>
        </w:rPr>
        <w:t>rinciples, and that receipts and expenditures of the company are being made only in accordance with authorizations of management and directors of the company; and (3) provide reasonable assurance regarding prevention or timely detection of unauthorized acq</w:t>
      </w:r>
      <w:r>
        <w:rPr>
          <w:rFonts w:eastAsia="Times New Roman"/>
          <w:color w:val="000000"/>
          <w:sz w:val="20"/>
          <w:szCs w:val="20"/>
        </w:rPr>
        <w:t>uisition, use, or disposition of the company’s assets that could have a material effect on the financial statements.</w:t>
      </w:r>
    </w:p>
    <w:p w:rsidR="00000000" w:rsidRDefault="001F39D7">
      <w:pPr>
        <w:divId w:val="237138720"/>
        <w:rPr>
          <w:rFonts w:eastAsia="Times New Roman"/>
        </w:rPr>
      </w:pPr>
    </w:p>
    <w:p w:rsidR="00000000" w:rsidRDefault="001F39D7">
      <w:pPr>
        <w:divId w:val="840581092"/>
        <w:rPr>
          <w:rFonts w:eastAsia="Times New Roman"/>
        </w:rPr>
      </w:pPr>
      <w:r>
        <w:rPr>
          <w:rFonts w:eastAsia="Times New Roman"/>
          <w:color w:val="000000"/>
          <w:sz w:val="20"/>
          <w:szCs w:val="20"/>
        </w:rPr>
        <w:t>Because of its inherent limitations, internal control over financial reporting may not prevent or detect misstatements. Also, projections</w:t>
      </w:r>
      <w:r>
        <w:rPr>
          <w:rFonts w:eastAsia="Times New Roman"/>
          <w:color w:val="000000"/>
          <w:sz w:val="20"/>
          <w:szCs w:val="20"/>
        </w:rPr>
        <w:t xml:space="preserve"> of any evaluation of effectiveness to future periods are subject to the risk that controls may become inadequate because of changes in conditions, or that the degree of compliance with the policies or procedures may deteriorate.</w:t>
      </w:r>
    </w:p>
    <w:p w:rsidR="00000000" w:rsidRDefault="001F39D7">
      <w:pPr>
        <w:jc w:val="both"/>
        <w:rPr>
          <w:rFonts w:eastAsia="Times New Roman"/>
        </w:rPr>
      </w:pPr>
    </w:p>
    <w:p w:rsidR="00000000" w:rsidRDefault="001F39D7">
      <w:pPr>
        <w:jc w:val="both"/>
        <w:rPr>
          <w:rFonts w:eastAsia="Times New Roman"/>
        </w:rPr>
      </w:pPr>
    </w:p>
    <w:p w:rsidR="00000000" w:rsidRDefault="001F39D7">
      <w:pPr>
        <w:divId w:val="829445436"/>
        <w:rPr>
          <w:rFonts w:eastAsia="Times New Roman"/>
        </w:rPr>
      </w:pPr>
    </w:p>
    <w:p w:rsidR="00000000" w:rsidRDefault="001F39D7">
      <w:pPr>
        <w:divId w:val="2005666341"/>
        <w:rPr>
          <w:rFonts w:eastAsia="Times New Roman"/>
        </w:rPr>
      </w:pPr>
    </w:p>
    <w:p w:rsidR="00000000" w:rsidRDefault="001F39D7">
      <w:pPr>
        <w:ind w:firstLine="5040"/>
        <w:jc w:val="both"/>
        <w:rPr>
          <w:rFonts w:eastAsia="Times New Roman"/>
        </w:rPr>
      </w:pPr>
      <w:r>
        <w:rPr>
          <w:rFonts w:eastAsia="Times New Roman"/>
          <w:color w:val="000000"/>
          <w:sz w:val="20"/>
          <w:szCs w:val="20"/>
        </w:rPr>
        <w:t xml:space="preserve">/s/ Ernst &amp; Young </w:t>
      </w:r>
      <w:r>
        <w:rPr>
          <w:rFonts w:eastAsia="Times New Roman"/>
          <w:color w:val="000000"/>
          <w:sz w:val="20"/>
          <w:szCs w:val="20"/>
        </w:rPr>
        <w:t>LLP</w:t>
      </w:r>
    </w:p>
    <w:p w:rsidR="00000000" w:rsidRDefault="001F39D7">
      <w:pPr>
        <w:divId w:val="1231691980"/>
        <w:rPr>
          <w:rFonts w:eastAsia="Times New Roman"/>
        </w:rPr>
      </w:pPr>
      <w:r>
        <w:rPr>
          <w:rFonts w:eastAsia="Times New Roman"/>
          <w:color w:val="000000"/>
          <w:sz w:val="20"/>
          <w:szCs w:val="20"/>
        </w:rPr>
        <w:t>Nashville, Tennessee</w:t>
      </w:r>
    </w:p>
    <w:p w:rsidR="00000000" w:rsidRDefault="001F39D7">
      <w:pPr>
        <w:divId w:val="1241409527"/>
        <w:rPr>
          <w:rFonts w:eastAsia="Times New Roman"/>
        </w:rPr>
      </w:pPr>
      <w:r>
        <w:rPr>
          <w:rFonts w:eastAsia="Times New Roman"/>
          <w:color w:val="000000"/>
          <w:sz w:val="20"/>
          <w:szCs w:val="20"/>
        </w:rPr>
        <w:t xml:space="preserve">February 17, 2022 </w:t>
      </w:r>
    </w:p>
    <w:p w:rsidR="00000000" w:rsidRDefault="001F39D7">
      <w:pPr>
        <w:jc w:val="center"/>
        <w:divId w:val="577058445"/>
        <w:rPr>
          <w:rFonts w:eastAsia="Times New Roman"/>
        </w:rPr>
      </w:pPr>
      <w:r>
        <w:rPr>
          <w:rFonts w:eastAsia="Times New Roman"/>
          <w:color w:val="000000"/>
          <w:sz w:val="20"/>
          <w:szCs w:val="20"/>
        </w:rPr>
        <w:t>46</w:t>
      </w:r>
    </w:p>
    <w:p w:rsidR="00000000" w:rsidRDefault="001F39D7">
      <w:pPr>
        <w:rPr>
          <w:rFonts w:eastAsia="Times New Roman"/>
        </w:rPr>
      </w:pPr>
      <w:r>
        <w:rPr>
          <w:rFonts w:eastAsia="Times New Roman"/>
        </w:rPr>
        <w:pict>
          <v:rect id="_x0000_i1075" style="width:0;height:1.5pt" o:hralign="center" o:hrstd="t" o:hr="t" fillcolor="#a0a0a0" stroked="f"/>
        </w:pict>
      </w:r>
    </w:p>
    <w:p w:rsidR="00000000" w:rsidRDefault="001F39D7">
      <w:pPr>
        <w:divId w:val="2038726195"/>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Report of Independent Registered Public Accounting Firm</w:t>
      </w:r>
    </w:p>
    <w:p w:rsidR="00000000" w:rsidRDefault="001F39D7">
      <w:pPr>
        <w:divId w:val="1635673897"/>
        <w:rPr>
          <w:rFonts w:eastAsia="Times New Roman"/>
        </w:rPr>
      </w:pPr>
    </w:p>
    <w:p w:rsidR="00000000" w:rsidRDefault="001F39D7">
      <w:pPr>
        <w:divId w:val="668675746"/>
        <w:rPr>
          <w:rFonts w:eastAsia="Times New Roman"/>
        </w:rPr>
      </w:pPr>
    </w:p>
    <w:p w:rsidR="00000000" w:rsidRDefault="001F39D7">
      <w:pPr>
        <w:divId w:val="538934320"/>
        <w:rPr>
          <w:rFonts w:eastAsia="Times New Roman"/>
        </w:rPr>
      </w:pPr>
      <w:r>
        <w:rPr>
          <w:rFonts w:eastAsia="Times New Roman"/>
          <w:b/>
          <w:bCs/>
          <w:color w:val="000000"/>
          <w:sz w:val="20"/>
          <w:szCs w:val="20"/>
        </w:rPr>
        <w:t>To the Shareholders and the Board of Directors of Tractor Supply Company</w:t>
      </w:r>
    </w:p>
    <w:p w:rsidR="00000000" w:rsidRDefault="001F39D7">
      <w:pPr>
        <w:divId w:val="1477839935"/>
        <w:rPr>
          <w:rFonts w:eastAsia="Times New Roman"/>
        </w:rPr>
      </w:pPr>
    </w:p>
    <w:p w:rsidR="00000000" w:rsidRDefault="001F39D7">
      <w:pPr>
        <w:divId w:val="1249340912"/>
        <w:rPr>
          <w:rFonts w:eastAsia="Times New Roman"/>
        </w:rPr>
      </w:pPr>
      <w:r>
        <w:rPr>
          <w:rFonts w:eastAsia="Times New Roman"/>
          <w:b/>
          <w:bCs/>
          <w:color w:val="000000"/>
          <w:sz w:val="20"/>
          <w:szCs w:val="20"/>
        </w:rPr>
        <w:t>Opinion on the Financ</w:t>
      </w:r>
      <w:r>
        <w:rPr>
          <w:rFonts w:eastAsia="Times New Roman"/>
          <w:b/>
          <w:bCs/>
          <w:color w:val="000000"/>
          <w:sz w:val="20"/>
          <w:szCs w:val="20"/>
        </w:rPr>
        <w:t>ial Statements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have audited the accompanying Consolidated Balance Sheets of Tractor Supply Company (the Company) as of December 25, 2021 and December 26, 2020, the related Consolidated Statements of Income, Comprehensive Income, Stockholders’ Equity and Cash Flows for</w:t>
      </w:r>
      <w:r>
        <w:rPr>
          <w:rFonts w:eastAsia="Times New Roman"/>
          <w:color w:val="000000"/>
          <w:sz w:val="20"/>
          <w:szCs w:val="20"/>
        </w:rPr>
        <w:t xml:space="preserve"> each of the three fiscal years in the period ended December 25, 2021, and the related notes (collectively referred to as the “consolidated financial statements”). In our opinion, the consolidated financial statements present fairly, in all material respec</w:t>
      </w:r>
      <w:r>
        <w:rPr>
          <w:rFonts w:eastAsia="Times New Roman"/>
          <w:color w:val="000000"/>
          <w:sz w:val="20"/>
          <w:szCs w:val="20"/>
        </w:rPr>
        <w:t xml:space="preserve">ts, the financial position of the Company at December 25, 2021 and December 26, 2020, and the results of its operations and its cash flows for each of the three fiscal years in the period ended December 25, 2021, in conformity with U.S. generally accepted </w:t>
      </w:r>
      <w:r>
        <w:rPr>
          <w:rFonts w:eastAsia="Times New Roman"/>
          <w:color w:val="000000"/>
          <w:sz w:val="20"/>
          <w:szCs w:val="20"/>
        </w:rPr>
        <w:t>accounting principles.</w:t>
      </w:r>
    </w:p>
    <w:p w:rsidR="00000000" w:rsidRDefault="001F39D7">
      <w:pPr>
        <w:divId w:val="1129668144"/>
        <w:rPr>
          <w:rFonts w:eastAsia="Times New Roman"/>
        </w:rPr>
      </w:pPr>
    </w:p>
    <w:p w:rsidR="00000000" w:rsidRDefault="001F39D7">
      <w:pPr>
        <w:jc w:val="both"/>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25, 2021, based on criteria est</w:t>
      </w:r>
      <w:r>
        <w:rPr>
          <w:rFonts w:eastAsia="Times New Roman"/>
          <w:color w:val="000000"/>
          <w:sz w:val="20"/>
          <w:szCs w:val="20"/>
        </w:rPr>
        <w:t>ablished in Internal Control-Integrated Framework issued by the Committee of Sponsoring Organizations of the Treadway Commission (2013 framework) and our report dated February 17, 2022, expressed an unqualified opinion thereon.</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Basis for Opinion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These </w:t>
      </w:r>
      <w:r>
        <w:rPr>
          <w:rFonts w:eastAsia="Times New Roman"/>
          <w:color w:val="000000"/>
          <w:sz w:val="20"/>
          <w:szCs w:val="20"/>
        </w:rPr>
        <w:t>financial statements are the responsibility of the Company’s management. Our responsibility is to express an opinion on the Company’s financial statements based on our audits. We are a public accounting firm registered with the PCAOB and are required to be</w:t>
      </w:r>
      <w:r>
        <w:rPr>
          <w:rFonts w:eastAsia="Times New Roman"/>
          <w:color w:val="000000"/>
          <w:sz w:val="20"/>
          <w:szCs w:val="20"/>
        </w:rPr>
        <w:t xml:space="preserve"> independent with respect to the Company in accordance with the U.S. federal securities laws and the applicable rules and regulations of the Securities and Exchange Commission and the PCAOB.</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conducted our audits in accordance with the standards of the</w:t>
      </w:r>
      <w:r>
        <w:rPr>
          <w:rFonts w:eastAsia="Times New Roman"/>
          <w:color w:val="000000"/>
          <w:sz w:val="20"/>
          <w:szCs w:val="20"/>
        </w:rPr>
        <w:t xml:space="preserve"> PCAOB. Those standards require that we plan and perform the audit to obtain reasonable assurance about whether the financial statements are free of material misstatement, whether due to error or fraud. Our audits included performing procedures to assess t</w:t>
      </w:r>
      <w:r>
        <w:rPr>
          <w:rFonts w:eastAsia="Times New Roman"/>
          <w:color w:val="000000"/>
          <w:sz w:val="20"/>
          <w:szCs w:val="20"/>
        </w:rPr>
        <w:t xml:space="preserve">he risks of material misstatement of the financial statements, whether due to error or fraud, and performing procedures that respond to those risks. Such procedures included examining, on a test basis, evidence regarding the amounts and disclosures in the </w:t>
      </w:r>
      <w:r>
        <w:rPr>
          <w:rFonts w:eastAsia="Times New Roman"/>
          <w:color w:val="000000"/>
          <w:sz w:val="20"/>
          <w:szCs w:val="20"/>
        </w:rPr>
        <w:t>financial statements. Our audits also included evaluating the accounting principles used and significant estimates made by management, as well as evaluating the overall presentation of the financial statements. We believe that our audits provide a reasonab</w:t>
      </w:r>
      <w:r>
        <w:rPr>
          <w:rFonts w:eastAsia="Times New Roman"/>
          <w:color w:val="000000"/>
          <w:sz w:val="20"/>
          <w:szCs w:val="20"/>
        </w:rPr>
        <w:t>le basis for our opinion.</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Critical Audit Matter</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 or required to be communicated to the audit committee and t</w:t>
      </w:r>
      <w:r>
        <w:rPr>
          <w:rFonts w:eastAsia="Times New Roman"/>
          <w:color w:val="000000"/>
          <w:sz w:val="20"/>
          <w:szCs w:val="20"/>
        </w:rPr>
        <w:t xml:space="preserve">hat: (1) relates to accounts or disclosures that are material to the financial statements and (2) involved our especially challenging, subjective or complex judgments. The communication of the critical audit matter does not alter in any way our opinion on </w:t>
      </w:r>
      <w:r>
        <w:rPr>
          <w:rFonts w:eastAsia="Times New Roman"/>
          <w:color w:val="000000"/>
          <w:sz w:val="20"/>
          <w:szCs w:val="20"/>
        </w:rPr>
        <w:t>the consolidated financial statements, taken as a whole, and we are not, by communicating the critical audit matter below, providing a separate opinion on the critical audit matter or on the accounts or disclosures to which it relates.</w:t>
      </w:r>
    </w:p>
    <w:p w:rsidR="00000000" w:rsidRDefault="001F39D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242"/>
        <w:gridCol w:w="36"/>
        <w:gridCol w:w="69"/>
        <w:gridCol w:w="6854"/>
        <w:gridCol w:w="36"/>
      </w:tblGrid>
      <w:tr w:rsidR="00000000">
        <w:tc>
          <w:tcPr>
            <w:tcW w:w="50" w:type="pct"/>
            <w:vAlign w:val="center"/>
            <w:hideMark/>
          </w:tcPr>
          <w:p w:rsidR="00000000" w:rsidRDefault="001F39D7">
            <w:pPr>
              <w:jc w:val="both"/>
              <w:rPr>
                <w:rFonts w:eastAsia="Times New Roman"/>
              </w:rPr>
            </w:pPr>
          </w:p>
        </w:tc>
        <w:tc>
          <w:tcPr>
            <w:tcW w:w="75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13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b/>
                <w:bCs/>
                <w:i/>
                <w:iCs/>
                <w:color w:val="000000"/>
                <w:sz w:val="20"/>
                <w:szCs w:val="20"/>
              </w:rPr>
              <w:t>Estimate of Workers' Compensation Self-Insurance Reserves</w:t>
            </w:r>
          </w:p>
        </w:tc>
      </w:tr>
      <w:tr w:rsidR="00000000">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At December 25, 2021, the Company’s reserve for workers’ compensation self-insurance risks was $67.1 million. As discussed in Note 1 of the consolidated financial stat</w:t>
            </w:r>
            <w:r>
              <w:rPr>
                <w:rFonts w:eastAsia="Times New Roman"/>
                <w:color w:val="000000"/>
                <w:sz w:val="20"/>
                <w:szCs w:val="20"/>
              </w:rPr>
              <w:t>ements, the Company retains a significant portion of risk for its workers’ compensation exposures. Accordingly, provisions are recorded based upon periodic estimates of such losses, as determined by management. The future claim costs for workers’ compensat</w:t>
            </w:r>
            <w:r>
              <w:rPr>
                <w:rFonts w:eastAsia="Times New Roman"/>
                <w:color w:val="000000"/>
                <w:sz w:val="20"/>
                <w:szCs w:val="20"/>
              </w:rPr>
              <w:t xml:space="preserve">ion exposures are estimated using actuarial methods that consider assumptions for a number of factors including, but not limited to, historical claims experience, loss development factors, and severity factors. </w:t>
            </w:r>
          </w:p>
        </w:tc>
      </w:tr>
      <w:tr w:rsidR="00000000">
        <w:trPr>
          <w:trHeight w:val="300"/>
        </w:trPr>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Auditing management’s estimate of the recorded workers’ compensation self-insurance reserves was complex and judgmental due to the significant assumptions and judgments required by management to project the exposure on incurred claims that remain unresolve</w:t>
            </w:r>
            <w:r>
              <w:rPr>
                <w:rFonts w:eastAsia="Times New Roman"/>
                <w:color w:val="000000"/>
                <w:sz w:val="20"/>
                <w:szCs w:val="20"/>
              </w:rPr>
              <w:t>d, including those which have not yet been reported to the Company.</w:t>
            </w:r>
          </w:p>
        </w:tc>
      </w:tr>
      <w:tr w:rsidR="00000000">
        <w:trPr>
          <w:trHeight w:val="300"/>
        </w:trPr>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bl>
    <w:p w:rsidR="00000000" w:rsidRDefault="001F39D7">
      <w:pPr>
        <w:jc w:val="center"/>
        <w:divId w:val="119958939"/>
        <w:rPr>
          <w:rFonts w:eastAsia="Times New Roman"/>
        </w:rPr>
      </w:pPr>
      <w:r>
        <w:rPr>
          <w:rFonts w:eastAsia="Times New Roman"/>
          <w:color w:val="000000"/>
          <w:sz w:val="20"/>
          <w:szCs w:val="20"/>
        </w:rPr>
        <w:t>47</w:t>
      </w:r>
    </w:p>
    <w:p w:rsidR="00000000" w:rsidRDefault="001F39D7">
      <w:pPr>
        <w:rPr>
          <w:rFonts w:eastAsia="Times New Roman"/>
        </w:rPr>
      </w:pPr>
      <w:r>
        <w:rPr>
          <w:rFonts w:eastAsia="Times New Roman"/>
        </w:rPr>
        <w:pict>
          <v:rect id="_x0000_i1076" style="width:0;height:1.5pt" o:hralign="center" o:hrstd="t" o:hr="t" fillcolor="#a0a0a0" stroked="f"/>
        </w:pict>
      </w:r>
    </w:p>
    <w:p w:rsidR="00000000" w:rsidRDefault="001F39D7">
      <w:pPr>
        <w:divId w:val="1278101486"/>
        <w:rPr>
          <w:rFonts w:eastAsia="Times New Roman"/>
        </w:rPr>
      </w:pPr>
      <w:hyperlink w:anchor="ia0680a7a640346e7afc1f53a5745d231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1242"/>
        <w:gridCol w:w="36"/>
        <w:gridCol w:w="69"/>
        <w:gridCol w:w="6854"/>
        <w:gridCol w:w="36"/>
      </w:tblGrid>
      <w:tr w:rsidR="00000000">
        <w:trPr>
          <w:divId w:val="581378055"/>
        </w:trPr>
        <w:tc>
          <w:tcPr>
            <w:tcW w:w="50" w:type="pct"/>
            <w:vAlign w:val="center"/>
            <w:hideMark/>
          </w:tcPr>
          <w:p w:rsidR="00000000" w:rsidRDefault="001F39D7">
            <w:pPr>
              <w:rPr>
                <w:rFonts w:eastAsia="Times New Roman"/>
              </w:rPr>
            </w:pPr>
          </w:p>
        </w:tc>
        <w:tc>
          <w:tcPr>
            <w:tcW w:w="75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13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581378055"/>
          <w:trHeight w:val="3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58137805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We obtained an understanding, evaluated the design, and tested the operating effectiveness of controls over the Company’s accounting for worker’ compensation self-insurance exposures. For example, we tested controls over the appropriateness of management’s</w:t>
            </w:r>
            <w:r>
              <w:rPr>
                <w:rFonts w:eastAsia="Times New Roman"/>
                <w:color w:val="000000"/>
                <w:sz w:val="20"/>
                <w:szCs w:val="20"/>
              </w:rPr>
              <w:t xml:space="preserve"> review of the significant assumptions described above, including the completeness and accuracy of the underlying data, as well as management’s review of the actuarial calculations.</w:t>
            </w:r>
          </w:p>
        </w:tc>
      </w:tr>
      <w:tr w:rsidR="00000000">
        <w:trPr>
          <w:divId w:val="581378055"/>
          <w:trHeight w:val="300"/>
        </w:trPr>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581378055"/>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To test the Company’</w:t>
            </w:r>
            <w:r>
              <w:rPr>
                <w:rFonts w:eastAsia="Times New Roman"/>
                <w:color w:val="000000"/>
                <w:sz w:val="20"/>
                <w:szCs w:val="20"/>
              </w:rPr>
              <w:t>s estimate of the workers’ compensation self-insurance reserves, we performed audit procedures that included, among others, assessing the appropriateness of the actuarial valuation methodologies utilized by management and the significant assumptions within</w:t>
            </w:r>
            <w:r>
              <w:rPr>
                <w:rFonts w:eastAsia="Times New Roman"/>
                <w:color w:val="000000"/>
                <w:sz w:val="20"/>
                <w:szCs w:val="20"/>
              </w:rPr>
              <w:t>, testing the related underlying data used by the Company in its evaluation for completeness and accuracy, and testing the mathematical accuracy of the calculations. Our audit procedures also included, among others, comparing the significant assumptions us</w:t>
            </w:r>
            <w:r>
              <w:rPr>
                <w:rFonts w:eastAsia="Times New Roman"/>
                <w:color w:val="000000"/>
                <w:sz w:val="20"/>
                <w:szCs w:val="20"/>
              </w:rPr>
              <w:t>ed by management to industry accepted actuarial assumptions and reassessing the accuracy of management’s historical estimates utilized in prior period evaluations. We involved our actuarial valuation specialists to assist in assessing the valuation methodo</w:t>
            </w:r>
            <w:r>
              <w:rPr>
                <w:rFonts w:eastAsia="Times New Roman"/>
                <w:color w:val="000000"/>
                <w:sz w:val="20"/>
                <w:szCs w:val="20"/>
              </w:rPr>
              <w:t>logies and significant assumptions noted above and to develop an independent range of estimates for the workers’ compensation self-insurance reserves which were then compared to management’s estimates.</w:t>
            </w:r>
          </w:p>
        </w:tc>
      </w:tr>
    </w:tbl>
    <w:p w:rsidR="00000000" w:rsidRDefault="001F39D7">
      <w:pPr>
        <w:divId w:val="806705340"/>
        <w:rPr>
          <w:rFonts w:eastAsia="Times New Roman"/>
        </w:rPr>
      </w:pPr>
    </w:p>
    <w:p w:rsidR="00000000" w:rsidRDefault="001F39D7">
      <w:pPr>
        <w:divId w:val="870727887"/>
        <w:rPr>
          <w:rFonts w:eastAsia="Times New Roman"/>
        </w:rPr>
      </w:pPr>
    </w:p>
    <w:p w:rsidR="00000000" w:rsidRDefault="001F39D7">
      <w:pPr>
        <w:divId w:val="1367873268"/>
        <w:rPr>
          <w:rFonts w:eastAsia="Times New Roman"/>
        </w:rPr>
      </w:pPr>
      <w:r>
        <w:rPr>
          <w:rFonts w:eastAsia="Times New Roman"/>
          <w:color w:val="000000"/>
          <w:sz w:val="20"/>
          <w:szCs w:val="20"/>
        </w:rPr>
        <w:t>/s/ Ernst &amp; Young LLP</w:t>
      </w:r>
    </w:p>
    <w:p w:rsidR="00000000" w:rsidRDefault="001F39D7">
      <w:pPr>
        <w:divId w:val="532965646"/>
        <w:rPr>
          <w:rFonts w:eastAsia="Times New Roman"/>
        </w:rPr>
      </w:pPr>
      <w:r>
        <w:rPr>
          <w:rFonts w:eastAsia="Times New Roman"/>
          <w:color w:val="000000"/>
          <w:sz w:val="20"/>
          <w:szCs w:val="20"/>
        </w:rPr>
        <w:t>We have served as the Company’s auditor since 2001.</w:t>
      </w:r>
    </w:p>
    <w:p w:rsidR="00000000" w:rsidRDefault="001F39D7">
      <w:pPr>
        <w:divId w:val="1991784906"/>
        <w:rPr>
          <w:rFonts w:eastAsia="Times New Roman"/>
        </w:rPr>
      </w:pPr>
      <w:r>
        <w:rPr>
          <w:rFonts w:eastAsia="Times New Roman"/>
          <w:color w:val="000000"/>
          <w:sz w:val="20"/>
          <w:szCs w:val="20"/>
        </w:rPr>
        <w:t>Nashville, Tennessee</w:t>
      </w:r>
    </w:p>
    <w:p w:rsidR="00000000" w:rsidRDefault="001F39D7">
      <w:pPr>
        <w:divId w:val="173304899"/>
        <w:rPr>
          <w:rFonts w:eastAsia="Times New Roman"/>
        </w:rPr>
      </w:pPr>
      <w:r>
        <w:rPr>
          <w:rFonts w:eastAsia="Times New Roman"/>
          <w:color w:val="000000"/>
          <w:sz w:val="20"/>
          <w:szCs w:val="20"/>
        </w:rPr>
        <w:t xml:space="preserve">February 17, 2022 </w:t>
      </w:r>
    </w:p>
    <w:p w:rsidR="00000000" w:rsidRDefault="001F39D7">
      <w:pPr>
        <w:jc w:val="center"/>
        <w:divId w:val="1798916588"/>
        <w:rPr>
          <w:rFonts w:eastAsia="Times New Roman"/>
        </w:rPr>
      </w:pPr>
      <w:r>
        <w:rPr>
          <w:rFonts w:eastAsia="Times New Roman"/>
          <w:color w:val="000000"/>
          <w:sz w:val="20"/>
          <w:szCs w:val="20"/>
        </w:rPr>
        <w:t>48</w:t>
      </w:r>
    </w:p>
    <w:p w:rsidR="00000000" w:rsidRDefault="001F39D7">
      <w:pPr>
        <w:rPr>
          <w:rFonts w:eastAsia="Times New Roman"/>
        </w:rPr>
      </w:pPr>
      <w:r>
        <w:rPr>
          <w:rFonts w:eastAsia="Times New Roman"/>
        </w:rPr>
        <w:pict>
          <v:rect id="_x0000_i1077" style="width:0;height:1.5pt" o:hralign="center" o:hrstd="t" o:hr="t" fillcolor="#a0a0a0" stroked="f"/>
        </w:pict>
      </w:r>
    </w:p>
    <w:p w:rsidR="00000000" w:rsidRDefault="001F39D7">
      <w:pPr>
        <w:divId w:val="1835563931"/>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TRACTOR SUPPLY COMPANY</w:t>
      </w:r>
    </w:p>
    <w:p w:rsidR="00000000" w:rsidRDefault="001F39D7">
      <w:pPr>
        <w:jc w:val="center"/>
        <w:rPr>
          <w:rFonts w:eastAsia="Times New Roman"/>
        </w:rPr>
      </w:pPr>
      <w:r>
        <w:rPr>
          <w:rFonts w:eastAsia="Times New Roman"/>
          <w:b/>
          <w:bCs/>
          <w:color w:val="000000"/>
          <w:sz w:val="20"/>
          <w:szCs w:val="20"/>
        </w:rPr>
        <w:t>CONSOLIDATED STATEMENTS OF INCOME</w:t>
      </w:r>
    </w:p>
    <w:p w:rsidR="00000000" w:rsidRDefault="001F39D7">
      <w:pPr>
        <w:jc w:val="center"/>
        <w:rPr>
          <w:rFonts w:eastAsia="Times New Roman"/>
        </w:rPr>
      </w:pPr>
      <w:r>
        <w:rPr>
          <w:rFonts w:eastAsia="Times New Roman"/>
          <w:b/>
          <w:bCs/>
          <w:color w:val="000000"/>
          <w:sz w:val="20"/>
          <w:szCs w:val="20"/>
        </w:rPr>
        <w:t>(in thousands,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9"/>
        <w:gridCol w:w="4680"/>
        <w:gridCol w:w="37"/>
        <w:gridCol w:w="120"/>
        <w:gridCol w:w="977"/>
        <w:gridCol w:w="36"/>
        <w:gridCol w:w="36"/>
        <w:gridCol w:w="36"/>
        <w:gridCol w:w="36"/>
        <w:gridCol w:w="120"/>
        <w:gridCol w:w="950"/>
        <w:gridCol w:w="36"/>
        <w:gridCol w:w="36"/>
        <w:gridCol w:w="36"/>
        <w:gridCol w:w="36"/>
        <w:gridCol w:w="120"/>
        <w:gridCol w:w="926"/>
        <w:gridCol w:w="36"/>
      </w:tblGrid>
      <w:tr w:rsidR="00000000">
        <w:trPr>
          <w:divId w:val="437986446"/>
        </w:trPr>
        <w:tc>
          <w:tcPr>
            <w:tcW w:w="50" w:type="pct"/>
            <w:vAlign w:val="center"/>
            <w:hideMark/>
          </w:tcPr>
          <w:p w:rsidR="00000000" w:rsidRDefault="001F39D7">
            <w:pPr>
              <w:jc w:val="center"/>
              <w:rPr>
                <w:rFonts w:eastAsia="Times New Roman"/>
              </w:rPr>
            </w:pPr>
          </w:p>
        </w:tc>
        <w:tc>
          <w:tcPr>
            <w:tcW w:w="285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1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1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1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437986446"/>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divId w:val="437986446"/>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rPr>
          <w:divId w:val="437986446"/>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r>
      <w:tr w:rsidR="00000000">
        <w:trPr>
          <w:divId w:val="4379864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12,731,105 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10,620,352 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8,351,931 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8,253,952 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6,858,803 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5,480,161 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4,477,153 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3,761,549 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2,871,770 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2,900,297 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2,478,524 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1,932,572 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270,158 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217,124 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195,978 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Impairment of goodwill and 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68,973 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1,306,698 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996,928 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26,610 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28,781 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19,843 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1,280,088 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968,147 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723,377 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282,974 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219,189 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161,023 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Height w:val="28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4379864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Net income per share – basic</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8.69 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8.61 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6.38 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Height w:val="28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437986446"/>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divId w:val="437986446"/>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114,794 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116,370 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119,727 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115,824 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117,436 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120,743 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437986446"/>
          <w:trHeight w:val="28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437986446"/>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567035786"/>
        <w:rPr>
          <w:rFonts w:eastAsia="Times New Roman"/>
        </w:rPr>
      </w:pPr>
    </w:p>
    <w:p w:rsidR="00000000" w:rsidRDefault="001F39D7">
      <w:pPr>
        <w:jc w:val="center"/>
        <w:rPr>
          <w:rFonts w:eastAsia="Times New Roman"/>
        </w:rPr>
      </w:pPr>
      <w:r>
        <w:rPr>
          <w:rFonts w:eastAsia="Times New Roman"/>
          <w:color w:val="000000"/>
          <w:sz w:val="20"/>
          <w:szCs w:val="20"/>
          <w:shd w:val="clear" w:color="auto" w:fill="FFFFFF"/>
        </w:rPr>
        <w:t>The accompanying notes are an integral part of these Consolidated Financial Statements.</w:t>
      </w:r>
    </w:p>
    <w:p w:rsidR="00000000" w:rsidRDefault="001F39D7">
      <w:pPr>
        <w:jc w:val="center"/>
        <w:divId w:val="1902322912"/>
        <w:rPr>
          <w:rFonts w:eastAsia="Times New Roman"/>
        </w:rPr>
      </w:pPr>
      <w:r>
        <w:rPr>
          <w:rFonts w:eastAsia="Times New Roman"/>
          <w:color w:val="000000"/>
          <w:sz w:val="20"/>
          <w:szCs w:val="20"/>
        </w:rPr>
        <w:t>49</w:t>
      </w:r>
    </w:p>
    <w:p w:rsidR="00000000" w:rsidRDefault="001F39D7">
      <w:pPr>
        <w:rPr>
          <w:rFonts w:eastAsia="Times New Roman"/>
        </w:rPr>
      </w:pPr>
      <w:r>
        <w:rPr>
          <w:rFonts w:eastAsia="Times New Roman"/>
        </w:rPr>
        <w:pict>
          <v:rect id="_x0000_i1078" style="width:0;height:1.5pt" o:hralign="center" o:hrstd="t" o:hr="t" fillcolor="#a0a0a0" stroked="f"/>
        </w:pict>
      </w:r>
    </w:p>
    <w:p w:rsidR="00000000" w:rsidRDefault="001F39D7">
      <w:pPr>
        <w:divId w:val="2058819910"/>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TRACTOR SUPP</w:t>
      </w:r>
      <w:r>
        <w:rPr>
          <w:rFonts w:eastAsia="Times New Roman"/>
          <w:b/>
          <w:bCs/>
          <w:color w:val="000000"/>
          <w:sz w:val="20"/>
          <w:szCs w:val="20"/>
        </w:rPr>
        <w:t>LY COMPANY</w:t>
      </w:r>
    </w:p>
    <w:p w:rsidR="00000000" w:rsidRDefault="001F39D7">
      <w:pPr>
        <w:jc w:val="center"/>
        <w:rPr>
          <w:rFonts w:eastAsia="Times New Roman"/>
        </w:rPr>
      </w:pPr>
      <w:r>
        <w:rPr>
          <w:rFonts w:eastAsia="Times New Roman"/>
          <w:b/>
          <w:bCs/>
          <w:color w:val="000000"/>
          <w:sz w:val="20"/>
          <w:szCs w:val="20"/>
        </w:rPr>
        <w:t>CONSOLIDATED STATEMENTS OF COMPREHENSIVE INCOME</w:t>
      </w:r>
    </w:p>
    <w:p w:rsidR="00000000" w:rsidRDefault="001F39D7">
      <w:pPr>
        <w:jc w:val="center"/>
        <w:rPr>
          <w:rFonts w:eastAsia="Times New Roman"/>
        </w:rPr>
      </w:pPr>
      <w:r>
        <w:rPr>
          <w:rFonts w:eastAsia="Times New Roman"/>
          <w:b/>
          <w:bCs/>
          <w:color w:val="000000"/>
          <w:sz w:val="20"/>
          <w:szCs w:val="20"/>
        </w:rPr>
        <w:t>(in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777"/>
        <w:gridCol w:w="37"/>
        <w:gridCol w:w="120"/>
        <w:gridCol w:w="941"/>
        <w:gridCol w:w="36"/>
        <w:gridCol w:w="36"/>
        <w:gridCol w:w="36"/>
        <w:gridCol w:w="36"/>
        <w:gridCol w:w="120"/>
        <w:gridCol w:w="901"/>
        <w:gridCol w:w="36"/>
        <w:gridCol w:w="36"/>
        <w:gridCol w:w="36"/>
        <w:gridCol w:w="36"/>
        <w:gridCol w:w="120"/>
        <w:gridCol w:w="902"/>
        <w:gridCol w:w="36"/>
      </w:tblGrid>
      <w:tr w:rsidR="00000000">
        <w:trPr>
          <w:divId w:val="115492995"/>
        </w:trPr>
        <w:tc>
          <w:tcPr>
            <w:tcW w:w="50" w:type="pct"/>
            <w:vAlign w:val="center"/>
            <w:hideMark/>
          </w:tcPr>
          <w:p w:rsidR="00000000" w:rsidRDefault="001F39D7">
            <w:pPr>
              <w:jc w:val="center"/>
              <w:rPr>
                <w:rFonts w:eastAsia="Times New Roman"/>
              </w:rPr>
            </w:pPr>
          </w:p>
        </w:tc>
        <w:tc>
          <w:tcPr>
            <w:tcW w:w="291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15492995"/>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132" w:type="dxa"/>
              <w:bottom w:w="30" w:type="dxa"/>
              <w:right w:w="132"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divId w:val="115492995"/>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rPr>
          <w:divId w:val="115492995"/>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(52 weeks)</w:t>
            </w:r>
          </w:p>
        </w:tc>
      </w:tr>
      <w:tr w:rsidR="00000000">
        <w:trPr>
          <w:divId w:val="115492995"/>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15492995"/>
          <w:trHeight w:val="16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15492995"/>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comprehensive income/(loss):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15492995"/>
        </w:trPr>
        <w:tc>
          <w:tcPr>
            <w:tcW w:w="0" w:type="auto"/>
            <w:gridSpan w:val="3"/>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Change in fair value of interest rate swaps, net of taxes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4,588 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(3,442)</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(4,332)</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15492995"/>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divId w:val="115492995"/>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other comprehensive income/(loss)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(4,332)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15492995"/>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1,001,702 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745,516 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558,022 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2020111096"/>
        <w:rPr>
          <w:rFonts w:eastAsia="Times New Roman"/>
        </w:rPr>
      </w:pPr>
    </w:p>
    <w:p w:rsidR="00000000" w:rsidRDefault="001F39D7">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1F39D7">
      <w:pPr>
        <w:divId w:val="1229000115"/>
        <w:rPr>
          <w:rFonts w:eastAsia="Times New Roman"/>
        </w:rPr>
      </w:pPr>
    </w:p>
    <w:p w:rsidR="00000000" w:rsidRDefault="001F39D7">
      <w:pPr>
        <w:jc w:val="center"/>
        <w:divId w:val="590818237"/>
        <w:rPr>
          <w:rFonts w:eastAsia="Times New Roman"/>
        </w:rPr>
      </w:pPr>
      <w:r>
        <w:rPr>
          <w:rFonts w:eastAsia="Times New Roman"/>
          <w:color w:val="000000"/>
          <w:sz w:val="20"/>
          <w:szCs w:val="20"/>
        </w:rPr>
        <w:t>50</w:t>
      </w:r>
    </w:p>
    <w:p w:rsidR="00000000" w:rsidRDefault="001F39D7">
      <w:pPr>
        <w:rPr>
          <w:rFonts w:eastAsia="Times New Roman"/>
        </w:rPr>
      </w:pPr>
      <w:r>
        <w:rPr>
          <w:rFonts w:eastAsia="Times New Roman"/>
        </w:rPr>
        <w:pict>
          <v:rect id="_x0000_i1079" style="width:0;height:1.5pt" o:hralign="center" o:hrstd="t" o:hr="t" fillcolor="#a0a0a0" stroked="f"/>
        </w:pict>
      </w:r>
    </w:p>
    <w:p w:rsidR="00000000" w:rsidRDefault="001F39D7">
      <w:pPr>
        <w:divId w:val="1012486626"/>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TRACTOR SUPPLY COMPANY</w:t>
      </w:r>
    </w:p>
    <w:p w:rsidR="00000000" w:rsidRDefault="001F39D7">
      <w:pPr>
        <w:jc w:val="center"/>
        <w:rPr>
          <w:rFonts w:eastAsia="Times New Roman"/>
        </w:rPr>
      </w:pPr>
      <w:r>
        <w:rPr>
          <w:rFonts w:eastAsia="Times New Roman"/>
          <w:b/>
          <w:bCs/>
          <w:color w:val="000000"/>
          <w:sz w:val="20"/>
          <w:szCs w:val="20"/>
        </w:rPr>
        <w:t>CONSOLIDATED BALANCE SHEETS</w:t>
      </w:r>
    </w:p>
    <w:p w:rsidR="00000000" w:rsidRDefault="001F39D7">
      <w:pPr>
        <w:jc w:val="center"/>
        <w:rPr>
          <w:rFonts w:eastAsia="Times New Roman"/>
        </w:rPr>
      </w:pPr>
      <w:r>
        <w:rPr>
          <w:rFonts w:eastAsia="Times New Roman"/>
          <w:b/>
          <w:bCs/>
          <w:color w:val="000000"/>
          <w:sz w:val="20"/>
          <w:szCs w:val="20"/>
        </w:rPr>
        <w:t>(in thousands, except per share amounts)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968"/>
        <w:gridCol w:w="38"/>
        <w:gridCol w:w="120"/>
        <w:gridCol w:w="921"/>
        <w:gridCol w:w="36"/>
        <w:gridCol w:w="36"/>
        <w:gridCol w:w="36"/>
        <w:gridCol w:w="36"/>
        <w:gridCol w:w="120"/>
        <w:gridCol w:w="886"/>
        <w:gridCol w:w="36"/>
      </w:tblGrid>
      <w:tr w:rsidR="00000000">
        <w:trPr>
          <w:jc w:val="center"/>
        </w:trPr>
        <w:tc>
          <w:tcPr>
            <w:tcW w:w="50" w:type="pct"/>
            <w:vAlign w:val="center"/>
            <w:hideMark/>
          </w:tcPr>
          <w:p w:rsidR="00000000" w:rsidRDefault="001F39D7">
            <w:pPr>
              <w:jc w:val="center"/>
              <w:rPr>
                <w:rFonts w:eastAsia="Times New Roman"/>
              </w:rPr>
            </w:pPr>
          </w:p>
        </w:tc>
        <w:tc>
          <w:tcPr>
            <w:tcW w:w="363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2,191,192 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1,783,270 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164,118 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133,659 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17,100 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3,250,440 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3,258,685 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1,617,806 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1,248,960 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2,785,858 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2,423,881 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Goodwill and other intangible assets                                                                </w:t>
            </w: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2,437 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31,586 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55,406 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30,484 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1,155,630 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976,096 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109,618 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119,701 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474,412 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324,813 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3,897 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4,554 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321,285 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298,696 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19,938 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2,064,842 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1,743,798 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986,382 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984,324 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32,848 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33,096 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2,574,882 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2,220,904 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105,848 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143,154 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5,764,802 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5,125,276 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1F39D7">
            <w:pPr>
              <w:spacing w:after="100"/>
              <w:jc w:val="right"/>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ind w:hanging="180"/>
              <w:divId w:val="639110928"/>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1,401 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1,210,512 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1,095,500 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(4,155,846)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(3,356,953)</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Accumulated other comprehensive income/(loss)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1,345 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(3,243)</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4,945,243 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4,187,135 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2,002,665 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1,923,840 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7,049,116 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ind w:hanging="1260"/>
        <w:divId w:val="941259885"/>
        <w:rPr>
          <w:rFonts w:eastAsia="Times New Roman"/>
        </w:rPr>
      </w:pPr>
    </w:p>
    <w:p w:rsidR="00000000" w:rsidRDefault="001F39D7">
      <w:pPr>
        <w:ind w:hanging="1260"/>
        <w:divId w:val="30888861"/>
        <w:rPr>
          <w:rFonts w:eastAsia="Times New Roman"/>
        </w:rPr>
      </w:pPr>
      <w:r>
        <w:rPr>
          <w:rFonts w:eastAsia="Times New Roman"/>
          <w:b/>
          <w:bCs/>
          <w:color w:val="000000"/>
          <w:sz w:val="16"/>
          <w:szCs w:val="16"/>
        </w:rPr>
        <w:t>Preferred Stock (shares in thousands):</w:t>
      </w:r>
      <w:r>
        <w:rPr>
          <w:rFonts w:eastAsia="Times New Roman"/>
          <w:color w:val="000000"/>
          <w:sz w:val="16"/>
          <w:szCs w:val="16"/>
        </w:rPr>
        <w:t xml:space="preserve"> $1.00 par value; 40 shares authorized; no shares were issued or outstanding during any period presented.</w:t>
      </w:r>
    </w:p>
    <w:p w:rsidR="00000000" w:rsidRDefault="001F39D7">
      <w:pPr>
        <w:ind w:hanging="1260"/>
        <w:divId w:val="1255044561"/>
        <w:rPr>
          <w:rFonts w:eastAsia="Times New Roman"/>
        </w:rPr>
      </w:pPr>
      <w:r>
        <w:rPr>
          <w:rFonts w:eastAsia="Times New Roman"/>
          <w:b/>
          <w:bCs/>
          <w:color w:val="000000"/>
          <w:sz w:val="16"/>
          <w:szCs w:val="16"/>
        </w:rPr>
        <w:t>Common Stock (shares in thousands):</w:t>
      </w:r>
      <w:r>
        <w:rPr>
          <w:rFonts w:eastAsia="Times New Roman"/>
          <w:color w:val="000000"/>
          <w:sz w:val="16"/>
          <w:szCs w:val="16"/>
        </w:rPr>
        <w:t xml:space="preserve"> $0.008 par value; 400,000 shares authorized at all periods presented. 176,37</w:t>
      </w:r>
      <w:r>
        <w:rPr>
          <w:rFonts w:eastAsia="Times New Roman"/>
          <w:color w:val="000000"/>
          <w:sz w:val="16"/>
          <w:szCs w:val="16"/>
        </w:rPr>
        <w:t>1 and 175,128 shares issued; 113,125 and 116,246 shares outstanding at December 25, 2021 and December 26, 2020, respectively.</w:t>
      </w:r>
    </w:p>
    <w:p w:rsidR="00000000" w:rsidRDefault="001F39D7">
      <w:pPr>
        <w:ind w:hanging="1260"/>
        <w:divId w:val="163013349"/>
        <w:rPr>
          <w:rFonts w:eastAsia="Times New Roman"/>
        </w:rPr>
      </w:pPr>
      <w:r>
        <w:rPr>
          <w:rFonts w:eastAsia="Times New Roman"/>
          <w:b/>
          <w:bCs/>
          <w:color w:val="000000"/>
          <w:sz w:val="16"/>
          <w:szCs w:val="16"/>
        </w:rPr>
        <w:t xml:space="preserve">Treasury Stock (at cost, shares in thousands): </w:t>
      </w:r>
      <w:r>
        <w:rPr>
          <w:rFonts w:eastAsia="Times New Roman"/>
          <w:color w:val="000000"/>
          <w:sz w:val="16"/>
          <w:szCs w:val="16"/>
        </w:rPr>
        <w:t>63,246 and 58,882 shares at December 25, 2021 and December 26, 2020, respectively.</w:t>
      </w:r>
    </w:p>
    <w:p w:rsidR="00000000" w:rsidRDefault="001F39D7">
      <w:pPr>
        <w:ind w:hanging="1260"/>
        <w:divId w:val="2132628571"/>
        <w:rPr>
          <w:rFonts w:eastAsia="Times New Roman"/>
        </w:rPr>
      </w:pPr>
    </w:p>
    <w:p w:rsidR="00000000" w:rsidRDefault="001F39D7">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1F39D7">
      <w:pPr>
        <w:jc w:val="center"/>
        <w:divId w:val="1366641261"/>
        <w:rPr>
          <w:rFonts w:eastAsia="Times New Roman"/>
        </w:rPr>
      </w:pPr>
      <w:r>
        <w:rPr>
          <w:rFonts w:eastAsia="Times New Roman"/>
          <w:color w:val="000000"/>
          <w:sz w:val="20"/>
          <w:szCs w:val="20"/>
        </w:rPr>
        <w:t>51</w:t>
      </w:r>
    </w:p>
    <w:p w:rsidR="00000000" w:rsidRDefault="001F39D7">
      <w:pPr>
        <w:rPr>
          <w:rFonts w:eastAsia="Times New Roman"/>
        </w:rPr>
      </w:pPr>
      <w:r>
        <w:rPr>
          <w:rFonts w:eastAsia="Times New Roman"/>
        </w:rPr>
        <w:pict>
          <v:rect id="_x0000_i1080" style="width:0;height:1.5pt" o:hralign="center" o:hrstd="t" o:hr="t" fillcolor="#a0a0a0" stroked="f"/>
        </w:pict>
      </w:r>
    </w:p>
    <w:p w:rsidR="00000000" w:rsidRDefault="001F39D7">
      <w:pPr>
        <w:divId w:val="1774208357"/>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TRACTOR SUPPLY COMPANY</w:t>
      </w:r>
    </w:p>
    <w:p w:rsidR="00000000" w:rsidRDefault="001F39D7">
      <w:pPr>
        <w:jc w:val="center"/>
        <w:rPr>
          <w:rFonts w:eastAsia="Times New Roman"/>
        </w:rPr>
      </w:pPr>
      <w:r>
        <w:rPr>
          <w:rFonts w:eastAsia="Times New Roman"/>
          <w:b/>
          <w:bCs/>
          <w:color w:val="000000"/>
          <w:sz w:val="20"/>
          <w:szCs w:val="20"/>
        </w:rPr>
        <w:t>CONSOLIDATED STATEMENTS OF STOCKHOLDERS</w:t>
      </w:r>
      <w:r>
        <w:rPr>
          <w:rFonts w:eastAsia="Times New Roman"/>
          <w:b/>
          <w:bCs/>
          <w:color w:val="000000"/>
          <w:sz w:val="20"/>
          <w:szCs w:val="20"/>
        </w:rPr>
        <w:t>’ EQUITY</w:t>
      </w:r>
    </w:p>
    <w:p w:rsidR="00000000" w:rsidRDefault="001F39D7">
      <w:pPr>
        <w:jc w:val="center"/>
        <w:rPr>
          <w:rFonts w:eastAsia="Times New Roman"/>
        </w:rPr>
      </w:pPr>
      <w:r>
        <w:rPr>
          <w:rFonts w:eastAsia="Times New Roman"/>
          <w:b/>
          <w:bCs/>
          <w:color w:val="000000"/>
          <w:sz w:val="20"/>
          <w:szCs w:val="20"/>
        </w:rPr>
        <w:t>(in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1541"/>
        <w:gridCol w:w="37"/>
        <w:gridCol w:w="85"/>
        <w:gridCol w:w="565"/>
        <w:gridCol w:w="36"/>
        <w:gridCol w:w="36"/>
        <w:gridCol w:w="36"/>
        <w:gridCol w:w="36"/>
        <w:gridCol w:w="111"/>
        <w:gridCol w:w="515"/>
        <w:gridCol w:w="37"/>
        <w:gridCol w:w="36"/>
        <w:gridCol w:w="36"/>
        <w:gridCol w:w="36"/>
        <w:gridCol w:w="110"/>
        <w:gridCol w:w="765"/>
        <w:gridCol w:w="36"/>
        <w:gridCol w:w="36"/>
        <w:gridCol w:w="36"/>
        <w:gridCol w:w="36"/>
        <w:gridCol w:w="110"/>
        <w:gridCol w:w="840"/>
        <w:gridCol w:w="36"/>
        <w:gridCol w:w="36"/>
        <w:gridCol w:w="36"/>
        <w:gridCol w:w="36"/>
        <w:gridCol w:w="111"/>
        <w:gridCol w:w="560"/>
        <w:gridCol w:w="36"/>
        <w:gridCol w:w="36"/>
        <w:gridCol w:w="36"/>
        <w:gridCol w:w="36"/>
        <w:gridCol w:w="110"/>
        <w:gridCol w:w="765"/>
        <w:gridCol w:w="36"/>
        <w:gridCol w:w="36"/>
        <w:gridCol w:w="36"/>
        <w:gridCol w:w="36"/>
        <w:gridCol w:w="111"/>
        <w:gridCol w:w="1001"/>
        <w:gridCol w:w="36"/>
      </w:tblGrid>
      <w:tr w:rsidR="00000000">
        <w:trPr>
          <w:jc w:val="center"/>
        </w:trPr>
        <w:tc>
          <w:tcPr>
            <w:tcW w:w="50" w:type="pct"/>
            <w:vAlign w:val="center"/>
            <w:hideMark/>
          </w:tcPr>
          <w:p w:rsidR="00000000" w:rsidRDefault="001F39D7">
            <w:pPr>
              <w:jc w:val="center"/>
              <w:rPr>
                <w:rFonts w:eastAsia="Times New Roman"/>
              </w:rPr>
            </w:pPr>
          </w:p>
        </w:tc>
        <w:tc>
          <w:tcPr>
            <w:tcW w:w="135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33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33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7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1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5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520"/>
          <w:jc w:val="center"/>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Common Stock</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Additional</w:t>
            </w:r>
          </w:p>
          <w:p w:rsidR="00000000" w:rsidRDefault="001F39D7">
            <w:pPr>
              <w:spacing w:after="100"/>
              <w:jc w:val="center"/>
              <w:rPr>
                <w:rFonts w:eastAsia="Times New Roman"/>
              </w:rPr>
            </w:pPr>
            <w:r>
              <w:rPr>
                <w:rFonts w:eastAsia="Times New Roman"/>
                <w:b/>
                <w:bCs/>
                <w:color w:val="000000"/>
                <w:sz w:val="18"/>
                <w:szCs w:val="18"/>
              </w:rPr>
              <w:t>Paid-in</w:t>
            </w:r>
          </w:p>
          <w:p w:rsidR="00000000" w:rsidRDefault="001F39D7">
            <w:pPr>
              <w:spacing w:after="100"/>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Treasury</w:t>
            </w:r>
          </w:p>
          <w:p w:rsidR="00000000" w:rsidRDefault="001F39D7">
            <w:pPr>
              <w:spacing w:after="100"/>
              <w:jc w:val="center"/>
              <w:rPr>
                <w:rFonts w:eastAsia="Times New Roman"/>
              </w:rPr>
            </w:pPr>
            <w:r>
              <w:rPr>
                <w:rFonts w:eastAsia="Times New Roman"/>
                <w:b/>
                <w:bCs/>
                <w:color w:val="000000"/>
                <w:sz w:val="18"/>
                <w:szCs w:val="18"/>
              </w:rPr>
              <w:t>Stock</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Accum. Other Comp. Income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Retained</w:t>
            </w:r>
          </w:p>
          <w:p w:rsidR="00000000" w:rsidRDefault="001F39D7">
            <w:pPr>
              <w:spacing w:after="100"/>
              <w:jc w:val="center"/>
              <w:rPr>
                <w:rFonts w:eastAsia="Times New Roman"/>
              </w:rPr>
            </w:pPr>
            <w:r>
              <w:rPr>
                <w:rFonts w:eastAsia="Times New Roman"/>
                <w:b/>
                <w:bCs/>
                <w:color w:val="000000"/>
                <w:sz w:val="18"/>
                <w:szCs w:val="18"/>
              </w:rPr>
              <w:t>Earnings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Total</w:t>
            </w:r>
          </w:p>
          <w:p w:rsidR="00000000" w:rsidRDefault="001F39D7">
            <w:pPr>
              <w:spacing w:after="100"/>
              <w:jc w:val="center"/>
              <w:rPr>
                <w:rFonts w:eastAsia="Times New Roman"/>
              </w:rPr>
            </w:pPr>
            <w:r>
              <w:rPr>
                <w:rFonts w:eastAsia="Times New Roman"/>
                <w:b/>
                <w:bCs/>
                <w:color w:val="000000"/>
                <w:sz w:val="18"/>
                <w:szCs w:val="18"/>
              </w:rPr>
              <w:t>Stockholders’</w:t>
            </w:r>
          </w:p>
          <w:p w:rsidR="00000000" w:rsidRDefault="001F39D7">
            <w:pPr>
              <w:spacing w:after="100"/>
              <w:jc w:val="center"/>
              <w:rPr>
                <w:rFonts w:eastAsia="Times New Roman"/>
              </w:rPr>
            </w:pPr>
            <w:r>
              <w:rPr>
                <w:rFonts w:eastAsia="Times New Roman"/>
                <w:b/>
                <w:bCs/>
                <w:color w:val="000000"/>
                <w:sz w:val="18"/>
                <w:szCs w:val="18"/>
              </w:rPr>
              <w:t>Equity</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Dollars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vMerge/>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vMerge/>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vMerge/>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vMerge/>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vMerge/>
            <w:vAlign w:val="center"/>
            <w:hideMark/>
          </w:tcPr>
          <w:p w:rsidR="00000000" w:rsidRDefault="001F39D7">
            <w:pPr>
              <w:spacing w:after="100"/>
              <w:rPr>
                <w:rFonts w:eastAsia="Times New Roman"/>
              </w:rPr>
            </w:pPr>
          </w:p>
        </w:tc>
      </w:tr>
      <w:tr w:rsidR="001F39D7">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29,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121,828 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823,413 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(2,480,677)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3,213,895 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1,561,820 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1,721 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115,967 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115,981 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31,136 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31,136 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(3,818)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(3,818)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(5,384)</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(533,319)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(533,319)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(162,699)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(162,699)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(4,332)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(4,332)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562,354 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562,354 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Reclassification of stranded tax effects as a result of ASU 2018-02 adoption</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717 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(717)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118,165 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966,698 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w:t>
            </w:r>
            <w:r>
              <w:rPr>
                <w:rFonts w:eastAsia="Times New Roman"/>
                <w:color w:val="000000"/>
                <w:sz w:val="18"/>
                <w:szCs w:val="18"/>
              </w:rPr>
              <w:t>3,013,996)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3,612,833 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1,567,123 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1,520 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99,328 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99,340 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37,273 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37,273 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(7,799)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(7,799)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(3,439)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w:t>
            </w:r>
            <w:r>
              <w:rPr>
                <w:rFonts w:eastAsia="Times New Roman"/>
                <w:color w:val="000000"/>
                <w:sz w:val="18"/>
                <w:szCs w:val="18"/>
              </w:rPr>
              <w:t>342,957)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(342,957)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(174,656)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(174,656)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(3,442)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(3,442)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748,958 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748,958 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26,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(3,356,953)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20"/>
          <w:jc w:val="center"/>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1,243 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82,239 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82,249 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47,649 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47,649 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(14,876)</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(14,876)</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(4,364)</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(798,893)</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(798,893)</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(239,006)</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(239,006)</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4,588 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4,588 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997,114 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997,114 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1F39D7">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25,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113,125 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1,411 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1,210,512 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(4,155,846)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1,345 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4,945,243 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18"/>
                <w:szCs w:val="18"/>
              </w:rPr>
              <w:t>2,002,665 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2068651760"/>
        <w:rPr>
          <w:rFonts w:eastAsia="Times New Roman"/>
        </w:rPr>
      </w:pPr>
    </w:p>
    <w:p w:rsidR="00000000" w:rsidRDefault="001F39D7">
      <w:pPr>
        <w:jc w:val="center"/>
        <w:rPr>
          <w:rFonts w:eastAsia="Times New Roman"/>
        </w:rPr>
      </w:pPr>
      <w:r>
        <w:rPr>
          <w:rFonts w:eastAsia="Times New Roman"/>
          <w:color w:val="000000"/>
          <w:sz w:val="20"/>
          <w:szCs w:val="20"/>
        </w:rPr>
        <w:t>The accompanying notes are an integral part of these Co</w:t>
      </w:r>
      <w:r>
        <w:rPr>
          <w:rFonts w:eastAsia="Times New Roman"/>
          <w:color w:val="000000"/>
          <w:sz w:val="20"/>
          <w:szCs w:val="20"/>
        </w:rPr>
        <w:t>nsolidated Financial Statements.</w:t>
      </w:r>
    </w:p>
    <w:p w:rsidR="00000000" w:rsidRDefault="001F39D7">
      <w:pPr>
        <w:jc w:val="center"/>
        <w:divId w:val="1827162802"/>
        <w:rPr>
          <w:rFonts w:eastAsia="Times New Roman"/>
        </w:rPr>
      </w:pPr>
      <w:r>
        <w:rPr>
          <w:rFonts w:eastAsia="Times New Roman"/>
          <w:color w:val="000000"/>
          <w:sz w:val="20"/>
          <w:szCs w:val="20"/>
        </w:rPr>
        <w:t>52</w:t>
      </w:r>
    </w:p>
    <w:p w:rsidR="00000000" w:rsidRDefault="001F39D7">
      <w:pPr>
        <w:rPr>
          <w:rFonts w:eastAsia="Times New Roman"/>
        </w:rPr>
      </w:pPr>
      <w:r>
        <w:rPr>
          <w:rFonts w:eastAsia="Times New Roman"/>
        </w:rPr>
        <w:pict>
          <v:rect id="_x0000_i1081" style="width:0;height:1.5pt" o:hralign="center" o:hrstd="t" o:hr="t" fillcolor="#a0a0a0" stroked="f"/>
        </w:pict>
      </w:r>
    </w:p>
    <w:p w:rsidR="00000000" w:rsidRDefault="001F39D7">
      <w:pPr>
        <w:divId w:val="2059476539"/>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TRACTOR SUPPLY COMPANY</w:t>
      </w:r>
    </w:p>
    <w:p w:rsidR="00000000" w:rsidRDefault="001F39D7">
      <w:pPr>
        <w:jc w:val="center"/>
        <w:rPr>
          <w:rFonts w:eastAsia="Times New Roman"/>
        </w:rPr>
      </w:pPr>
      <w:r>
        <w:rPr>
          <w:rFonts w:eastAsia="Times New Roman"/>
          <w:b/>
          <w:bCs/>
          <w:color w:val="000000"/>
          <w:sz w:val="20"/>
          <w:szCs w:val="20"/>
        </w:rPr>
        <w:t>CONSOLIDATED STATEMENTS OF CASH FLOWS</w:t>
      </w:r>
    </w:p>
    <w:p w:rsidR="00000000" w:rsidRDefault="001F39D7">
      <w:pPr>
        <w:jc w:val="center"/>
        <w:rPr>
          <w:rFonts w:eastAsia="Times New Roman"/>
        </w:rPr>
      </w:pPr>
      <w:r>
        <w:rPr>
          <w:rFonts w:eastAsia="Times New Roman"/>
          <w:b/>
          <w:bCs/>
          <w:color w:val="000000"/>
          <w:sz w:val="20"/>
          <w:szCs w:val="20"/>
        </w:rPr>
        <w:t>(in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022"/>
        <w:gridCol w:w="41"/>
        <w:gridCol w:w="121"/>
        <w:gridCol w:w="794"/>
        <w:gridCol w:w="36"/>
        <w:gridCol w:w="36"/>
        <w:gridCol w:w="36"/>
        <w:gridCol w:w="36"/>
        <w:gridCol w:w="120"/>
        <w:gridCol w:w="850"/>
        <w:gridCol w:w="36"/>
        <w:gridCol w:w="36"/>
        <w:gridCol w:w="36"/>
        <w:gridCol w:w="36"/>
        <w:gridCol w:w="121"/>
        <w:gridCol w:w="871"/>
        <w:gridCol w:w="36"/>
      </w:tblGrid>
      <w:tr w:rsidR="00000000">
        <w:trPr>
          <w:jc w:val="center"/>
        </w:trPr>
        <w:tc>
          <w:tcPr>
            <w:tcW w:w="50" w:type="pct"/>
            <w:vAlign w:val="center"/>
            <w:hideMark/>
          </w:tcPr>
          <w:p w:rsidR="00000000" w:rsidRDefault="001F39D7">
            <w:pPr>
              <w:jc w:val="center"/>
              <w:rPr>
                <w:rFonts w:eastAsia="Times New Roman"/>
              </w:rPr>
            </w:pPr>
          </w:p>
        </w:tc>
        <w:tc>
          <w:tcPr>
            <w:tcW w:w="311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2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2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3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8"/>
                <w:szCs w:val="18"/>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8"/>
                <w:szCs w:val="18"/>
              </w:rPr>
              <w:t>(52 weeks)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18"/>
                <w:szCs w:val="18"/>
              </w:rPr>
              <w:t>(52 weeks)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997,114 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748,958 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562,354 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270,158 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217,124 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195,978 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Impairment of goodwill and 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68,973 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Impairment of other long-lived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Loss/(gain) on disposition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4,045 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47,649 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37,273 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31,136 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29,149 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(31,739)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6,760 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(407,922)</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(180,489)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(13,239)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(30,459)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(32,794)</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13,582 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179,534 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333,060 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23,055 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(10,083)</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79,946 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(14,291)</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137,833 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72,405 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10,351 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(37,038)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13,954 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8,327 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(41,260)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63,923 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(12,000)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1,138,720 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1,394,515 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811,716 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(628,431)</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(294,002)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(217,450)</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1,091 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1,792 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2,489 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(627,340)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(292,210)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(214,961)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2,009,000 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1,002,000 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(1,406,500)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(1,013,250)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Debt discounts and issuance costs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(17,048)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(4,580)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(4,170)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(3,708)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(14,876)</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(7,799)</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(3,818)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(798,893)</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(342,957)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(533,319)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82,249 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99,340 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115,981 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(239,006)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(174,656)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(162,699)</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cash (used in)/provided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(975,106)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155,210 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(598,813)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Net (decrease)/increase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(463,726)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1,257,515 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1,341,756 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84,241 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86,299 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878,030 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1,341,756 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84,241 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paid during the period for:</w:t>
            </w: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23,601 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24,540 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19,146 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taxes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291,665 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235,319 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144,377 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Non-cash accruals for property and equipment</w:t>
            </w: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24,408 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12,642 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7,924 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678,092 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524,141 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365,233 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3,675 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7,395 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5,217 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 assets and liabilities recognized upon adoption of ASC 842</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2,084,880 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center"/>
        <w:rPr>
          <w:rFonts w:eastAsia="Times New Roman"/>
        </w:rPr>
      </w:pPr>
    </w:p>
    <w:p w:rsidR="00000000" w:rsidRDefault="001F39D7">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1F39D7">
      <w:pPr>
        <w:jc w:val="center"/>
        <w:divId w:val="445730901"/>
        <w:rPr>
          <w:rFonts w:eastAsia="Times New Roman"/>
        </w:rPr>
      </w:pPr>
      <w:r>
        <w:rPr>
          <w:rFonts w:eastAsia="Times New Roman"/>
          <w:color w:val="000000"/>
          <w:sz w:val="20"/>
          <w:szCs w:val="20"/>
        </w:rPr>
        <w:t>53</w:t>
      </w:r>
    </w:p>
    <w:p w:rsidR="00000000" w:rsidRDefault="001F39D7">
      <w:pPr>
        <w:rPr>
          <w:rFonts w:eastAsia="Times New Roman"/>
        </w:rPr>
      </w:pPr>
      <w:r>
        <w:rPr>
          <w:rFonts w:eastAsia="Times New Roman"/>
        </w:rPr>
        <w:pict>
          <v:rect id="_x0000_i1082" style="width:0;height:1.5pt" o:hralign="center" o:hrstd="t" o:hr="t" fillcolor="#a0a0a0" stroked="f"/>
        </w:pict>
      </w:r>
    </w:p>
    <w:p w:rsidR="00000000" w:rsidRDefault="001F39D7">
      <w:pPr>
        <w:divId w:val="114256929"/>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TRACTOR SUPPLY COMPANY</w:t>
      </w:r>
    </w:p>
    <w:p w:rsidR="00000000" w:rsidRDefault="001F39D7">
      <w:pPr>
        <w:jc w:val="center"/>
        <w:rPr>
          <w:rFonts w:eastAsia="Times New Roman"/>
        </w:rPr>
      </w:pPr>
      <w:r>
        <w:rPr>
          <w:rFonts w:eastAsia="Times New Roman"/>
          <w:b/>
          <w:bCs/>
          <w:color w:val="000000"/>
          <w:sz w:val="20"/>
          <w:szCs w:val="20"/>
        </w:rPr>
        <w:t>NOTES TO CONSOLIDATED FINANCIAL STATEMENTS</w:t>
      </w:r>
    </w:p>
    <w:p w:rsidR="00000000" w:rsidRDefault="001F39D7">
      <w:pPr>
        <w:jc w:val="center"/>
        <w:rPr>
          <w:rFonts w:eastAsia="Times New Roman"/>
        </w:rPr>
      </w:pPr>
    </w:p>
    <w:p w:rsidR="00000000" w:rsidRDefault="001F39D7">
      <w:pPr>
        <w:divId w:val="1014963085"/>
        <w:rPr>
          <w:rFonts w:eastAsia="Times New Roman"/>
        </w:rPr>
      </w:pPr>
      <w:r>
        <w:rPr>
          <w:rFonts w:eastAsia="Times New Roman"/>
          <w:b/>
          <w:bCs/>
          <w:color w:val="000000"/>
          <w:sz w:val="20"/>
          <w:szCs w:val="20"/>
        </w:rPr>
        <w:t>Note 1 – Significant Accounting Policies:</w:t>
      </w:r>
    </w:p>
    <w:p w:rsidR="00000000" w:rsidRDefault="001F39D7">
      <w:pPr>
        <w:divId w:val="127019867"/>
        <w:rPr>
          <w:rFonts w:eastAsia="Times New Roman"/>
        </w:rPr>
      </w:pPr>
    </w:p>
    <w:p w:rsidR="00000000" w:rsidRDefault="001F39D7">
      <w:pPr>
        <w:jc w:val="both"/>
        <w:rPr>
          <w:rFonts w:eastAsia="Times New Roman"/>
        </w:rPr>
      </w:pPr>
      <w:r>
        <w:rPr>
          <w:rFonts w:eastAsia="Times New Roman"/>
          <w:b/>
          <w:bCs/>
          <w:i/>
          <w:iCs/>
          <w:color w:val="000000"/>
          <w:sz w:val="20"/>
          <w:szCs w:val="20"/>
        </w:rPr>
        <w:t>Nature of Business</w:t>
      </w:r>
    </w:p>
    <w:p w:rsidR="00000000" w:rsidRDefault="001F39D7">
      <w:pPr>
        <w:divId w:val="1545866830"/>
        <w:rPr>
          <w:rFonts w:eastAsia="Times New Roman"/>
        </w:rPr>
      </w:pPr>
    </w:p>
    <w:p w:rsidR="00000000" w:rsidRDefault="001F39D7">
      <w:pPr>
        <w:jc w:val="both"/>
        <w:rPr>
          <w:rFonts w:eastAsia="Times New Roman"/>
        </w:rPr>
      </w:pPr>
      <w:r>
        <w:rPr>
          <w:rFonts w:eastAsia="Times New Roman"/>
          <w:color w:val="000000"/>
          <w:sz w:val="20"/>
          <w:szCs w:val="20"/>
        </w:rPr>
        <w:t>Founded in 1938, Tracto</w:t>
      </w:r>
      <w:r>
        <w:rPr>
          <w:rFonts w:eastAsia="Times New Roman"/>
          <w:color w:val="000000"/>
          <w:sz w:val="20"/>
          <w:szCs w:val="20"/>
        </w:rPr>
        <w:t>r Supply Company (the “Company” or "Tractor Supply" or “we” or “our” or “us”) is the largest rural lifestyle retailer in the United States (“U.S.”).  The Company is focused on supplying the needs of recreational farmers, ranchers, and all those who enjoy l</w:t>
      </w:r>
      <w:r>
        <w:rPr>
          <w:rFonts w:eastAsia="Times New Roman"/>
          <w:color w:val="000000"/>
          <w:sz w:val="20"/>
          <w:szCs w:val="20"/>
        </w:rPr>
        <w:t>iving the rural lifestyle (which we refer to as the “</w:t>
      </w:r>
      <w:r>
        <w:rPr>
          <w:rFonts w:eastAsia="Times New Roman"/>
          <w:i/>
          <w:iCs/>
          <w:color w:val="000000"/>
          <w:sz w:val="20"/>
          <w:szCs w:val="20"/>
        </w:rPr>
        <w:t>Out Here</w:t>
      </w:r>
      <w:r>
        <w:rPr>
          <w:rFonts w:eastAsia="Times New Roman"/>
          <w:color w:val="000000"/>
          <w:sz w:val="20"/>
          <w:szCs w:val="20"/>
        </w:rPr>
        <w:t>” lifestyle). The Company's stores are located primarily in towns outlying major metropolitan markets and in rural communities. The Company also owns and operates Petsense, LLC (“Petsense”), a sm</w:t>
      </w:r>
      <w:r>
        <w:rPr>
          <w:rFonts w:eastAsia="Times New Roman"/>
          <w:color w:val="000000"/>
          <w:sz w:val="20"/>
          <w:szCs w:val="20"/>
        </w:rPr>
        <w:t xml:space="preserve">all-box pet specialty supply retailer focused on meeting the needs of pet owners, primarily in small and mid-sized communities, and offering a variety of pet products and services.  At December 25, 2021, the Company operated a total of 2,181 retail stores </w:t>
      </w:r>
      <w:r>
        <w:rPr>
          <w:rFonts w:eastAsia="Times New Roman"/>
          <w:color w:val="000000"/>
          <w:sz w:val="20"/>
          <w:szCs w:val="20"/>
        </w:rPr>
        <w:t xml:space="preserve">in 49 states (2,003 Tractor Supply and Del’s retail stores and 178 Petsense retail stores) and also offered an expanded assortment of products through the Tractor Supply Company mobile application and online at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Febr</w:t>
      </w:r>
      <w:r>
        <w:rPr>
          <w:rFonts w:eastAsia="Times New Roman"/>
          <w:color w:val="000000"/>
          <w:sz w:val="20"/>
          <w:szCs w:val="20"/>
        </w:rPr>
        <w:t>uary 17, 2021, the Company announced that it entered into an agreement to acquire all of the outstanding equity interests of Orscheln Farm and Home, LLC, a farm and ranch retailer with 167 retail stores in 11 states, in an all-cash transaction for approxim</w:t>
      </w:r>
      <w:r>
        <w:rPr>
          <w:rFonts w:eastAsia="Times New Roman"/>
          <w:color w:val="000000"/>
          <w:sz w:val="20"/>
          <w:szCs w:val="20"/>
        </w:rPr>
        <w:t>ately $320 million. The Company intends to fund the acquisition through cash-on-hand. The acquisition is conditioned on the receipt of regulatory clearance and the satisfactory completion of customary closing conditions within a specified timeframe.</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Basi</w:t>
      </w:r>
      <w:r>
        <w:rPr>
          <w:rFonts w:eastAsia="Times New Roman"/>
          <w:b/>
          <w:bCs/>
          <w:i/>
          <w:iCs/>
          <w:color w:val="000000"/>
          <w:sz w:val="20"/>
          <w:szCs w:val="20"/>
        </w:rPr>
        <w:t>s of Presentation</w:t>
      </w:r>
    </w:p>
    <w:p w:rsidR="00000000" w:rsidRDefault="001F39D7">
      <w:pPr>
        <w:divId w:val="1390684437"/>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The accompanying Consolidated Financial Statements have been prepared in accordance with accounting principles generally accepted in the United States of America ("U.S. GAAP") and the rules and regulations of the Securities and Exchange</w:t>
      </w:r>
      <w:r>
        <w:rPr>
          <w:rFonts w:eastAsia="Times New Roman"/>
          <w:color w:val="000000"/>
          <w:sz w:val="20"/>
          <w:szCs w:val="20"/>
          <w:shd w:val="clear" w:color="auto" w:fill="FFFFFF"/>
        </w:rPr>
        <w:t xml:space="preserve"> Commission ("SEC"). </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COVID-19 Pandemic</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COVID-19 pandemic has created significant public health concerns as well as economic disruption, uncertainty, and</w:t>
      </w:r>
    </w:p>
    <w:p w:rsidR="00000000" w:rsidRDefault="001F39D7">
      <w:pPr>
        <w:jc w:val="both"/>
        <w:rPr>
          <w:rFonts w:eastAsia="Times New Roman"/>
        </w:rPr>
      </w:pPr>
      <w:r>
        <w:rPr>
          <w:rFonts w:eastAsia="Times New Roman"/>
          <w:color w:val="000000"/>
          <w:sz w:val="20"/>
          <w:szCs w:val="20"/>
        </w:rPr>
        <w:t>volatility which may negatively affect our business operations. As a result, as the pandemic persists and/or if it worsens, our accounting estimates and assumptions could be impacted in subsequent periods, and it is reasonably possible such changes could b</w:t>
      </w:r>
      <w:r>
        <w:rPr>
          <w:rFonts w:eastAsia="Times New Roman"/>
          <w:color w:val="000000"/>
          <w:sz w:val="20"/>
          <w:szCs w:val="20"/>
        </w:rPr>
        <w:t xml:space="preserve">e significant. </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Fiscal Year</w:t>
      </w:r>
    </w:p>
    <w:p w:rsidR="00000000" w:rsidRDefault="001F39D7">
      <w:pPr>
        <w:divId w:val="566260384"/>
        <w:rPr>
          <w:rFonts w:eastAsia="Times New Roman"/>
        </w:rPr>
      </w:pPr>
    </w:p>
    <w:p w:rsidR="00000000" w:rsidRDefault="001F39D7">
      <w:pPr>
        <w:jc w:val="both"/>
        <w:rPr>
          <w:rFonts w:eastAsia="Times New Roman"/>
        </w:rPr>
      </w:pPr>
      <w:r>
        <w:rPr>
          <w:rFonts w:eastAsia="Times New Roman"/>
          <w:color w:val="000000"/>
          <w:sz w:val="20"/>
          <w:szCs w:val="20"/>
        </w:rPr>
        <w:t>The Company’s fiscal year includes 52 or 53 weeks and ends on the last Saturday of the calendar year.  The fiscal years ended December 25, 2021, December 26, 2020, and December 28, 2019, all consisted of 52 weeks.</w:t>
      </w:r>
    </w:p>
    <w:p w:rsidR="00000000" w:rsidRDefault="001F39D7">
      <w:pPr>
        <w:divId w:val="3678796"/>
        <w:rPr>
          <w:rFonts w:eastAsia="Times New Roman"/>
        </w:rPr>
      </w:pPr>
    </w:p>
    <w:p w:rsidR="00000000" w:rsidRDefault="001F39D7">
      <w:pPr>
        <w:jc w:val="both"/>
        <w:rPr>
          <w:rFonts w:eastAsia="Times New Roman"/>
        </w:rPr>
      </w:pPr>
      <w:r>
        <w:rPr>
          <w:rFonts w:eastAsia="Times New Roman"/>
          <w:b/>
          <w:bCs/>
          <w:i/>
          <w:iCs/>
          <w:color w:val="000000"/>
          <w:sz w:val="20"/>
          <w:szCs w:val="20"/>
        </w:rPr>
        <w:t>Principles of Consolidation</w:t>
      </w:r>
    </w:p>
    <w:p w:rsidR="00000000" w:rsidRDefault="001F39D7">
      <w:pPr>
        <w:divId w:val="1456635521"/>
        <w:rPr>
          <w:rFonts w:eastAsia="Times New Roman"/>
        </w:rPr>
      </w:pPr>
    </w:p>
    <w:p w:rsidR="00000000" w:rsidRDefault="001F39D7">
      <w:pPr>
        <w:jc w:val="both"/>
        <w:rPr>
          <w:rFonts w:eastAsia="Times New Roman"/>
        </w:rPr>
      </w:pPr>
      <w:r>
        <w:rPr>
          <w:rFonts w:eastAsia="Times New Roman"/>
          <w:color w:val="000000"/>
          <w:sz w:val="20"/>
          <w:szCs w:val="20"/>
        </w:rPr>
        <w:t>The accompanying Consolidated Financial Statements include the accounts of the Company and its subsidiaries.  All intercompany accounts and transactions have been eliminated.</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Management Estimates</w:t>
      </w:r>
    </w:p>
    <w:p w:rsidR="00000000" w:rsidRDefault="001F39D7">
      <w:pPr>
        <w:divId w:val="1197887594"/>
        <w:rPr>
          <w:rFonts w:eastAsia="Times New Roman"/>
        </w:rPr>
      </w:pPr>
    </w:p>
    <w:p w:rsidR="00000000" w:rsidRDefault="001F39D7">
      <w:pPr>
        <w:jc w:val="both"/>
        <w:rPr>
          <w:rFonts w:eastAsia="Times New Roman"/>
        </w:rPr>
      </w:pPr>
      <w:r>
        <w:rPr>
          <w:rFonts w:eastAsia="Times New Roman"/>
          <w:color w:val="000000"/>
          <w:sz w:val="20"/>
          <w:szCs w:val="20"/>
        </w:rPr>
        <w:t>The preparation of Consoli</w:t>
      </w:r>
      <w:r>
        <w:rPr>
          <w:rFonts w:eastAsia="Times New Roman"/>
          <w:color w:val="000000"/>
          <w:sz w:val="20"/>
          <w:szCs w:val="20"/>
        </w:rPr>
        <w:t>dated Financial Statements in conformity with U.S. GAAP inherently requires estimates and assumptions by management of the Company that affect the reported amounts of assets and liabilities, revenues and expenses and related disclosures.  Actual results co</w:t>
      </w:r>
      <w:r>
        <w:rPr>
          <w:rFonts w:eastAsia="Times New Roman"/>
          <w:color w:val="000000"/>
          <w:sz w:val="20"/>
          <w:szCs w:val="20"/>
        </w:rPr>
        <w:t>uld differ from those estimates.</w:t>
      </w:r>
    </w:p>
    <w:p w:rsidR="00000000" w:rsidRDefault="001F39D7">
      <w:pPr>
        <w:divId w:val="346441792"/>
        <w:rPr>
          <w:rFonts w:eastAsia="Times New Roman"/>
        </w:rPr>
      </w:pPr>
    </w:p>
    <w:p w:rsidR="00000000" w:rsidRDefault="001F39D7">
      <w:pPr>
        <w:jc w:val="center"/>
        <w:divId w:val="1293712020"/>
        <w:rPr>
          <w:rFonts w:eastAsia="Times New Roman"/>
        </w:rPr>
      </w:pPr>
      <w:r>
        <w:rPr>
          <w:rFonts w:eastAsia="Times New Roman"/>
          <w:color w:val="000000"/>
          <w:sz w:val="20"/>
          <w:szCs w:val="20"/>
        </w:rPr>
        <w:t>54</w:t>
      </w:r>
    </w:p>
    <w:p w:rsidR="00000000" w:rsidRDefault="001F39D7">
      <w:pPr>
        <w:rPr>
          <w:rFonts w:eastAsia="Times New Roman"/>
        </w:rPr>
      </w:pPr>
      <w:r>
        <w:rPr>
          <w:rFonts w:eastAsia="Times New Roman"/>
        </w:rPr>
        <w:pict>
          <v:rect id="_x0000_i1083" style="width:0;height:1.5pt" o:hralign="center" o:hrstd="t" o:hr="t" fillcolor="#a0a0a0" stroked="f"/>
        </w:pict>
      </w:r>
    </w:p>
    <w:p w:rsidR="00000000" w:rsidRDefault="001F39D7">
      <w:pPr>
        <w:divId w:val="875971927"/>
        <w:rPr>
          <w:rFonts w:eastAsia="Times New Roman"/>
        </w:rPr>
      </w:pPr>
      <w:hyperlink w:anchor="ia0680a7a640346e7afc1f53a5745d231_7" w:history="1">
        <w:r>
          <w:rPr>
            <w:rStyle w:val="a3"/>
            <w:rFonts w:eastAsia="Times New Roman"/>
            <w:sz w:val="18"/>
            <w:szCs w:val="18"/>
          </w:rPr>
          <w:t>Index</w:t>
        </w:r>
      </w:hyperlink>
    </w:p>
    <w:p w:rsidR="00000000" w:rsidRDefault="001F39D7">
      <w:pPr>
        <w:divId w:val="1471242439"/>
        <w:rPr>
          <w:rFonts w:eastAsia="Times New Roman"/>
        </w:rPr>
      </w:pPr>
      <w:r>
        <w:rPr>
          <w:rFonts w:eastAsia="Times New Roman"/>
          <w:color w:val="000000"/>
          <w:sz w:val="20"/>
          <w:szCs w:val="20"/>
        </w:rPr>
        <w:t>Significant estimates and assumptions by management primarily impact the following key financial statement areas:</w:t>
      </w:r>
    </w:p>
    <w:p w:rsidR="00000000" w:rsidRDefault="001F39D7">
      <w:pPr>
        <w:divId w:val="1214736710"/>
        <w:rPr>
          <w:rFonts w:eastAsia="Times New Roman"/>
        </w:rPr>
      </w:pPr>
    </w:p>
    <w:p w:rsidR="00000000" w:rsidRDefault="001F39D7">
      <w:pPr>
        <w:divId w:val="1453744214"/>
        <w:rPr>
          <w:rFonts w:eastAsia="Times New Roman"/>
        </w:rPr>
      </w:pPr>
      <w:r>
        <w:rPr>
          <w:rFonts w:eastAsia="Times New Roman"/>
          <w:i/>
          <w:iCs/>
          <w:color w:val="000000"/>
          <w:sz w:val="20"/>
          <w:szCs w:val="20"/>
        </w:rPr>
        <w:t>In</w:t>
      </w:r>
      <w:r>
        <w:rPr>
          <w:rFonts w:eastAsia="Times New Roman"/>
          <w:i/>
          <w:iCs/>
          <w:color w:val="000000"/>
          <w:sz w:val="20"/>
          <w:szCs w:val="20"/>
        </w:rPr>
        <w:t>ventory Valuation</w:t>
      </w:r>
    </w:p>
    <w:p w:rsidR="00000000" w:rsidRDefault="001F39D7">
      <w:pPr>
        <w:jc w:val="both"/>
        <w:rPr>
          <w:rFonts w:eastAsia="Times New Roman"/>
        </w:rPr>
      </w:pPr>
    </w:p>
    <w:p w:rsidR="00000000" w:rsidRDefault="001F39D7">
      <w:pPr>
        <w:ind w:hanging="360"/>
        <w:jc w:val="both"/>
        <w:rPr>
          <w:rFonts w:eastAsia="Times New Roman"/>
        </w:rPr>
      </w:pPr>
      <w:r>
        <w:rPr>
          <w:rFonts w:eastAsia="Times New Roman"/>
          <w:color w:val="000000"/>
          <w:sz w:val="20"/>
          <w:szCs w:val="20"/>
          <w:u w:val="single"/>
        </w:rPr>
        <w:t>Inventory Impairment Risk</w:t>
      </w:r>
    </w:p>
    <w:p w:rsidR="00000000" w:rsidRDefault="001F39D7">
      <w:pPr>
        <w:jc w:val="both"/>
        <w:rPr>
          <w:rFonts w:eastAsia="Times New Roman"/>
        </w:rPr>
      </w:pPr>
      <w:r>
        <w:rPr>
          <w:rFonts w:eastAsia="Times New Roman"/>
          <w:color w:val="000000"/>
          <w:sz w:val="20"/>
          <w:szCs w:val="20"/>
        </w:rPr>
        <w:t>The Company identifies potentially excess and slow-moving inventory by evaluating turn rates, historical and expected future sales trends, age of merchandise, overall inventory levels, current cost of inventory</w:t>
      </w:r>
      <w:r>
        <w:rPr>
          <w:rFonts w:eastAsia="Times New Roman"/>
          <w:color w:val="000000"/>
          <w:sz w:val="20"/>
          <w:szCs w:val="20"/>
        </w:rPr>
        <w:t>, and other benchmarks.  The Company has established an inventory valuation reserve to recognize the estimated impairment in value (i.e., an inability to realize the full carrying value) based on the Company’s aggregate assessment of these valuation indica</w:t>
      </w:r>
      <w:r>
        <w:rPr>
          <w:rFonts w:eastAsia="Times New Roman"/>
          <w:color w:val="000000"/>
          <w:sz w:val="20"/>
          <w:szCs w:val="20"/>
        </w:rPr>
        <w:t>tors under prevailing market conditions and current merchandising strategies. The Company does not believe its merchandise inventories are subject to significant risk of obsolescence in the near term.  However, changes in market conditions or consumer purc</w:t>
      </w:r>
      <w:r>
        <w:rPr>
          <w:rFonts w:eastAsia="Times New Roman"/>
          <w:color w:val="000000"/>
          <w:sz w:val="20"/>
          <w:szCs w:val="20"/>
        </w:rPr>
        <w:t>hasing patterns could result in the need for additional reserves.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u w:val="single"/>
        </w:rPr>
        <w:t>Shrinkage</w:t>
      </w:r>
    </w:p>
    <w:p w:rsidR="00000000" w:rsidRDefault="001F39D7">
      <w:pPr>
        <w:jc w:val="both"/>
        <w:rPr>
          <w:rFonts w:eastAsia="Times New Roman"/>
        </w:rPr>
      </w:pPr>
      <w:r>
        <w:rPr>
          <w:rFonts w:eastAsia="Times New Roman"/>
          <w:color w:val="000000"/>
          <w:sz w:val="20"/>
          <w:szCs w:val="20"/>
        </w:rPr>
        <w:t>The Company typically performs physical inventories at least once a year for each store that has been open more than 12 months, and the Company has established a reserve for esti</w:t>
      </w:r>
      <w:r>
        <w:rPr>
          <w:rFonts w:eastAsia="Times New Roman"/>
          <w:color w:val="000000"/>
          <w:sz w:val="20"/>
          <w:szCs w:val="20"/>
        </w:rPr>
        <w:t>mating inventory shrinkage between physical inventory counts.  The reserve is established by assessing the chain-wide average shrinkage experience rate, applied to the related periods’ sales volumes.  Such assessments are updated on a regular basis for the</w:t>
      </w:r>
      <w:r>
        <w:rPr>
          <w:rFonts w:eastAsia="Times New Roman"/>
          <w:color w:val="000000"/>
          <w:sz w:val="20"/>
          <w:szCs w:val="20"/>
        </w:rPr>
        <w:t xml:space="preserve"> most recent individual store experiences.  The estimated store inventory shrink rate is based on historical experience.  The Company believes historical rates are a reasonably accurate reflection of future trends.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assessed the risks associat</w:t>
      </w:r>
      <w:r>
        <w:rPr>
          <w:rFonts w:eastAsia="Times New Roman"/>
          <w:color w:val="000000"/>
          <w:sz w:val="20"/>
          <w:szCs w:val="20"/>
        </w:rPr>
        <w:t>ed with the stores not inventoried and concluded there is no material risk of misstatement to the financial statements for the stores not inventoried and further concluded that effective compensating controls are in place to ensure completeness and accurac</w:t>
      </w:r>
      <w:r>
        <w:rPr>
          <w:rFonts w:eastAsia="Times New Roman"/>
          <w:color w:val="000000"/>
          <w:sz w:val="20"/>
          <w:szCs w:val="20"/>
        </w:rPr>
        <w:t>y of reported inventory balances and estimated shrink losses.</w:t>
      </w:r>
    </w:p>
    <w:p w:rsidR="00000000" w:rsidRDefault="001F39D7">
      <w:pPr>
        <w:jc w:val="both"/>
        <w:rPr>
          <w:rFonts w:eastAsia="Times New Roman"/>
        </w:rPr>
      </w:pPr>
    </w:p>
    <w:p w:rsidR="00000000" w:rsidRDefault="001F39D7">
      <w:pPr>
        <w:divId w:val="1676036359"/>
        <w:rPr>
          <w:rFonts w:eastAsia="Times New Roman"/>
        </w:rPr>
      </w:pPr>
      <w:r>
        <w:rPr>
          <w:rFonts w:eastAsia="Times New Roman"/>
          <w:color w:val="000000"/>
          <w:sz w:val="20"/>
          <w:szCs w:val="20"/>
          <w:u w:val="single"/>
        </w:rPr>
        <w:t>Vendor Funding</w:t>
      </w:r>
    </w:p>
    <w:p w:rsidR="00000000" w:rsidRDefault="001F39D7">
      <w:pPr>
        <w:jc w:val="both"/>
        <w:rPr>
          <w:rFonts w:eastAsia="Times New Roman"/>
        </w:rPr>
      </w:pPr>
      <w:r>
        <w:rPr>
          <w:rFonts w:eastAsia="Times New Roman"/>
          <w:color w:val="000000"/>
          <w:sz w:val="20"/>
          <w:szCs w:val="20"/>
        </w:rPr>
        <w:t>The Company receives funding from substantially all of its significant merchandise vendors, in support of its business initiatives, through a variety of programs and arrangement</w:t>
      </w:r>
      <w:r>
        <w:rPr>
          <w:rFonts w:eastAsia="Times New Roman"/>
          <w:color w:val="000000"/>
          <w:sz w:val="20"/>
          <w:szCs w:val="20"/>
        </w:rPr>
        <w:t xml:space="preserve">s, including guaranteed vendor support funds (“vendor support”) and volume-based rebate funds (“volume rebates”).  The amounts received are subject to terms of vendor agreements, most of which are “evergreen,” reflecting the on-going relationship with our </w:t>
      </w:r>
      <w:r>
        <w:rPr>
          <w:rFonts w:eastAsia="Times New Roman"/>
          <w:color w:val="000000"/>
          <w:sz w:val="20"/>
          <w:szCs w:val="20"/>
        </w:rPr>
        <w:t>significant merchandise vendors. Certain of the Company’s agreements, primarily volume rebates, are renegotiated annually, based on expected annual purchases of the vendor’s product.  Vendor funding is initially deferred as a reduction of the purchase pric</w:t>
      </w:r>
      <w:r>
        <w:rPr>
          <w:rFonts w:eastAsia="Times New Roman"/>
          <w:color w:val="000000"/>
          <w:sz w:val="20"/>
          <w:szCs w:val="20"/>
        </w:rPr>
        <w:t>e of inventory, and then recognized as a reduction of cost of merchandise sold as the related inventory is sold.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During interim periods, the amount of vendor support and volume rebates are estimated based upon initial commitments and anticipated purcha</w:t>
      </w:r>
      <w:r>
        <w:rPr>
          <w:rFonts w:eastAsia="Times New Roman"/>
          <w:color w:val="000000"/>
          <w:sz w:val="20"/>
          <w:szCs w:val="20"/>
        </w:rPr>
        <w:t>se levels with applicable vendors.  The estimated purchase volume (and related vendor funding) is based on the Company’s current knowledge of inventory levels, sales trends and expected customer demand, as well as planned new store openings and relocations</w:t>
      </w:r>
      <w:r>
        <w:rPr>
          <w:rFonts w:eastAsia="Times New Roman"/>
          <w:color w:val="000000"/>
          <w:sz w:val="20"/>
          <w:szCs w:val="20"/>
        </w:rPr>
        <w:t>.  Although the Company believes it can reasonably estimate purchase volume and related volume rebates at interim periods, it is possible that actual year-end results could be different from previously estimated amounts.</w:t>
      </w:r>
    </w:p>
    <w:p w:rsidR="00000000" w:rsidRDefault="001F39D7">
      <w:pPr>
        <w:divId w:val="478618053"/>
        <w:rPr>
          <w:rFonts w:eastAsia="Times New Roman"/>
        </w:rPr>
      </w:pPr>
    </w:p>
    <w:p w:rsidR="00000000" w:rsidRDefault="001F39D7">
      <w:pPr>
        <w:jc w:val="both"/>
        <w:rPr>
          <w:rFonts w:eastAsia="Times New Roman"/>
        </w:rPr>
      </w:pPr>
      <w:r>
        <w:rPr>
          <w:rFonts w:eastAsia="Times New Roman"/>
          <w:i/>
          <w:iCs/>
          <w:color w:val="000000"/>
          <w:sz w:val="20"/>
          <w:szCs w:val="20"/>
        </w:rPr>
        <w:t>Self-Insurance Reserves</w:t>
      </w:r>
    </w:p>
    <w:p w:rsidR="00000000" w:rsidRDefault="001F39D7">
      <w:pPr>
        <w:ind w:firstLine="360"/>
        <w:jc w:val="both"/>
        <w:rPr>
          <w:rFonts w:eastAsia="Times New Roman"/>
        </w:rPr>
      </w:pPr>
    </w:p>
    <w:p w:rsidR="00000000" w:rsidRDefault="001F39D7">
      <w:pPr>
        <w:jc w:val="both"/>
        <w:rPr>
          <w:rFonts w:eastAsia="Times New Roman"/>
        </w:rPr>
      </w:pPr>
      <w:r>
        <w:rPr>
          <w:rFonts w:eastAsia="Times New Roman"/>
          <w:color w:val="000000"/>
          <w:sz w:val="20"/>
          <w:szCs w:val="20"/>
        </w:rPr>
        <w:t>The Company self-insures a significant portion of its workers’ compensation and general liability (including product liability) insurance plans.  The Company has stop-loss insurance policies to protect it from individual losses ov</w:t>
      </w:r>
      <w:r>
        <w:rPr>
          <w:rFonts w:eastAsia="Times New Roman"/>
          <w:color w:val="000000"/>
          <w:sz w:val="20"/>
          <w:szCs w:val="20"/>
        </w:rPr>
        <w:t>er specified dollar values. Our deductible or self-insured retention, as applicable, for each claim involving workers’ compensation insurance and general liability insurance is limited to $500,000 and our Texas Work Injury Policy is limited to $500,000. Fu</w:t>
      </w:r>
      <w:r>
        <w:rPr>
          <w:rFonts w:eastAsia="Times New Roman"/>
          <w:color w:val="000000"/>
          <w:sz w:val="20"/>
          <w:szCs w:val="20"/>
        </w:rPr>
        <w:t>rther, we maintain a commercially reasonable umbrella/excess policy that covers liabilities in excess of the primary insurance policy limits.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full extent of certain workers’ compensation and general liability claims may not become fully determined fo</w:t>
      </w:r>
      <w:r>
        <w:rPr>
          <w:rFonts w:eastAsia="Times New Roman"/>
          <w:color w:val="000000"/>
          <w:sz w:val="20"/>
          <w:szCs w:val="20"/>
        </w:rPr>
        <w:t>r several years. Therefore, the Company estimates potential obligations based upon historical claims experience, loss development factors, severity factors, and other actuarial assumptions. Although the Company believes the reserves established for these o</w:t>
      </w:r>
      <w:r>
        <w:rPr>
          <w:rFonts w:eastAsia="Times New Roman"/>
          <w:color w:val="000000"/>
          <w:sz w:val="20"/>
          <w:szCs w:val="20"/>
        </w:rPr>
        <w:t>bligations are reasonably estimated, any significant change in the number of claims or costs associated with claims made under these plans could have a material effect on the Company’s financial results.  At December 25, 2021, the Company had insurance res</w:t>
      </w:r>
      <w:r>
        <w:rPr>
          <w:rFonts w:eastAsia="Times New Roman"/>
          <w:color w:val="000000"/>
          <w:sz w:val="20"/>
          <w:szCs w:val="20"/>
        </w:rPr>
        <w:t>erves for workers' compensation of $67.1 million compared to $55.0 million at December 26, 2020. Insurance reserves for general liability plans was $41.3 million at December 25, 2021 compared to $31.7 million at December 26, 2020. In addition, insurance re</w:t>
      </w:r>
      <w:r>
        <w:rPr>
          <w:rFonts w:eastAsia="Times New Roman"/>
          <w:color w:val="000000"/>
          <w:sz w:val="20"/>
          <w:szCs w:val="20"/>
        </w:rPr>
        <w:t xml:space="preserve">ceivables recorded in Other assets on the Consolidated Balance Sheets for claims greater than our insurance stop-loss limits were $14.9 million and $11.2 million as of December 25, 2021 and December 26, 2020. </w:t>
      </w:r>
    </w:p>
    <w:p w:rsidR="00000000" w:rsidRDefault="001F39D7">
      <w:pPr>
        <w:jc w:val="center"/>
        <w:divId w:val="227542200"/>
        <w:rPr>
          <w:rFonts w:eastAsia="Times New Roman"/>
        </w:rPr>
      </w:pPr>
      <w:r>
        <w:rPr>
          <w:rFonts w:eastAsia="Times New Roman"/>
          <w:color w:val="000000"/>
          <w:sz w:val="20"/>
          <w:szCs w:val="20"/>
        </w:rPr>
        <w:t>55</w:t>
      </w:r>
    </w:p>
    <w:p w:rsidR="00000000" w:rsidRDefault="001F39D7">
      <w:pPr>
        <w:rPr>
          <w:rFonts w:eastAsia="Times New Roman"/>
        </w:rPr>
      </w:pPr>
      <w:r>
        <w:rPr>
          <w:rFonts w:eastAsia="Times New Roman"/>
        </w:rPr>
        <w:pict>
          <v:rect id="_x0000_i1084" style="width:0;height:1.5pt" o:hralign="center" o:hrstd="t" o:hr="t" fillcolor="#a0a0a0" stroked="f"/>
        </w:pict>
      </w:r>
    </w:p>
    <w:p w:rsidR="00000000" w:rsidRDefault="001F39D7">
      <w:pPr>
        <w:divId w:val="1896040927"/>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Impairment of Long-Lived Assets</w:t>
      </w:r>
    </w:p>
    <w:p w:rsidR="00000000" w:rsidRDefault="001F39D7">
      <w:pPr>
        <w:ind w:firstLine="360"/>
        <w:jc w:val="both"/>
        <w:rPr>
          <w:rFonts w:eastAsia="Times New Roman"/>
        </w:rPr>
      </w:pPr>
    </w:p>
    <w:p w:rsidR="00000000" w:rsidRDefault="001F39D7">
      <w:pPr>
        <w:jc w:val="both"/>
        <w:rPr>
          <w:rFonts w:eastAsia="Times New Roman"/>
        </w:rPr>
      </w:pPr>
      <w:r>
        <w:rPr>
          <w:rFonts w:eastAsia="Times New Roman"/>
          <w:color w:val="000000"/>
          <w:sz w:val="20"/>
          <w:szCs w:val="20"/>
        </w:rPr>
        <w:t>Long-lived assets, including lease right-of-use assets, are evaluated for impairment whenever events or changes in circumstances indicate that the carrying value may not be recoverable.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When evaluating long-lived assets for potential impairment, the Comp</w:t>
      </w:r>
      <w:r>
        <w:rPr>
          <w:rFonts w:eastAsia="Times New Roman"/>
          <w:color w:val="000000"/>
          <w:sz w:val="20"/>
          <w:szCs w:val="20"/>
        </w:rPr>
        <w:t>any first compares the carrying value of the asset or asset group to its estimated undiscounted future cash flows. The evaluation for long-lived assets is performed at the lowest level of identifiable cash flows, which is generally the individual store lev</w:t>
      </w:r>
      <w:r>
        <w:rPr>
          <w:rFonts w:eastAsia="Times New Roman"/>
          <w:color w:val="000000"/>
          <w:sz w:val="20"/>
          <w:szCs w:val="20"/>
        </w:rPr>
        <w:t>el.  The significant assumptions used to determine estimated undiscounted cash flows include cash inflows and outflows directly resulting from the use of those assets in operations, including margin on net sales, payroll and related items, occupancy costs,</w:t>
      </w:r>
      <w:r>
        <w:rPr>
          <w:rFonts w:eastAsia="Times New Roman"/>
          <w:color w:val="000000"/>
          <w:sz w:val="20"/>
          <w:szCs w:val="20"/>
        </w:rPr>
        <w:t xml:space="preserve"> insurance allocations and other costs to operate a store.  If the estimated future cash flows are less than the carrying value of the related asset, the Company calculates an impairment loss.  The impairment loss calculation compares the carrying value of</w:t>
      </w:r>
      <w:r>
        <w:rPr>
          <w:rFonts w:eastAsia="Times New Roman"/>
          <w:color w:val="000000"/>
          <w:sz w:val="20"/>
          <w:szCs w:val="20"/>
        </w:rPr>
        <w:t xml:space="preserve"> the related asset or asset group to its estimated fair value, which may be based on an estimated future cash flow model, market valuation, or other valuation technique, as appropriate. The Company recognizes an impairment loss if the amount of the asset’s</w:t>
      </w:r>
      <w:r>
        <w:rPr>
          <w:rFonts w:eastAsia="Times New Roman"/>
          <w:color w:val="000000"/>
          <w:sz w:val="20"/>
          <w:szCs w:val="20"/>
        </w:rPr>
        <w:t xml:space="preserve"> carrying value exceeds the asset’s estimated fair value. If the Company recognizes an impairment loss, the adjusted carrying amount of the asset becomes its new cost basis. For a depreciable long-lived asset, the new cost basis will be depreciated (amorti</w:t>
      </w:r>
      <w:r>
        <w:rPr>
          <w:rFonts w:eastAsia="Times New Roman"/>
          <w:color w:val="000000"/>
          <w:sz w:val="20"/>
          <w:szCs w:val="20"/>
        </w:rPr>
        <w:t>zed) over the remaining estimated useful life of that asset.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No significant impairment charges were recognized in fiscal 2021 or 2019 related to long-lived assets. In fiscal 2020, we recognized $5.1 million of impairment charges related to long-lived ass</w:t>
      </w:r>
      <w:r>
        <w:rPr>
          <w:rFonts w:eastAsia="Times New Roman"/>
          <w:color w:val="000000"/>
          <w:sz w:val="20"/>
          <w:szCs w:val="20"/>
          <w:shd w:val="clear" w:color="auto" w:fill="FFFFFF"/>
        </w:rPr>
        <w:t>ets for Petsense stores</w:t>
      </w:r>
      <w:r>
        <w:rPr>
          <w:rFonts w:eastAsia="Times New Roman"/>
          <w:color w:val="000000"/>
          <w:sz w:val="20"/>
          <w:szCs w:val="20"/>
        </w:rPr>
        <w:t>.  </w:t>
      </w:r>
      <w:r>
        <w:rPr>
          <w:rFonts w:eastAsia="Times New Roman"/>
          <w:color w:val="000000"/>
          <w:sz w:val="20"/>
          <w:szCs w:val="20"/>
          <w:shd w:val="clear" w:color="auto" w:fill="FFFFFF"/>
        </w:rPr>
        <w:t>Impairment charges, if recognized, are included in selling, general and administrative (“SG&amp;A”) expenses in the Consolidated Statements of Income.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Impairment of Indefinite-Lived Intangible Assets</w:t>
      </w:r>
    </w:p>
    <w:p w:rsidR="00000000" w:rsidRDefault="001F39D7">
      <w:pPr>
        <w:jc w:val="both"/>
        <w:rPr>
          <w:rFonts w:eastAsia="Times New Roman"/>
        </w:rPr>
      </w:pPr>
    </w:p>
    <w:p w:rsidR="00000000" w:rsidRDefault="001F39D7">
      <w:pPr>
        <w:divId w:val="1989938302"/>
        <w:rPr>
          <w:rFonts w:eastAsia="Times New Roman"/>
        </w:rPr>
      </w:pPr>
      <w:r>
        <w:rPr>
          <w:rFonts w:eastAsia="Times New Roman"/>
          <w:color w:val="000000"/>
          <w:sz w:val="20"/>
          <w:szCs w:val="20"/>
        </w:rPr>
        <w:t>Goodwill and other indefinite-</w:t>
      </w:r>
      <w:r>
        <w:rPr>
          <w:rFonts w:eastAsia="Times New Roman"/>
          <w:color w:val="000000"/>
          <w:sz w:val="20"/>
          <w:szCs w:val="20"/>
        </w:rPr>
        <w:t>lived intangible assets are evaluated for impairment annually, or whenever events or changes in circumstances indicate that the carrying value may not be recoverable. Our annual impairment evaluation is conducted on the first day of our fiscal fourth quart</w:t>
      </w:r>
      <w:r>
        <w:rPr>
          <w:rFonts w:eastAsia="Times New Roman"/>
          <w:color w:val="000000"/>
          <w:sz w:val="20"/>
          <w:szCs w:val="20"/>
        </w:rPr>
        <w:t>er.</w:t>
      </w:r>
    </w:p>
    <w:p w:rsidR="00000000" w:rsidRDefault="001F39D7">
      <w:pPr>
        <w:jc w:val="both"/>
        <w:rPr>
          <w:rFonts w:eastAsia="Times New Roman"/>
        </w:rPr>
      </w:pPr>
      <w:r>
        <w:rPr>
          <w:rFonts w:eastAsia="Times New Roman"/>
          <w:color w:val="000000"/>
          <w:sz w:val="20"/>
          <w:szCs w:val="20"/>
        </w:rPr>
        <w:t>In accordance with the accounting standards, an entity has the option first to assess qualitative factors to determine whether events and circumstances indicate that it is more likely than not that goodwill or an indefinite-lived intangible asset is im</w:t>
      </w:r>
      <w:r>
        <w:rPr>
          <w:rFonts w:eastAsia="Times New Roman"/>
          <w:color w:val="000000"/>
          <w:sz w:val="20"/>
          <w:szCs w:val="20"/>
        </w:rPr>
        <w:t>paired. If after such assessment an entity concludes that the asset is not impaired, then the entity is not required to take further action. However, if an entity concludes otherwise, then it is required to determine the fair value of the asset using a qua</w:t>
      </w:r>
      <w:r>
        <w:rPr>
          <w:rFonts w:eastAsia="Times New Roman"/>
          <w:color w:val="000000"/>
          <w:sz w:val="20"/>
          <w:szCs w:val="20"/>
        </w:rPr>
        <w:t xml:space="preserve">ntitative impairment test, and if impaired, the associated assets must be written down to fair value.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quantitative impairment test for goodwill compares the fair value of a reporting unit with the carrying value of its net assets, including goodwill</w:t>
      </w:r>
      <w:r>
        <w:rPr>
          <w:rFonts w:eastAsia="Times New Roman"/>
          <w:color w:val="000000"/>
          <w:sz w:val="20"/>
          <w:szCs w:val="20"/>
        </w:rPr>
        <w:t>.  If the fair value of the reporting unit is less than the carrying value of the reporting unit, an impairment charge would be recorded to the Company’s operations, for the amount in which the carrying amount exceeds the reporting unit’s fair value. We de</w:t>
      </w:r>
      <w:r>
        <w:rPr>
          <w:rFonts w:eastAsia="Times New Roman"/>
          <w:color w:val="000000"/>
          <w:sz w:val="20"/>
          <w:szCs w:val="20"/>
        </w:rPr>
        <w:t>termine fair values for each reporting unit using the market approach, when available and appropriate, the income approach, or a combination of both. The income approach involves forecasting projected financial information (such as revenue growth rates, pr</w:t>
      </w:r>
      <w:r>
        <w:rPr>
          <w:rFonts w:eastAsia="Times New Roman"/>
          <w:color w:val="000000"/>
          <w:sz w:val="20"/>
          <w:szCs w:val="20"/>
        </w:rPr>
        <w:t>ofit margins, tax rates, and capital expenditures) and selecting a discount rate that reflects the risk inherent in estimated future cash flows. Under the market approach, the fair value is based on observed market data. If multiple valuation methodologies</w:t>
      </w:r>
      <w:r>
        <w:rPr>
          <w:rFonts w:eastAsia="Times New Roman"/>
          <w:color w:val="000000"/>
          <w:sz w:val="20"/>
          <w:szCs w:val="20"/>
        </w:rPr>
        <w:t xml:space="preserve"> are used, the results are weighted appropriately.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quantitative impairment test for other indefinite-lived intangible assets involves comparing the carrying amount of the asset to the sum of the discounted cash flows expected to be generated by the a</w:t>
      </w:r>
      <w:r>
        <w:rPr>
          <w:rFonts w:eastAsia="Times New Roman"/>
          <w:color w:val="000000"/>
          <w:sz w:val="20"/>
          <w:szCs w:val="20"/>
        </w:rPr>
        <w:t xml:space="preserve">sset. If the implied fair value of the indefinite-lived intangible asset is less than the carrying value, an impairment charge would be recorded to the Company’s operations.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 xml:space="preserve">No </w:t>
      </w:r>
      <w:r>
        <w:rPr>
          <w:rFonts w:eastAsia="Times New Roman"/>
          <w:color w:val="000000"/>
          <w:sz w:val="20"/>
          <w:szCs w:val="20"/>
          <w:shd w:val="clear" w:color="auto" w:fill="FFFFFF"/>
        </w:rPr>
        <w:t>impairment charges were recognized in fiscal 2021 or 2019 related to indefinite-lived intangible assets. As described in further detail in Note 3 to the Consolidated Financial Statements, in fiscal 2020 we recognized goodwill impairment of $60.8 million an</w:t>
      </w:r>
      <w:r>
        <w:rPr>
          <w:rFonts w:eastAsia="Times New Roman"/>
          <w:color w:val="000000"/>
          <w:sz w:val="20"/>
          <w:szCs w:val="20"/>
          <w:shd w:val="clear" w:color="auto" w:fill="FFFFFF"/>
        </w:rPr>
        <w:t>d trade name asset impairment of $8.2 million related to Petsense</w:t>
      </w:r>
      <w:r>
        <w:rPr>
          <w:rFonts w:eastAsia="Times New Roman"/>
          <w:color w:val="000000"/>
          <w:sz w:val="20"/>
          <w:szCs w:val="20"/>
        </w:rPr>
        <w:t xml:space="preserve">. </w:t>
      </w:r>
      <w:r>
        <w:rPr>
          <w:rFonts w:eastAsia="Times New Roman"/>
          <w:color w:val="000000"/>
          <w:sz w:val="20"/>
          <w:szCs w:val="20"/>
          <w:shd w:val="clear" w:color="auto" w:fill="FFFFFF"/>
        </w:rPr>
        <w:t>Impairment charges, if recognized, are included as a separate line item within SG&amp;A expenses in the Consolidated Statements of Income.</w:t>
      </w:r>
    </w:p>
    <w:p w:rsidR="00000000" w:rsidRDefault="001F39D7">
      <w:pPr>
        <w:divId w:val="1459034717"/>
        <w:rPr>
          <w:rFonts w:eastAsia="Times New Roman"/>
        </w:rPr>
      </w:pPr>
    </w:p>
    <w:p w:rsidR="00000000" w:rsidRDefault="001F39D7">
      <w:pPr>
        <w:jc w:val="both"/>
        <w:rPr>
          <w:rFonts w:eastAsia="Times New Roman"/>
        </w:rPr>
      </w:pPr>
      <w:r>
        <w:rPr>
          <w:rFonts w:eastAsia="Times New Roman"/>
          <w:b/>
          <w:bCs/>
          <w:i/>
          <w:iCs/>
          <w:color w:val="000000"/>
          <w:sz w:val="20"/>
          <w:szCs w:val="20"/>
        </w:rPr>
        <w:t>Revenue Recognition and Sales Returns</w:t>
      </w:r>
    </w:p>
    <w:p w:rsidR="00000000" w:rsidRDefault="001F39D7">
      <w:pPr>
        <w:divId w:val="2040278227"/>
        <w:rPr>
          <w:rFonts w:eastAsia="Times New Roman"/>
        </w:rPr>
      </w:pPr>
    </w:p>
    <w:p w:rsidR="00000000" w:rsidRDefault="001F39D7">
      <w:pPr>
        <w:jc w:val="both"/>
        <w:rPr>
          <w:rFonts w:eastAsia="Times New Roman"/>
        </w:rPr>
      </w:pPr>
      <w:r>
        <w:rPr>
          <w:rFonts w:eastAsia="Times New Roman"/>
          <w:color w:val="000000"/>
          <w:sz w:val="20"/>
          <w:szCs w:val="20"/>
        </w:rPr>
        <w:t xml:space="preserve">The Company </w:t>
      </w:r>
      <w:r>
        <w:rPr>
          <w:rFonts w:eastAsia="Times New Roman"/>
          <w:color w:val="000000"/>
          <w:sz w:val="20"/>
          <w:szCs w:val="20"/>
        </w:rPr>
        <w:t>recognizes revenue at the time the customer takes possession of merchandise.  If the Company receives payment before completion of its customer obligations (as per the Company’s special order and layaway programs), the revenue is deferred until the custome</w:t>
      </w:r>
      <w:r>
        <w:rPr>
          <w:rFonts w:eastAsia="Times New Roman"/>
          <w:color w:val="000000"/>
          <w:sz w:val="20"/>
          <w:szCs w:val="20"/>
        </w:rPr>
        <w:t>r takes possession of the merchandise and the sale is complete.</w:t>
      </w:r>
    </w:p>
    <w:p w:rsidR="00000000" w:rsidRDefault="001F39D7">
      <w:pPr>
        <w:jc w:val="center"/>
        <w:divId w:val="792209923"/>
        <w:rPr>
          <w:rFonts w:eastAsia="Times New Roman"/>
        </w:rPr>
      </w:pPr>
      <w:r>
        <w:rPr>
          <w:rFonts w:eastAsia="Times New Roman"/>
          <w:color w:val="000000"/>
          <w:sz w:val="20"/>
          <w:szCs w:val="20"/>
        </w:rPr>
        <w:t>56</w:t>
      </w:r>
    </w:p>
    <w:p w:rsidR="00000000" w:rsidRDefault="001F39D7">
      <w:pPr>
        <w:rPr>
          <w:rFonts w:eastAsia="Times New Roman"/>
        </w:rPr>
      </w:pPr>
      <w:r>
        <w:rPr>
          <w:rFonts w:eastAsia="Times New Roman"/>
        </w:rPr>
        <w:pict>
          <v:rect id="_x0000_i1085" style="width:0;height:1.5pt" o:hralign="center" o:hrstd="t" o:hr="t" fillcolor="#a0a0a0" stroked="f"/>
        </w:pict>
      </w:r>
    </w:p>
    <w:p w:rsidR="00000000" w:rsidRDefault="001F39D7">
      <w:pPr>
        <w:divId w:val="1266619548"/>
        <w:rPr>
          <w:rFonts w:eastAsia="Times New Roman"/>
        </w:rPr>
      </w:pPr>
      <w:hyperlink w:anchor="ia0680a7a640346e7afc1f53a5745d231_7" w:history="1">
        <w:r>
          <w:rPr>
            <w:rStyle w:val="a3"/>
            <w:rFonts w:eastAsia="Times New Roman"/>
            <w:sz w:val="18"/>
            <w:szCs w:val="18"/>
          </w:rPr>
          <w:t>Index</w:t>
        </w:r>
      </w:hyperlink>
    </w:p>
    <w:p w:rsidR="00000000" w:rsidRDefault="001F39D7">
      <w:pPr>
        <w:divId w:val="1982267637"/>
        <w:rPr>
          <w:rFonts w:eastAsia="Times New Roman"/>
        </w:rPr>
      </w:pPr>
    </w:p>
    <w:p w:rsidR="00000000" w:rsidRDefault="001F39D7">
      <w:pPr>
        <w:jc w:val="both"/>
        <w:rPr>
          <w:rFonts w:eastAsia="Times New Roman"/>
        </w:rPr>
      </w:pPr>
      <w:r>
        <w:rPr>
          <w:rFonts w:eastAsia="Times New Roman"/>
          <w:color w:val="000000"/>
          <w:sz w:val="20"/>
          <w:szCs w:val="20"/>
        </w:rPr>
        <w:t xml:space="preserve">The Company is required to collect certain taxes and fees from customers on behalf of </w:t>
      </w:r>
      <w:r>
        <w:rPr>
          <w:rFonts w:eastAsia="Times New Roman"/>
          <w:color w:val="000000"/>
          <w:sz w:val="20"/>
          <w:szCs w:val="20"/>
        </w:rPr>
        <w:t>government agencies and remit such collections to the applicable governmental agency on a periodic basis.  These taxes and fees are collected from customers at the time of purchase but are not included in net sales.  The Company records a liability upon co</w:t>
      </w:r>
      <w:r>
        <w:rPr>
          <w:rFonts w:eastAsia="Times New Roman"/>
          <w:color w:val="000000"/>
          <w:sz w:val="20"/>
          <w:szCs w:val="20"/>
        </w:rPr>
        <w:t>llection from the customer and relieves the liability when payments are remitted to the applicable governmental agency.</w:t>
      </w:r>
    </w:p>
    <w:p w:rsidR="00000000" w:rsidRDefault="001F39D7">
      <w:pPr>
        <w:divId w:val="1354915931"/>
        <w:rPr>
          <w:rFonts w:eastAsia="Times New Roman"/>
        </w:rPr>
      </w:pPr>
    </w:p>
    <w:p w:rsidR="00000000" w:rsidRDefault="001F39D7">
      <w:pPr>
        <w:jc w:val="both"/>
        <w:rPr>
          <w:rFonts w:eastAsia="Times New Roman"/>
        </w:rPr>
      </w:pPr>
      <w:r>
        <w:rPr>
          <w:rFonts w:eastAsia="Times New Roman"/>
          <w:color w:val="000000"/>
          <w:sz w:val="20"/>
          <w:szCs w:val="20"/>
        </w:rPr>
        <w:t>The Company estimates a liability for sales returns based on a rolling average of historical return trends, and the Company believes t</w:t>
      </w:r>
      <w:r>
        <w:rPr>
          <w:rFonts w:eastAsia="Times New Roman"/>
          <w:color w:val="000000"/>
          <w:sz w:val="20"/>
          <w:szCs w:val="20"/>
        </w:rPr>
        <w:t xml:space="preserve">hat its estimate for sales returns is an accurate reflection of future returns associated with past sales.  However, as with any estimate, refund activity may vary from estimated amounts.  The Company had a liability for sales returns of $17.9 million and </w:t>
      </w:r>
      <w:r>
        <w:rPr>
          <w:rFonts w:eastAsia="Times New Roman"/>
          <w:color w:val="000000"/>
          <w:sz w:val="20"/>
          <w:szCs w:val="20"/>
        </w:rPr>
        <w:t>$14.2 million as of December 25, 2021 and December 26, 2020, respectively.</w:t>
      </w:r>
    </w:p>
    <w:p w:rsidR="00000000" w:rsidRDefault="001F39D7">
      <w:pPr>
        <w:divId w:val="876043328"/>
        <w:rPr>
          <w:rFonts w:eastAsia="Times New Roman"/>
        </w:rPr>
      </w:pPr>
    </w:p>
    <w:p w:rsidR="00000000" w:rsidRDefault="001F39D7">
      <w:pPr>
        <w:jc w:val="both"/>
        <w:rPr>
          <w:rFonts w:eastAsia="Times New Roman"/>
        </w:rPr>
      </w:pPr>
      <w:r>
        <w:rPr>
          <w:rFonts w:eastAsia="Times New Roman"/>
          <w:color w:val="000000"/>
          <w:sz w:val="20"/>
          <w:szCs w:val="20"/>
        </w:rPr>
        <w:t>The Company recognizes revenue when a gift card or merchandise return card is redeemed by the customer and recognizes income when the likelihood of the gift card or merchandise re</w:t>
      </w:r>
      <w:r>
        <w:rPr>
          <w:rFonts w:eastAsia="Times New Roman"/>
          <w:color w:val="000000"/>
          <w:sz w:val="20"/>
          <w:szCs w:val="20"/>
        </w:rPr>
        <w:t>turn card being redeemed by the customer is remote (referred to as “breakage”).  The gift cards and merchandise return card breakage rate is based upon historical redemption patterns and income is recognized for unredeemed gift cards and merchandise return</w:t>
      </w:r>
      <w:r>
        <w:rPr>
          <w:rFonts w:eastAsia="Times New Roman"/>
          <w:color w:val="000000"/>
          <w:sz w:val="20"/>
          <w:szCs w:val="20"/>
        </w:rPr>
        <w:t xml:space="preserve"> cards in proportion to those historical redemption patterns.  The Company recognized breakage income of $4.2 million, $3.6 million, and $3.0 million in fiscal 2021, 2020, and 2019, respectively.</w:t>
      </w:r>
    </w:p>
    <w:p w:rsidR="00000000" w:rsidRDefault="001F39D7">
      <w:pPr>
        <w:divId w:val="460614726"/>
        <w:rPr>
          <w:rFonts w:eastAsia="Times New Roman"/>
        </w:rPr>
      </w:pPr>
    </w:p>
    <w:p w:rsidR="00000000" w:rsidRDefault="001F39D7">
      <w:pPr>
        <w:jc w:val="both"/>
        <w:rPr>
          <w:rFonts w:eastAsia="Times New Roman"/>
        </w:rPr>
      </w:pPr>
      <w:r>
        <w:rPr>
          <w:rFonts w:eastAsia="Times New Roman"/>
          <w:b/>
          <w:bCs/>
          <w:i/>
          <w:iCs/>
          <w:color w:val="000000"/>
          <w:sz w:val="20"/>
          <w:szCs w:val="20"/>
        </w:rPr>
        <w:t>Cost of Merchandise Sold</w:t>
      </w:r>
    </w:p>
    <w:p w:rsidR="00000000" w:rsidRDefault="001F39D7">
      <w:pPr>
        <w:divId w:val="1607156608"/>
        <w:rPr>
          <w:rFonts w:eastAsia="Times New Roman"/>
        </w:rPr>
      </w:pPr>
    </w:p>
    <w:p w:rsidR="00000000" w:rsidRDefault="001F39D7">
      <w:pPr>
        <w:jc w:val="both"/>
        <w:rPr>
          <w:rFonts w:eastAsia="Times New Roman"/>
        </w:rPr>
      </w:pPr>
      <w:r>
        <w:rPr>
          <w:rFonts w:eastAsia="Times New Roman"/>
          <w:color w:val="000000"/>
          <w:sz w:val="20"/>
          <w:szCs w:val="20"/>
        </w:rPr>
        <w:t>Cost of merchandise sold includ</w:t>
      </w:r>
      <w:r>
        <w:rPr>
          <w:rFonts w:eastAsia="Times New Roman"/>
          <w:color w:val="000000"/>
          <w:sz w:val="20"/>
          <w:szCs w:val="20"/>
        </w:rPr>
        <w:t xml:space="preserve">es the total cost of products sold; freight and duty expenses associated with moving merchandise inventories from vendors to distribution facilities, from distribution facilities to retail stores, from one distribution facility to another, and directly to </w:t>
      </w:r>
      <w:r>
        <w:rPr>
          <w:rFonts w:eastAsia="Times New Roman"/>
          <w:color w:val="000000"/>
          <w:sz w:val="20"/>
          <w:szCs w:val="20"/>
        </w:rPr>
        <w:t>our customers; tariffs on imported products; vendor support; damaged, junked or defective product; cash discounts from payments to merchandise vendors; and adjustments for shrinkage (physical inventory losses), lower of cost or net realizable value, slow m</w:t>
      </w:r>
      <w:r>
        <w:rPr>
          <w:rFonts w:eastAsia="Times New Roman"/>
          <w:color w:val="000000"/>
          <w:sz w:val="20"/>
          <w:szCs w:val="20"/>
        </w:rPr>
        <w:t>oving product, and excess inventory quantities.</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Selling, General and Administrative Expenses</w:t>
      </w:r>
    </w:p>
    <w:p w:rsidR="00000000" w:rsidRDefault="001F39D7">
      <w:pPr>
        <w:divId w:val="649016135"/>
        <w:rPr>
          <w:rFonts w:eastAsia="Times New Roman"/>
        </w:rPr>
      </w:pPr>
    </w:p>
    <w:p w:rsidR="00000000" w:rsidRDefault="001F39D7">
      <w:pPr>
        <w:jc w:val="both"/>
        <w:rPr>
          <w:rFonts w:eastAsia="Times New Roman"/>
        </w:rPr>
      </w:pPr>
      <w:r>
        <w:rPr>
          <w:rFonts w:eastAsia="Times New Roman"/>
          <w:color w:val="000000"/>
          <w:sz w:val="20"/>
          <w:szCs w:val="20"/>
        </w:rPr>
        <w:t xml:space="preserve">SG&amp;A expenses include payroll and benefit costs for retail, distribution facility, and corporate employees; share-based compensation expenses; occupancy costs </w:t>
      </w:r>
      <w:r>
        <w:rPr>
          <w:rFonts w:eastAsia="Times New Roman"/>
          <w:color w:val="000000"/>
          <w:sz w:val="20"/>
          <w:szCs w:val="20"/>
        </w:rPr>
        <w:t>of retail, distribution, and corporate facilities; advertising; tender costs, including bank charges and costs associated with credit and debit card interchange fees; outside service fees; and other administrative costs, such as computer maintenance, suppl</w:t>
      </w:r>
      <w:r>
        <w:rPr>
          <w:rFonts w:eastAsia="Times New Roman"/>
          <w:color w:val="000000"/>
          <w:sz w:val="20"/>
          <w:szCs w:val="20"/>
        </w:rPr>
        <w:t>ies, travel, and lodging.</w:t>
      </w:r>
    </w:p>
    <w:p w:rsidR="00000000" w:rsidRDefault="001F39D7">
      <w:pPr>
        <w:divId w:val="1285035741"/>
        <w:rPr>
          <w:rFonts w:eastAsia="Times New Roman"/>
        </w:rPr>
      </w:pPr>
    </w:p>
    <w:p w:rsidR="00000000" w:rsidRDefault="001F39D7">
      <w:pPr>
        <w:jc w:val="both"/>
        <w:rPr>
          <w:rFonts w:eastAsia="Times New Roman"/>
        </w:rPr>
      </w:pPr>
      <w:r>
        <w:rPr>
          <w:rFonts w:eastAsia="Times New Roman"/>
          <w:b/>
          <w:bCs/>
          <w:i/>
          <w:iCs/>
          <w:color w:val="000000"/>
          <w:sz w:val="20"/>
          <w:szCs w:val="20"/>
        </w:rPr>
        <w:t>Advertising Costs</w:t>
      </w:r>
    </w:p>
    <w:p w:rsidR="00000000" w:rsidRDefault="001F39D7">
      <w:pPr>
        <w:divId w:val="839199404"/>
        <w:rPr>
          <w:rFonts w:eastAsia="Times New Roman"/>
        </w:rPr>
      </w:pPr>
    </w:p>
    <w:p w:rsidR="00000000" w:rsidRDefault="001F39D7">
      <w:pPr>
        <w:jc w:val="both"/>
        <w:rPr>
          <w:rFonts w:eastAsia="Times New Roman"/>
        </w:rPr>
      </w:pPr>
      <w:r>
        <w:rPr>
          <w:rFonts w:eastAsia="Times New Roman"/>
          <w:color w:val="000000"/>
          <w:sz w:val="20"/>
          <w:szCs w:val="20"/>
        </w:rPr>
        <w:t>Advertising costs consist of expenses incurred in connection with digital and social media offerings, television, newspaper circulars, and customer-targeted direct e-mail and direct mail, as well as limited events through radio and other media channels.  C</w:t>
      </w:r>
      <w:r>
        <w:rPr>
          <w:rFonts w:eastAsia="Times New Roman"/>
          <w:color w:val="000000"/>
          <w:sz w:val="20"/>
          <w:szCs w:val="20"/>
        </w:rPr>
        <w:t>osts are expensed when incurred with the exception of television advertising and circular and direct mail promotions, which are expensed upon first showing.  Advertising expenses were approximately $95.4 million, $100.9 million, and $86.6 million for fisca</w:t>
      </w:r>
      <w:r>
        <w:rPr>
          <w:rFonts w:eastAsia="Times New Roman"/>
          <w:color w:val="000000"/>
          <w:sz w:val="20"/>
          <w:szCs w:val="20"/>
        </w:rPr>
        <w:t>l 2021, 2020, and 2019, respectively.  Prepaid advertising costs were approximately $1.7 million and $1.6 million as of December 25, 2021, and December 26, 2020, respectively.</w:t>
      </w:r>
    </w:p>
    <w:p w:rsidR="00000000" w:rsidRDefault="001F39D7">
      <w:pPr>
        <w:divId w:val="349455452"/>
        <w:rPr>
          <w:rFonts w:eastAsia="Times New Roman"/>
        </w:rPr>
      </w:pPr>
    </w:p>
    <w:p w:rsidR="00000000" w:rsidRDefault="001F39D7">
      <w:pPr>
        <w:divId w:val="350955631"/>
        <w:rPr>
          <w:rFonts w:eastAsia="Times New Roman"/>
        </w:rPr>
      </w:pPr>
      <w:r>
        <w:rPr>
          <w:rFonts w:eastAsia="Times New Roman"/>
          <w:b/>
          <w:bCs/>
          <w:i/>
          <w:iCs/>
          <w:color w:val="000000"/>
          <w:sz w:val="20"/>
          <w:szCs w:val="20"/>
        </w:rPr>
        <w:t>Warehousing and Distribution Facility Costs</w:t>
      </w:r>
    </w:p>
    <w:p w:rsidR="00000000" w:rsidRDefault="001F39D7">
      <w:pPr>
        <w:divId w:val="895703310"/>
        <w:rPr>
          <w:rFonts w:eastAsia="Times New Roman"/>
        </w:rPr>
      </w:pPr>
    </w:p>
    <w:p w:rsidR="00000000" w:rsidRDefault="001F39D7">
      <w:pPr>
        <w:jc w:val="both"/>
        <w:rPr>
          <w:rFonts w:eastAsia="Times New Roman"/>
        </w:rPr>
      </w:pPr>
      <w:r>
        <w:rPr>
          <w:rFonts w:eastAsia="Times New Roman"/>
          <w:color w:val="000000"/>
          <w:sz w:val="20"/>
          <w:szCs w:val="20"/>
        </w:rPr>
        <w:t>Costs incurred a</w:t>
      </w:r>
      <w:r>
        <w:rPr>
          <w:rFonts w:eastAsia="Times New Roman"/>
          <w:color w:val="000000"/>
          <w:sz w:val="20"/>
          <w:szCs w:val="20"/>
        </w:rPr>
        <w:t>t the Company’s distribution facilities for receiving, warehousing, and preparing product for delivery are expensed as incurred and are included in SG&amp;A expenses in the Consolidated Statements of Income.  Because the Company does not include these costs in</w:t>
      </w:r>
      <w:r>
        <w:rPr>
          <w:rFonts w:eastAsia="Times New Roman"/>
          <w:color w:val="000000"/>
          <w:sz w:val="20"/>
          <w:szCs w:val="20"/>
        </w:rPr>
        <w:t xml:space="preserve"> cost of sales, the Company’s gross margin may not be comparable to other retailers that include these costs in the calculation of gross margin.  Distribution facility costs including depreciation were approximately $367.4 million, $292.6 million, and $231</w:t>
      </w:r>
      <w:r>
        <w:rPr>
          <w:rFonts w:eastAsia="Times New Roman"/>
          <w:color w:val="000000"/>
          <w:sz w:val="20"/>
          <w:szCs w:val="20"/>
        </w:rPr>
        <w:t>.5 million for fiscal 2021, 2020, and 2019, respectively.</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Pre-Opening Costs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Non-capital expenditures incurred in connection with opening new stores, primarily payroll and rent, are expensed as incurred.  Pre-opening costs were approximately $10.4 milli</w:t>
      </w:r>
      <w:r>
        <w:rPr>
          <w:rFonts w:eastAsia="Times New Roman"/>
          <w:color w:val="000000"/>
          <w:sz w:val="20"/>
          <w:szCs w:val="20"/>
        </w:rPr>
        <w:t>on, $8.6 million, and $8.1 million for fiscal 2021, 2020, and 2019, respectively.</w:t>
      </w:r>
    </w:p>
    <w:p w:rsidR="00000000" w:rsidRDefault="001F39D7">
      <w:pPr>
        <w:jc w:val="both"/>
        <w:rPr>
          <w:rFonts w:eastAsia="Times New Roman"/>
        </w:rPr>
      </w:pPr>
    </w:p>
    <w:p w:rsidR="00000000" w:rsidRDefault="001F39D7">
      <w:pPr>
        <w:jc w:val="center"/>
        <w:divId w:val="301468125"/>
        <w:rPr>
          <w:rFonts w:eastAsia="Times New Roman"/>
        </w:rPr>
      </w:pPr>
      <w:r>
        <w:rPr>
          <w:rFonts w:eastAsia="Times New Roman"/>
          <w:color w:val="000000"/>
          <w:sz w:val="20"/>
          <w:szCs w:val="20"/>
        </w:rPr>
        <w:t>57</w:t>
      </w:r>
    </w:p>
    <w:p w:rsidR="00000000" w:rsidRDefault="001F39D7">
      <w:pPr>
        <w:rPr>
          <w:rFonts w:eastAsia="Times New Roman"/>
        </w:rPr>
      </w:pPr>
      <w:r>
        <w:rPr>
          <w:rFonts w:eastAsia="Times New Roman"/>
        </w:rPr>
        <w:pict>
          <v:rect id="_x0000_i1086" style="width:0;height:1.5pt" o:hralign="center" o:hrstd="t" o:hr="t" fillcolor="#a0a0a0" stroked="f"/>
        </w:pict>
      </w:r>
    </w:p>
    <w:p w:rsidR="00000000" w:rsidRDefault="001F39D7">
      <w:pPr>
        <w:divId w:val="1216503446"/>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i/>
          <w:iCs/>
          <w:color w:val="000000"/>
          <w:sz w:val="20"/>
          <w:szCs w:val="20"/>
        </w:rPr>
        <w:t>Share-Based Compensation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Company has share-based compensation </w:t>
      </w:r>
      <w:r>
        <w:rPr>
          <w:rFonts w:eastAsia="Times New Roman"/>
          <w:color w:val="000000"/>
          <w:sz w:val="20"/>
          <w:szCs w:val="20"/>
        </w:rPr>
        <w:t>plans covering certain members of management and non-employee directors, which include non-qualified stock options, restricted stock units, and performance-based restricted share units. Performance-based restricted share units are subject to performance co</w:t>
      </w:r>
      <w:r>
        <w:rPr>
          <w:rFonts w:eastAsia="Times New Roman"/>
          <w:color w:val="000000"/>
          <w:sz w:val="20"/>
          <w:szCs w:val="20"/>
        </w:rPr>
        <w:t>nditions that include both Company and market performance. In addition, the Company offers an Employee Stock Purchase Plan (“ESPP”) to eligible employees.</w:t>
      </w:r>
    </w:p>
    <w:p w:rsidR="00000000" w:rsidRDefault="001F39D7">
      <w:pPr>
        <w:divId w:val="95490598"/>
        <w:rPr>
          <w:rFonts w:eastAsia="Times New Roman"/>
        </w:rPr>
      </w:pPr>
    </w:p>
    <w:p w:rsidR="00000000" w:rsidRDefault="001F39D7">
      <w:pPr>
        <w:jc w:val="both"/>
        <w:rPr>
          <w:rFonts w:eastAsia="Times New Roman"/>
        </w:rPr>
      </w:pPr>
      <w:r>
        <w:rPr>
          <w:rFonts w:eastAsia="Times New Roman"/>
          <w:color w:val="000000"/>
          <w:sz w:val="20"/>
          <w:szCs w:val="20"/>
        </w:rPr>
        <w:t xml:space="preserve">The Company estimates the fair value of its stock option awards at the date of grant utilizing a </w:t>
      </w:r>
      <w:r>
        <w:rPr>
          <w:rFonts w:eastAsia="Times New Roman"/>
          <w:i/>
          <w:iCs/>
          <w:color w:val="000000"/>
          <w:sz w:val="20"/>
          <w:szCs w:val="20"/>
        </w:rPr>
        <w:t>Bl</w:t>
      </w:r>
      <w:r>
        <w:rPr>
          <w:rFonts w:eastAsia="Times New Roman"/>
          <w:i/>
          <w:iCs/>
          <w:color w:val="000000"/>
          <w:sz w:val="20"/>
          <w:szCs w:val="20"/>
        </w:rPr>
        <w:t>ack-Scholes</w:t>
      </w:r>
      <w:r>
        <w:rPr>
          <w:rFonts w:eastAsia="Times New Roman"/>
          <w:color w:val="000000"/>
          <w:sz w:val="20"/>
          <w:szCs w:val="20"/>
        </w:rPr>
        <w:t xml:space="preserve"> option pricing model. The </w:t>
      </w:r>
      <w:r>
        <w:rPr>
          <w:rFonts w:eastAsia="Times New Roman"/>
          <w:i/>
          <w:iCs/>
          <w:color w:val="000000"/>
          <w:sz w:val="20"/>
          <w:szCs w:val="20"/>
        </w:rPr>
        <w:t>Black-Scholes</w:t>
      </w:r>
      <w:r>
        <w:rPr>
          <w:rFonts w:eastAsia="Times New Roman"/>
          <w:color w:val="000000"/>
          <w:sz w:val="20"/>
          <w:szCs w:val="20"/>
        </w:rPr>
        <w:t xml:space="preserve"> option valuation model was developed for use in estimating the fair value of short-term traded options that have no vesting restrictions and are fully transferable. However, key assumptions used in the </w:t>
      </w:r>
      <w:r>
        <w:rPr>
          <w:rFonts w:eastAsia="Times New Roman"/>
          <w:i/>
          <w:iCs/>
          <w:color w:val="000000"/>
          <w:sz w:val="20"/>
          <w:szCs w:val="20"/>
        </w:rPr>
        <w:t>Bl</w:t>
      </w:r>
      <w:r>
        <w:rPr>
          <w:rFonts w:eastAsia="Times New Roman"/>
          <w:i/>
          <w:iCs/>
          <w:color w:val="000000"/>
          <w:sz w:val="20"/>
          <w:szCs w:val="20"/>
        </w:rPr>
        <w:t>ack-Scholes</w:t>
      </w:r>
      <w:r>
        <w:rPr>
          <w:rFonts w:eastAsia="Times New Roman"/>
          <w:color w:val="000000"/>
          <w:sz w:val="20"/>
          <w:szCs w:val="20"/>
        </w:rPr>
        <w:t xml:space="preserve"> model are adjusted to incorporate the unique characteristics of the Company’s stock option awards. Option pricing models and generally accepted valuation techniques require management to make subjective assumptions including expected stock pric</w:t>
      </w:r>
      <w:r>
        <w:rPr>
          <w:rFonts w:eastAsia="Times New Roman"/>
          <w:color w:val="000000"/>
          <w:sz w:val="20"/>
          <w:szCs w:val="20"/>
        </w:rPr>
        <w:t>e volatility, expected dividend yield, risk-free interest rate, expected term and forfeiture rates. The Company relies on historical volatility trends to estimate future volatility assumptions.  The risk-free interest rates used were actual U.S. Treasury C</w:t>
      </w:r>
      <w:r>
        <w:rPr>
          <w:rFonts w:eastAsia="Times New Roman"/>
          <w:color w:val="000000"/>
          <w:sz w:val="20"/>
          <w:szCs w:val="20"/>
        </w:rPr>
        <w:t>onstant Maturity rates for bonds matching the expected term of the option on the date of grant. The expected term of the option on the date of grant was estimated based on the Company’s historical experience for similar options.</w:t>
      </w:r>
    </w:p>
    <w:p w:rsidR="00000000" w:rsidRDefault="001F39D7">
      <w:pPr>
        <w:divId w:val="1118794203"/>
        <w:rPr>
          <w:rFonts w:eastAsia="Times New Roman"/>
        </w:rPr>
      </w:pPr>
    </w:p>
    <w:p w:rsidR="00000000" w:rsidRDefault="001F39D7">
      <w:pPr>
        <w:jc w:val="both"/>
        <w:rPr>
          <w:rFonts w:eastAsia="Times New Roman"/>
        </w:rPr>
      </w:pPr>
      <w:r>
        <w:rPr>
          <w:rFonts w:eastAsia="Times New Roman"/>
          <w:color w:val="000000"/>
          <w:sz w:val="20"/>
          <w:szCs w:val="20"/>
        </w:rPr>
        <w:t>The forfeiture rate at th</w:t>
      </w:r>
      <w:r>
        <w:rPr>
          <w:rFonts w:eastAsia="Times New Roman"/>
          <w:color w:val="000000"/>
          <w:sz w:val="20"/>
          <w:szCs w:val="20"/>
        </w:rPr>
        <w:t>e time of valuation was estimated based on historical experience for similar options and reduces expense ratably over the vesting period. The Company adjusts this estimate periodically, based on the extent to which actual forfeitures differ, or are expecte</w:t>
      </w:r>
      <w:r>
        <w:rPr>
          <w:rFonts w:eastAsia="Times New Roman"/>
          <w:color w:val="000000"/>
          <w:sz w:val="20"/>
          <w:szCs w:val="20"/>
        </w:rPr>
        <w:t>d to differ, from the previous estimate.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fair value of the Company’s restricted stock units is the closing stock price of the Company’s common stock the day preceding the grant date, discounted for the expected dividend yield over the term of the awa</w:t>
      </w:r>
      <w:r>
        <w:rPr>
          <w:rFonts w:eastAsia="Times New Roman"/>
          <w:color w:val="000000"/>
          <w:sz w:val="20"/>
          <w:szCs w:val="20"/>
        </w:rPr>
        <w:t>rd. The fair value of the Company's performance-based restricted share units is estimated using a Monte Carlo simulation model on the grant date. Key assumptions used in the Monte Carlo simulation include expected volatility, dividend yield and risk-free i</w:t>
      </w:r>
      <w:r>
        <w:rPr>
          <w:rFonts w:eastAsia="Times New Roman"/>
          <w:color w:val="000000"/>
          <w:sz w:val="20"/>
          <w:szCs w:val="20"/>
        </w:rPr>
        <w:t xml:space="preserve">nterest rate. </w:t>
      </w:r>
    </w:p>
    <w:p w:rsidR="00000000" w:rsidRDefault="001F39D7">
      <w:pPr>
        <w:divId w:val="338505050"/>
        <w:rPr>
          <w:rFonts w:eastAsia="Times New Roman"/>
        </w:rPr>
      </w:pPr>
    </w:p>
    <w:p w:rsidR="00000000" w:rsidRDefault="001F39D7">
      <w:pPr>
        <w:jc w:val="both"/>
        <w:rPr>
          <w:rFonts w:eastAsia="Times New Roman"/>
        </w:rPr>
      </w:pPr>
      <w:r>
        <w:rPr>
          <w:rFonts w:eastAsia="Times New Roman"/>
          <w:color w:val="000000"/>
          <w:sz w:val="20"/>
          <w:szCs w:val="20"/>
        </w:rPr>
        <w:t>The Company believes its estimates are reasonable in the context of historical experience.  Future results will depend on, among other matters, levels of share-based compensation granted in the future, actual forfeiture rates, and the timi</w:t>
      </w:r>
      <w:r>
        <w:rPr>
          <w:rFonts w:eastAsia="Times New Roman"/>
          <w:color w:val="000000"/>
          <w:sz w:val="20"/>
          <w:szCs w:val="20"/>
        </w:rPr>
        <w:t>ng of option exercises.</w:t>
      </w:r>
    </w:p>
    <w:p w:rsidR="00000000" w:rsidRDefault="001F39D7">
      <w:pPr>
        <w:divId w:val="1747341242"/>
        <w:rPr>
          <w:rFonts w:eastAsia="Times New Roman"/>
        </w:rPr>
      </w:pPr>
    </w:p>
    <w:p w:rsidR="00000000" w:rsidRDefault="001F39D7">
      <w:pPr>
        <w:jc w:val="both"/>
        <w:rPr>
          <w:rFonts w:eastAsia="Times New Roman"/>
        </w:rPr>
      </w:pPr>
      <w:r>
        <w:rPr>
          <w:rFonts w:eastAsia="Times New Roman"/>
          <w:b/>
          <w:bCs/>
          <w:i/>
          <w:iCs/>
          <w:color w:val="000000"/>
          <w:sz w:val="20"/>
          <w:szCs w:val="20"/>
        </w:rPr>
        <w:t>Depreciation and Amortization</w:t>
      </w:r>
    </w:p>
    <w:p w:rsidR="00000000" w:rsidRDefault="001F39D7">
      <w:pPr>
        <w:divId w:val="768542666"/>
        <w:rPr>
          <w:rFonts w:eastAsia="Times New Roman"/>
        </w:rPr>
      </w:pPr>
    </w:p>
    <w:p w:rsidR="00000000" w:rsidRDefault="001F39D7">
      <w:pPr>
        <w:jc w:val="both"/>
        <w:rPr>
          <w:rFonts w:eastAsia="Times New Roman"/>
        </w:rPr>
      </w:pPr>
      <w:r>
        <w:rPr>
          <w:rFonts w:eastAsia="Times New Roman"/>
          <w:color w:val="000000"/>
          <w:sz w:val="20"/>
          <w:szCs w:val="20"/>
        </w:rPr>
        <w:t>Depreciation includes expenses related to all retail, distribution facility, and corporate assets.  Amortization includes expenses related to definite-lived intangible assets.</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Income Taxes</w:t>
      </w:r>
    </w:p>
    <w:p w:rsidR="00000000" w:rsidRDefault="001F39D7">
      <w:pPr>
        <w:divId w:val="1793327297"/>
        <w:rPr>
          <w:rFonts w:eastAsia="Times New Roman"/>
        </w:rPr>
      </w:pPr>
    </w:p>
    <w:p w:rsidR="00000000" w:rsidRDefault="001F39D7">
      <w:pPr>
        <w:jc w:val="both"/>
        <w:rPr>
          <w:rFonts w:eastAsia="Times New Roman"/>
        </w:rPr>
      </w:pPr>
      <w:r>
        <w:rPr>
          <w:rFonts w:eastAsia="Times New Roman"/>
          <w:color w:val="000000"/>
          <w:sz w:val="20"/>
          <w:szCs w:val="20"/>
        </w:rPr>
        <w:t>The Company uses the asset and liability method to account for income taxes whereby deferred tax assets and liabilities are determined based on differences between the financial carrying amounts of assets and liabilities and their tax bases. Deferred tax a</w:t>
      </w:r>
      <w:r>
        <w:rPr>
          <w:rFonts w:eastAsia="Times New Roman"/>
          <w:color w:val="000000"/>
          <w:sz w:val="20"/>
          <w:szCs w:val="20"/>
        </w:rPr>
        <w:t xml:space="preserve">ssets and liabilities are measured using the enacted tax rates and laws that are anticipated to be in effect when temporary differences reverse or are settled.  The effect of a tax rate change is recognized in the period in which the law is enacted in the </w:t>
      </w:r>
      <w:r>
        <w:rPr>
          <w:rFonts w:eastAsia="Times New Roman"/>
          <w:color w:val="000000"/>
          <w:sz w:val="20"/>
          <w:szCs w:val="20"/>
        </w:rPr>
        <w:t>provision for income taxes.  The Company records a valuation allowance when it is more likely than not that a deferred tax asset will not be realized.</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Tax Contingencies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Company’s income tax returns are periodically audited by U.S. federal and state</w:t>
      </w:r>
      <w:r>
        <w:rPr>
          <w:rFonts w:eastAsia="Times New Roman"/>
          <w:color w:val="000000"/>
          <w:sz w:val="20"/>
          <w:szCs w:val="20"/>
        </w:rPr>
        <w:t xml:space="preserve"> tax authorities. These audits include questions regarding tax filing positions, including the timing and amount of deductions and the allocation of income among various tax jurisdictions. At any time, multiple tax years are subject to audit by the various</w:t>
      </w:r>
      <w:r>
        <w:rPr>
          <w:rFonts w:eastAsia="Times New Roman"/>
          <w:color w:val="000000"/>
          <w:sz w:val="20"/>
          <w:szCs w:val="20"/>
        </w:rPr>
        <w:t xml:space="preserve"> tax authorities. In evaluating the exposures associated with the Company’s various tax filing positions, the Company records a liability for uncertain tax positions taken or expected to be taken in a tax return.  A number of years may elapse before a part</w:t>
      </w:r>
      <w:r>
        <w:rPr>
          <w:rFonts w:eastAsia="Times New Roman"/>
          <w:color w:val="000000"/>
          <w:sz w:val="20"/>
          <w:szCs w:val="20"/>
        </w:rPr>
        <w:t>icular matter, for which the Company has established a reserve, is audited and fully resolved or clarified.  The Company recognizes the effect of income tax positions only if those positions are more likely than not of being sustained.  Recognized income t</w:t>
      </w:r>
      <w:r>
        <w:rPr>
          <w:rFonts w:eastAsia="Times New Roman"/>
          <w:color w:val="000000"/>
          <w:sz w:val="20"/>
          <w:szCs w:val="20"/>
        </w:rPr>
        <w:t>ax positions are measured at the largest amount that is greater than 50% likely of being realized.  Changes in recognition or measurement are reflected in the period in which the change in judgment occurs.  The Company adjusts its tax contingencies reserve</w:t>
      </w:r>
      <w:r>
        <w:rPr>
          <w:rFonts w:eastAsia="Times New Roman"/>
          <w:color w:val="000000"/>
          <w:sz w:val="20"/>
          <w:szCs w:val="20"/>
        </w:rPr>
        <w:t xml:space="preserve"> and income tax provision in the period in which actual results of a settlement with tax authorities differs from the established reserve, the statute of limitations expires for the relevant tax authority to examine the tax position or when more informatio</w:t>
      </w:r>
      <w:r>
        <w:rPr>
          <w:rFonts w:eastAsia="Times New Roman"/>
          <w:color w:val="000000"/>
          <w:sz w:val="20"/>
          <w:szCs w:val="20"/>
        </w:rPr>
        <w:t>n becomes available.</w:t>
      </w:r>
    </w:p>
    <w:p w:rsidR="00000000" w:rsidRDefault="001F39D7">
      <w:pPr>
        <w:jc w:val="both"/>
        <w:rPr>
          <w:rFonts w:eastAsia="Times New Roman"/>
        </w:rPr>
      </w:pPr>
    </w:p>
    <w:p w:rsidR="00000000" w:rsidRDefault="001F39D7">
      <w:pPr>
        <w:jc w:val="center"/>
        <w:divId w:val="2005280549"/>
        <w:rPr>
          <w:rFonts w:eastAsia="Times New Roman"/>
        </w:rPr>
      </w:pPr>
      <w:r>
        <w:rPr>
          <w:rFonts w:eastAsia="Times New Roman"/>
          <w:color w:val="000000"/>
          <w:sz w:val="20"/>
          <w:szCs w:val="20"/>
        </w:rPr>
        <w:t>58</w:t>
      </w:r>
    </w:p>
    <w:p w:rsidR="00000000" w:rsidRDefault="001F39D7">
      <w:pPr>
        <w:rPr>
          <w:rFonts w:eastAsia="Times New Roman"/>
        </w:rPr>
      </w:pPr>
      <w:r>
        <w:rPr>
          <w:rFonts w:eastAsia="Times New Roman"/>
        </w:rPr>
        <w:pict>
          <v:rect id="_x0000_i1087" style="width:0;height:1.5pt" o:hralign="center" o:hrstd="t" o:hr="t" fillcolor="#a0a0a0" stroked="f"/>
        </w:pict>
      </w:r>
    </w:p>
    <w:p w:rsidR="00000000" w:rsidRDefault="001F39D7">
      <w:pPr>
        <w:divId w:val="647320755"/>
        <w:rPr>
          <w:rFonts w:eastAsia="Times New Roman"/>
        </w:rPr>
      </w:pPr>
      <w:hyperlink w:anchor="ia0680a7a640346e7afc1f53a5745d231_7" w:history="1">
        <w:r>
          <w:rPr>
            <w:rStyle w:val="a3"/>
            <w:rFonts w:eastAsia="Times New Roman"/>
            <w:sz w:val="18"/>
            <w:szCs w:val="18"/>
          </w:rPr>
          <w:t>Index</w:t>
        </w:r>
      </w:hyperlink>
    </w:p>
    <w:p w:rsidR="00000000" w:rsidRDefault="001F39D7">
      <w:pPr>
        <w:divId w:val="621376710"/>
        <w:rPr>
          <w:rFonts w:eastAsia="Times New Roman"/>
        </w:rPr>
      </w:pPr>
      <w:r>
        <w:rPr>
          <w:rFonts w:eastAsia="Times New Roman"/>
          <w:b/>
          <w:bCs/>
          <w:i/>
          <w:iCs/>
          <w:color w:val="000000"/>
          <w:sz w:val="20"/>
          <w:szCs w:val="20"/>
        </w:rPr>
        <w:t>Sales Tax Audit Reserve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 portion of the Company’</w:t>
      </w:r>
      <w:r>
        <w:rPr>
          <w:rFonts w:eastAsia="Times New Roman"/>
          <w:color w:val="000000"/>
          <w:sz w:val="20"/>
          <w:szCs w:val="20"/>
        </w:rPr>
        <w:t>s sales are to tax-exempt customers, predominantly agricultural-based.  The Company obtains exemption information as a necessary part of each tax-exempt transaction.  Many of the states in which the Company conducts business will perform audits to verify t</w:t>
      </w:r>
      <w:r>
        <w:rPr>
          <w:rFonts w:eastAsia="Times New Roman"/>
          <w:color w:val="000000"/>
          <w:sz w:val="20"/>
          <w:szCs w:val="20"/>
        </w:rPr>
        <w:t>he Company’s compliance with applicable sales tax laws.  The business activities of the Company’s customers and the intended use of the unique products sold by the Company create a challenging and complex tax compliance environment.  These circumstances al</w:t>
      </w:r>
      <w:r>
        <w:rPr>
          <w:rFonts w:eastAsia="Times New Roman"/>
          <w:color w:val="000000"/>
          <w:sz w:val="20"/>
          <w:szCs w:val="20"/>
        </w:rPr>
        <w:t>so create some risk that the Company could be challenged as to the accuracy of the Company’s sales tax compliance.</w:t>
      </w:r>
    </w:p>
    <w:p w:rsidR="00000000" w:rsidRDefault="001F39D7">
      <w:pPr>
        <w:divId w:val="1755929116"/>
        <w:rPr>
          <w:rFonts w:eastAsia="Times New Roman"/>
        </w:rPr>
      </w:pPr>
    </w:p>
    <w:p w:rsidR="00000000" w:rsidRDefault="001F39D7">
      <w:pPr>
        <w:jc w:val="both"/>
        <w:rPr>
          <w:rFonts w:eastAsia="Times New Roman"/>
        </w:rPr>
      </w:pPr>
      <w:r>
        <w:rPr>
          <w:rFonts w:eastAsia="Times New Roman"/>
          <w:color w:val="000000"/>
          <w:sz w:val="20"/>
          <w:szCs w:val="20"/>
        </w:rPr>
        <w:t xml:space="preserve">The Company reviews past audit experience and assessments with applicable states to continually determine if it has potential exposure for </w:t>
      </w:r>
      <w:r>
        <w:rPr>
          <w:rFonts w:eastAsia="Times New Roman"/>
          <w:color w:val="000000"/>
          <w:sz w:val="20"/>
          <w:szCs w:val="20"/>
        </w:rPr>
        <w:t>non-compliance.  Any estimated liability is based on an initial assessment of compliance risk and historical experience with each state.  The Company continually reassesses the exposure based on historical audit results, changes in policies, preliminary an</w:t>
      </w:r>
      <w:r>
        <w:rPr>
          <w:rFonts w:eastAsia="Times New Roman"/>
          <w:color w:val="000000"/>
          <w:sz w:val="20"/>
          <w:szCs w:val="20"/>
        </w:rPr>
        <w:t xml:space="preserve">d final assessments made by state sales tax auditors, and additional documentation that may be provided to reduce the assessment.  The reserve for these tax audits can fluctuate depending on numerous factors, including the complexity of agricultural-based </w:t>
      </w:r>
      <w:r>
        <w:rPr>
          <w:rFonts w:eastAsia="Times New Roman"/>
          <w:color w:val="000000"/>
          <w:sz w:val="20"/>
          <w:szCs w:val="20"/>
        </w:rPr>
        <w:t>exemptions, the ambiguity in state tax regulations, the number of ongoing audits, and the length of time required to settle with the state taxing authorities.</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Net Income Per Share</w:t>
      </w:r>
    </w:p>
    <w:p w:rsidR="00000000" w:rsidRDefault="001F39D7">
      <w:pPr>
        <w:divId w:val="67113314"/>
        <w:rPr>
          <w:rFonts w:eastAsia="Times New Roman"/>
        </w:rPr>
      </w:pPr>
    </w:p>
    <w:p w:rsidR="00000000" w:rsidRDefault="001F39D7">
      <w:pPr>
        <w:jc w:val="both"/>
        <w:rPr>
          <w:rFonts w:eastAsia="Times New Roman"/>
        </w:rPr>
      </w:pPr>
      <w:r>
        <w:rPr>
          <w:rFonts w:eastAsia="Times New Roman"/>
          <w:color w:val="000000"/>
          <w:sz w:val="20"/>
          <w:szCs w:val="20"/>
        </w:rPr>
        <w:t xml:space="preserve">The Company presents both basic and diluted net income per share on the </w:t>
      </w:r>
      <w:r>
        <w:rPr>
          <w:rFonts w:eastAsia="Times New Roman"/>
          <w:color w:val="000000"/>
          <w:sz w:val="20"/>
          <w:szCs w:val="20"/>
        </w:rPr>
        <w:t>Consolidated Statements of Income. Basic net income per share is calculated by dividing net income by the weighted average number of shares outstanding during the period.  Diluted net income per share is calculated by dividing net income by the weighted av</w:t>
      </w:r>
      <w:r>
        <w:rPr>
          <w:rFonts w:eastAsia="Times New Roman"/>
          <w:color w:val="000000"/>
          <w:sz w:val="20"/>
          <w:szCs w:val="20"/>
        </w:rPr>
        <w:t>erage diluted shares outstanding during the period. Dilutive shares are computed using the treasury stock method for share-based awards. Performance-based restricted share units are included in diluted shares only if the related performance conditions have</w:t>
      </w:r>
      <w:r>
        <w:rPr>
          <w:rFonts w:eastAsia="Times New Roman"/>
          <w:color w:val="000000"/>
          <w:sz w:val="20"/>
          <w:szCs w:val="20"/>
        </w:rPr>
        <w:t xml:space="preserve"> been considered satisfied as of the end of the reporting period. </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Cash and Cash Equivalents</w:t>
      </w:r>
    </w:p>
    <w:p w:rsidR="00000000" w:rsidRDefault="001F39D7">
      <w:pPr>
        <w:divId w:val="1518735831"/>
        <w:rPr>
          <w:rFonts w:eastAsia="Times New Roman"/>
        </w:rPr>
      </w:pPr>
    </w:p>
    <w:p w:rsidR="00000000" w:rsidRDefault="001F39D7">
      <w:pPr>
        <w:jc w:val="both"/>
        <w:rPr>
          <w:rFonts w:eastAsia="Times New Roman"/>
        </w:rPr>
      </w:pPr>
      <w:r>
        <w:rPr>
          <w:rFonts w:eastAsia="Times New Roman"/>
          <w:color w:val="000000"/>
          <w:sz w:val="20"/>
          <w:szCs w:val="20"/>
        </w:rPr>
        <w:t>Temporary cash investments, with a maturity of three months or less when purchased, are considered to be cash equivalents.  The majority of payments due from b</w:t>
      </w:r>
      <w:r>
        <w:rPr>
          <w:rFonts w:eastAsia="Times New Roman"/>
          <w:color w:val="000000"/>
          <w:sz w:val="20"/>
          <w:szCs w:val="20"/>
        </w:rPr>
        <w:t>anks for customer credit cards are classified as cash and cash equivalents, as they generally settle within 24 - 48 hours.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Sales generated through the Company’s private label credit cards are not reflected as accounts receivable.  Under an agreement with</w:t>
      </w:r>
      <w:r>
        <w:rPr>
          <w:rFonts w:eastAsia="Times New Roman"/>
          <w:color w:val="000000"/>
          <w:sz w:val="20"/>
          <w:szCs w:val="20"/>
        </w:rPr>
        <w:t xml:space="preserve"> Citi Cards, a division of Citigroup, consumer and business credit is extended directly to customers by Citigroup.  All credit program and related services are performed and controlled directly by Citigroup.  Payments due from Citigroup are classified as c</w:t>
      </w:r>
      <w:r>
        <w:rPr>
          <w:rFonts w:eastAsia="Times New Roman"/>
          <w:color w:val="000000"/>
          <w:sz w:val="20"/>
          <w:szCs w:val="20"/>
        </w:rPr>
        <w:t>ash and cash equivalents as they generally settle within 24 - 48 hours.</w:t>
      </w:r>
    </w:p>
    <w:p w:rsidR="00000000" w:rsidRDefault="001F39D7">
      <w:pPr>
        <w:divId w:val="1873613896"/>
        <w:rPr>
          <w:rFonts w:eastAsia="Times New Roman"/>
        </w:rPr>
      </w:pPr>
    </w:p>
    <w:p w:rsidR="00000000" w:rsidRDefault="001F39D7">
      <w:pPr>
        <w:jc w:val="both"/>
        <w:rPr>
          <w:rFonts w:eastAsia="Times New Roman"/>
        </w:rPr>
      </w:pPr>
      <w:r>
        <w:rPr>
          <w:rFonts w:eastAsia="Times New Roman"/>
          <w:b/>
          <w:bCs/>
          <w:i/>
          <w:iCs/>
          <w:color w:val="000000"/>
          <w:sz w:val="20"/>
          <w:szCs w:val="20"/>
        </w:rPr>
        <w:t>Fair Value of Financial Instruments</w:t>
      </w:r>
    </w:p>
    <w:p w:rsidR="00000000" w:rsidRDefault="001F39D7">
      <w:pPr>
        <w:divId w:val="775249850"/>
        <w:rPr>
          <w:rFonts w:eastAsia="Times New Roman"/>
        </w:rPr>
      </w:pPr>
    </w:p>
    <w:p w:rsidR="00000000" w:rsidRDefault="001F39D7">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w:t>
      </w:r>
      <w:r>
        <w:rPr>
          <w:rFonts w:eastAsia="Times New Roman"/>
          <w:color w:val="000000"/>
          <w:sz w:val="20"/>
          <w:szCs w:val="20"/>
        </w:rPr>
        <w:t>tion between market participants on the measurement date. The Company uses a three-tier fair value hierarchy, which prioritizes the inputs used in measuring fair value.  These tiers include: Level 1, defined as observable inputs such as quoted prices in ac</w:t>
      </w:r>
      <w:r>
        <w:rPr>
          <w:rFonts w:eastAsia="Times New Roman"/>
          <w:color w:val="000000"/>
          <w:sz w:val="20"/>
          <w:szCs w:val="20"/>
        </w:rPr>
        <w:t>tive markets; Level 2, defined as inputs other than quoted prices in active markets that are either directly or indirectly observable; and Level 3, defined as unobservable inputs in which little or no market data exists, therefore requiring an entity to de</w:t>
      </w:r>
      <w:r>
        <w:rPr>
          <w:rFonts w:eastAsia="Times New Roman"/>
          <w:color w:val="000000"/>
          <w:sz w:val="20"/>
          <w:szCs w:val="20"/>
        </w:rPr>
        <w:t>velop its own assumptions.</w:t>
      </w:r>
    </w:p>
    <w:p w:rsidR="00000000" w:rsidRDefault="001F39D7">
      <w:pPr>
        <w:divId w:val="1956400543"/>
        <w:rPr>
          <w:rFonts w:eastAsia="Times New Roman"/>
        </w:rPr>
      </w:pPr>
    </w:p>
    <w:p w:rsidR="00000000" w:rsidRDefault="001F39D7">
      <w:pPr>
        <w:jc w:val="both"/>
        <w:rPr>
          <w:rFonts w:eastAsia="Times New Roman"/>
        </w:rPr>
      </w:pPr>
      <w:r>
        <w:rPr>
          <w:rFonts w:eastAsia="Times New Roman"/>
          <w:color w:val="000000"/>
          <w:sz w:val="20"/>
          <w:szCs w:val="20"/>
        </w:rPr>
        <w:t>The Company’</w:t>
      </w:r>
      <w:r>
        <w:rPr>
          <w:rFonts w:eastAsia="Times New Roman"/>
          <w:color w:val="000000"/>
          <w:sz w:val="20"/>
          <w:szCs w:val="20"/>
        </w:rPr>
        <w:t>s financial instruments consist of cash and cash equivalents, short-term receivables, trade payables, debt instruments, and interest rate swaps. Due to their short-term nature, the carrying values of cash and cash equivalents, short-term receivables, and t</w:t>
      </w:r>
      <w:r>
        <w:rPr>
          <w:rFonts w:eastAsia="Times New Roman"/>
          <w:color w:val="000000"/>
          <w:sz w:val="20"/>
          <w:szCs w:val="20"/>
        </w:rPr>
        <w:t>rade payables approximate current fair value at each balance sheet date. The Company had $1.00 billion in borrowings under our debt facilities (as discussed in Note 4) as of December 25, 2021 and December 26, 2020. Based on current market interest rates (L</w:t>
      </w:r>
      <w:r>
        <w:rPr>
          <w:rFonts w:eastAsia="Times New Roman"/>
          <w:color w:val="000000"/>
          <w:sz w:val="20"/>
          <w:szCs w:val="20"/>
        </w:rPr>
        <w:t>evel 2 inputs), the carrying value of our borrowings under our debt facilities approximates fair value for each period reported. The fair value of the Company’s interest rate swaps is determined based on the present value of expected future cash flows usin</w:t>
      </w:r>
      <w:r>
        <w:rPr>
          <w:rFonts w:eastAsia="Times New Roman"/>
          <w:color w:val="000000"/>
          <w:sz w:val="20"/>
          <w:szCs w:val="20"/>
        </w:rPr>
        <w:t xml:space="preserve">g forward rate curves (a Level 2 input). The fair value of the interest rate swaps, excluding accrued interest, was a net asset of $1.8 million and net liability $4.4 million as of December 25, 2021 and December 26, 2020, respectively. </w:t>
      </w:r>
    </w:p>
    <w:p w:rsidR="00000000" w:rsidRDefault="001F39D7">
      <w:pPr>
        <w:jc w:val="both"/>
        <w:rPr>
          <w:rFonts w:eastAsia="Times New Roman"/>
        </w:rPr>
      </w:pPr>
    </w:p>
    <w:p w:rsidR="00000000" w:rsidRDefault="001F39D7">
      <w:pPr>
        <w:jc w:val="center"/>
        <w:divId w:val="1689526124"/>
        <w:rPr>
          <w:rFonts w:eastAsia="Times New Roman"/>
        </w:rPr>
      </w:pPr>
      <w:r>
        <w:rPr>
          <w:rFonts w:eastAsia="Times New Roman"/>
          <w:color w:val="000000"/>
          <w:sz w:val="20"/>
          <w:szCs w:val="20"/>
        </w:rPr>
        <w:t>59</w:t>
      </w:r>
    </w:p>
    <w:p w:rsidR="00000000" w:rsidRDefault="001F39D7">
      <w:pPr>
        <w:rPr>
          <w:rFonts w:eastAsia="Times New Roman"/>
        </w:rPr>
      </w:pPr>
      <w:r>
        <w:rPr>
          <w:rFonts w:eastAsia="Times New Roman"/>
        </w:rPr>
        <w:pict>
          <v:rect id="_x0000_i1088" style="width:0;height:1.5pt" o:hralign="center" o:hrstd="t" o:hr="t" fillcolor="#a0a0a0" stroked="f"/>
        </w:pict>
      </w:r>
    </w:p>
    <w:p w:rsidR="00000000" w:rsidRDefault="001F39D7">
      <w:pPr>
        <w:divId w:val="1013649070"/>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i/>
          <w:iCs/>
          <w:color w:val="000000"/>
          <w:sz w:val="20"/>
          <w:szCs w:val="20"/>
        </w:rPr>
        <w:t>Derivative Financial Instruments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accounts for derivative financial instruments in accordance with applicable accounting standards for such instruments and h</w:t>
      </w:r>
      <w:r>
        <w:rPr>
          <w:rFonts w:eastAsia="Times New Roman"/>
          <w:color w:val="000000"/>
          <w:sz w:val="20"/>
          <w:szCs w:val="20"/>
        </w:rPr>
        <w:t>edging activities, which require that all derivatives are recorded on the balance sheet at fair value. The accounting for changes in the fair value of derivatives depends on the intended use of the derivative, whether the Company has elected to designate a</w:t>
      </w:r>
      <w:r>
        <w:rPr>
          <w:rFonts w:eastAsia="Times New Roman"/>
          <w:color w:val="000000"/>
          <w:sz w:val="20"/>
          <w:szCs w:val="20"/>
        </w:rPr>
        <w:t xml:space="preserve"> derivative in a hedging relationship and apply hedge accounting and whether the hedging relationship has satisfied the criteria necessary to apply hedge accounting.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Derivatives designated and qualifying as a hedge of the exposure to changes in the fair</w:t>
      </w:r>
      <w:r>
        <w:rPr>
          <w:rFonts w:eastAsia="Times New Roman"/>
          <w:color w:val="000000"/>
          <w:sz w:val="20"/>
          <w:szCs w:val="20"/>
        </w:rPr>
        <w:t xml:space="preserve"> value of an asset, liability, or firm commitment attributable to a particular risk are considered fair value hedges. Derivatives designated and qualifying as a hedge of the exposure to variability in expected future cash flows, or other types of forecaste</w:t>
      </w:r>
      <w:r>
        <w:rPr>
          <w:rFonts w:eastAsia="Times New Roman"/>
          <w:color w:val="000000"/>
          <w:sz w:val="20"/>
          <w:szCs w:val="20"/>
        </w:rPr>
        <w:t>d transactions, are considered cash flow hedges. Hedge accounting generally provides for the matching of the timing of gain or loss recognition on the hedging instrument with the recognition of the changes in the fair value of the hedged asset or liability</w:t>
      </w:r>
      <w:r>
        <w:rPr>
          <w:rFonts w:eastAsia="Times New Roman"/>
          <w:color w:val="000000"/>
          <w:sz w:val="20"/>
          <w:szCs w:val="20"/>
        </w:rPr>
        <w:t xml:space="preserve"> that are attributable to the hedged risk in a fair value hedge or the earnings effect of the hedged forecasted transactions in a cash flow hedge. The Company may enter into derivative contracts that are intended to economically hedge a certain portion of </w:t>
      </w:r>
      <w:r>
        <w:rPr>
          <w:rFonts w:eastAsia="Times New Roman"/>
          <w:color w:val="000000"/>
          <w:sz w:val="20"/>
          <w:szCs w:val="20"/>
        </w:rPr>
        <w:t xml:space="preserve">its risk, even though hedge accounting does not apply or the Company elects not to apply the hedge accounting standards.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fair value of the interest rate swaps, excluding accrued interest, was a net asset of $1.8 million and net liability $4.4 millio</w:t>
      </w:r>
      <w:r>
        <w:rPr>
          <w:rFonts w:eastAsia="Times New Roman"/>
          <w:color w:val="000000"/>
          <w:sz w:val="20"/>
          <w:szCs w:val="20"/>
        </w:rPr>
        <w:t>n as of December 25, 2021 and December 26, 2020, respectively.</w:t>
      </w:r>
    </w:p>
    <w:p w:rsidR="00000000" w:rsidRDefault="001F39D7">
      <w:pPr>
        <w:divId w:val="1956327388"/>
        <w:rPr>
          <w:rFonts w:eastAsia="Times New Roman"/>
        </w:rPr>
      </w:pPr>
    </w:p>
    <w:p w:rsidR="00000000" w:rsidRDefault="001F39D7">
      <w:pPr>
        <w:divId w:val="234240594"/>
        <w:rPr>
          <w:rFonts w:eastAsia="Times New Roman"/>
        </w:rPr>
      </w:pPr>
      <w:r>
        <w:rPr>
          <w:rFonts w:eastAsia="Times New Roman"/>
          <w:b/>
          <w:bCs/>
          <w:i/>
          <w:iCs/>
          <w:color w:val="000000"/>
          <w:sz w:val="20"/>
          <w:szCs w:val="20"/>
        </w:rPr>
        <w:t>Inventories</w:t>
      </w:r>
    </w:p>
    <w:p w:rsidR="00000000" w:rsidRDefault="001F39D7">
      <w:pPr>
        <w:divId w:val="107314872"/>
        <w:rPr>
          <w:rFonts w:eastAsia="Times New Roman"/>
        </w:rPr>
      </w:pPr>
    </w:p>
    <w:p w:rsidR="00000000" w:rsidRDefault="001F39D7">
      <w:pPr>
        <w:jc w:val="both"/>
        <w:rPr>
          <w:rFonts w:eastAsia="Times New Roman"/>
        </w:rPr>
      </w:pPr>
      <w:r>
        <w:rPr>
          <w:rFonts w:eastAsia="Times New Roman"/>
          <w:color w:val="000000"/>
          <w:sz w:val="20"/>
          <w:szCs w:val="20"/>
        </w:rPr>
        <w:t>Inventories are stated at the lower of cost, as determined by the average cost method, or net realizable value.  Inventory cost consists of the direct cost of merchandise includ</w:t>
      </w:r>
      <w:r>
        <w:rPr>
          <w:rFonts w:eastAsia="Times New Roman"/>
          <w:color w:val="000000"/>
          <w:sz w:val="20"/>
          <w:szCs w:val="20"/>
        </w:rPr>
        <w:t>ing freight, duties, and tariffs.  Inventories are net of shrinkage, obsolescence, other valuations, and vendor allowances.</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Property and Equipment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Property and equipment are initially recorded at cost.  Depreciation is recorded using the straight-line </w:t>
      </w:r>
      <w:r>
        <w:rPr>
          <w:rFonts w:eastAsia="Times New Roman"/>
          <w:color w:val="000000"/>
          <w:sz w:val="20"/>
          <w:szCs w:val="20"/>
        </w:rPr>
        <w:t>method over the estimated useful lives of the assets.  Improvements to leased premises are amortized using the straight-line method over the remaining term of the lease or the useful life of the improvement, whichever is less. The following table summarize</w:t>
      </w:r>
      <w:r>
        <w:rPr>
          <w:rFonts w:eastAsia="Times New Roman"/>
          <w:color w:val="000000"/>
          <w:sz w:val="20"/>
          <w:szCs w:val="20"/>
        </w:rPr>
        <w:t>s the Company's property and equipment balances and includes the estimated useful lives which are generally applied (in thousands, except estimated useful lives):</w:t>
      </w:r>
    </w:p>
    <w:tbl>
      <w:tblPr>
        <w:tblW w:w="5000" w:type="pct"/>
        <w:tblCellMar>
          <w:top w:w="15" w:type="dxa"/>
          <w:left w:w="15" w:type="dxa"/>
          <w:bottom w:w="15" w:type="dxa"/>
          <w:right w:w="15" w:type="dxa"/>
        </w:tblCellMar>
        <w:tblLook w:val="04A0" w:firstRow="1" w:lastRow="0" w:firstColumn="1" w:lastColumn="0" w:noHBand="0" w:noVBand="1"/>
      </w:tblPr>
      <w:tblGrid>
        <w:gridCol w:w="38"/>
        <w:gridCol w:w="4092"/>
        <w:gridCol w:w="36"/>
        <w:gridCol w:w="52"/>
        <w:gridCol w:w="1162"/>
        <w:gridCol w:w="36"/>
        <w:gridCol w:w="36"/>
        <w:gridCol w:w="36"/>
        <w:gridCol w:w="36"/>
        <w:gridCol w:w="120"/>
        <w:gridCol w:w="1181"/>
        <w:gridCol w:w="36"/>
        <w:gridCol w:w="36"/>
        <w:gridCol w:w="36"/>
        <w:gridCol w:w="36"/>
        <w:gridCol w:w="120"/>
        <w:gridCol w:w="1181"/>
        <w:gridCol w:w="36"/>
      </w:tblGrid>
      <w:tr w:rsidR="00000000">
        <w:tc>
          <w:tcPr>
            <w:tcW w:w="50" w:type="pct"/>
            <w:vAlign w:val="center"/>
            <w:hideMark/>
          </w:tcPr>
          <w:p w:rsidR="00000000" w:rsidRDefault="001F39D7">
            <w:pPr>
              <w:jc w:val="both"/>
              <w:rPr>
                <w:rFonts w:eastAsia="Times New Roman"/>
              </w:rPr>
            </w:pPr>
          </w:p>
        </w:tc>
        <w:tc>
          <w:tcPr>
            <w:tcW w:w="249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Estimated Useful Lives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Land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Buildings and improvements</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1 – 35 years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1,517,052 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1,319,559 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Furniture, fixtures and equipment</w:t>
            </w:r>
          </w:p>
        </w:tc>
        <w:tc>
          <w:tcPr>
            <w:tcW w:w="0" w:type="auto"/>
            <w:gridSpan w:val="3"/>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5 – 10 years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900,272 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773,178 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Computer software and hardware</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2 – 7 years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694,455 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563,509 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211,486 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73,950 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Property and equipment, gross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3,423,394 </w:t>
            </w:r>
          </w:p>
        </w:tc>
        <w:tc>
          <w:tcPr>
            <w:tcW w:w="0" w:type="auto"/>
            <w:tcBorders>
              <w:top w:val="single" w:sz="8"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2,830,334 </w:t>
            </w:r>
          </w:p>
        </w:tc>
        <w:tc>
          <w:tcPr>
            <w:tcW w:w="0" w:type="auto"/>
            <w:tcBorders>
              <w:top w:val="single" w:sz="8"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(1,805,588)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(1,581,374)</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4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1,617,806 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1,248,960 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entered into agreements with various governmental entities in the states of Kentucky, Georgia, Ohio and Tennessee to implement tax abatement plans related to its distribution center in Franklin, Kentucky (Simpson County), its distribution cente</w:t>
      </w:r>
      <w:r>
        <w:rPr>
          <w:rFonts w:eastAsia="Times New Roman"/>
          <w:color w:val="000000"/>
          <w:sz w:val="20"/>
          <w:szCs w:val="20"/>
        </w:rPr>
        <w:t>r in Macon, Georgia (Bibb County), its distribution center in Navarre, Ohio (Stark County) and its Store Support Center in Brentwood, Tennessee (Williamson County).  The tax abatement plans provide for reduction of real property taxes for specified time fr</w:t>
      </w:r>
      <w:r>
        <w:rPr>
          <w:rFonts w:eastAsia="Times New Roman"/>
          <w:color w:val="000000"/>
          <w:sz w:val="20"/>
          <w:szCs w:val="20"/>
        </w:rPr>
        <w:t xml:space="preserve">ames by legally transferring title to its real property in exchange for industrial revenue bonds. This property was then leased back to the Company. No cash was exchanged. </w:t>
      </w:r>
    </w:p>
    <w:p w:rsidR="00000000" w:rsidRDefault="001F39D7">
      <w:pPr>
        <w:jc w:val="both"/>
        <w:rPr>
          <w:rFonts w:eastAsia="Times New Roman"/>
        </w:rPr>
      </w:pPr>
    </w:p>
    <w:p w:rsidR="00000000" w:rsidRDefault="001F39D7">
      <w:pPr>
        <w:jc w:val="center"/>
        <w:divId w:val="348407003"/>
        <w:rPr>
          <w:rFonts w:eastAsia="Times New Roman"/>
        </w:rPr>
      </w:pPr>
      <w:r>
        <w:rPr>
          <w:rFonts w:eastAsia="Times New Roman"/>
          <w:color w:val="000000"/>
          <w:sz w:val="20"/>
          <w:szCs w:val="20"/>
        </w:rPr>
        <w:t>60</w:t>
      </w:r>
    </w:p>
    <w:p w:rsidR="00000000" w:rsidRDefault="001F39D7">
      <w:pPr>
        <w:rPr>
          <w:rFonts w:eastAsia="Times New Roman"/>
        </w:rPr>
      </w:pPr>
      <w:r>
        <w:rPr>
          <w:rFonts w:eastAsia="Times New Roman"/>
        </w:rPr>
        <w:pict>
          <v:rect id="_x0000_i1089" style="width:0;height:1.5pt" o:hralign="center" o:hrstd="t" o:hr="t" fillcolor="#a0a0a0" stroked="f"/>
        </w:pict>
      </w:r>
    </w:p>
    <w:p w:rsidR="00000000" w:rsidRDefault="001F39D7">
      <w:pPr>
        <w:divId w:val="1542546903"/>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The lease payments are equal to the amount of the payments on the bonds.  The tax abatement period extends through the term of the lease, which coincides wi</w:t>
      </w:r>
      <w:r>
        <w:rPr>
          <w:rFonts w:eastAsia="Times New Roman"/>
          <w:color w:val="000000"/>
          <w:sz w:val="20"/>
          <w:szCs w:val="20"/>
        </w:rPr>
        <w:t>th the maturity date of the bonds. At any time, the Company has the option to purchase the real property by paying off the bonds, plus $1. The terms and amounts authorized and drawn under each industrial revenue bond agreement are outlined as follows, as o</w:t>
      </w:r>
      <w:r>
        <w:rPr>
          <w:rFonts w:eastAsia="Times New Roman"/>
          <w:color w:val="000000"/>
          <w:sz w:val="20"/>
          <w:szCs w:val="20"/>
        </w:rPr>
        <w:t>f December 25, 2021:</w:t>
      </w:r>
    </w:p>
    <w:p w:rsidR="00000000" w:rsidRDefault="001F39D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7"/>
        <w:gridCol w:w="4001"/>
        <w:gridCol w:w="36"/>
        <w:gridCol w:w="36"/>
        <w:gridCol w:w="36"/>
        <w:gridCol w:w="36"/>
        <w:gridCol w:w="38"/>
        <w:gridCol w:w="1208"/>
        <w:gridCol w:w="36"/>
        <w:gridCol w:w="36"/>
        <w:gridCol w:w="36"/>
        <w:gridCol w:w="36"/>
        <w:gridCol w:w="57"/>
        <w:gridCol w:w="1191"/>
        <w:gridCol w:w="36"/>
        <w:gridCol w:w="36"/>
        <w:gridCol w:w="36"/>
        <w:gridCol w:w="36"/>
        <w:gridCol w:w="45"/>
        <w:gridCol w:w="1204"/>
        <w:gridCol w:w="36"/>
      </w:tblGrid>
      <w:tr w:rsidR="00000000">
        <w:tc>
          <w:tcPr>
            <w:tcW w:w="50" w:type="pct"/>
            <w:vAlign w:val="center"/>
            <w:hideMark/>
          </w:tcPr>
          <w:p w:rsidR="00000000" w:rsidRDefault="001F39D7">
            <w:pPr>
              <w:jc w:val="both"/>
              <w:rPr>
                <w:rFonts w:eastAsia="Times New Roman"/>
              </w:rPr>
            </w:pPr>
          </w:p>
        </w:tc>
        <w:tc>
          <w:tcPr>
            <w:tcW w:w="243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Bond Term</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Bond Authorized Amount</w:t>
            </w:r>
          </w:p>
          <w:p w:rsidR="00000000" w:rsidRDefault="001F39D7">
            <w:pPr>
              <w:spacing w:after="100"/>
              <w:jc w:val="center"/>
              <w:rPr>
                <w:rFonts w:eastAsia="Times New Roman"/>
              </w:rPr>
            </w:pPr>
            <w:r>
              <w:rPr>
                <w:rFonts w:eastAsia="Times New Roman"/>
                <w:b/>
                <w:bCs/>
                <w:color w:val="000000"/>
                <w:sz w:val="18"/>
                <w:szCs w:val="18"/>
              </w:rPr>
              <w:t>(in millions)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18"/>
                <w:szCs w:val="18"/>
              </w:rPr>
              <w:t>Amount Drawn</w:t>
            </w:r>
          </w:p>
          <w:p w:rsidR="00000000" w:rsidRDefault="001F39D7">
            <w:pPr>
              <w:spacing w:after="100"/>
              <w:jc w:val="center"/>
              <w:rPr>
                <w:rFonts w:eastAsia="Times New Roman"/>
              </w:rPr>
            </w:pPr>
            <w:r>
              <w:rPr>
                <w:rFonts w:eastAsia="Times New Roman"/>
                <w:b/>
                <w:bCs/>
                <w:color w:val="000000"/>
                <w:sz w:val="18"/>
                <w:szCs w:val="18"/>
              </w:rPr>
              <w:t>(in millions)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Franklin, Kentucky Distribution Center</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30 years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$54.0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$51.8</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Macon, Georgia Distribution Center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15 years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$58.0</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$58.0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Brentwood, Tennessee Store Support Center</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10 years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$78.0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$75.3</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Navarre, Ohio Distribution Center</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30 years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$90.0</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Due to the form of these transactions, the Company has not recorded the bonds or the lease obligation associated with the sale lease-back transaction. The original cost of the Company’s property and equipment is recorded on the balance sheet and is being d</w:t>
      </w:r>
      <w:r>
        <w:rPr>
          <w:rFonts w:eastAsia="Times New Roman"/>
          <w:color w:val="000000"/>
          <w:sz w:val="20"/>
          <w:szCs w:val="20"/>
        </w:rPr>
        <w:t>epreciated over its estimated useful life.</w:t>
      </w:r>
    </w:p>
    <w:p w:rsidR="00000000" w:rsidRDefault="001F39D7">
      <w:pPr>
        <w:divId w:val="2097508283"/>
        <w:rPr>
          <w:rFonts w:eastAsia="Times New Roman"/>
        </w:rPr>
      </w:pPr>
    </w:p>
    <w:p w:rsidR="00000000" w:rsidRDefault="001F39D7">
      <w:pPr>
        <w:jc w:val="both"/>
        <w:rPr>
          <w:rFonts w:eastAsia="Times New Roman"/>
        </w:rPr>
      </w:pPr>
      <w:r>
        <w:rPr>
          <w:rFonts w:eastAsia="Times New Roman"/>
          <w:b/>
          <w:bCs/>
          <w:i/>
          <w:iCs/>
          <w:color w:val="000000"/>
          <w:sz w:val="20"/>
          <w:szCs w:val="20"/>
        </w:rPr>
        <w:t>Capitalized Software Costs</w:t>
      </w:r>
    </w:p>
    <w:p w:rsidR="00000000" w:rsidRDefault="001F39D7">
      <w:pPr>
        <w:divId w:val="188958093"/>
        <w:rPr>
          <w:rFonts w:eastAsia="Times New Roman"/>
        </w:rPr>
      </w:pPr>
    </w:p>
    <w:p w:rsidR="00000000" w:rsidRDefault="001F39D7">
      <w:pPr>
        <w:jc w:val="both"/>
        <w:rPr>
          <w:rFonts w:eastAsia="Times New Roman"/>
        </w:rPr>
      </w:pPr>
      <w:r>
        <w:rPr>
          <w:rFonts w:eastAsia="Times New Roman"/>
          <w:color w:val="000000"/>
          <w:sz w:val="20"/>
          <w:szCs w:val="20"/>
        </w:rPr>
        <w:t>The Company capitalizes certain costs related to the acquisition and development of software and amortizes these costs using the straight-line method over the estimated useful life o</w:t>
      </w:r>
      <w:r>
        <w:rPr>
          <w:rFonts w:eastAsia="Times New Roman"/>
          <w:color w:val="000000"/>
          <w:sz w:val="20"/>
          <w:szCs w:val="20"/>
        </w:rPr>
        <w:t>f the software, which is</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seve</w:t>
      </w:r>
      <w:r>
        <w:rPr>
          <w:rFonts w:eastAsia="Times New Roman"/>
          <w:color w:val="000000"/>
          <w:sz w:val="20"/>
          <w:szCs w:val="20"/>
        </w:rPr>
        <w:t>n</w:t>
      </w:r>
      <w:r>
        <w:rPr>
          <w:rFonts w:eastAsia="Times New Roman"/>
          <w:color w:val="000000"/>
          <w:sz w:val="20"/>
          <w:szCs w:val="20"/>
        </w:rPr>
        <w:t xml:space="preserve"> years.  Computer software consists of software developed for internal-use and third-party software purchased for internal-use.  A subsequent addition, modification or upgrade to internal-use software is capitalized to </w:t>
      </w:r>
      <w:r>
        <w:rPr>
          <w:rFonts w:eastAsia="Times New Roman"/>
          <w:color w:val="000000"/>
          <w:sz w:val="20"/>
          <w:szCs w:val="20"/>
        </w:rPr>
        <w:t>the extent that it enhances the software’s functionality or extends its useful life.  These costs are included in property and equipment in the accompanying Consolidated Balance Sheets.  Certain software costs not meeting the criteria for capitalization ar</w:t>
      </w:r>
      <w:r>
        <w:rPr>
          <w:rFonts w:eastAsia="Times New Roman"/>
          <w:color w:val="000000"/>
          <w:sz w:val="20"/>
          <w:szCs w:val="20"/>
        </w:rPr>
        <w:t>e expensed as incurred.</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Store Closing Costs</w:t>
      </w:r>
    </w:p>
    <w:p w:rsidR="00000000" w:rsidRDefault="001F39D7">
      <w:pPr>
        <w:divId w:val="1241794509"/>
        <w:rPr>
          <w:rFonts w:eastAsia="Times New Roman"/>
        </w:rPr>
      </w:pPr>
    </w:p>
    <w:p w:rsidR="00000000" w:rsidRDefault="001F39D7">
      <w:pPr>
        <w:jc w:val="both"/>
        <w:rPr>
          <w:rFonts w:eastAsia="Times New Roman"/>
        </w:rPr>
      </w:pPr>
      <w:r>
        <w:rPr>
          <w:rFonts w:eastAsia="Times New Roman"/>
          <w:color w:val="000000"/>
          <w:sz w:val="20"/>
          <w:szCs w:val="20"/>
        </w:rPr>
        <w:t xml:space="preserve">The Company regularly evaluates the performance of its stores and periodically closes those stores that are underperforming.  The Company records a liability for costs associated with an exit or disposal activity when the liability is incurred, usually in </w:t>
      </w:r>
      <w:r>
        <w:rPr>
          <w:rFonts w:eastAsia="Times New Roman"/>
          <w:color w:val="000000"/>
          <w:sz w:val="20"/>
          <w:szCs w:val="20"/>
        </w:rPr>
        <w:t>the period the store closes.  Store closing costs were not significant to the results of operations for any of the fiscal years presented.</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Leases</w:t>
      </w:r>
    </w:p>
    <w:p w:rsidR="00000000" w:rsidRDefault="001F39D7">
      <w:pPr>
        <w:divId w:val="512111742"/>
        <w:rPr>
          <w:rFonts w:eastAsia="Times New Roman"/>
        </w:rPr>
      </w:pPr>
    </w:p>
    <w:p w:rsidR="00000000" w:rsidRDefault="001F39D7">
      <w:pPr>
        <w:jc w:val="both"/>
        <w:rPr>
          <w:rFonts w:eastAsia="Times New Roman"/>
        </w:rPr>
      </w:pPr>
      <w:r>
        <w:rPr>
          <w:rFonts w:eastAsia="Times New Roman"/>
          <w:color w:val="212529"/>
          <w:sz w:val="20"/>
          <w:szCs w:val="20"/>
        </w:rPr>
        <w:t>Operating lease assets and liabilities are recognized at the lease commencement date. Operating lease liab</w:t>
      </w:r>
      <w:r>
        <w:rPr>
          <w:rFonts w:eastAsia="Times New Roman"/>
          <w:color w:val="212529"/>
          <w:sz w:val="20"/>
          <w:szCs w:val="20"/>
        </w:rPr>
        <w:t xml:space="preserve">ilities represent the present value of lease payments not yet paid. Operating lease assets represent our right to use an underlying asset and are based upon the operating lease liabilities adjusted for prepayments or accrued lease payments, initial direct </w:t>
      </w:r>
      <w:r>
        <w:rPr>
          <w:rFonts w:eastAsia="Times New Roman"/>
          <w:color w:val="212529"/>
          <w:sz w:val="20"/>
          <w:szCs w:val="20"/>
        </w:rPr>
        <w:t xml:space="preserve">costs, lease incentives, and impairment, if any, of operating lease assets. To determine the present value of lease payments not yet paid, we estimate incremental borrowing rates corresponding to the reasonably certain lease term. </w:t>
      </w:r>
      <w:r>
        <w:rPr>
          <w:rFonts w:eastAsia="Times New Roman"/>
          <w:color w:val="000000"/>
          <w:sz w:val="20"/>
          <w:szCs w:val="20"/>
        </w:rPr>
        <w:t>As substantially all of o</w:t>
      </w:r>
      <w:r>
        <w:rPr>
          <w:rFonts w:eastAsia="Times New Roman"/>
          <w:color w:val="000000"/>
          <w:sz w:val="20"/>
          <w:szCs w:val="20"/>
        </w:rPr>
        <w:t>ur leases do not provide an implicit rate, we estimate our collateralized incremental borrowing rate based upon a Company specific credit rating and yield curve analysis at commencement or modification date in determining the present value of lease payment</w:t>
      </w:r>
      <w:r>
        <w:rPr>
          <w:rFonts w:eastAsia="Times New Roman"/>
          <w:color w:val="000000"/>
          <w:sz w:val="20"/>
          <w:szCs w:val="20"/>
        </w:rPr>
        <w: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Assets under finance leases are amortized in accordance with the Company’s normal depreciation policy for owned assets or over the lease term, if shorter, and the related charge to operations is included in depreciation expense in the Consolidated Sta</w:t>
      </w:r>
      <w:r>
        <w:rPr>
          <w:rFonts w:eastAsia="Times New Roman"/>
          <w:color w:val="000000"/>
          <w:sz w:val="20"/>
          <w:szCs w:val="20"/>
        </w:rPr>
        <w:t>tements of Income.</w:t>
      </w:r>
    </w:p>
    <w:p w:rsidR="00000000" w:rsidRDefault="001F39D7">
      <w:pPr>
        <w:jc w:val="both"/>
        <w:rPr>
          <w:rFonts w:eastAsia="Times New Roman"/>
        </w:rPr>
      </w:pPr>
    </w:p>
    <w:p w:rsidR="00000000" w:rsidRDefault="001F39D7">
      <w:pPr>
        <w:jc w:val="both"/>
        <w:rPr>
          <w:rFonts w:eastAsia="Times New Roman"/>
        </w:rPr>
      </w:pPr>
      <w:r>
        <w:rPr>
          <w:rFonts w:eastAsia="Times New Roman"/>
          <w:b/>
          <w:bCs/>
          <w:i/>
          <w:iCs/>
          <w:color w:val="000000"/>
          <w:sz w:val="20"/>
          <w:szCs w:val="20"/>
        </w:rPr>
        <w:t>New Accounting Pronouncements Not Yet Adopted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March 2020, the FASB issued ASU 2020-04, “Reference Rate Reform (Topic 848): Facilitation of the Effects of Reference Rate Reform on Financial Reporting.” In January 2021, the FASB iss</w:t>
      </w:r>
      <w:r>
        <w:rPr>
          <w:rFonts w:eastAsia="Times New Roman"/>
          <w:color w:val="000000"/>
          <w:sz w:val="20"/>
          <w:szCs w:val="20"/>
        </w:rPr>
        <w:t>ued ASU 2021-01, "Reference Rate Reform (Topic 848): Scope." This collective guidance is in response to accounting concerns regarding contract modifications and hedge accounting because of impending rate reform associated with structural risks of interbank</w:t>
      </w:r>
      <w:r>
        <w:rPr>
          <w:rFonts w:eastAsia="Times New Roman"/>
          <w:color w:val="000000"/>
          <w:sz w:val="20"/>
          <w:szCs w:val="20"/>
        </w:rPr>
        <w:t xml:space="preserve"> offered rates ("IBOR"s), and, particularly, the risk of cessation of the London Inter-Bank Offer Rate ("LIBOR") related to regulators in several jurisdictions around the world having undertaken reference rate reform initiatives to identify alternative ref</w:t>
      </w:r>
      <w:r>
        <w:rPr>
          <w:rFonts w:eastAsia="Times New Roman"/>
          <w:color w:val="000000"/>
          <w:sz w:val="20"/>
          <w:szCs w:val="20"/>
        </w:rPr>
        <w:t>erence rates. The guidance provides optional expedients and exceptions for applying U.S. GAAP to contracts, hedging relationships, and other transactions affected by reference rate reform if certain criteria are met. The adoption of this guidance is effect</w:t>
      </w:r>
      <w:r>
        <w:rPr>
          <w:rFonts w:eastAsia="Times New Roman"/>
          <w:color w:val="000000"/>
          <w:sz w:val="20"/>
          <w:szCs w:val="20"/>
        </w:rPr>
        <w:t xml:space="preserve">ive for all entities as of March 12, 2020 </w:t>
      </w:r>
    </w:p>
    <w:p w:rsidR="00000000" w:rsidRDefault="001F39D7">
      <w:pPr>
        <w:jc w:val="center"/>
        <w:divId w:val="1691253941"/>
        <w:rPr>
          <w:rFonts w:eastAsia="Times New Roman"/>
        </w:rPr>
      </w:pPr>
      <w:r>
        <w:rPr>
          <w:rFonts w:eastAsia="Times New Roman"/>
          <w:color w:val="000000"/>
          <w:sz w:val="20"/>
          <w:szCs w:val="20"/>
        </w:rPr>
        <w:t>61</w:t>
      </w:r>
    </w:p>
    <w:p w:rsidR="00000000" w:rsidRDefault="001F39D7">
      <w:pPr>
        <w:rPr>
          <w:rFonts w:eastAsia="Times New Roman"/>
        </w:rPr>
      </w:pPr>
      <w:r>
        <w:rPr>
          <w:rFonts w:eastAsia="Times New Roman"/>
        </w:rPr>
        <w:pict>
          <v:rect id="_x0000_i1090" style="width:0;height:1.5pt" o:hralign="center" o:hrstd="t" o:hr="t" fillcolor="#a0a0a0" stroked="f"/>
        </w:pict>
      </w:r>
    </w:p>
    <w:p w:rsidR="00000000" w:rsidRDefault="001F39D7">
      <w:pPr>
        <w:divId w:val="2062558614"/>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through December 31, 2022. The primary contract and hedging relationship for which LIBOR is used is our Novemb</w:t>
      </w:r>
      <w:r>
        <w:rPr>
          <w:rFonts w:eastAsia="Times New Roman"/>
          <w:color w:val="000000"/>
          <w:sz w:val="20"/>
          <w:szCs w:val="20"/>
        </w:rPr>
        <w:t xml:space="preserve">er 2020 Term Loan (as defined below) and related interest rate swap. As the interest rate swap is designed to be a highly effective cash flow hedge against the variable LIBOR rates of the Term Loan, the impact of using LIBOR rates is effectively offset in </w:t>
      </w:r>
      <w:r>
        <w:rPr>
          <w:rFonts w:eastAsia="Times New Roman"/>
          <w:color w:val="000000"/>
          <w:sz w:val="20"/>
          <w:szCs w:val="20"/>
        </w:rPr>
        <w:t xml:space="preserve">our financial statements. As such, the Company does not expect the adoption of this guidance to have a material impact on its Condensed Consolidated Financial Statements and related disclosures.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Note 2 – Share-Based Compensation: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Share-based compensat</w:t>
      </w:r>
      <w:r>
        <w:rPr>
          <w:rFonts w:eastAsia="Times New Roman"/>
          <w:color w:val="000000"/>
          <w:sz w:val="20"/>
          <w:szCs w:val="20"/>
        </w:rPr>
        <w:t>ion includes stock options, restricted stock units, performance-based restricted share units, and certain transactions under the Company’s ESPP.  Share-based compensation expense is recognized based on the grant date fair value of all stock options, restri</w:t>
      </w:r>
      <w:r>
        <w:rPr>
          <w:rFonts w:eastAsia="Times New Roman"/>
          <w:color w:val="000000"/>
          <w:sz w:val="20"/>
          <w:szCs w:val="20"/>
        </w:rPr>
        <w:t>cted stock units, and performance-based restricted share units. Share based compensation expense is also recognized for the value of the 15% discount on shares purchased by employees as a part of the ESPP.  The discount under the ESPP represents the differ</w:t>
      </w:r>
      <w:r>
        <w:rPr>
          <w:rFonts w:eastAsia="Times New Roman"/>
          <w:color w:val="000000"/>
          <w:sz w:val="20"/>
          <w:szCs w:val="20"/>
        </w:rPr>
        <w:t>ence between the market value on the first day of the purchase period or the market value on the purchase date, whichever is lower, and the employee’s purchase price.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were no significant modifications to the Company's share-based compensation plans</w:t>
      </w:r>
      <w:r>
        <w:rPr>
          <w:rFonts w:eastAsia="Times New Roman"/>
          <w:color w:val="000000"/>
          <w:sz w:val="20"/>
          <w:szCs w:val="20"/>
        </w:rPr>
        <w:t xml:space="preserve"> since the adoption of the 2018 Omnibus Incentive Plan (the “2018 Plan”) on May 10, 2018, which replaced the 2009 Stock Incentive Plan. Following the adoption of the 2018 Plan, no further grants may be made under the 2009 Stock Incentive Plan.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Under our </w:t>
      </w:r>
      <w:r>
        <w:rPr>
          <w:rFonts w:eastAsia="Times New Roman"/>
          <w:color w:val="000000"/>
          <w:sz w:val="20"/>
          <w:szCs w:val="20"/>
        </w:rPr>
        <w:t>share-based compensation plans, awards may be granted to officers, non-employee directors, and other employees. The per share exercise price of options granted shall not be less than the fair market value of the stock on the date of grant and such awards w</w:t>
      </w:r>
      <w:r>
        <w:rPr>
          <w:rFonts w:eastAsia="Times New Roman"/>
          <w:color w:val="000000"/>
          <w:sz w:val="20"/>
          <w:szCs w:val="20"/>
        </w:rPr>
        <w:t>ill expire no later than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 from the date of grant. Vesting of awards commences at various anniversary dates following the dates of each grant. Performance-based awards will vest if established performance conditions are met subject to continued emp</w:t>
      </w:r>
      <w:r>
        <w:rPr>
          <w:rFonts w:eastAsia="Times New Roman"/>
          <w:color w:val="000000"/>
          <w:sz w:val="20"/>
          <w:szCs w:val="20"/>
        </w:rPr>
        <w:t>loyment. Certain performance-based awards are also subject to a market condition such that the actual number of shares vest are further modified based on the achievement of a relative stockholder return modifier. At December 25, 2021, the Company had appro</w:t>
      </w:r>
      <w:r>
        <w:rPr>
          <w:rFonts w:eastAsia="Times New Roman"/>
          <w:color w:val="000000"/>
          <w:sz w:val="20"/>
          <w:szCs w:val="20"/>
        </w:rPr>
        <w:t>ximately 9.9 million shares available for future equity awards under the Company’s 2018 Plan.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Share-based compensation expense, including changes in expense for modifications, if any, of awards, was $47.6 million, $37.3 million, and $31.1 </w:t>
      </w:r>
      <w:r>
        <w:rPr>
          <w:rFonts w:eastAsia="Times New Roman"/>
          <w:color w:val="000000"/>
          <w:sz w:val="20"/>
          <w:szCs w:val="20"/>
        </w:rPr>
        <w:t xml:space="preserve">million for fiscal 2021, 2020, and 2019, respectively. </w:t>
      </w:r>
    </w:p>
    <w:p w:rsidR="00000000" w:rsidRDefault="001F39D7">
      <w:pPr>
        <w:divId w:val="1870873710"/>
        <w:rPr>
          <w:rFonts w:eastAsia="Times New Roman"/>
        </w:rPr>
      </w:pPr>
    </w:p>
    <w:p w:rsidR="00000000" w:rsidRDefault="001F39D7">
      <w:pPr>
        <w:jc w:val="both"/>
        <w:rPr>
          <w:rFonts w:eastAsia="Times New Roman"/>
        </w:rPr>
      </w:pPr>
      <w:r>
        <w:rPr>
          <w:rFonts w:eastAsia="Times New Roman"/>
          <w:i/>
          <w:iCs/>
          <w:color w:val="000000"/>
          <w:sz w:val="20"/>
          <w:szCs w:val="20"/>
        </w:rPr>
        <w:t>Stock Options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fair value is separately estimated for each option grant.  </w:t>
      </w:r>
      <w:r>
        <w:rPr>
          <w:rFonts w:eastAsia="Times New Roman"/>
          <w:color w:val="000000"/>
          <w:sz w:val="20"/>
          <w:szCs w:val="20"/>
        </w:rPr>
        <w:t xml:space="preserve">The fair value of each option is recognized as compensation expense ratably over the vesting period.  The Company has estimated the fair value of all stock option awards as of the date of the grant by applying a </w:t>
      </w:r>
      <w:r>
        <w:rPr>
          <w:rFonts w:eastAsia="Times New Roman"/>
          <w:i/>
          <w:iCs/>
          <w:color w:val="000000"/>
          <w:sz w:val="20"/>
          <w:szCs w:val="20"/>
        </w:rPr>
        <w:t>Black-Scholes</w:t>
      </w:r>
      <w:r>
        <w:rPr>
          <w:rFonts w:eastAsia="Times New Roman"/>
          <w:color w:val="000000"/>
          <w:sz w:val="20"/>
          <w:szCs w:val="20"/>
        </w:rPr>
        <w:t xml:space="preserve"> pricing valuation model.  The </w:t>
      </w:r>
      <w:r>
        <w:rPr>
          <w:rFonts w:eastAsia="Times New Roman"/>
          <w:color w:val="000000"/>
          <w:sz w:val="20"/>
          <w:szCs w:val="20"/>
        </w:rPr>
        <w:t>application of this valuation model involves assumptions that are judgmental and highly sensitive in the determination of compensation expense.  The ranges of key assumptions used in determining the fair value of options granted during fiscal 2021, 2020, a</w:t>
      </w:r>
      <w:r>
        <w:rPr>
          <w:rFonts w:eastAsia="Times New Roman"/>
          <w:color w:val="000000"/>
          <w:sz w:val="20"/>
          <w:szCs w:val="20"/>
        </w:rPr>
        <w:t>nd 2019, as well as a summary of the methodology applied to develop each assumption, are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4678"/>
        <w:gridCol w:w="36"/>
        <w:gridCol w:w="37"/>
        <w:gridCol w:w="984"/>
        <w:gridCol w:w="187"/>
        <w:gridCol w:w="36"/>
        <w:gridCol w:w="36"/>
        <w:gridCol w:w="36"/>
        <w:gridCol w:w="37"/>
        <w:gridCol w:w="829"/>
        <w:gridCol w:w="187"/>
        <w:gridCol w:w="36"/>
        <w:gridCol w:w="36"/>
        <w:gridCol w:w="36"/>
        <w:gridCol w:w="37"/>
        <w:gridCol w:w="829"/>
        <w:gridCol w:w="187"/>
      </w:tblGrid>
      <w:tr w:rsidR="00000000">
        <w:tc>
          <w:tcPr>
            <w:tcW w:w="50" w:type="pct"/>
            <w:vAlign w:val="center"/>
            <w:hideMark/>
          </w:tcPr>
          <w:p w:rsidR="00000000" w:rsidRDefault="001F39D7">
            <w:pPr>
              <w:jc w:val="both"/>
              <w:rPr>
                <w:rFonts w:eastAsia="Times New Roman"/>
              </w:rPr>
            </w:pPr>
          </w:p>
        </w:tc>
        <w:tc>
          <w:tcPr>
            <w:tcW w:w="287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4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Expected price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29.8% - 30.3%</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26.7% - 30.0%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26.4% - 27.6%</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0.3% - 1.0%</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0.2% - 1.3%</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1.6% - 2.5%</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Weighted average expected lives (in years)</w:t>
            </w: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4.5</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Forfeiture rate</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7.0 </w:t>
            </w:r>
          </w:p>
        </w:tc>
        <w:tc>
          <w:tcPr>
            <w:tcW w:w="0" w:type="auto"/>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7.0 </w:t>
            </w:r>
          </w:p>
        </w:tc>
        <w:tc>
          <w:tcPr>
            <w:tcW w:w="0" w:type="auto"/>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7.3 </w:t>
            </w:r>
          </w:p>
        </w:tc>
        <w:tc>
          <w:tcPr>
            <w:tcW w:w="0" w:type="auto"/>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r>
    </w:tbl>
    <w:p w:rsidR="00000000" w:rsidRDefault="001F39D7">
      <w:pPr>
        <w:divId w:val="100538578"/>
        <w:rPr>
          <w:rFonts w:eastAsia="Times New Roman"/>
        </w:rPr>
      </w:pPr>
    </w:p>
    <w:p w:rsidR="00000000" w:rsidRDefault="001F39D7">
      <w:pPr>
        <w:jc w:val="both"/>
        <w:rPr>
          <w:rFonts w:eastAsia="Times New Roman"/>
        </w:rPr>
      </w:pPr>
      <w:r>
        <w:rPr>
          <w:rFonts w:eastAsia="Times New Roman"/>
          <w:i/>
          <w:iCs/>
          <w:color w:val="000000"/>
          <w:sz w:val="20"/>
          <w:szCs w:val="20"/>
        </w:rPr>
        <w:t>Expected Price Volatility</w:t>
      </w:r>
      <w:r>
        <w:rPr>
          <w:rFonts w:eastAsia="Times New Roman"/>
          <w:color w:val="000000"/>
          <w:sz w:val="20"/>
          <w:szCs w:val="20"/>
        </w:rPr>
        <w:t xml:space="preserve"> — This is a measure of the amount by which a price has fluctuated or is expected to fluctuate. The Company applies a historical volatility rate. </w:t>
      </w:r>
      <w:r>
        <w:rPr>
          <w:rFonts w:eastAsia="Times New Roman"/>
          <w:color w:val="000000"/>
          <w:sz w:val="20"/>
          <w:szCs w:val="20"/>
        </w:rPr>
        <w:t>To calculate historical changes in market value, the Company uses daily market value changes from the date of grant over a past period generally representative of the expected life of the options to determine volatility.  The Company believes the use of hi</w:t>
      </w:r>
      <w:r>
        <w:rPr>
          <w:rFonts w:eastAsia="Times New Roman"/>
          <w:color w:val="000000"/>
          <w:sz w:val="20"/>
          <w:szCs w:val="20"/>
        </w:rPr>
        <w:t>storical price volatility provides an appropriate indicator of future volatility. An increase in the expected volatility will increase compensation expense.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Risk-Free Interest Rate</w:t>
      </w:r>
      <w:r>
        <w:rPr>
          <w:rFonts w:eastAsia="Times New Roman"/>
          <w:color w:val="000000"/>
          <w:sz w:val="20"/>
          <w:szCs w:val="20"/>
        </w:rPr>
        <w:t xml:space="preserve"> — </w:t>
      </w:r>
      <w:r>
        <w:rPr>
          <w:rFonts w:eastAsia="Times New Roman"/>
          <w:color w:val="000000"/>
          <w:sz w:val="20"/>
          <w:szCs w:val="20"/>
        </w:rPr>
        <w:t>This is the U.S. Treasury Constant Maturity rate over a term equal to the expected term of the option. An increase in the risk-free interest rate will increase compensation expense.</w:t>
      </w:r>
    </w:p>
    <w:p w:rsidR="00000000" w:rsidRDefault="001F39D7">
      <w:pPr>
        <w:jc w:val="both"/>
        <w:rPr>
          <w:rFonts w:eastAsia="Times New Roman"/>
        </w:rPr>
      </w:pPr>
    </w:p>
    <w:p w:rsidR="00000000" w:rsidRDefault="001F39D7">
      <w:pPr>
        <w:jc w:val="center"/>
        <w:divId w:val="1134719097"/>
        <w:rPr>
          <w:rFonts w:eastAsia="Times New Roman"/>
        </w:rPr>
      </w:pPr>
      <w:r>
        <w:rPr>
          <w:rFonts w:eastAsia="Times New Roman"/>
          <w:color w:val="000000"/>
          <w:sz w:val="20"/>
          <w:szCs w:val="20"/>
        </w:rPr>
        <w:t>62</w:t>
      </w:r>
    </w:p>
    <w:p w:rsidR="00000000" w:rsidRDefault="001F39D7">
      <w:pPr>
        <w:rPr>
          <w:rFonts w:eastAsia="Times New Roman"/>
        </w:rPr>
      </w:pPr>
      <w:r>
        <w:rPr>
          <w:rFonts w:eastAsia="Times New Roman"/>
        </w:rPr>
        <w:pict>
          <v:rect id="_x0000_i1091" style="width:0;height:1.5pt" o:hralign="center" o:hrstd="t" o:hr="t" fillcolor="#a0a0a0" stroked="f"/>
        </w:pict>
      </w:r>
    </w:p>
    <w:p w:rsidR="00000000" w:rsidRDefault="001F39D7">
      <w:pPr>
        <w:divId w:val="870143085"/>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i/>
          <w:iCs/>
          <w:color w:val="000000"/>
          <w:sz w:val="20"/>
          <w:szCs w:val="20"/>
        </w:rPr>
        <w:t xml:space="preserve">Weighted Average Expected Term </w:t>
      </w:r>
      <w:r>
        <w:rPr>
          <w:rFonts w:eastAsia="Times New Roman"/>
          <w:color w:val="000000"/>
          <w:sz w:val="20"/>
          <w:szCs w:val="20"/>
        </w:rPr>
        <w:t>— This is the period of time over which the options granted are expected to remain outstanding and is based on historical experience. Options granted generally have a maximum term of</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w:t>
      </w:r>
      <w:r>
        <w:rPr>
          <w:rFonts w:eastAsia="Times New Roman"/>
          <w:color w:val="000000"/>
          <w:sz w:val="20"/>
          <w:szCs w:val="20"/>
        </w:rPr>
        <w:t xml:space="preserve"> An increase in the expected term will increase compensation expense.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 xml:space="preserve">Forfeiture Rate </w:t>
      </w:r>
      <w:r>
        <w:rPr>
          <w:rFonts w:eastAsia="Times New Roman"/>
          <w:color w:val="000000"/>
          <w:sz w:val="20"/>
          <w:szCs w:val="20"/>
        </w:rPr>
        <w:t>— This is the estimated percentage of options granted that are expected to be forfeited or canceled before becoming fully vested. This estimate is based on historical e</w:t>
      </w:r>
      <w:r>
        <w:rPr>
          <w:rFonts w:eastAsia="Times New Roman"/>
          <w:color w:val="000000"/>
          <w:sz w:val="20"/>
          <w:szCs w:val="20"/>
        </w:rPr>
        <w:t>xperience. An increase in the forfeiture rate will decrease compensation expense.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Dividend Yield</w:t>
      </w:r>
      <w:r>
        <w:rPr>
          <w:rFonts w:eastAsia="Times New Roman"/>
          <w:color w:val="000000"/>
          <w:sz w:val="20"/>
          <w:szCs w:val="20"/>
        </w:rPr>
        <w:t xml:space="preserve"> — This is the estimated dividend yield for the weighted average expected term of the option granted. An increase in the dividend yield will decrease compensa</w:t>
      </w:r>
      <w:r>
        <w:rPr>
          <w:rFonts w:eastAsia="Times New Roman"/>
          <w:color w:val="000000"/>
          <w:sz w:val="20"/>
          <w:szCs w:val="20"/>
        </w:rPr>
        <w:t>tion expense.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issues shares for options when exercised. A summary of stock option activity is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2760"/>
        <w:gridCol w:w="37"/>
        <w:gridCol w:w="36"/>
        <w:gridCol w:w="36"/>
        <w:gridCol w:w="36"/>
        <w:gridCol w:w="78"/>
        <w:gridCol w:w="792"/>
        <w:gridCol w:w="36"/>
        <w:gridCol w:w="36"/>
        <w:gridCol w:w="36"/>
        <w:gridCol w:w="36"/>
        <w:gridCol w:w="121"/>
        <w:gridCol w:w="778"/>
        <w:gridCol w:w="36"/>
        <w:gridCol w:w="36"/>
        <w:gridCol w:w="36"/>
        <w:gridCol w:w="36"/>
        <w:gridCol w:w="121"/>
        <w:gridCol w:w="779"/>
        <w:gridCol w:w="36"/>
        <w:gridCol w:w="36"/>
        <w:gridCol w:w="36"/>
        <w:gridCol w:w="36"/>
        <w:gridCol w:w="96"/>
        <w:gridCol w:w="969"/>
        <w:gridCol w:w="36"/>
        <w:gridCol w:w="36"/>
        <w:gridCol w:w="36"/>
        <w:gridCol w:w="36"/>
        <w:gridCol w:w="121"/>
        <w:gridCol w:w="871"/>
        <w:gridCol w:w="36"/>
      </w:tblGrid>
      <w:tr w:rsidR="00000000">
        <w:tc>
          <w:tcPr>
            <w:tcW w:w="50" w:type="pct"/>
            <w:vAlign w:val="center"/>
            <w:hideMark/>
          </w:tcPr>
          <w:p w:rsidR="00000000" w:rsidRDefault="001F39D7">
            <w:pPr>
              <w:jc w:val="both"/>
              <w:rPr>
                <w:rFonts w:eastAsia="Times New Roman"/>
              </w:rPr>
            </w:pPr>
          </w:p>
        </w:tc>
        <w:tc>
          <w:tcPr>
            <w:tcW w:w="185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0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0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0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0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Stock Option Activity</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Options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Weighted</w:t>
            </w:r>
          </w:p>
          <w:p w:rsidR="00000000" w:rsidRDefault="001F39D7">
            <w:pPr>
              <w:spacing w:after="100"/>
              <w:jc w:val="center"/>
              <w:rPr>
                <w:rFonts w:eastAsia="Times New Roman"/>
              </w:rPr>
            </w:pPr>
            <w:r>
              <w:rPr>
                <w:rFonts w:eastAsia="Times New Roman"/>
                <w:b/>
                <w:bCs/>
                <w:color w:val="000000"/>
                <w:sz w:val="20"/>
                <w:szCs w:val="20"/>
              </w:rPr>
              <w:t>Average Exercise</w:t>
            </w:r>
          </w:p>
          <w:p w:rsidR="00000000" w:rsidRDefault="001F39D7">
            <w:pPr>
              <w:spacing w:after="100"/>
              <w:jc w:val="center"/>
              <w:rPr>
                <w:rFonts w:eastAsia="Times New Roman"/>
              </w:rPr>
            </w:pPr>
            <w:r>
              <w:rPr>
                <w:rFonts w:eastAsia="Times New Roman"/>
                <w:b/>
                <w:bCs/>
                <w:color w:val="000000"/>
                <w:sz w:val="20"/>
                <w:szCs w:val="20"/>
              </w:rPr>
              <w:t>Price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Weighted Average Fair Value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Weighted Average</w:t>
            </w:r>
          </w:p>
          <w:p w:rsidR="00000000" w:rsidRDefault="001F39D7">
            <w:pPr>
              <w:spacing w:after="100"/>
              <w:jc w:val="center"/>
              <w:rPr>
                <w:rFonts w:eastAsia="Times New Roman"/>
              </w:rPr>
            </w:pPr>
            <w:r>
              <w:rPr>
                <w:rFonts w:eastAsia="Times New Roman"/>
                <w:b/>
                <w:bCs/>
                <w:color w:val="000000"/>
                <w:sz w:val="20"/>
                <w:szCs w:val="20"/>
              </w:rPr>
              <w:t>Remaining</w:t>
            </w:r>
          </w:p>
          <w:p w:rsidR="00000000" w:rsidRDefault="001F39D7">
            <w:pPr>
              <w:spacing w:after="100"/>
              <w:jc w:val="center"/>
              <w:rPr>
                <w:rFonts w:eastAsia="Times New Roman"/>
              </w:rPr>
            </w:pPr>
            <w:r>
              <w:rPr>
                <w:rFonts w:eastAsia="Times New Roman"/>
                <w:b/>
                <w:bCs/>
                <w:color w:val="000000"/>
                <w:sz w:val="20"/>
                <w:szCs w:val="20"/>
              </w:rPr>
              <w:t>Contractual Term</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Aggregate Intrinsic Value</w:t>
            </w:r>
          </w:p>
          <w:p w:rsidR="00000000" w:rsidRDefault="001F39D7">
            <w:pPr>
              <w:spacing w:after="100"/>
              <w:jc w:val="center"/>
              <w:rPr>
                <w:rFonts w:eastAsia="Times New Roman"/>
              </w:rPr>
            </w:pPr>
            <w:r>
              <w:rPr>
                <w:rFonts w:eastAsia="Times New Roman"/>
                <w:b/>
                <w:bCs/>
                <w:color w:val="000000"/>
                <w:sz w:val="20"/>
                <w:szCs w:val="20"/>
              </w:rPr>
              <w:t>(</w:t>
            </w:r>
            <w:r>
              <w:rPr>
                <w:rFonts w:eastAsia="Times New Roman"/>
                <w:b/>
                <w:bCs/>
                <w:i/>
                <w:iCs/>
                <w:color w:val="000000"/>
                <w:sz w:val="20"/>
                <w:szCs w:val="20"/>
              </w:rPr>
              <w:t>in thousands)</w:t>
            </w:r>
          </w:p>
        </w:tc>
      </w:tr>
      <w:tr w:rsidR="00000000">
        <w:tc>
          <w:tcPr>
            <w:tcW w:w="0" w:type="auto"/>
            <w:gridSpan w:val="3"/>
            <w:vAlign w:val="center"/>
            <w:hideMark/>
          </w:tcPr>
          <w:p w:rsidR="00000000" w:rsidRDefault="001F39D7">
            <w:pPr>
              <w:spacing w:after="100"/>
              <w:jc w:val="center"/>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Outstanding at December 26, 2020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1,932,410 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128,411 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Granted</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248,808 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145.87 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30.78 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Exercised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(974,878)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77.63 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Canceled</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(38,029)</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106.98 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Outstanding at December 25,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1,168,311 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6.9</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154,706 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28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Exercisable at December 25,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598,807 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77.15 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5.4</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90,489 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aggregate intrinsic values in the table above represent the total difference between the Company’s closing stock price at each year-end and the o</w:t>
      </w:r>
      <w:r>
        <w:rPr>
          <w:rFonts w:eastAsia="Times New Roman"/>
          <w:color w:val="000000"/>
          <w:sz w:val="20"/>
          <w:szCs w:val="20"/>
        </w:rPr>
        <w:t>ption exercise price, multiplied by the number of in-the-money options at each year-end. As of December 25, 2021, total unrecognized compensation expense related to non-vested stock options was approximately $8.4 million with a weighted average expense rec</w:t>
      </w:r>
      <w:r>
        <w:rPr>
          <w:rFonts w:eastAsia="Times New Roman"/>
          <w:color w:val="000000"/>
          <w:sz w:val="20"/>
          <w:szCs w:val="20"/>
        </w:rPr>
        <w:t>ognition period of 1.8 years.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There were no material modifications to options in fiscal 2021, 2020, or 2019. </w:t>
      </w:r>
    </w:p>
    <w:p w:rsidR="00000000" w:rsidRDefault="001F39D7">
      <w:pPr>
        <w:jc w:val="both"/>
        <w:rPr>
          <w:rFonts w:eastAsia="Times New Roman"/>
        </w:rPr>
      </w:pPr>
    </w:p>
    <w:p w:rsidR="00000000" w:rsidRDefault="001F39D7">
      <w:pPr>
        <w:divId w:val="2026982226"/>
        <w:rPr>
          <w:rFonts w:eastAsia="Times New Roman"/>
        </w:rPr>
      </w:pPr>
      <w:r>
        <w:rPr>
          <w:rFonts w:eastAsia="Times New Roman"/>
          <w:color w:val="000000"/>
          <w:sz w:val="20"/>
          <w:szCs w:val="20"/>
        </w:rPr>
        <w:t>Other information relative to options activity during fiscal 2021, 2020, and 2019 is as follows (in thousands):</w:t>
      </w:r>
    </w:p>
    <w:p w:rsidR="00000000" w:rsidRDefault="001F39D7">
      <w:pPr>
        <w:divId w:val="593250307"/>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4801"/>
        <w:gridCol w:w="37"/>
        <w:gridCol w:w="120"/>
        <w:gridCol w:w="929"/>
        <w:gridCol w:w="36"/>
        <w:gridCol w:w="36"/>
        <w:gridCol w:w="36"/>
        <w:gridCol w:w="36"/>
        <w:gridCol w:w="120"/>
        <w:gridCol w:w="890"/>
        <w:gridCol w:w="36"/>
        <w:gridCol w:w="36"/>
        <w:gridCol w:w="36"/>
        <w:gridCol w:w="36"/>
        <w:gridCol w:w="120"/>
        <w:gridCol w:w="890"/>
        <w:gridCol w:w="36"/>
      </w:tblGrid>
      <w:tr w:rsidR="00000000">
        <w:trPr>
          <w:divId w:val="1185751046"/>
        </w:trPr>
        <w:tc>
          <w:tcPr>
            <w:tcW w:w="50" w:type="pct"/>
            <w:vAlign w:val="center"/>
            <w:hideMark/>
          </w:tcPr>
          <w:p w:rsidR="00000000" w:rsidRDefault="001F39D7">
            <w:pPr>
              <w:rPr>
                <w:rFonts w:eastAsia="Times New Roman"/>
              </w:rPr>
            </w:pPr>
          </w:p>
        </w:tc>
        <w:tc>
          <w:tcPr>
            <w:tcW w:w="293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185751046"/>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divId w:val="1185751046"/>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rPr>
          <w:divId w:val="1185751046"/>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fair value of stock options vested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185751046"/>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intrinsic value of stock options exercised</w:t>
            </w: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90,532 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64,395 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45,101 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360935698"/>
        <w:rPr>
          <w:rFonts w:eastAsia="Times New Roman"/>
        </w:rPr>
      </w:pPr>
    </w:p>
    <w:p w:rsidR="00000000" w:rsidRDefault="001F39D7">
      <w:pPr>
        <w:divId w:val="2066561565"/>
        <w:rPr>
          <w:rFonts w:eastAsia="Times New Roman"/>
        </w:rPr>
      </w:pPr>
      <w:r>
        <w:rPr>
          <w:rFonts w:eastAsia="Times New Roman"/>
          <w:i/>
          <w:iCs/>
          <w:color w:val="000000"/>
          <w:sz w:val="20"/>
          <w:szCs w:val="20"/>
        </w:rPr>
        <w:t>Restricted Stock Units</w:t>
      </w:r>
    </w:p>
    <w:p w:rsidR="00000000" w:rsidRDefault="001F39D7">
      <w:pPr>
        <w:divId w:val="92558727"/>
        <w:rPr>
          <w:rFonts w:eastAsia="Times New Roman"/>
        </w:rPr>
      </w:pPr>
    </w:p>
    <w:p w:rsidR="00000000" w:rsidRDefault="001F39D7">
      <w:pPr>
        <w:jc w:val="both"/>
        <w:rPr>
          <w:rFonts w:eastAsia="Times New Roman"/>
        </w:rPr>
      </w:pPr>
      <w:r>
        <w:rPr>
          <w:rFonts w:eastAsia="Times New Roman"/>
          <w:color w:val="000000"/>
          <w:sz w:val="20"/>
          <w:szCs w:val="20"/>
        </w:rPr>
        <w:t>The Company issues shares for restricted stock units once vesting occurs and related restrictions lapse.  The fair value of the restricted stock units is the closing price of the Company’s common stock the day preceding the grant date, discounted for the e</w:t>
      </w:r>
      <w:r>
        <w:rPr>
          <w:rFonts w:eastAsia="Times New Roman"/>
          <w:color w:val="000000"/>
          <w:sz w:val="20"/>
          <w:szCs w:val="20"/>
        </w:rPr>
        <w:t>xpected dividend yield over the term of the award. The units generally vest over a</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-year term. Some plan participants have elected to defer receipt of shares of common stock upon vesting of restricted stock units, and as a result, those shares </w:t>
      </w:r>
      <w:r>
        <w:rPr>
          <w:rFonts w:eastAsia="Times New Roman"/>
          <w:color w:val="000000"/>
          <w:sz w:val="20"/>
          <w:szCs w:val="20"/>
        </w:rPr>
        <w:t>are not issued until a later date. A summary of restricted stock unit activity is presented below:</w:t>
      </w:r>
    </w:p>
    <w:tbl>
      <w:tblPr>
        <w:tblW w:w="4978" w:type="pct"/>
        <w:tblCellMar>
          <w:top w:w="15" w:type="dxa"/>
          <w:left w:w="15" w:type="dxa"/>
          <w:bottom w:w="15" w:type="dxa"/>
          <w:right w:w="15" w:type="dxa"/>
        </w:tblCellMar>
        <w:tblLook w:val="04A0" w:firstRow="1" w:lastRow="0" w:firstColumn="1" w:lastColumn="0" w:noHBand="0" w:noVBand="1"/>
      </w:tblPr>
      <w:tblGrid>
        <w:gridCol w:w="49"/>
        <w:gridCol w:w="4115"/>
        <w:gridCol w:w="36"/>
        <w:gridCol w:w="36"/>
        <w:gridCol w:w="36"/>
        <w:gridCol w:w="36"/>
        <w:gridCol w:w="39"/>
        <w:gridCol w:w="1816"/>
        <w:gridCol w:w="36"/>
        <w:gridCol w:w="36"/>
        <w:gridCol w:w="36"/>
        <w:gridCol w:w="36"/>
        <w:gridCol w:w="121"/>
        <w:gridCol w:w="1805"/>
        <w:gridCol w:w="36"/>
      </w:tblGrid>
      <w:tr w:rsidR="00000000">
        <w:tc>
          <w:tcPr>
            <w:tcW w:w="50" w:type="pct"/>
            <w:vAlign w:val="center"/>
            <w:hideMark/>
          </w:tcPr>
          <w:p w:rsidR="00000000" w:rsidRDefault="001F39D7">
            <w:pPr>
              <w:jc w:val="both"/>
              <w:rPr>
                <w:rFonts w:eastAsia="Times New Roman"/>
              </w:rPr>
            </w:pPr>
          </w:p>
        </w:tc>
        <w:tc>
          <w:tcPr>
            <w:tcW w:w="250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12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12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Restricted Stock Unit Activity</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Restricted Stock Units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Weighted Average Grant Date Fair Value</w:t>
            </w:r>
          </w:p>
        </w:tc>
      </w:tr>
      <w:tr w:rsidR="00000000">
        <w:tc>
          <w:tcPr>
            <w:tcW w:w="0" w:type="auto"/>
            <w:gridSpan w:val="3"/>
            <w:vAlign w:val="center"/>
            <w:hideMark/>
          </w:tcPr>
          <w:p w:rsidR="00000000" w:rsidRDefault="001F39D7">
            <w:pPr>
              <w:spacing w:after="100"/>
              <w:jc w:val="center"/>
              <w:rPr>
                <w:rFonts w:eastAsia="Times New Roman"/>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Restricted at December 26, 2020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595,645 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276,268 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144.52 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(305,704)</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82.51 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(42,790)</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118.70 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Restricted at December 25,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523,419 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95852613"/>
        <w:rPr>
          <w:rFonts w:eastAsia="Times New Roman"/>
        </w:rPr>
      </w:pPr>
    </w:p>
    <w:p w:rsidR="00000000" w:rsidRDefault="001F39D7">
      <w:pPr>
        <w:jc w:val="center"/>
        <w:divId w:val="2048752269"/>
        <w:rPr>
          <w:rFonts w:eastAsia="Times New Roman"/>
        </w:rPr>
      </w:pPr>
      <w:r>
        <w:rPr>
          <w:rFonts w:eastAsia="Times New Roman"/>
          <w:color w:val="000000"/>
          <w:sz w:val="20"/>
          <w:szCs w:val="20"/>
        </w:rPr>
        <w:t>63</w:t>
      </w:r>
    </w:p>
    <w:p w:rsidR="00000000" w:rsidRDefault="001F39D7">
      <w:pPr>
        <w:rPr>
          <w:rFonts w:eastAsia="Times New Roman"/>
        </w:rPr>
      </w:pPr>
      <w:r>
        <w:rPr>
          <w:rFonts w:eastAsia="Times New Roman"/>
        </w:rPr>
        <w:pict>
          <v:rect id="_x0000_i1092" style="width:0;height:1.5pt" o:hralign="center" o:hrstd="t" o:hr="t" fillcolor="#a0a0a0" stroked="f"/>
        </w:pict>
      </w:r>
    </w:p>
    <w:p w:rsidR="00000000" w:rsidRDefault="001F39D7">
      <w:pPr>
        <w:divId w:val="142383606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As of December </w:t>
      </w:r>
      <w:r>
        <w:rPr>
          <w:rFonts w:eastAsia="Times New Roman"/>
          <w:color w:val="000000"/>
          <w:sz w:val="20"/>
          <w:szCs w:val="20"/>
        </w:rPr>
        <w:t>25, 2021, total unrecognized compensation expense related to non-vested restricted stock units was approximately $36.4 million with a weighted average expense recognition period of 1.9 years.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were no material modifications to restricted stock units</w:t>
      </w:r>
      <w:r>
        <w:rPr>
          <w:rFonts w:eastAsia="Times New Roman"/>
          <w:color w:val="000000"/>
          <w:sz w:val="20"/>
          <w:szCs w:val="20"/>
        </w:rPr>
        <w:t xml:space="preserve"> in fiscal 2021, 2020, or 2019. </w:t>
      </w:r>
    </w:p>
    <w:p w:rsidR="00000000" w:rsidRDefault="001F39D7">
      <w:pPr>
        <w:jc w:val="both"/>
        <w:rPr>
          <w:rFonts w:eastAsia="Times New Roman"/>
        </w:rPr>
      </w:pPr>
    </w:p>
    <w:p w:rsidR="00000000" w:rsidRDefault="001F39D7">
      <w:pPr>
        <w:divId w:val="1682120720"/>
        <w:rPr>
          <w:rFonts w:eastAsia="Times New Roman"/>
        </w:rPr>
      </w:pPr>
      <w:r>
        <w:rPr>
          <w:rFonts w:eastAsia="Times New Roman"/>
          <w:color w:val="000000"/>
          <w:sz w:val="20"/>
          <w:szCs w:val="20"/>
        </w:rPr>
        <w:t>Other information relative to restricted stock unit activity during fiscal 2021, 2020, and 2019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7"/>
        <w:gridCol w:w="4814"/>
        <w:gridCol w:w="36"/>
        <w:gridCol w:w="120"/>
        <w:gridCol w:w="930"/>
        <w:gridCol w:w="36"/>
        <w:gridCol w:w="36"/>
        <w:gridCol w:w="36"/>
        <w:gridCol w:w="36"/>
        <w:gridCol w:w="120"/>
        <w:gridCol w:w="890"/>
        <w:gridCol w:w="36"/>
        <w:gridCol w:w="36"/>
        <w:gridCol w:w="36"/>
        <w:gridCol w:w="36"/>
        <w:gridCol w:w="120"/>
        <w:gridCol w:w="890"/>
        <w:gridCol w:w="36"/>
      </w:tblGrid>
      <w:tr w:rsidR="00000000">
        <w:trPr>
          <w:divId w:val="1820070311"/>
        </w:trPr>
        <w:tc>
          <w:tcPr>
            <w:tcW w:w="50" w:type="pct"/>
            <w:vAlign w:val="center"/>
            <w:hideMark/>
          </w:tcPr>
          <w:p w:rsidR="00000000" w:rsidRDefault="001F39D7">
            <w:pPr>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820070311"/>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divId w:val="1820070311"/>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rPr>
          <w:divId w:val="1820070311"/>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grant date fair value of restricted stock units vested and issued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25,222 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820070311"/>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intrinsic value of restricted stock units vested and issued</w:t>
            </w: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47,136 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23,011 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10,623 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375425813"/>
        <w:rPr>
          <w:rFonts w:eastAsia="Times New Roman"/>
        </w:rPr>
      </w:pPr>
    </w:p>
    <w:p w:rsidR="00000000" w:rsidRDefault="001F39D7">
      <w:pPr>
        <w:jc w:val="both"/>
        <w:rPr>
          <w:rFonts w:eastAsia="Times New Roman"/>
        </w:rPr>
      </w:pPr>
      <w:r>
        <w:rPr>
          <w:rFonts w:eastAsia="Times New Roman"/>
          <w:i/>
          <w:iCs/>
          <w:color w:val="000000"/>
          <w:sz w:val="20"/>
          <w:szCs w:val="20"/>
        </w:rPr>
        <w:t>Performance-Based Restricted Share Units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issue performance-based restricted share units to senior executives that represent shares potentially issuable in the future, subject to the achievement of specified performance goals.  The performance metrics for the units are growth in net sales and g</w:t>
      </w:r>
      <w:r>
        <w:rPr>
          <w:rFonts w:eastAsia="Times New Roman"/>
          <w:color w:val="000000"/>
          <w:sz w:val="20"/>
          <w:szCs w:val="20"/>
        </w:rPr>
        <w:t xml:space="preserve">rowth in earnings per diluted share over a specified performance period. The performance metrics for the performance-based restricted share units granted in fiscal 2021 also include a relative total shareholder return ("TSR") modifier such that the actual </w:t>
      </w:r>
      <w:r>
        <w:rPr>
          <w:rFonts w:eastAsia="Times New Roman"/>
          <w:color w:val="000000"/>
          <w:sz w:val="20"/>
          <w:szCs w:val="20"/>
        </w:rPr>
        <w:t>number of shares that vest at the end of the respective three-year period is determined based on the Company's TSR performance relative to the constituents of the S&amp;P 500 as well as the level of achievement of the performance goals. If the performance targ</w:t>
      </w:r>
      <w:r>
        <w:rPr>
          <w:rFonts w:eastAsia="Times New Roman"/>
          <w:color w:val="000000"/>
          <w:sz w:val="20"/>
          <w:szCs w:val="20"/>
        </w:rPr>
        <w:t>ets are achieved, the performance-based restricted share units will be issued based on the achievement level, inclusive of the relative TSR modifier and the grant date fair value, and will cliff vest in full on the third anniversary of the date of the gran</w:t>
      </w:r>
      <w:r>
        <w:rPr>
          <w:rFonts w:eastAsia="Times New Roman"/>
          <w:color w:val="000000"/>
          <w:sz w:val="20"/>
          <w:szCs w:val="20"/>
        </w:rPr>
        <w:t>t. The fair value of the performance-based restricted share units is estimated using a Monte Carlo simulation model on the grant date. Key assumptions used in the Monte Carlo simulation for the performance shares with a TSR modifier granted during fiscal 2</w:t>
      </w:r>
      <w:r>
        <w:rPr>
          <w:rFonts w:eastAsia="Times New Roman"/>
          <w:color w:val="000000"/>
          <w:sz w:val="20"/>
          <w:szCs w:val="20"/>
        </w:rPr>
        <w:t xml:space="preserve">021 include an expected volatility of 31.47%, a risk-free interest rate of 0.18% and a compounded dividend yield of 1.13%.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 summary of performance-based restricted share unit activity is presented below:</w:t>
      </w:r>
    </w:p>
    <w:p w:rsidR="00000000" w:rsidRDefault="001F39D7">
      <w:pPr>
        <w:jc w:val="both"/>
        <w:rPr>
          <w:rFonts w:eastAsia="Times New Roman"/>
        </w:rPr>
      </w:pPr>
    </w:p>
    <w:tbl>
      <w:tblPr>
        <w:tblW w:w="4948" w:type="pct"/>
        <w:tblCellMar>
          <w:top w:w="15" w:type="dxa"/>
          <w:left w:w="15" w:type="dxa"/>
          <w:bottom w:w="15" w:type="dxa"/>
          <w:right w:w="15" w:type="dxa"/>
        </w:tblCellMar>
        <w:tblLook w:val="04A0" w:firstRow="1" w:lastRow="0" w:firstColumn="1" w:lastColumn="0" w:noHBand="0" w:noVBand="1"/>
      </w:tblPr>
      <w:tblGrid>
        <w:gridCol w:w="51"/>
        <w:gridCol w:w="4749"/>
        <w:gridCol w:w="36"/>
        <w:gridCol w:w="36"/>
        <w:gridCol w:w="36"/>
        <w:gridCol w:w="36"/>
        <w:gridCol w:w="36"/>
        <w:gridCol w:w="63"/>
        <w:gridCol w:w="1443"/>
        <w:gridCol w:w="36"/>
        <w:gridCol w:w="36"/>
        <w:gridCol w:w="36"/>
        <w:gridCol w:w="36"/>
        <w:gridCol w:w="121"/>
        <w:gridCol w:w="1433"/>
        <w:gridCol w:w="36"/>
      </w:tblGrid>
      <w:tr w:rsidR="00000000">
        <w:tc>
          <w:tcPr>
            <w:tcW w:w="50" w:type="pct"/>
            <w:vAlign w:val="center"/>
            <w:hideMark/>
          </w:tcPr>
          <w:p w:rsidR="00000000" w:rsidRDefault="001F39D7">
            <w:pPr>
              <w:jc w:val="both"/>
              <w:rPr>
                <w:rFonts w:eastAsia="Times New Roman"/>
              </w:rPr>
            </w:pPr>
          </w:p>
        </w:tc>
        <w:tc>
          <w:tcPr>
            <w:tcW w:w="295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9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92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Performance-Based Restricted Share Unit Activity</w:t>
            </w:r>
          </w:p>
        </w:tc>
        <w:tc>
          <w:tcPr>
            <w:tcW w:w="0" w:type="auto"/>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Performance-Based Restricted Share Units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Weighted Average Grant Date Fair Value</w:t>
            </w:r>
          </w:p>
        </w:tc>
      </w:tr>
      <w:tr w:rsidR="00000000">
        <w:tc>
          <w:tcPr>
            <w:tcW w:w="0" w:type="auto"/>
            <w:gridSpan w:val="3"/>
            <w:vAlign w:val="center"/>
            <w:hideMark/>
          </w:tcPr>
          <w:p w:rsidR="00000000" w:rsidRDefault="001F39D7">
            <w:pPr>
              <w:spacing w:after="100"/>
              <w:jc w:val="center"/>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Restricted at December 26, 2020</w:t>
            </w:r>
          </w:p>
        </w:tc>
        <w:tc>
          <w:tcPr>
            <w:tcW w:w="0" w:type="auto"/>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143,268 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divId w:val="728502995"/>
              <w:rPr>
                <w:rFonts w:eastAsia="Times New Roman"/>
              </w:rPr>
            </w:pPr>
            <w:r>
              <w:rPr>
                <w:rFonts w:eastAsia="Times New Roman"/>
                <w:color w:val="000000"/>
                <w:sz w:val="20"/>
                <w:szCs w:val="20"/>
              </w:rPr>
              <w:t>Granted</w:t>
            </w:r>
            <w:r>
              <w:rPr>
                <w:rFonts w:eastAsia="Times New Roman"/>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60,317 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148.05 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Vested</w:t>
            </w:r>
          </w:p>
        </w:tc>
        <w:tc>
          <w:tcPr>
            <w:tcW w:w="0" w:type="auto"/>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(10,015)</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64.70 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Forfeited</w:t>
            </w:r>
          </w:p>
        </w:tc>
        <w:tc>
          <w:tcPr>
            <w:tcW w:w="0" w:type="auto"/>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(6,552)</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104.65 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Restricted at December 25, 2021</w:t>
            </w:r>
          </w:p>
        </w:tc>
        <w:tc>
          <w:tcPr>
            <w:tcW w:w="0" w:type="auto"/>
            <w:vAlign w:val="center"/>
            <w:hideMark/>
          </w:tcPr>
          <w:p w:rsidR="00000000" w:rsidRDefault="001F39D7">
            <w:pPr>
              <w:spacing w:after="100"/>
              <w:rPr>
                <w:rFonts w:eastAsia="Times New Roman"/>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187,018 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107.99 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ind w:hanging="180"/>
        <w:jc w:val="both"/>
        <w:rPr>
          <w:rFonts w:eastAsia="Times New Roman"/>
        </w:rPr>
      </w:pPr>
    </w:p>
    <w:p w:rsidR="00000000" w:rsidRDefault="001F39D7">
      <w:pPr>
        <w:ind w:hanging="180"/>
        <w:jc w:val="both"/>
        <w:rPr>
          <w:rFonts w:eastAsia="Times New Roman"/>
        </w:rPr>
      </w:pPr>
      <w:r>
        <w:rPr>
          <w:rFonts w:eastAsia="Times New Roman"/>
          <w:color w:val="000000"/>
          <w:sz w:val="9"/>
          <w:szCs w:val="9"/>
        </w:rPr>
        <w:t>(a</w:t>
      </w:r>
      <w:r>
        <w:rPr>
          <w:rFonts w:eastAsia="Times New Roman"/>
          <w:color w:val="000000"/>
          <w:sz w:val="9"/>
          <w:szCs w:val="9"/>
        </w:rPr>
        <w:t>)</w:t>
      </w:r>
      <w:r>
        <w:rPr>
          <w:rFonts w:eastAsia="Times New Roman"/>
          <w:color w:val="000000"/>
          <w:sz w:val="14"/>
          <w:szCs w:val="14"/>
        </w:rPr>
        <w:t>Assume</w:t>
      </w:r>
      <w:r>
        <w:rPr>
          <w:rFonts w:eastAsia="Times New Roman"/>
          <w:color w:val="000000"/>
          <w:sz w:val="14"/>
          <w:szCs w:val="14"/>
        </w:rPr>
        <w:t>s 100% target level achievement of the relative performance targets. The actual number of shares that will be issued, which may be higher or lower than the target, will be determined by the level of achievement of the relative performance targets, inclusiv</w:t>
      </w:r>
      <w:r>
        <w:rPr>
          <w:rFonts w:eastAsia="Times New Roman"/>
          <w:color w:val="000000"/>
          <w:sz w:val="14"/>
          <w:szCs w:val="14"/>
        </w:rPr>
        <w:t xml:space="preserve">e of the TSR modifier.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As of December </w:t>
      </w:r>
      <w:r>
        <w:rPr>
          <w:rFonts w:eastAsia="Times New Roman"/>
          <w:color w:val="000000"/>
          <w:sz w:val="20"/>
          <w:szCs w:val="20"/>
        </w:rPr>
        <w:t>25, 2021, total unrecognized compensation expense related to non-vested performance-based restricted share units was approximately $17.4 million with a weighted average expense recognition period of 1.9 years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were no material modifications to perfo</w:t>
      </w:r>
      <w:r>
        <w:rPr>
          <w:rFonts w:eastAsia="Times New Roman"/>
          <w:color w:val="000000"/>
          <w:sz w:val="20"/>
          <w:szCs w:val="20"/>
        </w:rPr>
        <w:t xml:space="preserve">rmance-based restricted share units in fiscal 2021, 2020, or 2019.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Other information relative to performance-based restricted share unit activity during fiscal 2021 is as follows (in thousands):</w:t>
      </w:r>
    </w:p>
    <w:p w:rsidR="00000000" w:rsidRDefault="001F39D7">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39"/>
        <w:gridCol w:w="36"/>
        <w:gridCol w:w="120"/>
        <w:gridCol w:w="930"/>
        <w:gridCol w:w="36"/>
        <w:gridCol w:w="36"/>
        <w:gridCol w:w="36"/>
        <w:gridCol w:w="36"/>
        <w:gridCol w:w="120"/>
        <w:gridCol w:w="890"/>
        <w:gridCol w:w="36"/>
        <w:gridCol w:w="36"/>
        <w:gridCol w:w="36"/>
        <w:gridCol w:w="36"/>
        <w:gridCol w:w="120"/>
        <w:gridCol w:w="890"/>
        <w:gridCol w:w="36"/>
      </w:tblGrid>
      <w:tr w:rsidR="00000000">
        <w:tc>
          <w:tcPr>
            <w:tcW w:w="50" w:type="pct"/>
            <w:vAlign w:val="center"/>
            <w:hideMark/>
          </w:tcPr>
          <w:p w:rsidR="00000000" w:rsidRDefault="001F39D7">
            <w:pPr>
              <w:jc w:val="both"/>
              <w:rPr>
                <w:rFonts w:eastAsia="Times New Roman"/>
              </w:rPr>
            </w:pPr>
          </w:p>
        </w:tc>
        <w:tc>
          <w:tcPr>
            <w:tcW w:w="294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grant date fair value of performance-based restricted share units vested and issued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intrinsic value of performance-based restricted share units vested and issued</w:t>
            </w: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1,538 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2,826 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2,666 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center"/>
        <w:divId w:val="1567106621"/>
        <w:rPr>
          <w:rFonts w:eastAsia="Times New Roman"/>
        </w:rPr>
      </w:pPr>
      <w:r>
        <w:rPr>
          <w:rFonts w:eastAsia="Times New Roman"/>
          <w:color w:val="000000"/>
          <w:sz w:val="20"/>
          <w:szCs w:val="20"/>
        </w:rPr>
        <w:t>64</w:t>
      </w:r>
    </w:p>
    <w:p w:rsidR="00000000" w:rsidRDefault="001F39D7">
      <w:pPr>
        <w:rPr>
          <w:rFonts w:eastAsia="Times New Roman"/>
        </w:rPr>
      </w:pPr>
      <w:r>
        <w:rPr>
          <w:rFonts w:eastAsia="Times New Roman"/>
        </w:rPr>
        <w:pict>
          <v:rect id="_x0000_i1093" style="width:0;height:1.5pt" o:hralign="center" o:hrstd="t" o:hr="t" fillcolor="#a0a0a0" stroked="f"/>
        </w:pict>
      </w:r>
    </w:p>
    <w:p w:rsidR="00000000" w:rsidRDefault="001F39D7">
      <w:pPr>
        <w:divId w:val="145853009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i/>
          <w:iCs/>
          <w:color w:val="000000"/>
          <w:sz w:val="20"/>
          <w:szCs w:val="20"/>
        </w:rPr>
        <w:t>Shares Withheld to Satisfy Tax Withholding Requirements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For the majority of restricted stock units and performance-based restricted share units granted, the number of shares issued on the date the stock awards vest is net of shares withheld by the Company to satisfy the minimum statutory tax withholding require</w:t>
      </w:r>
      <w:r>
        <w:rPr>
          <w:rFonts w:eastAsia="Times New Roman"/>
          <w:color w:val="000000"/>
          <w:sz w:val="20"/>
          <w:szCs w:val="20"/>
        </w:rPr>
        <w:t>ments, which the Company pays on behalf of its employees.  The Company issued 219,723, 186,751, and 103,124 shares as a result of vested restricted stock units and performance-based restricted share units during fiscal 2021, 2020, and 2019, respectively.  </w:t>
      </w:r>
      <w:r>
        <w:rPr>
          <w:rFonts w:eastAsia="Times New Roman"/>
          <w:color w:val="000000"/>
          <w:sz w:val="20"/>
          <w:szCs w:val="20"/>
        </w:rPr>
        <w:t>Although shares withheld are not issued, they are treated similar to common stock repurchases as they reduce the number of shares that would have been issued upon vesting.  The amounts are net of 95,996, 81,946, and 41,786 shares withheld to satisfy $14.9 </w:t>
      </w:r>
      <w:r>
        <w:rPr>
          <w:rFonts w:eastAsia="Times New Roman"/>
          <w:color w:val="000000"/>
          <w:sz w:val="20"/>
          <w:szCs w:val="20"/>
        </w:rPr>
        <w:t>million, $7.8 million, and $3.8 million of employees’ tax obligations during fiscal 2021, 2020, and 2019, respectively.</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Employee Stock Purchase Plan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ESPP provides Company employees the opportunity to purchase, through payroll deductions, shares of </w:t>
      </w:r>
      <w:r>
        <w:rPr>
          <w:rFonts w:eastAsia="Times New Roman"/>
          <w:color w:val="000000"/>
          <w:sz w:val="20"/>
          <w:szCs w:val="20"/>
        </w:rPr>
        <w:t>common stock at a 15% discount.  Pursuant to the terms of the ESPP, the Company issued 48,446, 63,704, and 61,678 shares of common stock during fiscal 2021, 2020, and 2019, respectively.  The total cost related to the ESPP, including the compensation expen</w:t>
      </w:r>
      <w:r>
        <w:rPr>
          <w:rFonts w:eastAsia="Times New Roman"/>
          <w:color w:val="000000"/>
          <w:sz w:val="20"/>
          <w:szCs w:val="20"/>
        </w:rPr>
        <w:t>se calculations, was approximately $1.4 million, $1.4 million, and $1.1 million in fiscal 2021, 2020, and 2019, respectively.  There is a maximum of 16.0 million shares of common stock that are reserved under the ESPP. At December 25, 2021, there were appr</w:t>
      </w:r>
      <w:r>
        <w:rPr>
          <w:rFonts w:eastAsia="Times New Roman"/>
          <w:color w:val="000000"/>
          <w:sz w:val="20"/>
          <w:szCs w:val="20"/>
        </w:rPr>
        <w:t>oximately 11.8 million remaining shares of common stock reserved for future issuance under the ESPP.</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Note 3 – Goodwill and Other Intangible Assets: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Goodwill</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changes in the carrying amount of goodwill by reporting unit for the years ended December</w:t>
      </w:r>
      <w:r>
        <w:rPr>
          <w:rFonts w:eastAsia="Times New Roman"/>
          <w:color w:val="000000"/>
          <w:sz w:val="20"/>
          <w:szCs w:val="20"/>
        </w:rPr>
        <w:t> 25, 2021 and December 26, 2020 are as follows (in thousands):</w:t>
      </w:r>
    </w:p>
    <w:tbl>
      <w:tblPr>
        <w:tblW w:w="4839" w:type="pct"/>
        <w:tblCellMar>
          <w:top w:w="15" w:type="dxa"/>
          <w:left w:w="15" w:type="dxa"/>
          <w:bottom w:w="15" w:type="dxa"/>
          <w:right w:w="15" w:type="dxa"/>
        </w:tblCellMar>
        <w:tblLook w:val="04A0" w:firstRow="1" w:lastRow="0" w:firstColumn="1" w:lastColumn="0" w:noHBand="0" w:noVBand="1"/>
      </w:tblPr>
      <w:tblGrid>
        <w:gridCol w:w="40"/>
        <w:gridCol w:w="1639"/>
        <w:gridCol w:w="37"/>
        <w:gridCol w:w="120"/>
        <w:gridCol w:w="649"/>
        <w:gridCol w:w="36"/>
        <w:gridCol w:w="36"/>
        <w:gridCol w:w="36"/>
        <w:gridCol w:w="36"/>
        <w:gridCol w:w="121"/>
        <w:gridCol w:w="686"/>
        <w:gridCol w:w="36"/>
        <w:gridCol w:w="36"/>
        <w:gridCol w:w="36"/>
        <w:gridCol w:w="36"/>
        <w:gridCol w:w="121"/>
        <w:gridCol w:w="1067"/>
        <w:gridCol w:w="36"/>
        <w:gridCol w:w="36"/>
        <w:gridCol w:w="36"/>
        <w:gridCol w:w="36"/>
        <w:gridCol w:w="120"/>
        <w:gridCol w:w="616"/>
        <w:gridCol w:w="36"/>
        <w:gridCol w:w="36"/>
        <w:gridCol w:w="36"/>
        <w:gridCol w:w="36"/>
        <w:gridCol w:w="121"/>
        <w:gridCol w:w="686"/>
        <w:gridCol w:w="36"/>
        <w:gridCol w:w="36"/>
        <w:gridCol w:w="36"/>
        <w:gridCol w:w="36"/>
        <w:gridCol w:w="121"/>
        <w:gridCol w:w="1067"/>
        <w:gridCol w:w="36"/>
        <w:gridCol w:w="36"/>
        <w:gridCol w:w="36"/>
      </w:tblGrid>
      <w:tr w:rsidR="00000000">
        <w:tc>
          <w:tcPr>
            <w:tcW w:w="50" w:type="pct"/>
            <w:vAlign w:val="center"/>
            <w:hideMark/>
          </w:tcPr>
          <w:p w:rsidR="00000000" w:rsidRDefault="001F39D7">
            <w:pPr>
              <w:jc w:val="both"/>
              <w:rPr>
                <w:rFonts w:eastAsia="Times New Roman"/>
              </w:rPr>
            </w:pPr>
          </w:p>
        </w:tc>
        <w:tc>
          <w:tcPr>
            <w:tcW w:w="117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0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0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0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 2020</w:t>
            </w:r>
          </w:p>
        </w:tc>
        <w:tc>
          <w:tcPr>
            <w:tcW w:w="0" w:type="auto"/>
            <w:vAlign w:val="center"/>
            <w:hideMark/>
          </w:tcPr>
          <w:p w:rsidR="00000000" w:rsidRDefault="001F39D7">
            <w:pPr>
              <w:spacing w:after="100"/>
              <w:jc w:val="center"/>
              <w:rPr>
                <w:rFonts w:eastAsia="Times New Roman"/>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Consolidated</w:t>
            </w:r>
          </w:p>
        </w:tc>
        <w:tc>
          <w:tcPr>
            <w:tcW w:w="0" w:type="auto"/>
            <w:vAlign w:val="center"/>
            <w:hideMark/>
          </w:tcPr>
          <w:p w:rsidR="00000000" w:rsidRDefault="001F39D7">
            <w:pPr>
              <w:spacing w:after="100"/>
              <w:jc w:val="center"/>
              <w:rPr>
                <w:rFonts w:eastAsia="Times New Roman"/>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Balance,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82,934 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93,192 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Impairment expense</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(60,773)</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(60,773)</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Balance,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bl>
    <w:p w:rsidR="00000000" w:rsidRDefault="001F39D7">
      <w:pPr>
        <w:divId w:val="1877229801"/>
        <w:rPr>
          <w:rFonts w:eastAsia="Times New Roman"/>
        </w:rPr>
      </w:pPr>
    </w:p>
    <w:p w:rsidR="00000000" w:rsidRDefault="001F39D7">
      <w:pPr>
        <w:jc w:val="both"/>
        <w:rPr>
          <w:rFonts w:eastAsia="Times New Roman"/>
        </w:rPr>
      </w:pPr>
      <w:r>
        <w:rPr>
          <w:rFonts w:eastAsia="Times New Roman"/>
          <w:color w:val="000000"/>
          <w:sz w:val="20"/>
          <w:szCs w:val="20"/>
        </w:rPr>
        <w:t>Goodwill is allocated to each identified reporting unit, which is defined as an operating segment or one level below the operating segment. Goodwill is not amortized, but is eval</w:t>
      </w:r>
      <w:r>
        <w:rPr>
          <w:rFonts w:eastAsia="Times New Roman"/>
          <w:color w:val="000000"/>
          <w:sz w:val="20"/>
          <w:szCs w:val="20"/>
        </w:rPr>
        <w:t>uated for impairment annually and whenever events or changes in circumstances indicate the carrying value of goodwill may not be recoverable. The Company's annual impairment evaluation is conducted on the first day of the fiscal fourth quarter.</w:t>
      </w:r>
      <w:r>
        <w:rPr>
          <w:rFonts w:ascii="Calibri" w:eastAsia="Times New Roman" w:hAnsi="Calibri" w:cs="Calibri"/>
          <w:color w:val="00000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the f</w:t>
      </w:r>
      <w:r>
        <w:rPr>
          <w:rFonts w:eastAsia="Times New Roman"/>
          <w:color w:val="000000"/>
          <w:sz w:val="20"/>
          <w:szCs w:val="20"/>
        </w:rPr>
        <w:t>ourth quarter of fiscal 2021, the Company completed its annual impairment assessment of goodwill for all reporting units. As part of this analysis, the Company assessed the current environment to determine if there were any indicators of impairment as a re</w:t>
      </w:r>
      <w:r>
        <w:rPr>
          <w:rFonts w:eastAsia="Times New Roman"/>
          <w:color w:val="000000"/>
          <w:sz w:val="20"/>
          <w:szCs w:val="20"/>
        </w:rPr>
        <w:t>sult of the operating conditions resulting from COVID-19 or otherwise and concluded, that while there have been events and circumstances in the macro-environment that have impacted the Company's business, there were no any entity-specific indicators of imp</w:t>
      </w:r>
      <w:r>
        <w:rPr>
          <w:rFonts w:eastAsia="Times New Roman"/>
          <w:color w:val="000000"/>
          <w:sz w:val="20"/>
          <w:szCs w:val="20"/>
        </w:rPr>
        <w:t xml:space="preserve">airment of goodwill that would require the Company to perform a quantitative impairment assessment. Therefore, there were no impairment charges related to goodwill being recognized in fiscal 2021.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the fourth quarter of fiscal 2020, the Company identi</w:t>
      </w:r>
      <w:r>
        <w:rPr>
          <w:rFonts w:eastAsia="Times New Roman"/>
          <w:color w:val="000000"/>
          <w:sz w:val="20"/>
          <w:szCs w:val="20"/>
        </w:rPr>
        <w:t>fied qualitative indicators of impairment as a result of a strategic reassessment of the Petsense business, including an evaluation of current operations and its future growth outlook due to changing consumer trends within certain identified growth markets</w:t>
      </w:r>
      <w:r>
        <w:rPr>
          <w:rFonts w:eastAsia="Times New Roman"/>
          <w:color w:val="000000"/>
          <w:sz w:val="20"/>
          <w:szCs w:val="20"/>
        </w:rPr>
        <w:t>, which resulted in a decision to reduce the number of new store openings planned over the long term. The carrying value of goodwill for the Petsense reporting unit is indicative of the expected growth and development of the business. The aforementioned de</w:t>
      </w:r>
      <w:r>
        <w:rPr>
          <w:rFonts w:eastAsia="Times New Roman"/>
          <w:color w:val="000000"/>
          <w:sz w:val="20"/>
          <w:szCs w:val="20"/>
        </w:rPr>
        <w:t xml:space="preserve">cision to reduce the long-term growth outlook resulted in a downward adjustment of the future financial forecasts for the Petsense business which indicated that impairment of the goodwill asset was a more-likely-than-not outcome.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We conducted a quantita</w:t>
      </w:r>
      <w:r>
        <w:rPr>
          <w:rFonts w:eastAsia="Times New Roman"/>
          <w:color w:val="000000"/>
          <w:sz w:val="20"/>
          <w:szCs w:val="20"/>
        </w:rPr>
        <w:t>tive impairment analysis of the Petsense reporting unit using the income approach. As a result of the quantitative impairment analysis of the Petsense reporting unit, it was determined that the carrying value exceeded the fair value, resulting in a pre-tax</w:t>
      </w:r>
      <w:r>
        <w:rPr>
          <w:rFonts w:eastAsia="Times New Roman"/>
          <w:color w:val="000000"/>
          <w:sz w:val="20"/>
          <w:szCs w:val="20"/>
        </w:rPr>
        <w:t xml:space="preserve"> impairment loss of approximately $60.8 million in fiscal 2020. </w:t>
      </w:r>
    </w:p>
    <w:p w:rsidR="00000000" w:rsidRDefault="001F39D7">
      <w:pPr>
        <w:jc w:val="both"/>
        <w:rPr>
          <w:rFonts w:eastAsia="Times New Roman"/>
        </w:rPr>
      </w:pPr>
    </w:p>
    <w:p w:rsidR="00000000" w:rsidRDefault="001F39D7">
      <w:pPr>
        <w:jc w:val="center"/>
        <w:divId w:val="1077363609"/>
        <w:rPr>
          <w:rFonts w:eastAsia="Times New Roman"/>
        </w:rPr>
      </w:pPr>
      <w:r>
        <w:rPr>
          <w:rFonts w:eastAsia="Times New Roman"/>
          <w:color w:val="000000"/>
          <w:sz w:val="20"/>
          <w:szCs w:val="20"/>
        </w:rPr>
        <w:t>65</w:t>
      </w:r>
    </w:p>
    <w:p w:rsidR="00000000" w:rsidRDefault="001F39D7">
      <w:pPr>
        <w:rPr>
          <w:rFonts w:eastAsia="Times New Roman"/>
        </w:rPr>
      </w:pPr>
      <w:r>
        <w:rPr>
          <w:rFonts w:eastAsia="Times New Roman"/>
        </w:rPr>
        <w:pict>
          <v:rect id="_x0000_i1094" style="width:0;height:1.5pt" o:hralign="center" o:hrstd="t" o:hr="t" fillcolor="#a0a0a0" stroked="f"/>
        </w:pict>
      </w:r>
    </w:p>
    <w:p w:rsidR="00000000" w:rsidRDefault="001F39D7">
      <w:pPr>
        <w:divId w:val="176537494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i/>
          <w:iCs/>
          <w:color w:val="000000"/>
          <w:sz w:val="20"/>
          <w:szCs w:val="20"/>
        </w:rPr>
        <w:t>Other Intangible Assets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Company had approximately $23.1 </w:t>
      </w:r>
      <w:r>
        <w:rPr>
          <w:rFonts w:eastAsia="Times New Roman"/>
          <w:color w:val="000000"/>
          <w:sz w:val="20"/>
          <w:szCs w:val="20"/>
        </w:rPr>
        <w:t xml:space="preserve">million of intangible assets other than goodwill at December 25, 2021 and December 26, 2020. The intangible asset balance represents the carrying value of the Petsense trade name, which is not subject to amortization as it has an indefinite useful life on </w:t>
      </w:r>
      <w:r>
        <w:rPr>
          <w:rFonts w:eastAsia="Times New Roman"/>
          <w:color w:val="000000"/>
          <w:sz w:val="20"/>
          <w:szCs w:val="20"/>
        </w:rPr>
        <w:t>the basis that it is expected to contribute cash flows beyond the foreseeable horizon. The trade name asset is evaluated for impairment annually and whenever events or changes in circumstances indicate the carrying value of the asset may not be recoverable</w:t>
      </w:r>
      <w:r>
        <w:rPr>
          <w:rFonts w:eastAsia="Times New Roman"/>
          <w:color w:val="000000"/>
          <w:sz w:val="20"/>
          <w:szCs w:val="20"/>
        </w:rPr>
        <w:t>. The Company's annual impairment evaluation is conducted on the first day of the fiscal fourth quarter.</w:t>
      </w:r>
      <w:r>
        <w:rPr>
          <w:rFonts w:ascii="Calibri" w:eastAsia="Times New Roman" w:hAnsi="Calibri" w:cs="Calibri"/>
          <w:color w:val="00000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the fourth quarter of fiscal 2021, the Company completed its annual impairment testing of intangible assets and no impairment was identified. The</w:t>
      </w:r>
      <w:r>
        <w:rPr>
          <w:rFonts w:eastAsia="Times New Roman"/>
          <w:color w:val="000000"/>
          <w:sz w:val="20"/>
          <w:szCs w:val="20"/>
        </w:rPr>
        <w:t xml:space="preserve"> Company determined that the fair value of the intangible asset was in excess of the carrying value.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In the fourth quarter of fiscal 2020, the aforementioned decision to reduce the long-term growth outlook for Petsense resulted in a downward adjustment o</w:t>
      </w:r>
      <w:r>
        <w:rPr>
          <w:rFonts w:eastAsia="Times New Roman"/>
          <w:color w:val="000000"/>
          <w:sz w:val="20"/>
          <w:szCs w:val="20"/>
        </w:rPr>
        <w:t>f its future financial forecasts which indicated that impairment of the trade name asset was a more-likely-than-not outcome. The Company conducted a quantitative impairment analysis in the fourth quarter of fiscal 2020 using the relief-from-royalty method.</w:t>
      </w:r>
      <w:r>
        <w:rPr>
          <w:rFonts w:eastAsia="Times New Roman"/>
          <w:color w:val="000000"/>
          <w:sz w:val="20"/>
          <w:szCs w:val="20"/>
        </w:rPr>
        <w:t xml:space="preserve"> As a result of the quantitative impairment analysis, it was determined that the carrying value of the Petsense trade name was in excess of the fair value,</w:t>
      </w:r>
      <w:r>
        <w:rPr>
          <w:rFonts w:eastAsia="Times New Roman"/>
          <w:color w:val="000000"/>
        </w:rPr>
        <w:t xml:space="preserve"> </w:t>
      </w:r>
      <w:r>
        <w:rPr>
          <w:rFonts w:eastAsia="Times New Roman"/>
          <w:color w:val="000000"/>
          <w:sz w:val="20"/>
          <w:szCs w:val="20"/>
        </w:rPr>
        <w:t>resulting in a pre-tax impairment loss of approximately $8.2 million in fiscal 2020.</w:t>
      </w:r>
      <w:r>
        <w:rPr>
          <w:rFonts w:eastAsia="Times New Roman"/>
          <w:color w:val="00000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Note 4 – Deb</w:t>
      </w:r>
      <w:r>
        <w:rPr>
          <w:rFonts w:eastAsia="Times New Roman"/>
          <w:b/>
          <w:bCs/>
          <w:color w:val="000000"/>
          <w:sz w:val="20"/>
          <w:szCs w:val="20"/>
        </w:rPr>
        <w:t>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5556"/>
        <w:gridCol w:w="38"/>
        <w:gridCol w:w="36"/>
        <w:gridCol w:w="36"/>
        <w:gridCol w:w="36"/>
        <w:gridCol w:w="121"/>
        <w:gridCol w:w="1028"/>
        <w:gridCol w:w="36"/>
        <w:gridCol w:w="36"/>
        <w:gridCol w:w="36"/>
        <w:gridCol w:w="36"/>
        <w:gridCol w:w="121"/>
        <w:gridCol w:w="1030"/>
        <w:gridCol w:w="36"/>
        <w:gridCol w:w="36"/>
        <w:gridCol w:w="36"/>
      </w:tblGrid>
      <w:tr w:rsidR="00000000">
        <w:tc>
          <w:tcPr>
            <w:tcW w:w="50" w:type="pct"/>
            <w:vAlign w:val="center"/>
            <w:hideMark/>
          </w:tcPr>
          <w:p w:rsidR="00000000" w:rsidRDefault="001F39D7">
            <w:pPr>
              <w:jc w:val="both"/>
              <w:rPr>
                <w:rFonts w:eastAsia="Times New Roman"/>
              </w:rPr>
            </w:pPr>
          </w:p>
        </w:tc>
        <w:tc>
          <w:tcPr>
            <w:tcW w:w="340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7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7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vAlign w:val="center"/>
            <w:hideMark/>
          </w:tcPr>
          <w:p w:rsidR="00000000" w:rsidRDefault="001F39D7">
            <w:pPr>
              <w:spacing w:after="100"/>
              <w:jc w:val="center"/>
              <w:rPr>
                <w:rFonts w:eastAsia="Times New Roman"/>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November 2020 Term Loan due 2023</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200.0 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vAlign w:val="center"/>
            <w:hideMark/>
          </w:tcPr>
          <w:p w:rsidR="00000000" w:rsidRDefault="001F39D7">
            <w:pPr>
              <w:spacing w:after="100"/>
              <w:jc w:val="right"/>
              <w:rPr>
                <w:rFonts w:eastAsia="Times New Roman"/>
                <w:sz w:val="20"/>
                <w:szCs w:val="20"/>
              </w:rPr>
            </w:pPr>
          </w:p>
        </w:tc>
        <w:tc>
          <w:tcPr>
            <w:tcW w:w="0" w:type="auto"/>
            <w:vAlign w:val="center"/>
            <w:hideMark/>
          </w:tcPr>
          <w:p w:rsidR="00000000" w:rsidRDefault="001F39D7">
            <w:pPr>
              <w:spacing w:after="100"/>
              <w:rPr>
                <w:rFonts w:eastAsia="Times New Roman"/>
                <w:sz w:val="20"/>
                <w:szCs w:val="20"/>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1.75% Senior Notes due 2030</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October 30, 2020, the Company issued and sold, in a public offering, $650 million in aggregate principal amount of senior unsecured notes due November 1, 2030 bearing interest at 1.75% per annum (the “</w:t>
      </w:r>
      <w:r>
        <w:rPr>
          <w:rFonts w:eastAsia="Times New Roman"/>
          <w:color w:val="000000"/>
          <w:sz w:val="20"/>
          <w:szCs w:val="20"/>
        </w:rPr>
        <w:t>1.75% Senior Notes”). The entire principal amount of the 1.75% Senior Notes is due in full on November 1, 2030. Interest is payable semi-annually in arrears on each November 1 and May 1. The terms of the 1.750% Notes are governed by an indenture dated as o</w:t>
      </w:r>
      <w:r>
        <w:rPr>
          <w:rFonts w:eastAsia="Times New Roman"/>
          <w:color w:val="000000"/>
          <w:sz w:val="20"/>
          <w:szCs w:val="20"/>
        </w:rPr>
        <w:t>f October 30, 2020 (the “Base Indenture”) between the Company and Regions Bank, as trustee, as amended and supplemented by a first supplemental indenture dated as of October 30, 2020 (the “Supplemental Indenture”) between the Company and Regions Bank, as t</w:t>
      </w:r>
      <w:r>
        <w:rPr>
          <w:rFonts w:eastAsia="Times New Roman"/>
          <w:color w:val="000000"/>
          <w:sz w:val="20"/>
          <w:szCs w:val="20"/>
        </w:rPr>
        <w:t xml:space="preserve">rustee.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1.75% Senior Notes are senior unsecured debt obligations of the Company and will rank equally with the Company’s other senior unsecured liabilities and senior to any future subordinated indebtedness of the Company. The 1.75% Senior Notes are</w:t>
      </w:r>
      <w:r>
        <w:rPr>
          <w:rFonts w:eastAsia="Times New Roman"/>
          <w:color w:val="000000"/>
          <w:sz w:val="20"/>
          <w:szCs w:val="20"/>
        </w:rPr>
        <w:t xml:space="preserve"> subject to customary covenants restricting the Company’s ability, subject to certain exceptions, to incur debt secured by liens, to enter into sale and leaseback transactions or to merge or consolidate with another entity or sell substantially all of its </w:t>
      </w:r>
      <w:r>
        <w:rPr>
          <w:rFonts w:eastAsia="Times New Roman"/>
          <w:color w:val="000000"/>
          <w:sz w:val="20"/>
          <w:szCs w:val="20"/>
        </w:rPr>
        <w:t>assets to another person.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At any time prior to August 1, 2030, the Company will have the right, at its option, to redeem the 1.75% Senior Notes, in whole or in part, at any time and from time to time, by paying the greater of 100% of the principal amount</w:t>
      </w:r>
      <w:r>
        <w:rPr>
          <w:rFonts w:eastAsia="Times New Roman"/>
          <w:color w:val="000000"/>
          <w:sz w:val="20"/>
          <w:szCs w:val="20"/>
        </w:rPr>
        <w:t xml:space="preserve"> of the 1.75% Senior Notes </w:t>
      </w:r>
    </w:p>
    <w:p w:rsidR="00000000" w:rsidRDefault="001F39D7">
      <w:pPr>
        <w:jc w:val="center"/>
        <w:divId w:val="2025589997"/>
        <w:rPr>
          <w:rFonts w:eastAsia="Times New Roman"/>
        </w:rPr>
      </w:pPr>
      <w:r>
        <w:rPr>
          <w:rFonts w:eastAsia="Times New Roman"/>
          <w:color w:val="000000"/>
          <w:sz w:val="20"/>
          <w:szCs w:val="20"/>
        </w:rPr>
        <w:t>66</w:t>
      </w:r>
    </w:p>
    <w:p w:rsidR="00000000" w:rsidRDefault="001F39D7">
      <w:pPr>
        <w:rPr>
          <w:rFonts w:eastAsia="Times New Roman"/>
        </w:rPr>
      </w:pPr>
      <w:r>
        <w:rPr>
          <w:rFonts w:eastAsia="Times New Roman"/>
        </w:rPr>
        <w:pict>
          <v:rect id="_x0000_i1095" style="width:0;height:1.5pt" o:hralign="center" o:hrstd="t" o:hr="t" fillcolor="#a0a0a0" stroked="f"/>
        </w:pict>
      </w:r>
    </w:p>
    <w:p w:rsidR="00000000" w:rsidRDefault="001F39D7">
      <w:pPr>
        <w:divId w:val="102583588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to be redeemed, or the sum of the present values of the remaining scheduled payments of principal and interest through the par call date, plus, in each case, accrued and unpaid interest to, but not including, the date of redemption. In addition, on or afte</w:t>
      </w:r>
      <w:r>
        <w:rPr>
          <w:rFonts w:eastAsia="Times New Roman"/>
          <w:color w:val="000000"/>
          <w:sz w:val="20"/>
          <w:szCs w:val="20"/>
        </w:rPr>
        <w:t>r August 1, 2030, the Company will have the right, at its option, to redeem the 1.75% Senior Notes, in whole or in part, at any time and from time to time, at a redemption price equal to 100% of the principal amount of the 1.75% Senior Notes to be redeemed</w:t>
      </w:r>
      <w:r>
        <w:rPr>
          <w:rFonts w:eastAsia="Times New Roman"/>
          <w:color w:val="000000"/>
          <w:sz w:val="20"/>
          <w:szCs w:val="20"/>
        </w:rPr>
        <w:t>, plus accrued and unpaid interest to, but not including, the date of redemption.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If a Change of Control Triggering Event (as defined in the Supplemental Indenture) occurs, unless the Company has exercised its right to redeem the 1.75% Senior Notes, hold</w:t>
      </w:r>
      <w:r>
        <w:rPr>
          <w:rFonts w:eastAsia="Times New Roman"/>
          <w:color w:val="000000"/>
          <w:sz w:val="20"/>
          <w:szCs w:val="20"/>
        </w:rPr>
        <w:t>ers of the 1.75% Senior Notes may require the Company to repurchase all or any part of such holder’s 1.75% Senior Notes at a purchase price of 101% of the principal amount, plus accrued and unpaid interest, if any, on such 1.75% Senior Notes to, but not in</w:t>
      </w:r>
      <w:r>
        <w:rPr>
          <w:rFonts w:eastAsia="Times New Roman"/>
          <w:color w:val="000000"/>
          <w:sz w:val="20"/>
          <w:szCs w:val="20"/>
        </w:rPr>
        <w:t>cluding, the purchase date. Upon the occurrence of an event of default with respect to the 1.75% Senior Notes, which includes payment defaults, defaults in the performance of certain covenants, cross defaults, and bankruptcy and insolvency related defaults</w:t>
      </w:r>
      <w:r>
        <w:rPr>
          <w:rFonts w:eastAsia="Times New Roman"/>
          <w:color w:val="000000"/>
          <w:sz w:val="20"/>
          <w:szCs w:val="20"/>
        </w:rPr>
        <w:t>, the Company’s obligations under the 1.75% Senior Notes may be accelerated, in which case the entire principal amount of the 1.75% Senior Notes would be due and payable immediately.</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Senior Note Facility (including 3.70% Senior Notes due 2029)</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Augus</w:t>
      </w:r>
      <w:r>
        <w:rPr>
          <w:rFonts w:eastAsia="Times New Roman"/>
          <w:color w:val="000000"/>
          <w:sz w:val="20"/>
          <w:szCs w:val="20"/>
        </w:rPr>
        <w:t>t 14, 2017, the Company entered into a note purchase and private shelf agreement (the “Note Purchase Agreement”), as amended from time to time, pursuant to which the Company agreed to sell, in a private placement, $150 million aggregate principal amount of</w:t>
      </w:r>
      <w:r>
        <w:rPr>
          <w:rFonts w:eastAsia="Times New Roman"/>
          <w:color w:val="000000"/>
          <w:sz w:val="20"/>
          <w:szCs w:val="20"/>
        </w:rPr>
        <w:t xml:space="preserve"> senior unsecured notes due August 14, 2029 bearing interest at 3.70% per annum (the “3.70% Senior Notes”). The entire principal amount of the 3.70% Senior Notes is due in full on August 14, 2029. Interest is payable semi-annually in arrears on each annual</w:t>
      </w:r>
      <w:r>
        <w:rPr>
          <w:rFonts w:eastAsia="Times New Roman"/>
          <w:color w:val="000000"/>
          <w:sz w:val="20"/>
          <w:szCs w:val="20"/>
        </w:rPr>
        <w:t xml:space="preserve"> and semi-annual anniversary of the issuance date. The obligations under the Note Purchase Agreement are unsecured.</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may from time to time issue and sell additional senior unsecured notes (the “Shelf Notes”) pursuant to the Note Purchase Agree</w:t>
      </w:r>
      <w:r>
        <w:rPr>
          <w:rFonts w:eastAsia="Times New Roman"/>
          <w:color w:val="000000"/>
          <w:sz w:val="20"/>
          <w:szCs w:val="20"/>
        </w:rPr>
        <w:t>ment, in an aggregate principal amount of up to $300 million minus the aggregate principal amount of all notes outstanding and issued under the Note Purchase Agreement. The Shelf Notes will have a maturity date of no more than 12 years after the date of or</w:t>
      </w:r>
      <w:r>
        <w:rPr>
          <w:rFonts w:eastAsia="Times New Roman"/>
          <w:color w:val="000000"/>
          <w:sz w:val="20"/>
          <w:szCs w:val="20"/>
        </w:rPr>
        <w:t xml:space="preserve">iginal issuance and may be issued through November 4, 2023, unless earlier terminated in accordance with the terms of the Note Purchase Agreement.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Pursuant to the Note Purchase Agreement, the 3.70% Senior Notes and any Shelf Notes (collectively, the "Se</w:t>
      </w:r>
      <w:r>
        <w:rPr>
          <w:rFonts w:eastAsia="Times New Roman"/>
          <w:color w:val="000000"/>
          <w:sz w:val="20"/>
          <w:szCs w:val="20"/>
        </w:rPr>
        <w:t>nior Note Facility") are redeemable by the Company, in whole at any time or in part from time to time, at 100% of the principal amount of the Senior Note Facility being redeemed, together with accrued and unpaid interest thereon and a make whole amount cal</w:t>
      </w:r>
      <w:r>
        <w:rPr>
          <w:rFonts w:eastAsia="Times New Roman"/>
          <w:color w:val="000000"/>
          <w:sz w:val="20"/>
          <w:szCs w:val="20"/>
        </w:rPr>
        <w:t>culated by discounting all remaining scheduled payments on the Senior Note Facility by the yield on the U.S. Treasury security with a maturity equal to the remaining average life of the Senior Note Facility plus 0.50%.</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Senior Credit Facility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On Februar</w:t>
      </w:r>
      <w:r>
        <w:rPr>
          <w:rFonts w:eastAsia="Times New Roman"/>
          <w:color w:val="000000"/>
          <w:sz w:val="20"/>
          <w:szCs w:val="20"/>
        </w:rPr>
        <w:t>y 19, 2016, the Company entered into a senior credit facility, as amended from time to time, and as amended and restated on November 4, 2020 (the “Senior Credit Facility”), which provides borrowing capacity under term loan facilities as well as a revolving</w:t>
      </w:r>
      <w:r>
        <w:rPr>
          <w:rFonts w:eastAsia="Times New Roman"/>
          <w:color w:val="000000"/>
          <w:sz w:val="20"/>
          <w:szCs w:val="20"/>
        </w:rPr>
        <w:t xml:space="preserve"> credit facility. There are no compensating balance requirements associated with the Senior Credit Facility.</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The Senior Credit Facility contains a $500 million revolving credit facility (the “Revolver”) with a sublimit of $50 million for swingline loans </w:t>
      </w:r>
      <w:r>
        <w:rPr>
          <w:rFonts w:eastAsia="Times New Roman"/>
          <w:color w:val="000000"/>
          <w:sz w:val="20"/>
          <w:szCs w:val="20"/>
        </w:rPr>
        <w:t>and a sublimit of $150 million for letters of credit. This agreement is unsecured and matures on November 4, 2023, which, subject to satisfaction of certain terms and conditions, may be extended at the option of the Company to November 4, 2024 (as may be e</w:t>
      </w:r>
      <w:r>
        <w:rPr>
          <w:rFonts w:eastAsia="Times New Roman"/>
          <w:color w:val="000000"/>
          <w:sz w:val="20"/>
          <w:szCs w:val="20"/>
        </w:rPr>
        <w:t xml:space="preserve">xtended, the “Senior Credit Facility Maturity Date”).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Under the Senior Credit Facility, on November 4, 2020, a $200 million term loan (the “November 2020 Term Loan”</w:t>
      </w:r>
      <w:r>
        <w:rPr>
          <w:rFonts w:eastAsia="Times New Roman"/>
          <w:color w:val="000000"/>
          <w:sz w:val="20"/>
          <w:szCs w:val="20"/>
        </w:rPr>
        <w:t xml:space="preserve">) was extended to the Company. The November 2020 Term Loan is unsecured and the entire principal amount is due in full on the Senior Credit Facility Maturity Date.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Borrowings under both the Revolver and the November 2020 Term Loan each bear interest eit</w:t>
      </w:r>
      <w:r>
        <w:rPr>
          <w:rFonts w:eastAsia="Times New Roman"/>
          <w:color w:val="000000"/>
          <w:sz w:val="20"/>
          <w:szCs w:val="20"/>
        </w:rPr>
        <w:t xml:space="preserve">her at the bank’s base rate (3.250% at December 25, 2021) plus an additional amount ranging from 0.000% to 0.375% (0.125% at December 25, 2021) or at the LIBOR (0.101% at December 25, 2021) plus an additional amount ranging from 0.875% to 1.375% per annum </w:t>
      </w:r>
      <w:r>
        <w:rPr>
          <w:rFonts w:eastAsia="Times New Roman"/>
          <w:color w:val="000000"/>
          <w:sz w:val="20"/>
          <w:szCs w:val="20"/>
        </w:rPr>
        <w:t xml:space="preserve">(1.125% at December 25, 2021), adjusted based on the Company's public credit ratings. The Company is also required to pay, quarterly in arrears, a commitment fee related to unused capacity on the Revolver ranging from 0.090% to 0.200% per annum (0.125% at </w:t>
      </w:r>
      <w:r>
        <w:rPr>
          <w:rFonts w:eastAsia="Times New Roman"/>
          <w:color w:val="000000"/>
          <w:sz w:val="20"/>
          <w:szCs w:val="20"/>
        </w:rPr>
        <w:t xml:space="preserve">December 25, 2021), adjusted based on the Company's public credit ratings.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On February 19, 2016, the Company entered into a $200 million term loan agreement (the “February 2016 Term Loan”). This agreement was repaid in full on November 4, 2020 and is no</w:t>
      </w:r>
      <w:r>
        <w:rPr>
          <w:rFonts w:eastAsia="Times New Roman"/>
          <w:color w:val="000000"/>
          <w:sz w:val="20"/>
          <w:szCs w:val="20"/>
          <w:shd w:val="clear" w:color="auto" w:fill="FFFFFF"/>
        </w:rPr>
        <w:t xml:space="preserve"> longer in effect. </w:t>
      </w:r>
    </w:p>
    <w:p w:rsidR="00000000" w:rsidRDefault="001F39D7">
      <w:pPr>
        <w:jc w:val="center"/>
        <w:divId w:val="604072541"/>
        <w:rPr>
          <w:rFonts w:eastAsia="Times New Roman"/>
        </w:rPr>
      </w:pPr>
      <w:r>
        <w:rPr>
          <w:rFonts w:eastAsia="Times New Roman"/>
          <w:color w:val="000000"/>
          <w:sz w:val="20"/>
          <w:szCs w:val="20"/>
        </w:rPr>
        <w:t>67</w:t>
      </w:r>
    </w:p>
    <w:p w:rsidR="00000000" w:rsidRDefault="001F39D7">
      <w:pPr>
        <w:rPr>
          <w:rFonts w:eastAsia="Times New Roman"/>
        </w:rPr>
      </w:pPr>
      <w:r>
        <w:rPr>
          <w:rFonts w:eastAsia="Times New Roman"/>
        </w:rPr>
        <w:pict>
          <v:rect id="_x0000_i1096" style="width:0;height:1.5pt" o:hralign="center" o:hrstd="t" o:hr="t" fillcolor="#a0a0a0" stroked="f"/>
        </w:pict>
      </w:r>
    </w:p>
    <w:p w:rsidR="00000000" w:rsidRDefault="001F39D7">
      <w:pPr>
        <w:divId w:val="360787051"/>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On June 15, 2017, the Company entered into a $100 million incremental term loan agreement (the “June 2017 Term Loan”). This agreem</w:t>
      </w:r>
      <w:r>
        <w:rPr>
          <w:rFonts w:eastAsia="Times New Roman"/>
          <w:color w:val="000000"/>
          <w:sz w:val="20"/>
          <w:szCs w:val="20"/>
          <w:shd w:val="clear" w:color="auto" w:fill="FFFFFF"/>
        </w:rPr>
        <w:t xml:space="preserve">ent was repaid in full on November 4, 2020 and is no longer in effect.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 xml:space="preserve">On March 12, 2020, the Company entered into a $200 million incremental term loan agreement (the “March 2020 Term Loan”). This agreement was repaid in full on November 4, 2020 and is </w:t>
      </w:r>
      <w:r>
        <w:rPr>
          <w:rFonts w:eastAsia="Times New Roman"/>
          <w:color w:val="000000"/>
          <w:sz w:val="20"/>
          <w:szCs w:val="20"/>
          <w:shd w:val="clear" w:color="auto" w:fill="FFFFFF"/>
        </w:rPr>
        <w:t xml:space="preserve">no longer in effect.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On April 22, 2020, the Company entered into a $350 million incremental term loan agreement (the "April 2020 Term Loan"). This agreement was repaid in full on October 30, 2020 and is no longer in effect.</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Covenants and Default Provi</w:t>
      </w:r>
      <w:r>
        <w:rPr>
          <w:rFonts w:eastAsia="Times New Roman"/>
          <w:i/>
          <w:iCs/>
          <w:color w:val="000000"/>
          <w:sz w:val="20"/>
          <w:szCs w:val="20"/>
        </w:rPr>
        <w:t>sions of the Debt Agreements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Senior Credit Facility and the Note Purchase Agreement (collectively, the “Debt Agreements”) require quarterly compliance with respect to two material covenants: a fixed charge coverage ratio and a leverage ratio.  Both r</w:t>
      </w:r>
      <w:r>
        <w:rPr>
          <w:rFonts w:eastAsia="Times New Roman"/>
          <w:color w:val="000000"/>
          <w:sz w:val="20"/>
          <w:szCs w:val="20"/>
        </w:rPr>
        <w:t>atios are calculated on a trailing twelve-month basis at the end of each fiscal quarter. The fixed charge coverage ratio compares earnings before interest, taxes, depreciation, amortization, share-based compensation and rent expense (“consolidated EBITDAR”</w:t>
      </w:r>
      <w:r>
        <w:rPr>
          <w:rFonts w:eastAsia="Times New Roman"/>
          <w:color w:val="000000"/>
          <w:sz w:val="20"/>
          <w:szCs w:val="20"/>
        </w:rPr>
        <w:t>) to the sum of interest paid and rental expense (excluding any straight-line rent adjustments).  The fixed charge coverage ratio shall be greater than or equal to 2.0 to 1.0 as of the last day of each fiscal quarter. The leverage ratio compares total fund</w:t>
      </w:r>
      <w:r>
        <w:rPr>
          <w:rFonts w:eastAsia="Times New Roman"/>
          <w:color w:val="000000"/>
          <w:sz w:val="20"/>
          <w:szCs w:val="20"/>
        </w:rPr>
        <w:t>ed debt to consolidated EBITDAR.  The leverage ratio shall be less than or equal to 4.0 to 1.0 as of the last day of each fiscal quarter. The Debt Agreements also contain certain other restrictions regarding additional subsidiary indebtedness, business ope</w:t>
      </w:r>
      <w:r>
        <w:rPr>
          <w:rFonts w:eastAsia="Times New Roman"/>
          <w:color w:val="000000"/>
          <w:sz w:val="20"/>
          <w:szCs w:val="20"/>
        </w:rPr>
        <w:t>rations, subsidiary guarantees, mergers, consolidations and sales of assets, transactions with subsidiaries or affiliates, and liens.  As of December 25, 2021, the Company was in compliance with all debt covenants.</w:t>
      </w:r>
    </w:p>
    <w:p w:rsidR="00000000" w:rsidRDefault="001F39D7">
      <w:pPr>
        <w:divId w:val="1585914735"/>
        <w:rPr>
          <w:rFonts w:eastAsia="Times New Roman"/>
        </w:rPr>
      </w:pPr>
    </w:p>
    <w:p w:rsidR="00000000" w:rsidRDefault="001F39D7">
      <w:pPr>
        <w:jc w:val="both"/>
        <w:rPr>
          <w:rFonts w:eastAsia="Times New Roman"/>
        </w:rPr>
      </w:pPr>
      <w:r>
        <w:rPr>
          <w:rFonts w:eastAsia="Times New Roman"/>
          <w:color w:val="000000"/>
          <w:sz w:val="20"/>
          <w:szCs w:val="20"/>
        </w:rPr>
        <w:t>The Debt Agreements contain customary e</w:t>
      </w:r>
      <w:r>
        <w:rPr>
          <w:rFonts w:eastAsia="Times New Roman"/>
          <w:color w:val="000000"/>
          <w:sz w:val="20"/>
          <w:szCs w:val="20"/>
        </w:rPr>
        <w:t>vents of default, including payment defaults, breaches of representations and warranties, covenant defaults, cross-defaults to other material indebtedness, certain events of bankruptcy and insolvency, material judgments, certain ERISA events and invalidity</w:t>
      </w:r>
      <w:r>
        <w:rPr>
          <w:rFonts w:eastAsia="Times New Roman"/>
          <w:color w:val="000000"/>
          <w:sz w:val="20"/>
          <w:szCs w:val="20"/>
        </w:rPr>
        <w:t xml:space="preserve"> of loan documents. Upon certain changes of control, payment under the Debt Agreements could become due and payable. In addition, under the Note Purchase Agreement, upon an event of default or change of control, the make whole payment described above may b</w:t>
      </w:r>
      <w:r>
        <w:rPr>
          <w:rFonts w:eastAsia="Times New Roman"/>
          <w:color w:val="000000"/>
          <w:sz w:val="20"/>
          <w:szCs w:val="20"/>
        </w:rPr>
        <w:t xml:space="preserve">ecome due and payable.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Note Purchase Agreement also requires that, in the event the Company amends its Senior Credit Facility, or any subsequent credit facility of $100 million or greater, such that it contains covenant or default provisions that ar</w:t>
      </w:r>
      <w:r>
        <w:rPr>
          <w:rFonts w:eastAsia="Times New Roman"/>
          <w:color w:val="000000"/>
          <w:sz w:val="20"/>
          <w:szCs w:val="20"/>
        </w:rPr>
        <w:t>e not provided in the Note Purchase Agreement or that are similar to those contained in the Note Purchase Agreement but which contain percentages, amounts, formulas or grace periods that are more restrictive than those set forth in the Note Purchase Agreem</w:t>
      </w:r>
      <w:r>
        <w:rPr>
          <w:rFonts w:eastAsia="Times New Roman"/>
          <w:color w:val="000000"/>
          <w:sz w:val="20"/>
          <w:szCs w:val="20"/>
        </w:rPr>
        <w:t>ent or are otherwise more beneficial to the lenders thereunder, the Note Purchase Agreement shall be automatically amended to include such additional or amended covenants and/or default provisions.</w:t>
      </w:r>
    </w:p>
    <w:p w:rsidR="00000000" w:rsidRDefault="001F39D7">
      <w:pPr>
        <w:divId w:val="1938906120"/>
        <w:rPr>
          <w:rFonts w:eastAsia="Times New Roman"/>
        </w:rPr>
      </w:pPr>
    </w:p>
    <w:p w:rsidR="00000000" w:rsidRDefault="001F39D7">
      <w:pPr>
        <w:jc w:val="both"/>
        <w:rPr>
          <w:rFonts w:eastAsia="Times New Roman"/>
        </w:rPr>
      </w:pPr>
      <w:r>
        <w:rPr>
          <w:rFonts w:eastAsia="Times New Roman"/>
          <w:b/>
          <w:bCs/>
          <w:color w:val="000000"/>
          <w:sz w:val="20"/>
          <w:szCs w:val="20"/>
        </w:rPr>
        <w:t>Note 5 – Leases: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leases the majority of it</w:t>
      </w:r>
      <w:r>
        <w:rPr>
          <w:rFonts w:eastAsia="Times New Roman"/>
          <w:color w:val="000000"/>
          <w:sz w:val="20"/>
          <w:szCs w:val="20"/>
        </w:rPr>
        <w:t xml:space="preserve">s retail store locations, two distribution sites, its Merchandise Innovation Center, and certain equipment under various non-cancellable operating leases. The leases have varying terms and expire at various dates through 2042.  Store leases typically have </w:t>
      </w:r>
      <w:r>
        <w:rPr>
          <w:rFonts w:eastAsia="Times New Roman"/>
          <w:color w:val="000000"/>
          <w:sz w:val="20"/>
          <w:szCs w:val="20"/>
        </w:rPr>
        <w:t>initial terms of between 10 years and 15 years, with</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optional renewal periods of</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years each.  The exercise of lease renewal options is at our sole discretion. The Company has included lease renewal options in the lease term for calculation</w:t>
      </w:r>
      <w:r>
        <w:rPr>
          <w:rFonts w:eastAsia="Times New Roman"/>
          <w:color w:val="000000"/>
          <w:sz w:val="20"/>
          <w:szCs w:val="20"/>
        </w:rPr>
        <w:t>s of its right-of-use assets and liabilities when it is reasonably certain that the Company plans to renew these leases. Our lease agreements do not contain any material residual value guarantees or material restrictive covenants.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accounts fo</w:t>
      </w:r>
      <w:r>
        <w:rPr>
          <w:rFonts w:eastAsia="Times New Roman"/>
          <w:color w:val="000000"/>
          <w:sz w:val="20"/>
          <w:szCs w:val="20"/>
        </w:rPr>
        <w:t>r lease components (e.g., fixed payments including rent, real estate taxes, and insurance costs) together with non-lease components (e.g., fixed payment common-area maintenance) as a single component for all classes of underlying assets. Certain lease agre</w:t>
      </w:r>
      <w:r>
        <w:rPr>
          <w:rFonts w:eastAsia="Times New Roman"/>
          <w:color w:val="000000"/>
          <w:sz w:val="20"/>
          <w:szCs w:val="20"/>
        </w:rPr>
        <w:t>ements require variable payments based upon actual costs of common-area maintenance, real estate taxes, and insurance. Further, certain lease agreements require variable payments based upon store sales above agreed-upon sales levels for the year and others</w:t>
      </w:r>
      <w:r>
        <w:rPr>
          <w:rFonts w:eastAsia="Times New Roman"/>
          <w:color w:val="000000"/>
          <w:sz w:val="20"/>
          <w:szCs w:val="20"/>
        </w:rPr>
        <w:t xml:space="preserve"> require payments adjusted periodically for inflation. As substantially all of our leases do not provide an implicit rate, we estimate our collateralized incremental borrowing rate based upon a Company specific credit rating and yield curve analysis at com</w:t>
      </w:r>
      <w:r>
        <w:rPr>
          <w:rFonts w:eastAsia="Times New Roman"/>
          <w:color w:val="000000"/>
          <w:sz w:val="20"/>
          <w:szCs w:val="20"/>
        </w:rPr>
        <w:t>mencement or modification date in determining the present value of lease payments.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has elected not to recognize leases with an original term of one year or less on the balance sheet. Short-term lease cost during the periods presented was immaterial.</w:t>
      </w:r>
    </w:p>
    <w:p w:rsidR="00000000" w:rsidRDefault="001F39D7">
      <w:pPr>
        <w:jc w:val="both"/>
        <w:rPr>
          <w:rFonts w:eastAsia="Times New Roman"/>
        </w:rPr>
      </w:pPr>
    </w:p>
    <w:p w:rsidR="00000000" w:rsidRDefault="001F39D7">
      <w:pPr>
        <w:jc w:val="center"/>
        <w:divId w:val="1082218923"/>
        <w:rPr>
          <w:rFonts w:eastAsia="Times New Roman"/>
        </w:rPr>
      </w:pPr>
      <w:r>
        <w:rPr>
          <w:rFonts w:eastAsia="Times New Roman"/>
          <w:color w:val="000000"/>
          <w:sz w:val="20"/>
          <w:szCs w:val="20"/>
        </w:rPr>
        <w:t>68</w:t>
      </w:r>
    </w:p>
    <w:p w:rsidR="00000000" w:rsidRDefault="001F39D7">
      <w:pPr>
        <w:rPr>
          <w:rFonts w:eastAsia="Times New Roman"/>
        </w:rPr>
      </w:pPr>
      <w:r>
        <w:rPr>
          <w:rFonts w:eastAsia="Times New Roman"/>
        </w:rPr>
        <w:pict>
          <v:rect id="_x0000_i1097" style="width:0;height:1.5pt" o:hralign="center" o:hrstd="t" o:hr="t" fillcolor="#a0a0a0" stroked="f"/>
        </w:pict>
      </w:r>
    </w:p>
    <w:p w:rsidR="00000000" w:rsidRDefault="001F39D7">
      <w:pPr>
        <w:divId w:val="441270425"/>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In addition to the operating lease right-of-use assets presented on the Consolidated Balance Sheets, assets, net of accumulated amortization, under finance leases of $32.0 million and $33.5 million are recorded within the Proper</w:t>
      </w:r>
      <w:r>
        <w:rPr>
          <w:rFonts w:eastAsia="Times New Roman"/>
          <w:color w:val="000000"/>
          <w:sz w:val="20"/>
          <w:szCs w:val="20"/>
        </w:rPr>
        <w:t xml:space="preserve">ty and equipment, net line on the Consolidated Balance Sheets as of December 25, 2021 and December 26, 2020, respectively.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table summarizes the Company’s classification of lease cost (in thousands):</w:t>
      </w:r>
    </w:p>
    <w:tbl>
      <w:tblPr>
        <w:tblW w:w="5000" w:type="pct"/>
        <w:tblCellMar>
          <w:top w:w="15" w:type="dxa"/>
          <w:left w:w="15" w:type="dxa"/>
          <w:bottom w:w="15" w:type="dxa"/>
          <w:right w:w="15" w:type="dxa"/>
        </w:tblCellMar>
        <w:tblLook w:val="04A0" w:firstRow="1" w:lastRow="0" w:firstColumn="1" w:lastColumn="0" w:noHBand="0" w:noVBand="1"/>
      </w:tblPr>
      <w:tblGrid>
        <w:gridCol w:w="50"/>
        <w:gridCol w:w="1951"/>
        <w:gridCol w:w="37"/>
        <w:gridCol w:w="36"/>
        <w:gridCol w:w="36"/>
        <w:gridCol w:w="36"/>
        <w:gridCol w:w="39"/>
        <w:gridCol w:w="3231"/>
        <w:gridCol w:w="38"/>
        <w:gridCol w:w="36"/>
        <w:gridCol w:w="36"/>
        <w:gridCol w:w="36"/>
        <w:gridCol w:w="121"/>
        <w:gridCol w:w="1160"/>
        <w:gridCol w:w="36"/>
        <w:gridCol w:w="36"/>
        <w:gridCol w:w="36"/>
        <w:gridCol w:w="36"/>
        <w:gridCol w:w="121"/>
        <w:gridCol w:w="1162"/>
        <w:gridCol w:w="36"/>
      </w:tblGrid>
      <w:tr w:rsidR="00000000">
        <w:tc>
          <w:tcPr>
            <w:tcW w:w="50" w:type="pct"/>
            <w:vAlign w:val="center"/>
            <w:hideMark/>
          </w:tcPr>
          <w:p w:rsidR="00000000" w:rsidRDefault="001F39D7">
            <w:pPr>
              <w:jc w:val="both"/>
              <w:rPr>
                <w:rFonts w:eastAsia="Times New Roman"/>
              </w:rPr>
            </w:pPr>
          </w:p>
        </w:tc>
        <w:tc>
          <w:tcPr>
            <w:tcW w:w="120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98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 Ended</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Statement of Income Location</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 2020</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Amortization of lease assets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Depreciation and amortization</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5,085 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4,765 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Interest on lease liabilities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1,740 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1,765 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Operating lease cost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Selling, general and administrative expenses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400,908 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379,318 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1F39D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79,479 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80,154 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lease cost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487,212 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466,002 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table summarizes the future maturities of the Company’s lease liabilities (in thousands):</w:t>
      </w:r>
    </w:p>
    <w:p w:rsidR="00000000" w:rsidRDefault="001F39D7">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5114"/>
        <w:gridCol w:w="37"/>
        <w:gridCol w:w="36"/>
        <w:gridCol w:w="36"/>
        <w:gridCol w:w="36"/>
        <w:gridCol w:w="120"/>
        <w:gridCol w:w="850"/>
        <w:gridCol w:w="36"/>
        <w:gridCol w:w="36"/>
        <w:gridCol w:w="36"/>
        <w:gridCol w:w="36"/>
        <w:gridCol w:w="120"/>
        <w:gridCol w:w="600"/>
        <w:gridCol w:w="36"/>
        <w:gridCol w:w="36"/>
        <w:gridCol w:w="36"/>
        <w:gridCol w:w="36"/>
        <w:gridCol w:w="120"/>
        <w:gridCol w:w="850"/>
        <w:gridCol w:w="36"/>
      </w:tblGrid>
      <w:tr w:rsidR="00000000">
        <w:tc>
          <w:tcPr>
            <w:tcW w:w="50" w:type="pct"/>
            <w:vAlign w:val="center"/>
            <w:hideMark/>
          </w:tcPr>
          <w:p w:rsidR="00000000" w:rsidRDefault="001F39D7">
            <w:pPr>
              <w:jc w:val="both"/>
              <w:rPr>
                <w:rFonts w:eastAsia="Times New Roman"/>
              </w:rPr>
            </w:pPr>
          </w:p>
        </w:tc>
        <w:tc>
          <w:tcPr>
            <w:tcW w:w="320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8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Operating Leases</w:t>
            </w:r>
            <w:r>
              <w:rPr>
                <w:rFonts w:eastAsia="Times New Roman"/>
                <w:b/>
                <w:bCs/>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418,059 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423,601 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406,847 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4,382 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411,229 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383,843</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4,397</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388,240</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360,302</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4,324</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364,627</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326,304</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4,294</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330,599</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After 2026</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1,540,093</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23,281</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1,563,375</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3,435,449</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46,220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3,481,669</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Less: Interest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(539,283)</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(9,475)</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(548,758)</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2,896,167 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36,745 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2,932,912 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ind w:hanging="270"/>
        <w:divId w:val="786436010"/>
        <w:rPr>
          <w:rFonts w:eastAsia="Times New Roman"/>
        </w:rPr>
      </w:pPr>
    </w:p>
    <w:p w:rsidR="00000000" w:rsidRDefault="001F39D7">
      <w:pPr>
        <w:ind w:hanging="270"/>
        <w:divId w:val="2109618449"/>
        <w:rPr>
          <w:rFonts w:eastAsia="Times New Roman"/>
        </w:rPr>
      </w:pPr>
      <w:r>
        <w:rPr>
          <w:rFonts w:eastAsia="Times New Roman"/>
          <w:color w:val="000000"/>
          <w:sz w:val="16"/>
          <w:szCs w:val="16"/>
        </w:rPr>
        <w:t>(a) Operating lease payments exclude $239.2 million of legally binding minimum lease payments for leases signed, but not yet commenced.</w:t>
      </w:r>
    </w:p>
    <w:p w:rsidR="00000000" w:rsidRDefault="001F39D7">
      <w:pPr>
        <w:ind w:hanging="270"/>
        <w:divId w:val="1340504240"/>
        <w:rPr>
          <w:rFonts w:eastAsia="Times New Roman"/>
        </w:rPr>
      </w:pPr>
    </w:p>
    <w:p w:rsidR="00000000" w:rsidRDefault="001F39D7">
      <w:pPr>
        <w:ind w:hanging="270"/>
        <w:jc w:val="both"/>
        <w:rPr>
          <w:rFonts w:eastAsia="Times New Roman"/>
        </w:rPr>
      </w:pPr>
      <w:r>
        <w:rPr>
          <w:rFonts w:eastAsia="Times New Roman"/>
          <w:color w:val="000000"/>
          <w:sz w:val="20"/>
          <w:szCs w:val="20"/>
        </w:rPr>
        <w:t>The following table summarizes the Company’s lease term and discount rate:</w:t>
      </w:r>
    </w:p>
    <w:tbl>
      <w:tblPr>
        <w:tblW w:w="4970" w:type="pct"/>
        <w:tblCellMar>
          <w:top w:w="15" w:type="dxa"/>
          <w:left w:w="15" w:type="dxa"/>
          <w:bottom w:w="15" w:type="dxa"/>
          <w:right w:w="15" w:type="dxa"/>
        </w:tblCellMar>
        <w:tblLook w:val="04A0" w:firstRow="1" w:lastRow="0" w:firstColumn="1" w:lastColumn="0" w:noHBand="0" w:noVBand="1"/>
      </w:tblPr>
      <w:tblGrid>
        <w:gridCol w:w="38"/>
        <w:gridCol w:w="5319"/>
        <w:gridCol w:w="37"/>
        <w:gridCol w:w="36"/>
        <w:gridCol w:w="36"/>
        <w:gridCol w:w="36"/>
        <w:gridCol w:w="57"/>
        <w:gridCol w:w="1079"/>
        <w:gridCol w:w="187"/>
        <w:gridCol w:w="36"/>
        <w:gridCol w:w="36"/>
        <w:gridCol w:w="36"/>
        <w:gridCol w:w="57"/>
        <w:gridCol w:w="1079"/>
        <w:gridCol w:w="187"/>
      </w:tblGrid>
      <w:tr w:rsidR="00000000">
        <w:tc>
          <w:tcPr>
            <w:tcW w:w="50" w:type="pct"/>
            <w:vAlign w:val="center"/>
            <w:hideMark/>
          </w:tcPr>
          <w:p w:rsidR="00000000" w:rsidRDefault="001F39D7">
            <w:pPr>
              <w:ind w:hanging="270"/>
              <w:jc w:val="both"/>
              <w:rPr>
                <w:rFonts w:eastAsia="Times New Roman"/>
              </w:rPr>
            </w:pPr>
          </w:p>
        </w:tc>
        <w:tc>
          <w:tcPr>
            <w:tcW w:w="326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 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Weighted-average remaining lease term (years):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10.4</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9.1</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Weighted-average discount rate:</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3.6 </w:t>
            </w:r>
          </w:p>
        </w:tc>
        <w:tc>
          <w:tcPr>
            <w:tcW w:w="0" w:type="auto"/>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4.1 </w:t>
            </w:r>
          </w:p>
        </w:tc>
        <w:tc>
          <w:tcPr>
            <w:tcW w:w="0" w:type="auto"/>
            <w:tcMar>
              <w:top w:w="30" w:type="dxa"/>
              <w:left w:w="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t>
            </w: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following table summarizes the other information related to the Company’s lease liabilities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404"/>
        <w:gridCol w:w="36"/>
        <w:gridCol w:w="36"/>
        <w:gridCol w:w="36"/>
        <w:gridCol w:w="36"/>
        <w:gridCol w:w="121"/>
        <w:gridCol w:w="1148"/>
        <w:gridCol w:w="36"/>
        <w:gridCol w:w="36"/>
        <w:gridCol w:w="36"/>
        <w:gridCol w:w="36"/>
        <w:gridCol w:w="121"/>
        <w:gridCol w:w="1150"/>
        <w:gridCol w:w="36"/>
      </w:tblGrid>
      <w:tr w:rsidR="00000000">
        <w:tc>
          <w:tcPr>
            <w:tcW w:w="50" w:type="pct"/>
            <w:vAlign w:val="center"/>
            <w:hideMark/>
          </w:tcPr>
          <w:p w:rsidR="00000000" w:rsidRDefault="001F39D7">
            <w:pPr>
              <w:jc w:val="both"/>
              <w:rPr>
                <w:rFonts w:eastAsia="Times New Roman"/>
              </w:rPr>
            </w:pPr>
          </w:p>
        </w:tc>
        <w:tc>
          <w:tcPr>
            <w:tcW w:w="327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 Ended</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 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Financing cash flows used for finance leases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4,580 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4,170 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cash flows used for finance leases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1,740 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1,765 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cash flows for operating leases</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404,864 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385,529 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center"/>
        <w:divId w:val="237444755"/>
        <w:rPr>
          <w:rFonts w:eastAsia="Times New Roman"/>
        </w:rPr>
      </w:pPr>
      <w:r>
        <w:rPr>
          <w:rFonts w:eastAsia="Times New Roman"/>
          <w:color w:val="000000"/>
          <w:sz w:val="20"/>
          <w:szCs w:val="20"/>
        </w:rPr>
        <w:t>69</w:t>
      </w:r>
    </w:p>
    <w:p w:rsidR="00000000" w:rsidRDefault="001F39D7">
      <w:pPr>
        <w:rPr>
          <w:rFonts w:eastAsia="Times New Roman"/>
        </w:rPr>
      </w:pPr>
      <w:r>
        <w:rPr>
          <w:rFonts w:eastAsia="Times New Roman"/>
        </w:rPr>
        <w:pict>
          <v:rect id="_x0000_i1098" style="width:0;height:1.5pt" o:hralign="center" o:hrstd="t" o:hr="t" fillcolor="#a0a0a0" stroked="f"/>
        </w:pict>
      </w:r>
    </w:p>
    <w:p w:rsidR="00000000" w:rsidRDefault="001F39D7">
      <w:pPr>
        <w:divId w:val="169757946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rPr>
        <w:t>Note 6 – Capital Stock and Dividends: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u w:val="single"/>
        </w:rPr>
        <w:t>Capital Stock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authorized capital stock of the Company consists of common stock and preferred stock. The Compan</w:t>
      </w:r>
      <w:r>
        <w:rPr>
          <w:rFonts w:eastAsia="Times New Roman"/>
          <w:color w:val="000000"/>
          <w:sz w:val="20"/>
          <w:szCs w:val="20"/>
        </w:rPr>
        <w:t>y is authorized to issue 400 million shares of common stock. The Company is also authorized to issue 40 thousand shares of preferred stock, with such designations, rights and preferences as may be determined from time to time by the Company’s Board of Dire</w:t>
      </w:r>
      <w:r>
        <w:rPr>
          <w:rFonts w:eastAsia="Times New Roman"/>
          <w:color w:val="000000"/>
          <w:sz w:val="20"/>
          <w:szCs w:val="20"/>
        </w:rPr>
        <w:t>ctors.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u w:val="single"/>
        </w:rPr>
        <w:t>Dividends</w:t>
      </w:r>
    </w:p>
    <w:p w:rsidR="00000000" w:rsidRDefault="001F39D7">
      <w:pPr>
        <w:jc w:val="both"/>
        <w:rPr>
          <w:rFonts w:eastAsia="Times New Roman"/>
        </w:rPr>
      </w:pPr>
    </w:p>
    <w:p w:rsidR="00000000" w:rsidRDefault="001F39D7">
      <w:pPr>
        <w:divId w:val="1234974534"/>
        <w:rPr>
          <w:rFonts w:eastAsia="Times New Roman"/>
        </w:rPr>
      </w:pPr>
      <w:r>
        <w:rPr>
          <w:rFonts w:eastAsia="Times New Roman"/>
          <w:color w:val="000000"/>
          <w:sz w:val="20"/>
          <w:szCs w:val="20"/>
        </w:rPr>
        <w:t>During fiscal 2021 and 2020, the Company’s Board of Directors declared the following cash dividends:</w:t>
      </w:r>
    </w:p>
    <w:tbl>
      <w:tblPr>
        <w:tblW w:w="5000" w:type="pct"/>
        <w:tblCellMar>
          <w:top w:w="15" w:type="dxa"/>
          <w:left w:w="15" w:type="dxa"/>
          <w:bottom w:w="15" w:type="dxa"/>
          <w:right w:w="15" w:type="dxa"/>
        </w:tblCellMar>
        <w:tblLook w:val="04A0" w:firstRow="1" w:lastRow="0" w:firstColumn="1" w:lastColumn="0" w:noHBand="0" w:noVBand="1"/>
      </w:tblPr>
      <w:tblGrid>
        <w:gridCol w:w="57"/>
        <w:gridCol w:w="2252"/>
        <w:gridCol w:w="37"/>
        <w:gridCol w:w="36"/>
        <w:gridCol w:w="36"/>
        <w:gridCol w:w="36"/>
        <w:gridCol w:w="48"/>
        <w:gridCol w:w="1319"/>
        <w:gridCol w:w="36"/>
        <w:gridCol w:w="36"/>
        <w:gridCol w:w="36"/>
        <w:gridCol w:w="36"/>
        <w:gridCol w:w="40"/>
        <w:gridCol w:w="2106"/>
        <w:gridCol w:w="37"/>
        <w:gridCol w:w="36"/>
        <w:gridCol w:w="36"/>
        <w:gridCol w:w="36"/>
        <w:gridCol w:w="40"/>
        <w:gridCol w:w="1973"/>
        <w:gridCol w:w="37"/>
      </w:tblGrid>
      <w:tr w:rsidR="00000000">
        <w:trPr>
          <w:divId w:val="1234974534"/>
        </w:trPr>
        <w:tc>
          <w:tcPr>
            <w:tcW w:w="50" w:type="pct"/>
            <w:vAlign w:val="center"/>
            <w:hideMark/>
          </w:tcPr>
          <w:p w:rsidR="00000000" w:rsidRDefault="001F39D7">
            <w:pPr>
              <w:rPr>
                <w:rFonts w:eastAsia="Times New Roman"/>
              </w:rPr>
            </w:pPr>
          </w:p>
        </w:tc>
        <w:tc>
          <w:tcPr>
            <w:tcW w:w="137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81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28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202"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234974534"/>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Date Paid</w:t>
            </w:r>
          </w:p>
        </w:tc>
      </w:tr>
      <w:tr w:rsidR="00000000">
        <w:trPr>
          <w:divId w:val="123497453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November 3,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$0.52</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November 22,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December 8, 2021</w:t>
            </w:r>
          </w:p>
        </w:tc>
      </w:tr>
      <w:tr w:rsidR="00000000">
        <w:trPr>
          <w:divId w:val="1234974534"/>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August 4,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$0.52</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August 23,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September 8, 2021</w:t>
            </w:r>
          </w:p>
        </w:tc>
      </w:tr>
      <w:tr w:rsidR="00000000">
        <w:trPr>
          <w:divId w:val="1234974534"/>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May 5,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$0.52</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May 24, 2021</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June 8, 2021</w:t>
            </w:r>
          </w:p>
        </w:tc>
      </w:tr>
      <w:tr w:rsidR="00000000">
        <w:trPr>
          <w:divId w:val="1234974534"/>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January 27,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$0.52</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February 22,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March 9, 2021</w:t>
            </w:r>
          </w:p>
        </w:tc>
      </w:tr>
      <w:tr w:rsidR="00000000">
        <w:trPr>
          <w:divId w:val="1234974534"/>
          <w:trHeight w:val="30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234974534"/>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November 4, 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$0.40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November 23, 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December 8, 2020</w:t>
            </w:r>
          </w:p>
        </w:tc>
      </w:tr>
      <w:tr w:rsidR="00000000">
        <w:trPr>
          <w:divId w:val="1234974534"/>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August 5, 2020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$0.40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August 24, 2020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September 9, 2020</w:t>
            </w:r>
          </w:p>
        </w:tc>
      </w:tr>
      <w:tr w:rsidR="00000000">
        <w:trPr>
          <w:divId w:val="1234974534"/>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May 6, 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$0.35</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June 9, 2020</w:t>
            </w:r>
          </w:p>
        </w:tc>
      </w:tr>
      <w:tr w:rsidR="00000000">
        <w:trPr>
          <w:divId w:val="1234974534"/>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February 5, 2020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$0.35</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February 24, 2020</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color w:val="000000"/>
                <w:sz w:val="20"/>
                <w:szCs w:val="20"/>
              </w:rPr>
              <w:t>March 10, 2020</w:t>
            </w: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amount of future dividends will be determined by the Company’s Board of Directors in its sole discretion and will depend upon the earnings, financial co</w:t>
      </w:r>
      <w:r>
        <w:rPr>
          <w:rFonts w:eastAsia="Times New Roman"/>
          <w:color w:val="000000"/>
          <w:sz w:val="20"/>
          <w:szCs w:val="20"/>
        </w:rPr>
        <w:t>ndition, and capital needs of the Company, along with any other factors which the Company’s Board of Directors deem relevant.</w:t>
      </w:r>
    </w:p>
    <w:p w:rsidR="00000000" w:rsidRDefault="001F39D7">
      <w:pPr>
        <w:divId w:val="418330067"/>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On January 26, 2022, the Company’s Board of Directors declared a quarterly cash dividend of $0.92 per share of the Company’s out</w:t>
      </w:r>
      <w:r>
        <w:rPr>
          <w:rFonts w:eastAsia="Times New Roman"/>
          <w:color w:val="000000"/>
          <w:sz w:val="20"/>
          <w:szCs w:val="20"/>
          <w:shd w:val="clear" w:color="auto" w:fill="FFFFFF"/>
        </w:rPr>
        <w:t xml:space="preserve">standing common stock.  The dividend will be paid on March 8, 2022, to stockholders of record as of the close of business on February 21, 2022. </w:t>
      </w:r>
    </w:p>
    <w:p w:rsidR="00000000" w:rsidRDefault="001F39D7">
      <w:pPr>
        <w:divId w:val="2100910242"/>
        <w:rPr>
          <w:rFonts w:eastAsia="Times New Roman"/>
        </w:rPr>
      </w:pPr>
    </w:p>
    <w:p w:rsidR="00000000" w:rsidRDefault="001F39D7">
      <w:pPr>
        <w:jc w:val="both"/>
        <w:rPr>
          <w:rFonts w:eastAsia="Times New Roman"/>
        </w:rPr>
      </w:pPr>
      <w:r>
        <w:rPr>
          <w:rFonts w:eastAsia="Times New Roman"/>
          <w:b/>
          <w:bCs/>
          <w:color w:val="000000"/>
          <w:sz w:val="20"/>
          <w:szCs w:val="20"/>
        </w:rPr>
        <w:t>Note 7 – Treasury Stock: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which was announced in February 2007. As of December 25, 2021, the authorization amount of the program, which has been increased from time to time, was authorized</w:t>
      </w:r>
      <w:r>
        <w:rPr>
          <w:rFonts w:eastAsia="Times New Roman"/>
          <w:color w:val="000000"/>
          <w:sz w:val="20"/>
          <w:szCs w:val="20"/>
        </w:rPr>
        <w:t xml:space="preserve"> for up to $4.5 billion, exclusive of any fees, commissions or other expenses related to such repurchases. The total authorized amount was increased by the Company's Board of Directors on January 26, 2022 by $2.0 billion for a total authorization of $6.5 b</w:t>
      </w:r>
      <w:r>
        <w:rPr>
          <w:rFonts w:eastAsia="Times New Roman"/>
          <w:color w:val="000000"/>
          <w:sz w:val="20"/>
          <w:szCs w:val="20"/>
        </w:rPr>
        <w:t>illion. The share repurchase program does not have an expiration date. The repurchases may be made from time to time on the open market or in privately negotiated transactions. The timing and amount of any shares repurchased under the program will depend o</w:t>
      </w:r>
      <w:r>
        <w:rPr>
          <w:rFonts w:eastAsia="Times New Roman"/>
          <w:color w:val="000000"/>
          <w:sz w:val="20"/>
          <w:szCs w:val="20"/>
        </w:rPr>
        <w:t>n a variety of factors, including price, corporate and regulatory requirements, capital availability and other market conditions. Repurchased shares are accounted for at cost and will be held in treasury for future issuance. The program may be limited, tem</w:t>
      </w:r>
      <w:r>
        <w:rPr>
          <w:rFonts w:eastAsia="Times New Roman"/>
          <w:color w:val="000000"/>
          <w:sz w:val="20"/>
          <w:szCs w:val="20"/>
        </w:rPr>
        <w:t>porarily paused, or terminated at any time without prior notice. As of December 25, 2021, prior to the expanded $2.0 billion repurchase authorization, the Company had remaining authorization under the share repurchase program of $345.0 million, exclusive o</w:t>
      </w:r>
      <w:r>
        <w:rPr>
          <w:rFonts w:eastAsia="Times New Roman"/>
          <w:color w:val="000000"/>
          <w:sz w:val="20"/>
          <w:szCs w:val="20"/>
        </w:rPr>
        <w:t xml:space="preserve">f any fees, commissions or other expenses. </w:t>
      </w:r>
    </w:p>
    <w:p w:rsidR="00000000" w:rsidRDefault="001F39D7">
      <w:pPr>
        <w:jc w:val="both"/>
        <w:rPr>
          <w:rFonts w:eastAsia="Times New Roman"/>
        </w:rPr>
      </w:pPr>
    </w:p>
    <w:p w:rsidR="00000000" w:rsidRDefault="001F39D7">
      <w:pPr>
        <w:jc w:val="center"/>
        <w:divId w:val="1844280764"/>
        <w:rPr>
          <w:rFonts w:eastAsia="Times New Roman"/>
        </w:rPr>
      </w:pPr>
      <w:r>
        <w:rPr>
          <w:rFonts w:eastAsia="Times New Roman"/>
          <w:color w:val="000000"/>
          <w:sz w:val="20"/>
          <w:szCs w:val="20"/>
        </w:rPr>
        <w:t>70</w:t>
      </w:r>
    </w:p>
    <w:p w:rsidR="00000000" w:rsidRDefault="001F39D7">
      <w:pPr>
        <w:rPr>
          <w:rFonts w:eastAsia="Times New Roman"/>
        </w:rPr>
      </w:pPr>
      <w:r>
        <w:rPr>
          <w:rFonts w:eastAsia="Times New Roman"/>
        </w:rPr>
        <w:pict>
          <v:rect id="_x0000_i1099" style="width:0;height:1.5pt" o:hralign="center" o:hrstd="t" o:hr="t" fillcolor="#a0a0a0" stroked="f"/>
        </w:pict>
      </w:r>
    </w:p>
    <w:p w:rsidR="00000000" w:rsidRDefault="001F39D7">
      <w:pPr>
        <w:divId w:val="39408315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The following table provides the number of shares repurchased, average price paid per share, and total amo</w:t>
      </w:r>
      <w:r>
        <w:rPr>
          <w:rFonts w:eastAsia="Times New Roman"/>
          <w:color w:val="000000"/>
          <w:sz w:val="20"/>
          <w:szCs w:val="20"/>
        </w:rPr>
        <w:t>unt paid for share repurchases in fiscal 2021, 2020, and 2019, respectively (in thousands, except per share amounts):  </w:t>
      </w:r>
    </w:p>
    <w:tbl>
      <w:tblPr>
        <w:tblW w:w="4970" w:type="pct"/>
        <w:tblCellMar>
          <w:top w:w="15" w:type="dxa"/>
          <w:left w:w="15" w:type="dxa"/>
          <w:bottom w:w="15" w:type="dxa"/>
          <w:right w:w="15" w:type="dxa"/>
        </w:tblCellMar>
        <w:tblLook w:val="04A0" w:firstRow="1" w:lastRow="0" w:firstColumn="1" w:lastColumn="0" w:noHBand="0" w:noVBand="1"/>
      </w:tblPr>
      <w:tblGrid>
        <w:gridCol w:w="37"/>
        <w:gridCol w:w="4020"/>
        <w:gridCol w:w="36"/>
        <w:gridCol w:w="120"/>
        <w:gridCol w:w="1176"/>
        <w:gridCol w:w="36"/>
        <w:gridCol w:w="36"/>
        <w:gridCol w:w="36"/>
        <w:gridCol w:w="36"/>
        <w:gridCol w:w="120"/>
        <w:gridCol w:w="1127"/>
        <w:gridCol w:w="36"/>
        <w:gridCol w:w="36"/>
        <w:gridCol w:w="36"/>
        <w:gridCol w:w="36"/>
        <w:gridCol w:w="120"/>
        <w:gridCol w:w="1176"/>
        <w:gridCol w:w="36"/>
      </w:tblGrid>
      <w:tr w:rsidR="00000000">
        <w:tc>
          <w:tcPr>
            <w:tcW w:w="50" w:type="pct"/>
            <w:vAlign w:val="center"/>
            <w:hideMark/>
          </w:tcPr>
          <w:p w:rsidR="00000000" w:rsidRDefault="001F39D7">
            <w:pPr>
              <w:jc w:val="both"/>
              <w:rPr>
                <w:rFonts w:eastAsia="Times New Roman"/>
              </w:rPr>
            </w:pPr>
          </w:p>
        </w:tc>
        <w:tc>
          <w:tcPr>
            <w:tcW w:w="247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4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183.07 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99.72 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99.05 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798,893 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342,957 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533,319 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880510688"/>
        <w:rPr>
          <w:rFonts w:eastAsia="Times New Roman"/>
        </w:rPr>
      </w:pPr>
    </w:p>
    <w:p w:rsidR="00000000" w:rsidRDefault="001F39D7">
      <w:pPr>
        <w:jc w:val="both"/>
        <w:rPr>
          <w:rFonts w:eastAsia="Times New Roman"/>
        </w:rPr>
      </w:pPr>
      <w:r>
        <w:rPr>
          <w:rFonts w:eastAsia="Times New Roman"/>
          <w:color w:val="000000"/>
          <w:sz w:val="20"/>
          <w:szCs w:val="20"/>
        </w:rPr>
        <w:t>Shares repurchased in fiscal 2020 were impacted by the temporary suspension of our share repurchase program from March 12, 2020 until November 5, 2020, in order to strengthen our liquidity and preserve cash while navigating the COVID-19 pandemic.</w:t>
      </w:r>
    </w:p>
    <w:p w:rsidR="00000000" w:rsidRDefault="001F39D7">
      <w:pPr>
        <w:jc w:val="both"/>
        <w:rPr>
          <w:rFonts w:eastAsia="Times New Roman"/>
        </w:rPr>
      </w:pPr>
    </w:p>
    <w:p w:rsidR="00000000" w:rsidRDefault="001F39D7">
      <w:pPr>
        <w:divId w:val="1316757649"/>
        <w:rPr>
          <w:rFonts w:eastAsia="Times New Roman"/>
        </w:rPr>
      </w:pPr>
      <w:r>
        <w:rPr>
          <w:rFonts w:eastAsia="Times New Roman"/>
          <w:b/>
          <w:bCs/>
          <w:color w:val="000000"/>
          <w:sz w:val="20"/>
          <w:szCs w:val="20"/>
        </w:rPr>
        <w:t xml:space="preserve">Note 8 </w:t>
      </w:r>
      <w:r>
        <w:rPr>
          <w:rFonts w:eastAsia="Times New Roman"/>
          <w:b/>
          <w:bCs/>
          <w:color w:val="000000"/>
          <w:sz w:val="20"/>
          <w:szCs w:val="20"/>
        </w:rPr>
        <w:t>– Net Income Per Share:</w:t>
      </w:r>
    </w:p>
    <w:p w:rsidR="00000000" w:rsidRDefault="001F39D7">
      <w:pPr>
        <w:divId w:val="1907884251"/>
        <w:rPr>
          <w:rFonts w:eastAsia="Times New Roman"/>
        </w:rPr>
      </w:pPr>
    </w:p>
    <w:p w:rsidR="00000000" w:rsidRDefault="001F39D7">
      <w:pPr>
        <w:divId w:val="1800107483"/>
        <w:rPr>
          <w:rFonts w:eastAsia="Times New Roman"/>
        </w:rPr>
      </w:pPr>
      <w:r>
        <w:rPr>
          <w:rFonts w:eastAsia="Times New Roman"/>
          <w:color w:val="000000"/>
          <w:sz w:val="20"/>
          <w:szCs w:val="20"/>
        </w:rPr>
        <w:t>Net income per share is calculated as follows (in thousands, except per share amounts):</w:t>
      </w: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1800107483"/>
        </w:trPr>
        <w:tc>
          <w:tcPr>
            <w:tcW w:w="50" w:type="pct"/>
            <w:vAlign w:val="center"/>
            <w:hideMark/>
          </w:tcPr>
          <w:p w:rsidR="00000000" w:rsidRDefault="001F39D7">
            <w:pPr>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800107483"/>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divId w:val="1800107483"/>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r>
      <w:tr w:rsidR="00000000">
        <w:trPr>
          <w:divId w:val="1800107483"/>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Net</w:t>
            </w:r>
          </w:p>
          <w:p w:rsidR="00000000" w:rsidRDefault="001F39D7">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 Share</w:t>
            </w:r>
          </w:p>
          <w:p w:rsidR="00000000" w:rsidRDefault="001F39D7">
            <w:pPr>
              <w:spacing w:after="100"/>
              <w:jc w:val="center"/>
              <w:rPr>
                <w:rFonts w:eastAsia="Times New Roman"/>
              </w:rPr>
            </w:pPr>
            <w:r>
              <w:rPr>
                <w:rFonts w:eastAsia="Times New Roman"/>
                <w:b/>
                <w:bCs/>
                <w:color w:val="000000"/>
                <w:sz w:val="20"/>
                <w:szCs w:val="20"/>
              </w:rPr>
              <w:t>Amount</w:t>
            </w:r>
          </w:p>
        </w:tc>
      </w:tr>
      <w:tr w:rsidR="00000000">
        <w:trPr>
          <w:divId w:val="1800107483"/>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114,794 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800107483"/>
        </w:trPr>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1,030 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(0.08)</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1800107483"/>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997,114 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115,824 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862"/>
        <w:gridCol w:w="144"/>
        <w:gridCol w:w="144"/>
        <w:gridCol w:w="977"/>
        <w:gridCol w:w="144"/>
        <w:gridCol w:w="144"/>
        <w:gridCol w:w="144"/>
        <w:gridCol w:w="144"/>
        <w:gridCol w:w="144"/>
        <w:gridCol w:w="977"/>
        <w:gridCol w:w="144"/>
        <w:gridCol w:w="144"/>
        <w:gridCol w:w="144"/>
        <w:gridCol w:w="144"/>
        <w:gridCol w:w="144"/>
        <w:gridCol w:w="977"/>
        <w:gridCol w:w="144"/>
      </w:tblGrid>
      <w:tr w:rsidR="00000000">
        <w:tc>
          <w:tcPr>
            <w:tcW w:w="50" w:type="pct"/>
            <w:vAlign w:val="center"/>
            <w:hideMark/>
          </w:tcPr>
          <w:p w:rsidR="00000000" w:rsidRDefault="001F39D7">
            <w:pPr>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Net</w:t>
            </w:r>
          </w:p>
          <w:p w:rsidR="00000000" w:rsidRDefault="001F39D7">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 Share</w:t>
            </w:r>
          </w:p>
          <w:p w:rsidR="00000000" w:rsidRDefault="001F39D7">
            <w:pPr>
              <w:spacing w:after="100"/>
              <w:jc w:val="center"/>
              <w:rPr>
                <w:rFonts w:eastAsia="Times New Roman"/>
              </w:rPr>
            </w:pPr>
            <w:r>
              <w:rPr>
                <w:rFonts w:eastAsia="Times New Roman"/>
                <w:b/>
                <w:bCs/>
                <w:color w:val="000000"/>
                <w:sz w:val="20"/>
                <w:szCs w:val="20"/>
              </w:rPr>
              <w:t>Amount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116,370 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1,066 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(0.06)</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748,958 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117,436 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805927177"/>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805927177"/>
        </w:trPr>
        <w:tc>
          <w:tcPr>
            <w:tcW w:w="50" w:type="pct"/>
            <w:vAlign w:val="center"/>
            <w:hideMark/>
          </w:tcPr>
          <w:p w:rsidR="00000000" w:rsidRDefault="001F39D7">
            <w:pPr>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805927177"/>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divId w:val="805927177"/>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rPr>
          <w:divId w:val="805927177"/>
        </w:trPr>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Net</w:t>
            </w:r>
          </w:p>
          <w:p w:rsidR="00000000" w:rsidRDefault="001F39D7">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 Share</w:t>
            </w:r>
          </w:p>
          <w:p w:rsidR="00000000" w:rsidRDefault="001F39D7">
            <w:pPr>
              <w:spacing w:after="100"/>
              <w:jc w:val="center"/>
              <w:rPr>
                <w:rFonts w:eastAsia="Times New Roman"/>
              </w:rPr>
            </w:pPr>
            <w:r>
              <w:rPr>
                <w:rFonts w:eastAsia="Times New Roman"/>
                <w:b/>
                <w:bCs/>
                <w:color w:val="000000"/>
                <w:sz w:val="20"/>
                <w:szCs w:val="20"/>
              </w:rPr>
              <w:t>Amount</w:t>
            </w:r>
          </w:p>
        </w:tc>
      </w:tr>
      <w:tr w:rsidR="00000000">
        <w:trPr>
          <w:divId w:val="805927177"/>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119,727 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805927177"/>
        </w:trPr>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1,016 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divId w:val="805927177"/>
        </w:trPr>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562,354 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120,743 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800100757"/>
        <w:rPr>
          <w:rFonts w:eastAsia="Times New Roman"/>
        </w:rPr>
      </w:pPr>
    </w:p>
    <w:p w:rsidR="00000000" w:rsidRDefault="001F39D7">
      <w:pPr>
        <w:jc w:val="both"/>
        <w:rPr>
          <w:rFonts w:eastAsia="Times New Roman"/>
        </w:rPr>
      </w:pPr>
      <w:r>
        <w:rPr>
          <w:rFonts w:eastAsia="Times New Roman"/>
          <w:color w:val="000000"/>
          <w:sz w:val="20"/>
          <w:szCs w:val="20"/>
        </w:rPr>
        <w:t xml:space="preserve">Anti-dilutive share-based awards excluded from the above calculations totaled less than 0.1 million in fiscal 2021 and 2020 and were approximately 0.4 million shares in fiscal 2019. </w:t>
      </w:r>
    </w:p>
    <w:p w:rsidR="00000000" w:rsidRDefault="001F39D7">
      <w:pPr>
        <w:divId w:val="2022312766"/>
        <w:rPr>
          <w:rFonts w:eastAsia="Times New Roman"/>
        </w:rPr>
      </w:pPr>
    </w:p>
    <w:p w:rsidR="00000000" w:rsidRDefault="001F39D7">
      <w:pPr>
        <w:jc w:val="center"/>
        <w:divId w:val="1402823761"/>
        <w:rPr>
          <w:rFonts w:eastAsia="Times New Roman"/>
        </w:rPr>
      </w:pPr>
      <w:r>
        <w:rPr>
          <w:rFonts w:eastAsia="Times New Roman"/>
          <w:color w:val="000000"/>
          <w:sz w:val="20"/>
          <w:szCs w:val="20"/>
        </w:rPr>
        <w:t>71</w:t>
      </w:r>
    </w:p>
    <w:p w:rsidR="00000000" w:rsidRDefault="001F39D7">
      <w:pPr>
        <w:rPr>
          <w:rFonts w:eastAsia="Times New Roman"/>
        </w:rPr>
      </w:pPr>
      <w:r>
        <w:rPr>
          <w:rFonts w:eastAsia="Times New Roman"/>
        </w:rPr>
        <w:pict>
          <v:rect id="_x0000_i1100" style="width:0;height:1.5pt" o:hralign="center" o:hrstd="t" o:hr="t" fillcolor="#a0a0a0" stroked="f"/>
        </w:pict>
      </w:r>
    </w:p>
    <w:p w:rsidR="00000000" w:rsidRDefault="001F39D7">
      <w:pPr>
        <w:divId w:val="1031221154"/>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shd w:val="clear" w:color="auto" w:fill="FFFFFF"/>
        </w:rPr>
        <w:t xml:space="preserve">Note 9 – Income Taxes: </w:t>
      </w:r>
    </w:p>
    <w:p w:rsidR="00000000" w:rsidRDefault="001F39D7">
      <w:pPr>
        <w:divId w:val="1036808882"/>
        <w:rPr>
          <w:rFonts w:eastAsia="Times New Roman"/>
        </w:rPr>
      </w:pPr>
    </w:p>
    <w:p w:rsidR="00000000" w:rsidRDefault="001F39D7">
      <w:pPr>
        <w:jc w:val="both"/>
        <w:rPr>
          <w:rFonts w:eastAsia="Times New Roman"/>
        </w:rPr>
      </w:pPr>
      <w:r>
        <w:rPr>
          <w:rFonts w:eastAsia="Times New Roman"/>
          <w:color w:val="000000"/>
          <w:sz w:val="20"/>
          <w:szCs w:val="20"/>
        </w:rPr>
        <w:t>The provision for income taxes consists of the following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4813"/>
        <w:gridCol w:w="37"/>
        <w:gridCol w:w="120"/>
        <w:gridCol w:w="929"/>
        <w:gridCol w:w="36"/>
        <w:gridCol w:w="36"/>
        <w:gridCol w:w="36"/>
        <w:gridCol w:w="36"/>
        <w:gridCol w:w="120"/>
        <w:gridCol w:w="890"/>
        <w:gridCol w:w="36"/>
        <w:gridCol w:w="36"/>
        <w:gridCol w:w="36"/>
        <w:gridCol w:w="36"/>
        <w:gridCol w:w="120"/>
        <w:gridCol w:w="890"/>
        <w:gridCol w:w="36"/>
      </w:tblGrid>
      <w:tr w:rsidR="00000000">
        <w:tc>
          <w:tcPr>
            <w:tcW w:w="50" w:type="pct"/>
            <w:vAlign w:val="center"/>
            <w:hideMark/>
          </w:tcPr>
          <w:p w:rsidR="00000000" w:rsidRDefault="001F39D7">
            <w:pPr>
              <w:jc w:val="both"/>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15"/>
            <w:vMerge/>
            <w:vAlign w:val="center"/>
            <w:hideMark/>
          </w:tcPr>
          <w:p w:rsidR="00000000" w:rsidRDefault="001F39D7">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Current tax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Federal</w:t>
            </w: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221,152 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211,228 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128,490 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34,238 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38,511 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25,091 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current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255,390 </w:t>
            </w:r>
          </w:p>
        </w:tc>
        <w:tc>
          <w:tcPr>
            <w:tcW w:w="0" w:type="auto"/>
            <w:tcBorders>
              <w:top w:val="single" w:sz="8"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249,739 </w:t>
            </w:r>
          </w:p>
        </w:tc>
        <w:tc>
          <w:tcPr>
            <w:tcW w:w="0" w:type="auto"/>
            <w:tcBorders>
              <w:top w:val="single" w:sz="8"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153,581 </w:t>
            </w:r>
          </w:p>
        </w:tc>
        <w:tc>
          <w:tcPr>
            <w:tcW w:w="0" w:type="auto"/>
            <w:tcBorders>
              <w:top w:val="single" w:sz="8"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60"/>
        </w:trPr>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Deferred tax expense/(benefit):</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24,303 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(21,997)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11,770 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State</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3,281 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w:t>
            </w:r>
            <w:r>
              <w:rPr>
                <w:rFonts w:eastAsia="Times New Roman"/>
                <w:color w:val="000000"/>
                <w:sz w:val="20"/>
                <w:szCs w:val="20"/>
              </w:rPr>
              <w:t>8,553)</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(4,328)</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deferred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(30,550)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provision</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282,974 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219,189 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161,023 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Deferred income taxes reflect the net tax effects of temporary differences between the carrying amounts of assets and liabilities for financial reporting purposes and the amounts used for income tax purposes. Significant components of the defe</w:t>
      </w:r>
      <w:r>
        <w:rPr>
          <w:rFonts w:eastAsia="Times New Roman"/>
          <w:color w:val="000000"/>
          <w:sz w:val="20"/>
          <w:szCs w:val="20"/>
        </w:rPr>
        <w:t>rred tax assets and liabilities are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5951"/>
        <w:gridCol w:w="37"/>
        <w:gridCol w:w="121"/>
        <w:gridCol w:w="934"/>
        <w:gridCol w:w="36"/>
        <w:gridCol w:w="36"/>
        <w:gridCol w:w="36"/>
        <w:gridCol w:w="36"/>
        <w:gridCol w:w="121"/>
        <w:gridCol w:w="898"/>
        <w:gridCol w:w="36"/>
      </w:tblGrid>
      <w:tr w:rsidR="00000000">
        <w:tc>
          <w:tcPr>
            <w:tcW w:w="50" w:type="pct"/>
            <w:vAlign w:val="center"/>
            <w:hideMark/>
          </w:tcPr>
          <w:p w:rsidR="00000000" w:rsidRDefault="001F39D7">
            <w:pPr>
              <w:jc w:val="both"/>
              <w:rPr>
                <w:rFonts w:eastAsia="Times New Roman"/>
              </w:rPr>
            </w:pPr>
          </w:p>
        </w:tc>
        <w:tc>
          <w:tcPr>
            <w:tcW w:w="361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December 26, 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Tax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Inventory valuation</w:t>
            </w: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23,365 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20,539 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Accrued employee benefits costs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36,810 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44,625 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Nondeductible reserves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7,099 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5,967 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8,958 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8,595 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740,478 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645,719 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Deferred compensation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12,201 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12,289 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Workers' compensation insurance</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14,271 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11,804 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General liability insurance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9,402 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7,346 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Income tax credits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7,986 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8,744 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Amortization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7,803 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7,269 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12,799 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10,746 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881,172 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783,643 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Tax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Finance lease assets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(7,797)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(7,584)</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(702,197)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(612,658)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Depreciation</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(161,137)</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(124,280)</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(7,604)</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(7,535)</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(878,735)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w:t>
            </w:r>
            <w:r>
              <w:rPr>
                <w:rFonts w:eastAsia="Times New Roman"/>
                <w:color w:val="000000"/>
                <w:sz w:val="20"/>
                <w:szCs w:val="20"/>
              </w:rPr>
              <w:t>752,057)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rPr>
          <w:trHeight w:val="160"/>
        </w:trPr>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Net deferred tax asset</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2,437 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31,586 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r>
        <w:rPr>
          <w:rFonts w:eastAsia="Times New Roman"/>
          <w:color w:val="000000"/>
          <w:sz w:val="20"/>
          <w:szCs w:val="20"/>
        </w:rPr>
        <w:t>The Company has evaluated the need for a valuation allowance for all or a portion of the deferred tax assets.  The Company believes that all of the deferred tax assets will more likely than not be realized through future earnings.  The Company had state ta</w:t>
      </w:r>
      <w:r>
        <w:rPr>
          <w:rFonts w:eastAsia="Times New Roman"/>
          <w:color w:val="000000"/>
          <w:sz w:val="20"/>
          <w:szCs w:val="20"/>
        </w:rPr>
        <w:t>x credit carryforwards of $6.6 million and $8.6 million as of December 25, 2021 and December 26, 2020, respectively, with varying dates of expiration through 2036.  The Company provided no valuation allowance as of December 25, 2021 and December 26, 2020 f</w:t>
      </w:r>
      <w:r>
        <w:rPr>
          <w:rFonts w:eastAsia="Times New Roman"/>
          <w:color w:val="000000"/>
          <w:sz w:val="20"/>
          <w:szCs w:val="20"/>
        </w:rPr>
        <w:t>or state tax credit carryforwards, as the Company believes it is more likely than not that all of these credits will be utilized before their expiration dates.</w:t>
      </w:r>
    </w:p>
    <w:p w:rsidR="00000000" w:rsidRDefault="001F39D7">
      <w:pPr>
        <w:jc w:val="both"/>
        <w:rPr>
          <w:rFonts w:eastAsia="Times New Roman"/>
        </w:rPr>
      </w:pPr>
    </w:p>
    <w:p w:rsidR="00000000" w:rsidRDefault="001F39D7">
      <w:pPr>
        <w:jc w:val="center"/>
        <w:divId w:val="1370304866"/>
        <w:rPr>
          <w:rFonts w:eastAsia="Times New Roman"/>
        </w:rPr>
      </w:pPr>
      <w:r>
        <w:rPr>
          <w:rFonts w:eastAsia="Times New Roman"/>
          <w:color w:val="000000"/>
          <w:sz w:val="20"/>
          <w:szCs w:val="20"/>
        </w:rPr>
        <w:t>72</w:t>
      </w:r>
    </w:p>
    <w:p w:rsidR="00000000" w:rsidRDefault="001F39D7">
      <w:pPr>
        <w:rPr>
          <w:rFonts w:eastAsia="Times New Roman"/>
        </w:rPr>
      </w:pPr>
      <w:r>
        <w:rPr>
          <w:rFonts w:eastAsia="Times New Roman"/>
        </w:rPr>
        <w:pict>
          <v:rect id="_x0000_i1101" style="width:0;height:1.5pt" o:hralign="center" o:hrstd="t" o:hr="t" fillcolor="#a0a0a0" stroked="f"/>
        </w:pict>
      </w:r>
    </w:p>
    <w:p w:rsidR="00000000" w:rsidRDefault="001F39D7">
      <w:pPr>
        <w:divId w:val="958485452"/>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A reconciliation of the provision for income taxes to the amounts computed at the federal statutory rate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4813"/>
        <w:gridCol w:w="37"/>
        <w:gridCol w:w="120"/>
        <w:gridCol w:w="929"/>
        <w:gridCol w:w="36"/>
        <w:gridCol w:w="36"/>
        <w:gridCol w:w="36"/>
        <w:gridCol w:w="36"/>
        <w:gridCol w:w="120"/>
        <w:gridCol w:w="890"/>
        <w:gridCol w:w="36"/>
        <w:gridCol w:w="36"/>
        <w:gridCol w:w="36"/>
        <w:gridCol w:w="36"/>
        <w:gridCol w:w="120"/>
        <w:gridCol w:w="890"/>
        <w:gridCol w:w="36"/>
      </w:tblGrid>
      <w:tr w:rsidR="00000000">
        <w:tc>
          <w:tcPr>
            <w:tcW w:w="50" w:type="pct"/>
            <w:vAlign w:val="center"/>
            <w:hideMark/>
          </w:tcPr>
          <w:p w:rsidR="00000000" w:rsidRDefault="001F39D7">
            <w:pPr>
              <w:jc w:val="both"/>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trHeight w:val="1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rPr>
          <w:trHeight w:val="120"/>
        </w:trPr>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15"/>
            <w:vMerge/>
            <w:vAlign w:val="center"/>
            <w:hideMark/>
          </w:tcPr>
          <w:p w:rsidR="00000000" w:rsidRDefault="001F39D7">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Tax provision at statutory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268,819 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203,311 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151,909 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Tax effect of:</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State income taxes, net of federal tax benefits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36,116 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27,642 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19,722 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Tax credits, net of federal tax benefits</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(13,157)</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(8,828)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(7,768)</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Share-based compensation programs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(13,368)</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(9,303)</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w:t>
            </w:r>
            <w:r>
              <w:rPr>
                <w:rFonts w:eastAsia="Times New Roman"/>
                <w:color w:val="000000"/>
                <w:sz w:val="20"/>
                <w:szCs w:val="20"/>
              </w:rPr>
              <w:t>4,484)</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vAlign w:val="center"/>
            <w:hideMark/>
          </w:tcPr>
          <w:p w:rsidR="00000000" w:rsidRDefault="001F39D7">
            <w:pPr>
              <w:spacing w:after="100"/>
              <w:jc w:val="right"/>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c>
          <w:tcPr>
            <w:tcW w:w="0" w:type="auto"/>
            <w:gridSpan w:val="3"/>
            <w:vAlign w:val="center"/>
            <w:hideMark/>
          </w:tcPr>
          <w:p w:rsidR="00000000" w:rsidRDefault="001F39D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4,564 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6,367 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1,644 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 income tax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282,974 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219,189 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161,023 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and its affiliates file income tax returns in the U.S. and various state and local jurisdictions.  With few exceptions, the Company is no longer subject to federal, state and local income tax examinations by tax authorities for years before 201</w:t>
      </w:r>
      <w:r>
        <w:rPr>
          <w:rFonts w:eastAsia="Times New Roman"/>
          <w:color w:val="000000"/>
          <w:sz w:val="20"/>
          <w:szCs w:val="20"/>
        </w:rPr>
        <w:t>7.  Various states have completed an examination of our income tax returns for 2017 through 2019 with minimal adjustments.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total amount of unrecognized tax positions that, if recognized, would decrease the effective tax rate, is $3.2 million at Decem</w:t>
      </w:r>
      <w:r>
        <w:rPr>
          <w:rFonts w:eastAsia="Times New Roman"/>
          <w:color w:val="000000"/>
          <w:sz w:val="20"/>
          <w:szCs w:val="20"/>
        </w:rPr>
        <w:t xml:space="preserve">ber 25, 2021. In addition, the Company recognizes current interest and penalties accrued related to these uncertain tax positions as interest expense, and the amount is not material to the Consolidated Statements of Income.  The Company has considered the </w:t>
      </w:r>
      <w:r>
        <w:rPr>
          <w:rFonts w:eastAsia="Times New Roman"/>
          <w:color w:val="000000"/>
          <w:sz w:val="20"/>
          <w:szCs w:val="20"/>
        </w:rPr>
        <w:t>reasonably possible expected net change in uncertain tax positions during the next 12 months and does not expect any material changes to our liability for uncertain tax positions through December 25, 2021.</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 reconciliation of the beginning and ending gro</w:t>
      </w:r>
      <w:r>
        <w:rPr>
          <w:rFonts w:eastAsia="Times New Roman"/>
          <w:color w:val="000000"/>
          <w:sz w:val="20"/>
          <w:szCs w:val="20"/>
        </w:rPr>
        <w:t>ss amount of unrecognized tax benefits (exclusive of interest and penalties)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812"/>
        <w:gridCol w:w="38"/>
        <w:gridCol w:w="120"/>
        <w:gridCol w:w="929"/>
        <w:gridCol w:w="36"/>
        <w:gridCol w:w="36"/>
        <w:gridCol w:w="36"/>
        <w:gridCol w:w="36"/>
        <w:gridCol w:w="120"/>
        <w:gridCol w:w="889"/>
        <w:gridCol w:w="36"/>
        <w:gridCol w:w="36"/>
        <w:gridCol w:w="36"/>
        <w:gridCol w:w="36"/>
        <w:gridCol w:w="120"/>
        <w:gridCol w:w="890"/>
        <w:gridCol w:w="36"/>
      </w:tblGrid>
      <w:tr w:rsidR="00000000">
        <w:tc>
          <w:tcPr>
            <w:tcW w:w="50" w:type="pct"/>
            <w:vAlign w:val="center"/>
            <w:hideMark/>
          </w:tcPr>
          <w:p w:rsidR="00000000" w:rsidRDefault="001F39D7">
            <w:pPr>
              <w:jc w:val="both"/>
              <w:rPr>
                <w:rFonts w:eastAsia="Times New Roman"/>
              </w:rPr>
            </w:pPr>
          </w:p>
        </w:tc>
        <w:tc>
          <w:tcPr>
            <w:tcW w:w="293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59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Balance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Additions based on tax positions related to the current year</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927 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816 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650 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Additions for tax positions of prior years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Reductions for tax positions of prior years</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(465)</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(372)</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(400)</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Balance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3,749 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divId w:val="1966425907"/>
        <w:rPr>
          <w:rFonts w:eastAsia="Times New Roman"/>
        </w:rPr>
      </w:pPr>
    </w:p>
    <w:p w:rsidR="00000000" w:rsidRDefault="001F39D7">
      <w:pPr>
        <w:jc w:val="both"/>
        <w:rPr>
          <w:rFonts w:eastAsia="Times New Roman"/>
        </w:rPr>
      </w:pPr>
      <w:r>
        <w:rPr>
          <w:rFonts w:eastAsia="Times New Roman"/>
          <w:color w:val="000000"/>
          <w:sz w:val="20"/>
          <w:szCs w:val="20"/>
        </w:rPr>
        <w:t>The Coronavirus Aid, Relief, and Economic Security Act (the “CARES Act”) was enacted in the U.S. on March 27, 2020. The enactment of this legislation did not have a material impact on</w:t>
      </w:r>
      <w:r>
        <w:rPr>
          <w:rFonts w:eastAsia="Times New Roman"/>
          <w:color w:val="000000"/>
          <w:sz w:val="20"/>
          <w:szCs w:val="20"/>
        </w:rPr>
        <w:t xml:space="preserve"> income tax expense in fiscal 2020. However, the Company did elect to participate in the deferral of the employer’s share of social security tax deposits, with $24.5 million included within other accrued expenses in the Consolidated Balance Sheet as of Dec</w:t>
      </w:r>
      <w:r>
        <w:rPr>
          <w:rFonts w:eastAsia="Times New Roman"/>
          <w:color w:val="000000"/>
          <w:sz w:val="20"/>
          <w:szCs w:val="20"/>
        </w:rPr>
        <w:t>ember 25, 2021. This amount will become due on December 31, 2022.</w:t>
      </w:r>
    </w:p>
    <w:p w:rsidR="00000000" w:rsidRDefault="001F39D7">
      <w:pPr>
        <w:divId w:val="180822685"/>
        <w:rPr>
          <w:rFonts w:eastAsia="Times New Roman"/>
        </w:rPr>
      </w:pPr>
    </w:p>
    <w:p w:rsidR="00000000" w:rsidRDefault="001F39D7">
      <w:pPr>
        <w:jc w:val="both"/>
        <w:rPr>
          <w:rFonts w:eastAsia="Times New Roman"/>
        </w:rPr>
      </w:pPr>
      <w:r>
        <w:rPr>
          <w:rFonts w:eastAsia="Times New Roman"/>
          <w:b/>
          <w:bCs/>
          <w:color w:val="000000"/>
          <w:sz w:val="20"/>
          <w:szCs w:val="20"/>
        </w:rPr>
        <w:t>Note 10 – Retirement Benefit Plans:</w:t>
      </w:r>
    </w:p>
    <w:p w:rsidR="00000000" w:rsidRDefault="001F39D7">
      <w:pPr>
        <w:divId w:val="1901671309"/>
        <w:rPr>
          <w:rFonts w:eastAsia="Times New Roman"/>
        </w:rPr>
      </w:pPr>
    </w:p>
    <w:p w:rsidR="00000000" w:rsidRDefault="001F39D7">
      <w:pPr>
        <w:jc w:val="both"/>
        <w:rPr>
          <w:rFonts w:eastAsia="Times New Roman"/>
        </w:rPr>
      </w:pPr>
      <w:r>
        <w:rPr>
          <w:rFonts w:eastAsia="Times New Roman"/>
          <w:color w:val="000000"/>
          <w:sz w:val="20"/>
          <w:szCs w:val="20"/>
        </w:rPr>
        <w:t>The Company has a defined contribution benefit plan, the Tractor Supply Company 401(k) Retirement Savings Plan (the “401(k) Plan”), which provides retirement benefits for eligible employees.  The Company matches (in cash) 100% of the employee’s elective co</w:t>
      </w:r>
      <w:r>
        <w:rPr>
          <w:rFonts w:eastAsia="Times New Roman"/>
          <w:color w:val="000000"/>
          <w:sz w:val="20"/>
          <w:szCs w:val="20"/>
        </w:rPr>
        <w:t>ntributions up to 3% of eligible compensation plus 50% of the employee’s elective contributions from 3% to 6% of eligible compensation.  In no event shall the total Company match made on behalf of the employee exceed 4.5% of the employee’s eligible compens</w:t>
      </w:r>
      <w:r>
        <w:rPr>
          <w:rFonts w:eastAsia="Times New Roman"/>
          <w:color w:val="000000"/>
          <w:sz w:val="20"/>
          <w:szCs w:val="20"/>
        </w:rPr>
        <w:t>ation.  All current contributions are immediately vested.  Company contributions to the 401(k) Plan were approximately $15.3 million, $12.9 million, and $9.8 million during fiscal 2021, 2020, and 2019, respectively.</w:t>
      </w:r>
    </w:p>
    <w:p w:rsidR="00000000" w:rsidRDefault="001F39D7">
      <w:pPr>
        <w:divId w:val="956104851"/>
        <w:rPr>
          <w:rFonts w:eastAsia="Times New Roman"/>
        </w:rPr>
      </w:pPr>
    </w:p>
    <w:p w:rsidR="00000000" w:rsidRDefault="001F39D7">
      <w:pPr>
        <w:jc w:val="both"/>
        <w:rPr>
          <w:rFonts w:eastAsia="Times New Roman"/>
        </w:rPr>
      </w:pPr>
      <w:r>
        <w:rPr>
          <w:rFonts w:eastAsia="Times New Roman"/>
          <w:color w:val="000000"/>
          <w:sz w:val="20"/>
          <w:szCs w:val="20"/>
        </w:rPr>
        <w:t>The Company offers, through a deferred</w:t>
      </w:r>
      <w:r>
        <w:rPr>
          <w:rFonts w:eastAsia="Times New Roman"/>
          <w:color w:val="000000"/>
          <w:sz w:val="20"/>
          <w:szCs w:val="20"/>
        </w:rPr>
        <w:t xml:space="preserve"> compensation program, the opportunity for certain qualifying employees to elect to defer a portion of their annual base salary and/or their annual incentive bonus.  Under the deferred compensation program, a percentage of the participants’ salary deferral</w:t>
      </w:r>
      <w:r>
        <w:rPr>
          <w:rFonts w:eastAsia="Times New Roman"/>
          <w:color w:val="000000"/>
          <w:sz w:val="20"/>
          <w:szCs w:val="20"/>
        </w:rPr>
        <w:t xml:space="preserve"> is matched by the Company, limited to a maximum annual matching contribution of $4,500.  The Company’s contributions, including accrued interest, were $0.3 million, $0.6 million, and $0.7 million during fiscal 2021, 2020, and 2019, respectively.</w:t>
      </w:r>
    </w:p>
    <w:p w:rsidR="00000000" w:rsidRDefault="001F39D7">
      <w:pPr>
        <w:jc w:val="both"/>
        <w:rPr>
          <w:rFonts w:eastAsia="Times New Roman"/>
        </w:rPr>
      </w:pPr>
    </w:p>
    <w:p w:rsidR="00000000" w:rsidRDefault="001F39D7">
      <w:pPr>
        <w:jc w:val="center"/>
        <w:divId w:val="2118135958"/>
        <w:rPr>
          <w:rFonts w:eastAsia="Times New Roman"/>
        </w:rPr>
      </w:pPr>
      <w:r>
        <w:rPr>
          <w:rFonts w:eastAsia="Times New Roman"/>
          <w:color w:val="000000"/>
          <w:sz w:val="20"/>
          <w:szCs w:val="20"/>
        </w:rPr>
        <w:t>73</w:t>
      </w:r>
    </w:p>
    <w:p w:rsidR="00000000" w:rsidRDefault="001F39D7">
      <w:pPr>
        <w:rPr>
          <w:rFonts w:eastAsia="Times New Roman"/>
        </w:rPr>
      </w:pPr>
      <w:r>
        <w:rPr>
          <w:rFonts w:eastAsia="Times New Roman"/>
        </w:rPr>
        <w:pict>
          <v:rect id="_x0000_i1102" style="width:0;height:1.5pt" o:hralign="center" o:hrstd="t" o:hr="t" fillcolor="#a0a0a0" stroked="f"/>
        </w:pict>
      </w:r>
    </w:p>
    <w:p w:rsidR="00000000" w:rsidRDefault="001F39D7">
      <w:pPr>
        <w:divId w:val="373694483"/>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b/>
          <w:bCs/>
          <w:color w:val="000000"/>
          <w:sz w:val="20"/>
          <w:szCs w:val="20"/>
        </w:rPr>
        <w:t>Note 11 – Commitments and Contingencies:</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Contractual Commitments</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At December </w:t>
      </w:r>
      <w:r>
        <w:rPr>
          <w:rFonts w:eastAsia="Times New Roman"/>
          <w:color w:val="000000"/>
          <w:sz w:val="20"/>
          <w:szCs w:val="20"/>
        </w:rPr>
        <w:t>25, 2021, the Company had contractual commitments of approximat</w:t>
      </w:r>
      <w:r>
        <w:rPr>
          <w:rFonts w:eastAsia="Times New Roman"/>
          <w:color w:val="000000"/>
          <w:sz w:val="20"/>
          <w:szCs w:val="20"/>
          <w:shd w:val="clear" w:color="auto" w:fill="FFFFFF"/>
        </w:rPr>
        <w:t xml:space="preserve">ely $107.8 million, of which $56.9 million is related to the construction of the new distribution center in Navarre, Ohio, </w:t>
      </w:r>
      <w:r>
        <w:rPr>
          <w:rFonts w:eastAsia="Times New Roman"/>
          <w:color w:val="000000"/>
          <w:sz w:val="20"/>
          <w:szCs w:val="20"/>
        </w:rPr>
        <w:t>and the remaining is related to purchase obligations such as inventory</w:t>
      </w:r>
      <w:r>
        <w:rPr>
          <w:rFonts w:eastAsia="Times New Roman"/>
          <w:color w:val="000000"/>
          <w:sz w:val="20"/>
          <w:szCs w:val="20"/>
        </w:rPr>
        <w:t xml:space="preserve"> purchases and marketing-related contracts.</w:t>
      </w:r>
      <w:r>
        <w:rPr>
          <w:rFonts w:eastAsia="Times New Roman"/>
          <w:color w:val="000000"/>
          <w:sz w:val="20"/>
          <w:szCs w:val="20"/>
          <w:shd w:val="clear" w:color="auto" w:fill="FFFFFF"/>
        </w:rPr>
        <w:t xml:space="preserve"> The Company does not have material contractual commitments related to construction projects extending greater than twelve months. </w:t>
      </w:r>
      <w:r>
        <w:rPr>
          <w:rFonts w:eastAsia="Times New Roman"/>
          <w:color w:val="000000"/>
          <w:sz w:val="20"/>
          <w:szCs w:val="20"/>
        </w:rPr>
        <w:t>In addition, the Company had</w:t>
      </w:r>
      <w:r>
        <w:rPr>
          <w:rFonts w:eastAsia="Times New Roman"/>
          <w:color w:val="000000"/>
          <w:sz w:val="20"/>
          <w:szCs w:val="20"/>
          <w:shd w:val="clear" w:color="auto" w:fill="FFFFFF"/>
        </w:rPr>
        <w:t xml:space="preserve"> $239.2 million le</w:t>
      </w:r>
      <w:r>
        <w:rPr>
          <w:rFonts w:eastAsia="Times New Roman"/>
          <w:color w:val="000000"/>
          <w:sz w:val="20"/>
          <w:szCs w:val="20"/>
        </w:rPr>
        <w:t>gally binding minimum lease payments</w:t>
      </w:r>
      <w:r>
        <w:rPr>
          <w:rFonts w:eastAsia="Times New Roman"/>
          <w:color w:val="000000"/>
          <w:sz w:val="20"/>
          <w:szCs w:val="20"/>
        </w:rPr>
        <w:t xml:space="preserve"> for leases signed, but not yet commenced.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Letters of Credit</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 xml:space="preserve">At December 25, 2021, there were $52.9 million outstanding letters of credit under the Senior Credit Facility. </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Litigation</w:t>
      </w:r>
    </w:p>
    <w:p w:rsidR="00000000" w:rsidRDefault="001F39D7">
      <w:pPr>
        <w:divId w:val="674527786"/>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On October 9, 2020, an alleged stockholder, the City of Pontiac</w:t>
      </w:r>
      <w:r>
        <w:rPr>
          <w:rFonts w:eastAsia="Times New Roman"/>
          <w:color w:val="000000"/>
          <w:sz w:val="20"/>
          <w:szCs w:val="20"/>
          <w:shd w:val="clear" w:color="auto" w:fill="FFFFFF"/>
        </w:rPr>
        <w:t xml:space="preserve"> Police and Fire Retirement System, filed a derivative lawsuit in the U.S. District Court for the Middle District of Tennessee, purportedly on the Company's behalf, against certain current and former members of our Board of Directors, and the Company as a </w:t>
      </w:r>
      <w:r>
        <w:rPr>
          <w:rFonts w:eastAsia="Times New Roman"/>
          <w:color w:val="000000"/>
          <w:sz w:val="20"/>
          <w:szCs w:val="20"/>
          <w:shd w:val="clear" w:color="auto" w:fill="FFFFFF"/>
        </w:rPr>
        <w:t>nominal defendant, seeking unspecified compensatory and punitive damages payable to the Company, disgorgement, restitution, corporate governance and hiring changes, mandated community investment, and attorneys' fees and costs. Plaintiff alleges that defend</w:t>
      </w:r>
      <w:r>
        <w:rPr>
          <w:rFonts w:eastAsia="Times New Roman"/>
          <w:color w:val="000000"/>
          <w:sz w:val="20"/>
          <w:szCs w:val="20"/>
          <w:shd w:val="clear" w:color="auto" w:fill="FFFFFF"/>
        </w:rPr>
        <w:t>ants violated the federal securities laws governing proxy solicitations and breached their fiduciary duties by misrepresenting the Company’s commitment to and support for diversity and inclusion. The Company disputes the allegations of the complaint. The C</w:t>
      </w:r>
      <w:r>
        <w:rPr>
          <w:rFonts w:eastAsia="Times New Roman"/>
          <w:color w:val="000000"/>
          <w:sz w:val="20"/>
          <w:szCs w:val="20"/>
          <w:shd w:val="clear" w:color="auto" w:fill="FFFFFF"/>
        </w:rPr>
        <w:t>ompany and the individual defendants moved to dismiss the complaint based on plaintiff’s failure to make a demand on the Board of Directors and to state a claim upon which relief may be granted. While the ultimate outcome of this matter is currently not de</w:t>
      </w:r>
      <w:r>
        <w:rPr>
          <w:rFonts w:eastAsia="Times New Roman"/>
          <w:color w:val="000000"/>
          <w:sz w:val="20"/>
          <w:szCs w:val="20"/>
          <w:shd w:val="clear" w:color="auto" w:fill="FFFFFF"/>
        </w:rPr>
        <w:t xml:space="preserve">terminable, we do not believe this litigation will have a material impact to the Company's Consolidated Financial Statements. </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shd w:val="clear" w:color="auto" w:fill="FFFFFF"/>
        </w:rPr>
        <w:t>The Company is also involved in various litigation matters arising in the ordinary course of business. The Company believes tha</w:t>
      </w:r>
      <w:r>
        <w:rPr>
          <w:rFonts w:eastAsia="Times New Roman"/>
          <w:color w:val="000000"/>
          <w:sz w:val="20"/>
          <w:szCs w:val="20"/>
          <w:shd w:val="clear" w:color="auto" w:fill="FFFFFF"/>
        </w:rPr>
        <w:t>t, based upon information currently available, any estimated loss related to such matters has been adequately provided for in accrued liabilities to the extent probable and reasonably estimable. Accordingly, the Company currently expects these matters will</w:t>
      </w:r>
      <w:r>
        <w:rPr>
          <w:rFonts w:eastAsia="Times New Roman"/>
          <w:color w:val="000000"/>
          <w:sz w:val="20"/>
          <w:szCs w:val="20"/>
          <w:shd w:val="clear" w:color="auto" w:fill="FFFFFF"/>
        </w:rPr>
        <w:t xml:space="preserve"> be resolved without material adverse effect on its consolidated financial position, results of operations or cash flows.  However, litigation and other legal matters involve an element of uncertainty. Future developments in such matters, including adverse</w:t>
      </w:r>
      <w:r>
        <w:rPr>
          <w:rFonts w:eastAsia="Times New Roman"/>
          <w:color w:val="000000"/>
          <w:sz w:val="20"/>
          <w:szCs w:val="20"/>
          <w:shd w:val="clear" w:color="auto" w:fill="FFFFFF"/>
        </w:rPr>
        <w:t xml:space="preserve"> decisions or settlements or resulting required changes to the Company’s business operations, could affect our consolidated operating results when resolved in future periods or could result in liability or other amounts material to the Company’s Consolidat</w:t>
      </w:r>
      <w:r>
        <w:rPr>
          <w:rFonts w:eastAsia="Times New Roman"/>
          <w:color w:val="000000"/>
          <w:sz w:val="20"/>
          <w:szCs w:val="20"/>
          <w:shd w:val="clear" w:color="auto" w:fill="FFFFFF"/>
        </w:rPr>
        <w:t>ed Financial Statements.</w:t>
      </w:r>
      <w:r>
        <w:rPr>
          <w:rFonts w:eastAsia="Times New Roman"/>
          <w:color w:val="000000"/>
          <w:sz w:val="20"/>
          <w:szCs w:val="20"/>
        </w:rPr>
        <w:t xml:space="preserve"> </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rPr>
        <w:t>Note 12 – Segment Reporting:</w:t>
      </w:r>
    </w:p>
    <w:p w:rsidR="00000000" w:rsidRDefault="001F39D7">
      <w:pPr>
        <w:divId w:val="1188639260"/>
        <w:rPr>
          <w:rFonts w:eastAsia="Times New Roman"/>
        </w:rPr>
      </w:pPr>
    </w:p>
    <w:p w:rsidR="00000000" w:rsidRDefault="001F39D7">
      <w:pPr>
        <w:jc w:val="both"/>
        <w:rPr>
          <w:rFonts w:eastAsia="Times New Roman"/>
        </w:rPr>
      </w:pPr>
      <w:r>
        <w:rPr>
          <w:rFonts w:eastAsia="Times New Roman"/>
          <w:color w:val="000000"/>
          <w:sz w:val="20"/>
          <w:szCs w:val="20"/>
        </w:rPr>
        <w:t>The Company has one reportable segment which is the retail sale of products that support the rural lifestyle.  The following table indicates the percentage of net sales represented by each major pr</w:t>
      </w:r>
      <w:r>
        <w:rPr>
          <w:rFonts w:eastAsia="Times New Roman"/>
          <w:color w:val="000000"/>
          <w:sz w:val="20"/>
          <w:szCs w:val="20"/>
        </w:rPr>
        <w:t>oduct category during fiscal 2021, 2020, and 2019:</w:t>
      </w:r>
    </w:p>
    <w:tbl>
      <w:tblPr>
        <w:tblW w:w="4978" w:type="pct"/>
        <w:tblCellMar>
          <w:top w:w="15" w:type="dxa"/>
          <w:left w:w="15" w:type="dxa"/>
          <w:bottom w:w="15" w:type="dxa"/>
          <w:right w:w="15" w:type="dxa"/>
        </w:tblCellMar>
        <w:tblLook w:val="04A0" w:firstRow="1" w:lastRow="0" w:firstColumn="1" w:lastColumn="0" w:noHBand="0" w:noVBand="1"/>
      </w:tblPr>
      <w:tblGrid>
        <w:gridCol w:w="38"/>
        <w:gridCol w:w="4192"/>
        <w:gridCol w:w="37"/>
        <w:gridCol w:w="37"/>
        <w:gridCol w:w="1081"/>
        <w:gridCol w:w="188"/>
        <w:gridCol w:w="36"/>
        <w:gridCol w:w="36"/>
        <w:gridCol w:w="36"/>
        <w:gridCol w:w="37"/>
        <w:gridCol w:w="1008"/>
        <w:gridCol w:w="188"/>
        <w:gridCol w:w="36"/>
        <w:gridCol w:w="36"/>
        <w:gridCol w:w="36"/>
        <w:gridCol w:w="37"/>
        <w:gridCol w:w="1022"/>
        <w:gridCol w:w="188"/>
      </w:tblGrid>
      <w:tr w:rsidR="00000000">
        <w:tc>
          <w:tcPr>
            <w:tcW w:w="50" w:type="pct"/>
            <w:vAlign w:val="center"/>
            <w:hideMark/>
          </w:tcPr>
          <w:p w:rsidR="00000000" w:rsidRDefault="001F39D7">
            <w:pPr>
              <w:jc w:val="both"/>
              <w:rPr>
                <w:rFonts w:eastAsia="Times New Roman"/>
              </w:rPr>
            </w:pPr>
          </w:p>
        </w:tc>
        <w:tc>
          <w:tcPr>
            <w:tcW w:w="258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0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0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0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Percent of Net Sales</w:t>
            </w:r>
          </w:p>
        </w:tc>
      </w:tr>
      <w:tr w:rsidR="00000000">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Fiscal Year</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Product Category:</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2021</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2020</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Livestock and Pet</w:t>
            </w: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18"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47 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Hardware, Tools and Truck</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Clothing and Footwear</w:t>
            </w: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F39D7">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w:t>
            </w:r>
          </w:p>
        </w:tc>
      </w:tr>
    </w:tbl>
    <w:p w:rsidR="00000000" w:rsidRDefault="001F39D7">
      <w:pPr>
        <w:divId w:val="1784614538"/>
        <w:rPr>
          <w:rFonts w:eastAsia="Times New Roman"/>
        </w:rPr>
      </w:pPr>
    </w:p>
    <w:p w:rsidR="00000000" w:rsidRDefault="001F39D7">
      <w:pPr>
        <w:jc w:val="both"/>
        <w:rPr>
          <w:rFonts w:eastAsia="Times New Roman"/>
        </w:rPr>
      </w:pPr>
      <w:r>
        <w:rPr>
          <w:rFonts w:eastAsia="Times New Roman"/>
          <w:b/>
          <w:bCs/>
          <w:color w:val="000000"/>
          <w:sz w:val="20"/>
          <w:szCs w:val="20"/>
        </w:rPr>
        <w:t>Note 13 – Subsequent Events:</w:t>
      </w:r>
    </w:p>
    <w:p w:rsidR="00000000" w:rsidRDefault="001F39D7">
      <w:pPr>
        <w:divId w:val="1148283127"/>
        <w:rPr>
          <w:rFonts w:eastAsia="Times New Roman"/>
        </w:rPr>
      </w:pPr>
    </w:p>
    <w:p w:rsidR="00000000" w:rsidRDefault="001F39D7">
      <w:pPr>
        <w:jc w:val="both"/>
        <w:rPr>
          <w:rFonts w:eastAsia="Times New Roman"/>
        </w:rPr>
      </w:pPr>
      <w:r>
        <w:rPr>
          <w:rFonts w:eastAsia="Times New Roman"/>
          <w:color w:val="000000"/>
          <w:sz w:val="20"/>
          <w:szCs w:val="20"/>
        </w:rPr>
        <w:t>On January 26, 2022,</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the Company announced plans to build a new distribution center in Maumelle, Arkansas. This new distribution center is expected to be approximately 900,000 square feet. Construction is planned to begin in the middle of 2022 and is currently anticipated to b</w:t>
      </w:r>
      <w:r>
        <w:rPr>
          <w:rFonts w:eastAsia="Times New Roman"/>
          <w:color w:val="000000"/>
          <w:sz w:val="20"/>
          <w:szCs w:val="20"/>
          <w:shd w:val="clear" w:color="auto" w:fill="FFFFFF"/>
        </w:rPr>
        <w:t>e completed in late 2023.</w:t>
      </w:r>
    </w:p>
    <w:p w:rsidR="00000000" w:rsidRDefault="001F39D7">
      <w:pPr>
        <w:divId w:val="42340553"/>
        <w:rPr>
          <w:rFonts w:eastAsia="Times New Roman"/>
        </w:rPr>
      </w:pPr>
    </w:p>
    <w:p w:rsidR="00000000" w:rsidRDefault="001F39D7">
      <w:pPr>
        <w:jc w:val="center"/>
        <w:divId w:val="1970166959"/>
        <w:rPr>
          <w:rFonts w:eastAsia="Times New Roman"/>
        </w:rPr>
      </w:pPr>
      <w:r>
        <w:rPr>
          <w:rFonts w:eastAsia="Times New Roman"/>
          <w:color w:val="000000"/>
          <w:sz w:val="20"/>
          <w:szCs w:val="20"/>
        </w:rPr>
        <w:t>74</w:t>
      </w:r>
    </w:p>
    <w:p w:rsidR="00000000" w:rsidRDefault="001F39D7">
      <w:pPr>
        <w:rPr>
          <w:rFonts w:eastAsia="Times New Roman"/>
        </w:rPr>
      </w:pPr>
      <w:r>
        <w:rPr>
          <w:rFonts w:eastAsia="Times New Roman"/>
        </w:rPr>
        <w:pict>
          <v:rect id="_x0000_i1103" style="width:0;height:1.5pt" o:hralign="center" o:hrstd="t" o:hr="t" fillcolor="#a0a0a0" stroked="f"/>
        </w:pict>
      </w:r>
    </w:p>
    <w:p w:rsidR="00000000" w:rsidRDefault="001F39D7">
      <w:pPr>
        <w:divId w:val="1557089781"/>
        <w:rPr>
          <w:rFonts w:eastAsia="Times New Roman"/>
        </w:rPr>
      </w:pPr>
      <w:hyperlink w:anchor="ia0680a7a640346e7afc1f53a5745d231_7" w:history="1">
        <w:r>
          <w:rPr>
            <w:rStyle w:val="a3"/>
            <w:rFonts w:eastAsia="Times New Roman"/>
            <w:sz w:val="18"/>
            <w:szCs w:val="18"/>
          </w:rPr>
          <w:t>Index</w:t>
        </w:r>
      </w:hyperlink>
    </w:p>
    <w:p w:rsidR="00000000" w:rsidRDefault="001F39D7">
      <w:pPr>
        <w:ind w:hanging="1440"/>
        <w:jc w:val="both"/>
        <w:rPr>
          <w:rFonts w:eastAsia="Times New Roman"/>
        </w:rPr>
      </w:pPr>
      <w:r>
        <w:rPr>
          <w:rFonts w:eastAsia="Times New Roman"/>
          <w:b/>
          <w:bCs/>
          <w:color w:val="000000"/>
          <w:sz w:val="20"/>
          <w:szCs w:val="20"/>
          <w:u w:val="single"/>
        </w:rPr>
        <w:t>Item 9</w:t>
      </w:r>
      <w:r>
        <w:rPr>
          <w:rFonts w:eastAsia="Times New Roman"/>
          <w:b/>
          <w:bCs/>
          <w:color w:val="000000"/>
          <w:sz w:val="20"/>
          <w:szCs w:val="20"/>
        </w:rPr>
        <w:t>.    </w:t>
      </w:r>
      <w:r>
        <w:rPr>
          <w:rFonts w:eastAsia="Times New Roman"/>
          <w:b/>
          <w:bCs/>
          <w:color w:val="000000"/>
          <w:sz w:val="20"/>
          <w:szCs w:val="20"/>
          <w:u w:val="single"/>
        </w:rPr>
        <w:t>Changes in and Disagreements with Accountants on Accounting and Financial Disclosure</w:t>
      </w:r>
    </w:p>
    <w:p w:rsidR="00000000" w:rsidRDefault="001F39D7">
      <w:pPr>
        <w:divId w:val="10450041"/>
        <w:rPr>
          <w:rFonts w:eastAsia="Times New Roman"/>
        </w:rPr>
      </w:pPr>
    </w:p>
    <w:p w:rsidR="00000000" w:rsidRDefault="001F39D7">
      <w:pPr>
        <w:jc w:val="both"/>
        <w:rPr>
          <w:rFonts w:eastAsia="Times New Roman"/>
        </w:rPr>
      </w:pPr>
      <w:r>
        <w:rPr>
          <w:rFonts w:eastAsia="Times New Roman"/>
          <w:color w:val="000000"/>
          <w:sz w:val="20"/>
          <w:szCs w:val="20"/>
        </w:rPr>
        <w:t>None.</w:t>
      </w:r>
    </w:p>
    <w:p w:rsidR="00000000" w:rsidRDefault="001F39D7">
      <w:pPr>
        <w:divId w:val="1875658579"/>
        <w:rPr>
          <w:rFonts w:eastAsia="Times New Roman"/>
        </w:rPr>
      </w:pPr>
    </w:p>
    <w:p w:rsidR="00000000" w:rsidRDefault="001F39D7">
      <w:pPr>
        <w:jc w:val="both"/>
        <w:rPr>
          <w:rFonts w:eastAsia="Times New Roman"/>
        </w:rPr>
      </w:pPr>
      <w:r>
        <w:rPr>
          <w:rFonts w:eastAsia="Times New Roman"/>
          <w:b/>
          <w:bCs/>
          <w:color w:val="000000"/>
          <w:sz w:val="20"/>
          <w:szCs w:val="20"/>
          <w:u w:val="single"/>
        </w:rPr>
        <w:t>Item 9A</w:t>
      </w:r>
      <w:r>
        <w:rPr>
          <w:rFonts w:eastAsia="Times New Roman"/>
          <w:b/>
          <w:bCs/>
          <w:color w:val="000000"/>
          <w:sz w:val="20"/>
          <w:szCs w:val="20"/>
        </w:rPr>
        <w:t>.    </w:t>
      </w:r>
      <w:r>
        <w:rPr>
          <w:rFonts w:eastAsia="Times New Roman"/>
          <w:b/>
          <w:bCs/>
          <w:color w:val="000000"/>
          <w:sz w:val="20"/>
          <w:szCs w:val="20"/>
          <w:u w:val="single"/>
        </w:rPr>
        <w:t>Contro</w:t>
      </w:r>
      <w:r>
        <w:rPr>
          <w:rFonts w:eastAsia="Times New Roman"/>
          <w:b/>
          <w:bCs/>
          <w:color w:val="000000"/>
          <w:sz w:val="20"/>
          <w:szCs w:val="20"/>
          <w:u w:val="single"/>
        </w:rPr>
        <w:t>ls and Procedures</w:t>
      </w:r>
    </w:p>
    <w:p w:rsidR="00000000" w:rsidRDefault="001F39D7">
      <w:pPr>
        <w:divId w:val="1342122368"/>
        <w:rPr>
          <w:rFonts w:eastAsia="Times New Roman"/>
        </w:rPr>
      </w:pPr>
    </w:p>
    <w:p w:rsidR="00000000" w:rsidRDefault="001F39D7">
      <w:pPr>
        <w:jc w:val="both"/>
        <w:rPr>
          <w:rFonts w:eastAsia="Times New Roman"/>
        </w:rPr>
      </w:pPr>
      <w:r>
        <w:rPr>
          <w:rFonts w:eastAsia="Times New Roman"/>
          <w:i/>
          <w:iCs/>
          <w:color w:val="000000"/>
          <w:sz w:val="20"/>
          <w:szCs w:val="20"/>
        </w:rPr>
        <w:t>Disclosure Controls and Procedures</w:t>
      </w:r>
    </w:p>
    <w:p w:rsidR="00000000" w:rsidRDefault="001F39D7">
      <w:pPr>
        <w:divId w:val="982539000"/>
        <w:rPr>
          <w:rFonts w:eastAsia="Times New Roman"/>
        </w:rPr>
      </w:pPr>
    </w:p>
    <w:p w:rsidR="00000000" w:rsidRDefault="001F39D7">
      <w:pPr>
        <w:jc w:val="both"/>
        <w:rPr>
          <w:rFonts w:eastAsia="Times New Roman"/>
        </w:rPr>
      </w:pPr>
      <w:r>
        <w:rPr>
          <w:rFonts w:eastAsia="Times New Roman"/>
          <w:color w:val="000000"/>
          <w:sz w:val="20"/>
          <w:szCs w:val="20"/>
        </w:rPr>
        <w:t>We carried out an evaluation required by the Securities Exchange Act of 1934, as amended (the “1934 Act”), under the supervision and with the participation of our principal executive officer and prin</w:t>
      </w:r>
      <w:r>
        <w:rPr>
          <w:rFonts w:eastAsia="Times New Roman"/>
          <w:color w:val="000000"/>
          <w:sz w:val="20"/>
          <w:szCs w:val="20"/>
        </w:rPr>
        <w:t xml:space="preserve">cipal financial officer, of the effectiveness of the design and operation of our disclosure controls and procedures (as defined in Rule 13a-15(e) and 15d-15(e) under the 1934 Act) as of December 25, 2021.  Based on this evaluation, our principal executive </w:t>
      </w:r>
      <w:r>
        <w:rPr>
          <w:rFonts w:eastAsia="Times New Roman"/>
          <w:color w:val="000000"/>
          <w:sz w:val="20"/>
          <w:szCs w:val="20"/>
        </w:rPr>
        <w:t>officer and principal financial officer concluded that, as of December 25, 2021, our disclosure controls and procedures were effective.</w:t>
      </w:r>
    </w:p>
    <w:p w:rsidR="00000000" w:rsidRDefault="001F39D7">
      <w:pPr>
        <w:jc w:val="both"/>
        <w:rPr>
          <w:rFonts w:eastAsia="Times New Roman"/>
        </w:rPr>
      </w:pPr>
    </w:p>
    <w:p w:rsidR="00000000" w:rsidRDefault="001F39D7">
      <w:pPr>
        <w:jc w:val="both"/>
        <w:rPr>
          <w:rFonts w:eastAsia="Times New Roman"/>
        </w:rPr>
      </w:pPr>
      <w:r>
        <w:rPr>
          <w:rFonts w:eastAsia="Times New Roman"/>
          <w:i/>
          <w:iCs/>
          <w:color w:val="000000"/>
          <w:sz w:val="20"/>
          <w:szCs w:val="20"/>
        </w:rPr>
        <w:t>Internal Control Over Financial Reporting</w:t>
      </w:r>
    </w:p>
    <w:p w:rsidR="00000000" w:rsidRDefault="001F39D7">
      <w:pPr>
        <w:divId w:val="189420721"/>
        <w:rPr>
          <w:rFonts w:eastAsia="Times New Roman"/>
        </w:rPr>
      </w:pPr>
    </w:p>
    <w:p w:rsidR="00000000" w:rsidRDefault="001F39D7">
      <w:pPr>
        <w:jc w:val="both"/>
        <w:rPr>
          <w:rFonts w:eastAsia="Times New Roman"/>
        </w:rPr>
      </w:pPr>
      <w:r>
        <w:rPr>
          <w:rFonts w:eastAsia="Times New Roman"/>
          <w:color w:val="000000"/>
          <w:sz w:val="20"/>
          <w:szCs w:val="20"/>
        </w:rPr>
        <w:t>A report of the Company’s management on the Company’s internal control ove</w:t>
      </w:r>
      <w:r>
        <w:rPr>
          <w:rFonts w:eastAsia="Times New Roman"/>
          <w:color w:val="000000"/>
          <w:sz w:val="20"/>
          <w:szCs w:val="20"/>
        </w:rPr>
        <w:t>r financial reporting (as such term is defined in Rule 13a-15(f) under the 1934 Act) and a report of Ernst &amp; Young LLP, an independent registered public accounting firm, on the effectiveness of the Company’s internal control over financial reporting are in</w:t>
      </w:r>
      <w:r>
        <w:rPr>
          <w:rFonts w:eastAsia="Times New Roman"/>
          <w:color w:val="000000"/>
          <w:sz w:val="20"/>
          <w:szCs w:val="20"/>
        </w:rPr>
        <w:t>cluded in Item 8 of this Annual Report on Form 10-K.</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reasonably likely to materially affect our inter</w:t>
      </w:r>
      <w:r>
        <w:rPr>
          <w:rFonts w:eastAsia="Times New Roman"/>
          <w:color w:val="000000"/>
          <w:sz w:val="20"/>
          <w:szCs w:val="20"/>
        </w:rPr>
        <w:t>nal control over financial reporting.</w:t>
      </w:r>
    </w:p>
    <w:p w:rsidR="00000000" w:rsidRDefault="001F39D7">
      <w:pPr>
        <w:divId w:val="817266636"/>
        <w:rPr>
          <w:rFonts w:eastAsia="Times New Roman"/>
        </w:rPr>
      </w:pPr>
    </w:p>
    <w:p w:rsidR="00000000" w:rsidRDefault="001F39D7">
      <w:pPr>
        <w:ind w:hanging="1440"/>
        <w:jc w:val="both"/>
        <w:rPr>
          <w:rFonts w:eastAsia="Times New Roman"/>
        </w:rPr>
      </w:pPr>
      <w:r>
        <w:rPr>
          <w:rFonts w:eastAsia="Times New Roman"/>
          <w:b/>
          <w:bCs/>
          <w:color w:val="000000"/>
          <w:sz w:val="20"/>
          <w:szCs w:val="20"/>
          <w:u w:val="single"/>
        </w:rPr>
        <w:t>Item 9B</w:t>
      </w:r>
      <w:r>
        <w:rPr>
          <w:rFonts w:eastAsia="Times New Roman"/>
          <w:b/>
          <w:bCs/>
          <w:color w:val="000000"/>
          <w:sz w:val="20"/>
          <w:szCs w:val="20"/>
        </w:rPr>
        <w:t>.    </w:t>
      </w:r>
      <w:r>
        <w:rPr>
          <w:rFonts w:eastAsia="Times New Roman"/>
          <w:b/>
          <w:bCs/>
          <w:color w:val="000000"/>
          <w:sz w:val="20"/>
          <w:szCs w:val="20"/>
          <w:u w:val="single"/>
        </w:rPr>
        <w:t>Other Information</w:t>
      </w:r>
    </w:p>
    <w:p w:rsidR="00000000" w:rsidRDefault="001F39D7">
      <w:pPr>
        <w:divId w:val="1551114729"/>
        <w:rPr>
          <w:rFonts w:eastAsia="Times New Roman"/>
        </w:rPr>
      </w:pPr>
    </w:p>
    <w:p w:rsidR="00000000" w:rsidRDefault="001F39D7">
      <w:pPr>
        <w:jc w:val="both"/>
        <w:rPr>
          <w:rFonts w:eastAsia="Times New Roman"/>
        </w:rPr>
      </w:pPr>
      <w:r>
        <w:rPr>
          <w:rFonts w:eastAsia="Times New Roman"/>
          <w:color w:val="000000"/>
          <w:sz w:val="20"/>
          <w:szCs w:val="20"/>
        </w:rPr>
        <w:t>None.</w:t>
      </w:r>
    </w:p>
    <w:p w:rsidR="00000000" w:rsidRDefault="001F39D7">
      <w:pPr>
        <w:jc w:val="both"/>
        <w:rPr>
          <w:rFonts w:eastAsia="Times New Roman"/>
        </w:rPr>
      </w:pPr>
    </w:p>
    <w:p w:rsidR="00000000" w:rsidRDefault="001F39D7">
      <w:pPr>
        <w:jc w:val="center"/>
        <w:rPr>
          <w:rFonts w:eastAsia="Times New Roman"/>
        </w:rPr>
      </w:pPr>
      <w:r>
        <w:rPr>
          <w:rFonts w:eastAsia="Times New Roman"/>
          <w:b/>
          <w:bCs/>
          <w:color w:val="000000"/>
          <w:sz w:val="20"/>
          <w:szCs w:val="20"/>
        </w:rPr>
        <w:t>PART III</w:t>
      </w:r>
    </w:p>
    <w:p w:rsidR="00000000" w:rsidRDefault="001F39D7">
      <w:pPr>
        <w:jc w:val="center"/>
        <w:rPr>
          <w:rFonts w:eastAsia="Times New Roman"/>
        </w:rPr>
      </w:pPr>
    </w:p>
    <w:p w:rsidR="00000000" w:rsidRDefault="001F39D7">
      <w:pPr>
        <w:ind w:hanging="1440"/>
        <w:jc w:val="both"/>
        <w:rPr>
          <w:rFonts w:eastAsia="Times New Roman"/>
        </w:rPr>
      </w:pPr>
      <w:r>
        <w:rPr>
          <w:rFonts w:eastAsia="Times New Roman"/>
          <w:b/>
          <w:bCs/>
          <w:color w:val="000000"/>
          <w:sz w:val="20"/>
          <w:szCs w:val="20"/>
          <w:u w:val="single"/>
        </w:rPr>
        <w:t>Item 10</w:t>
      </w:r>
      <w:r>
        <w:rPr>
          <w:rFonts w:eastAsia="Times New Roman"/>
          <w:b/>
          <w:bCs/>
          <w:color w:val="000000"/>
          <w:sz w:val="20"/>
          <w:szCs w:val="20"/>
        </w:rPr>
        <w:t>.    </w:t>
      </w:r>
      <w:r>
        <w:rPr>
          <w:rFonts w:eastAsia="Times New Roman"/>
          <w:b/>
          <w:bCs/>
          <w:color w:val="000000"/>
          <w:sz w:val="20"/>
          <w:szCs w:val="20"/>
          <w:u w:val="single"/>
        </w:rPr>
        <w:t>Directors, Executive Officers and Corporate Governance</w:t>
      </w:r>
    </w:p>
    <w:p w:rsidR="00000000" w:rsidRDefault="001F39D7">
      <w:pPr>
        <w:divId w:val="112210396"/>
        <w:rPr>
          <w:rFonts w:eastAsia="Times New Roman"/>
        </w:rPr>
      </w:pPr>
    </w:p>
    <w:p w:rsidR="00000000" w:rsidRDefault="001F39D7">
      <w:pPr>
        <w:jc w:val="both"/>
        <w:rPr>
          <w:rFonts w:eastAsia="Times New Roman"/>
        </w:rPr>
      </w:pPr>
      <w:r>
        <w:rPr>
          <w:rFonts w:eastAsia="Times New Roman"/>
          <w:color w:val="000000"/>
          <w:sz w:val="20"/>
          <w:szCs w:val="20"/>
        </w:rPr>
        <w:t>The information set forth under the caption “</w:t>
      </w:r>
      <w:r>
        <w:rPr>
          <w:rFonts w:eastAsia="Times New Roman"/>
          <w:color w:val="000000"/>
          <w:sz w:val="20"/>
          <w:szCs w:val="20"/>
        </w:rPr>
        <w:t>Information about our Executive Officers” in Part I of this Form 10-K is incorporated herein by reference.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information set forth under the captions “Item 1: Election of Directors,” “Board Meetings and Committees,” and “Delinquent Section 16(a) Report</w:t>
      </w:r>
      <w:r>
        <w:rPr>
          <w:rFonts w:eastAsia="Times New Roman"/>
          <w:color w:val="000000"/>
          <w:sz w:val="20"/>
          <w:szCs w:val="20"/>
        </w:rPr>
        <w:t>s” in our Proxy Statement for our Annual Meeting of Stockholders to be held on May 11, 2022, is incorporated herein by reference.</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Company has a Code of Ethics which covers all exempt employees, officers and directors of the Company, including the pri</w:t>
      </w:r>
      <w:r>
        <w:rPr>
          <w:rFonts w:eastAsia="Times New Roman"/>
          <w:color w:val="000000"/>
          <w:sz w:val="20"/>
          <w:szCs w:val="20"/>
        </w:rPr>
        <w:t xml:space="preserve">ncipal executive officer, principal financial officer, principal accounting officer and controller. The Code of Ethics is available in the “Corporate Governance” section of the Company’s website at </w:t>
      </w:r>
      <w:r>
        <w:rPr>
          <w:rFonts w:eastAsia="Times New Roman"/>
          <w:i/>
          <w:iCs/>
          <w:color w:val="000000"/>
          <w:sz w:val="20"/>
          <w:szCs w:val="20"/>
          <w:u w:val="single"/>
        </w:rPr>
        <w:t>TractorSupply.com</w:t>
      </w:r>
      <w:r>
        <w:rPr>
          <w:rFonts w:eastAsia="Times New Roman"/>
          <w:color w:val="000000"/>
          <w:sz w:val="20"/>
          <w:szCs w:val="20"/>
        </w:rPr>
        <w:t xml:space="preserve">. </w:t>
      </w:r>
      <w:r>
        <w:rPr>
          <w:rFonts w:eastAsia="Times New Roman"/>
          <w:color w:val="000000"/>
          <w:sz w:val="20"/>
          <w:szCs w:val="20"/>
        </w:rPr>
        <w:t xml:space="preserve">A copy of the Code of Ethics can also be obtained, free of charge, upon written request to the Corporate Secretary, Tractor Supply Company, 5401 Virginia Way, Brentwood, TN 37027. The Company intends to post amendments to or waivers, if any, from its Code </w:t>
      </w:r>
      <w:r>
        <w:rPr>
          <w:rFonts w:eastAsia="Times New Roman"/>
          <w:color w:val="000000"/>
          <w:sz w:val="20"/>
          <w:szCs w:val="20"/>
        </w:rPr>
        <w:t>of Ethics (to the extent applicable to its principal executive officer, principal financial officer, principal accounting officer or controller) on its website.</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11</w:t>
      </w:r>
      <w:r>
        <w:rPr>
          <w:rFonts w:eastAsia="Times New Roman"/>
          <w:b/>
          <w:bCs/>
          <w:color w:val="000000"/>
          <w:sz w:val="20"/>
          <w:szCs w:val="20"/>
        </w:rPr>
        <w:t>.        </w:t>
      </w:r>
      <w:r>
        <w:rPr>
          <w:rFonts w:eastAsia="Times New Roman"/>
          <w:b/>
          <w:bCs/>
          <w:color w:val="000000"/>
          <w:sz w:val="20"/>
          <w:szCs w:val="20"/>
          <w:u w:val="single"/>
        </w:rPr>
        <w:t>Executive Compensation</w:t>
      </w:r>
    </w:p>
    <w:p w:rsidR="00000000" w:rsidRDefault="001F39D7">
      <w:pPr>
        <w:jc w:val="both"/>
        <w:rPr>
          <w:rFonts w:eastAsia="Times New Roman"/>
        </w:rPr>
      </w:pPr>
    </w:p>
    <w:p w:rsidR="00000000" w:rsidRDefault="001F39D7">
      <w:pPr>
        <w:jc w:val="both"/>
        <w:rPr>
          <w:rFonts w:eastAsia="Times New Roman"/>
        </w:rPr>
      </w:pPr>
      <w:r>
        <w:rPr>
          <w:rFonts w:eastAsia="Times New Roman"/>
          <w:color w:val="000000"/>
          <w:sz w:val="20"/>
          <w:szCs w:val="20"/>
        </w:rPr>
        <w:t>The information set forth under the captions “Corpor</w:t>
      </w:r>
      <w:r>
        <w:rPr>
          <w:rFonts w:eastAsia="Times New Roman"/>
          <w:color w:val="000000"/>
          <w:sz w:val="20"/>
          <w:szCs w:val="20"/>
        </w:rPr>
        <w:t>ate Governance – Compensation Committee Interlocks and Insider Participation,” “Compensation of Directors,” and “Executive Compensation” in our Proxy Statement for our Annual Meeting of Stockholders to be held on May 11, 2022, is incorporated herein by ref</w:t>
      </w:r>
      <w:r>
        <w:rPr>
          <w:rFonts w:eastAsia="Times New Roman"/>
          <w:color w:val="000000"/>
          <w:sz w:val="20"/>
          <w:szCs w:val="20"/>
        </w:rPr>
        <w:t>erence.</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12</w:t>
      </w:r>
      <w:r>
        <w:rPr>
          <w:rFonts w:eastAsia="Times New Roman"/>
          <w:b/>
          <w:bCs/>
          <w:color w:val="000000"/>
          <w:sz w:val="20"/>
          <w:szCs w:val="20"/>
        </w:rPr>
        <w:t>.        </w:t>
      </w:r>
      <w:r>
        <w:rPr>
          <w:rFonts w:eastAsia="Times New Roman"/>
          <w:b/>
          <w:bCs/>
          <w:color w:val="000000"/>
          <w:sz w:val="20"/>
          <w:szCs w:val="20"/>
          <w:u w:val="single"/>
        </w:rPr>
        <w:t>Security Ownership of Certain Beneficial Owners and Management and Related Stockholder Matters</w:t>
      </w:r>
    </w:p>
    <w:p w:rsidR="00000000" w:rsidRDefault="001F39D7">
      <w:pPr>
        <w:divId w:val="1688293253"/>
        <w:rPr>
          <w:rFonts w:eastAsia="Times New Roman"/>
        </w:rPr>
      </w:pPr>
    </w:p>
    <w:p w:rsidR="00000000" w:rsidRDefault="001F39D7">
      <w:pPr>
        <w:jc w:val="both"/>
        <w:rPr>
          <w:rFonts w:eastAsia="Times New Roman"/>
        </w:rPr>
      </w:pPr>
      <w:r>
        <w:rPr>
          <w:rFonts w:eastAsia="Times New Roman"/>
          <w:color w:val="000000"/>
          <w:sz w:val="20"/>
          <w:szCs w:val="20"/>
        </w:rPr>
        <w:t>The information set forth under the caption “Security Ownership of Certain Beneficial Owners and Management” in our Proxy Statement f</w:t>
      </w:r>
      <w:r>
        <w:rPr>
          <w:rFonts w:eastAsia="Times New Roman"/>
          <w:color w:val="000000"/>
          <w:sz w:val="20"/>
          <w:szCs w:val="20"/>
        </w:rPr>
        <w:t>or our Annual Meeting of Stockholders to be held on May 11, 2022, is incorporated herein by reference.</w:t>
      </w:r>
    </w:p>
    <w:p w:rsidR="00000000" w:rsidRDefault="001F39D7">
      <w:pPr>
        <w:jc w:val="both"/>
        <w:rPr>
          <w:rFonts w:eastAsia="Times New Roman"/>
        </w:rPr>
      </w:pPr>
    </w:p>
    <w:p w:rsidR="00000000" w:rsidRDefault="001F39D7">
      <w:pPr>
        <w:jc w:val="center"/>
        <w:divId w:val="995306833"/>
        <w:rPr>
          <w:rFonts w:eastAsia="Times New Roman"/>
        </w:rPr>
      </w:pPr>
      <w:r>
        <w:rPr>
          <w:rFonts w:eastAsia="Times New Roman"/>
          <w:color w:val="000000"/>
          <w:sz w:val="20"/>
          <w:szCs w:val="20"/>
        </w:rPr>
        <w:t>75</w:t>
      </w:r>
    </w:p>
    <w:p w:rsidR="00000000" w:rsidRDefault="001F39D7">
      <w:pPr>
        <w:rPr>
          <w:rFonts w:eastAsia="Times New Roman"/>
        </w:rPr>
      </w:pPr>
      <w:r>
        <w:rPr>
          <w:rFonts w:eastAsia="Times New Roman"/>
        </w:rPr>
        <w:pict>
          <v:rect id="_x0000_i1104" style="width:0;height:1.5pt" o:hralign="center" o:hrstd="t" o:hr="t" fillcolor="#a0a0a0" stroked="f"/>
        </w:pict>
      </w:r>
    </w:p>
    <w:p w:rsidR="00000000" w:rsidRDefault="001F39D7">
      <w:pPr>
        <w:divId w:val="1021473348"/>
        <w:rPr>
          <w:rFonts w:eastAsia="Times New Roman"/>
        </w:rPr>
      </w:pPr>
      <w:hyperlink w:anchor="ia0680a7a640346e7afc1f53a5745d231_7" w:history="1">
        <w:r>
          <w:rPr>
            <w:rStyle w:val="a3"/>
            <w:rFonts w:eastAsia="Times New Roman"/>
            <w:sz w:val="18"/>
            <w:szCs w:val="18"/>
          </w:rPr>
          <w:t>Index</w:t>
        </w:r>
      </w:hyperlink>
    </w:p>
    <w:p w:rsidR="00000000" w:rsidRDefault="001F39D7">
      <w:pPr>
        <w:jc w:val="both"/>
        <w:rPr>
          <w:rFonts w:eastAsia="Times New Roman"/>
        </w:rPr>
      </w:pPr>
      <w:r>
        <w:rPr>
          <w:rFonts w:eastAsia="Times New Roman"/>
          <w:color w:val="000000"/>
          <w:sz w:val="20"/>
          <w:szCs w:val="20"/>
        </w:rPr>
        <w:t>Following is a summary of our equity compensatio</w:t>
      </w:r>
      <w:r>
        <w:rPr>
          <w:rFonts w:eastAsia="Times New Roman"/>
          <w:color w:val="000000"/>
          <w:sz w:val="20"/>
          <w:szCs w:val="20"/>
        </w:rPr>
        <w:t>n plans as of December 25, 2021, under which equity securities are authorized for issuance, aggregated as follows:</w:t>
      </w:r>
    </w:p>
    <w:tbl>
      <w:tblPr>
        <w:tblW w:w="5000" w:type="pct"/>
        <w:tblCellMar>
          <w:top w:w="15" w:type="dxa"/>
          <w:left w:w="15" w:type="dxa"/>
          <w:bottom w:w="15" w:type="dxa"/>
          <w:right w:w="15" w:type="dxa"/>
        </w:tblCellMar>
        <w:tblLook w:val="04A0" w:firstRow="1" w:lastRow="0" w:firstColumn="1" w:lastColumn="0" w:noHBand="0" w:noVBand="1"/>
      </w:tblPr>
      <w:tblGrid>
        <w:gridCol w:w="43"/>
        <w:gridCol w:w="3915"/>
        <w:gridCol w:w="37"/>
        <w:gridCol w:w="36"/>
        <w:gridCol w:w="36"/>
        <w:gridCol w:w="36"/>
        <w:gridCol w:w="121"/>
        <w:gridCol w:w="1100"/>
        <w:gridCol w:w="36"/>
        <w:gridCol w:w="37"/>
        <w:gridCol w:w="173"/>
        <w:gridCol w:w="36"/>
        <w:gridCol w:w="121"/>
        <w:gridCol w:w="1230"/>
        <w:gridCol w:w="36"/>
        <w:gridCol w:w="37"/>
        <w:gridCol w:w="179"/>
        <w:gridCol w:w="36"/>
        <w:gridCol w:w="74"/>
        <w:gridCol w:w="951"/>
        <w:gridCol w:w="36"/>
      </w:tblGrid>
      <w:tr w:rsidR="00000000">
        <w:tc>
          <w:tcPr>
            <w:tcW w:w="50" w:type="pct"/>
            <w:vAlign w:val="center"/>
            <w:hideMark/>
          </w:tcPr>
          <w:p w:rsidR="00000000" w:rsidRDefault="001F39D7">
            <w:pPr>
              <w:jc w:val="both"/>
              <w:rPr>
                <w:rFonts w:eastAsia="Times New Roman"/>
              </w:rPr>
            </w:pPr>
          </w:p>
        </w:tc>
        <w:tc>
          <w:tcPr>
            <w:tcW w:w="237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2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0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2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6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2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617"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Number of Securities to be</w:t>
            </w:r>
          </w:p>
          <w:p w:rsidR="00000000" w:rsidRDefault="001F39D7">
            <w:pPr>
              <w:spacing w:after="100"/>
              <w:jc w:val="center"/>
              <w:rPr>
                <w:rFonts w:eastAsia="Times New Roman"/>
              </w:rPr>
            </w:pPr>
            <w:r>
              <w:rPr>
                <w:rFonts w:eastAsia="Times New Roman"/>
                <w:b/>
                <w:bCs/>
                <w:color w:val="000000"/>
                <w:sz w:val="20"/>
                <w:szCs w:val="20"/>
              </w:rPr>
              <w:t>Issued Upon Exercise of</w:t>
            </w:r>
          </w:p>
          <w:p w:rsidR="00000000" w:rsidRDefault="001F39D7">
            <w:pPr>
              <w:spacing w:after="100"/>
              <w:jc w:val="center"/>
              <w:rPr>
                <w:rFonts w:eastAsia="Times New Roman"/>
              </w:rPr>
            </w:pPr>
            <w:r>
              <w:rPr>
                <w:rFonts w:eastAsia="Times New Roman"/>
                <w:b/>
                <w:bCs/>
                <w:color w:val="000000"/>
                <w:sz w:val="20"/>
                <w:szCs w:val="20"/>
              </w:rPr>
              <w:t>Outstanding Options, Warrants, and Rights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Weighted Average</w:t>
            </w:r>
          </w:p>
          <w:p w:rsidR="00000000" w:rsidRDefault="001F39D7">
            <w:pPr>
              <w:spacing w:after="100"/>
              <w:jc w:val="center"/>
              <w:rPr>
                <w:rFonts w:eastAsia="Times New Roman"/>
              </w:rPr>
            </w:pPr>
            <w:r>
              <w:rPr>
                <w:rFonts w:eastAsia="Times New Roman"/>
                <w:b/>
                <w:bCs/>
                <w:color w:val="000000"/>
                <w:sz w:val="20"/>
                <w:szCs w:val="20"/>
              </w:rPr>
              <w:t>Exercise Price of</w:t>
            </w:r>
          </w:p>
          <w:p w:rsidR="00000000" w:rsidRDefault="001F39D7">
            <w:pPr>
              <w:spacing w:after="100"/>
              <w:jc w:val="center"/>
              <w:rPr>
                <w:rFonts w:eastAsia="Times New Roman"/>
              </w:rPr>
            </w:pPr>
            <w:r>
              <w:rPr>
                <w:rFonts w:eastAsia="Times New Roman"/>
                <w:b/>
                <w:bCs/>
                <w:color w:val="000000"/>
                <w:sz w:val="20"/>
                <w:szCs w:val="20"/>
              </w:rPr>
              <w:t>Outstanding Options, Warrants and Rights</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rPr>
              <w:t>Number of Securities</w:t>
            </w:r>
          </w:p>
          <w:p w:rsidR="00000000" w:rsidRDefault="001F39D7">
            <w:pPr>
              <w:spacing w:after="100"/>
              <w:jc w:val="center"/>
              <w:rPr>
                <w:rFonts w:eastAsia="Times New Roman"/>
              </w:rPr>
            </w:pPr>
            <w:r>
              <w:rPr>
                <w:rFonts w:eastAsia="Times New Roman"/>
                <w:b/>
                <w:bCs/>
                <w:color w:val="000000"/>
                <w:sz w:val="20"/>
                <w:szCs w:val="20"/>
              </w:rPr>
              <w:t>Remaining Available</w:t>
            </w:r>
          </w:p>
          <w:p w:rsidR="00000000" w:rsidRDefault="001F39D7">
            <w:pPr>
              <w:spacing w:after="100"/>
              <w:jc w:val="center"/>
              <w:rPr>
                <w:rFonts w:eastAsia="Times New Roman"/>
              </w:rPr>
            </w:pPr>
            <w:r>
              <w:rPr>
                <w:rFonts w:eastAsia="Times New Roman"/>
                <w:b/>
                <w:bCs/>
                <w:color w:val="000000"/>
                <w:sz w:val="20"/>
                <w:szCs w:val="20"/>
              </w:rPr>
              <w:t>for Future Issuance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u w:val="single"/>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Stock Incentive Plans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1,878,748 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3"/>
                <w:szCs w:val="13"/>
              </w:rPr>
              <w:t>(a</w:t>
            </w:r>
            <w:r>
              <w:rPr>
                <w:rFonts w:eastAsia="Times New Roman"/>
                <w:color w:val="000000"/>
                <w:sz w:val="13"/>
                <w:szCs w:val="13"/>
              </w:rPr>
              <w:t>)</w:t>
            </w:r>
          </w:p>
        </w:tc>
        <w:tc>
          <w:tcPr>
            <w:tcW w:w="0" w:type="auto"/>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95.85 </w:t>
            </w:r>
          </w:p>
        </w:tc>
        <w:tc>
          <w:tcPr>
            <w:tcW w:w="0" w:type="auto"/>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9,851,807 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Employee Stock Purchase Plan</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11,759,546 </w:t>
            </w:r>
          </w:p>
        </w:tc>
        <w:tc>
          <w:tcPr>
            <w:tcW w:w="0" w:type="auto"/>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u w:val="single"/>
              </w:rPr>
              <w:t>Equity compensation plans not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F39D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1,878,748 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95.85 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F39D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F39D7">
            <w:pPr>
              <w:spacing w:after="100"/>
              <w:jc w:val="right"/>
              <w:rPr>
                <w:rFonts w:eastAsia="Times New Roman"/>
              </w:rPr>
            </w:pPr>
            <w:r>
              <w:rPr>
                <w:rFonts w:eastAsia="Times New Roman"/>
                <w:color w:val="000000"/>
                <w:sz w:val="20"/>
                <w:szCs w:val="20"/>
              </w:rPr>
              <w:t>21,611,353 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F39D7">
            <w:pPr>
              <w:spacing w:after="100"/>
              <w:jc w:val="right"/>
              <w:rPr>
                <w:rFonts w:eastAsia="Times New Roman"/>
              </w:rPr>
            </w:pPr>
          </w:p>
        </w:tc>
      </w:tr>
    </w:tbl>
    <w:p w:rsidR="00000000" w:rsidRDefault="001F39D7">
      <w:pPr>
        <w:ind w:hanging="180"/>
        <w:jc w:val="both"/>
        <w:rPr>
          <w:rFonts w:eastAsia="Times New Roman"/>
        </w:rPr>
      </w:pPr>
    </w:p>
    <w:p w:rsidR="00000000" w:rsidRDefault="001F39D7">
      <w:pPr>
        <w:ind w:hanging="180"/>
        <w:jc w:val="both"/>
        <w:rPr>
          <w:rFonts w:eastAsia="Times New Roman"/>
        </w:rPr>
      </w:pPr>
      <w:r>
        <w:rPr>
          <w:rFonts w:eastAsia="Times New Roman"/>
          <w:color w:val="000000"/>
          <w:sz w:val="10"/>
          <w:szCs w:val="10"/>
        </w:rPr>
        <w:t>(a)</w:t>
      </w:r>
      <w:r>
        <w:rPr>
          <w:rFonts w:eastAsia="Times New Roman"/>
          <w:color w:val="000000"/>
          <w:sz w:val="10"/>
          <w:szCs w:val="10"/>
        </w:rPr>
        <w:t xml:space="preserve"> </w:t>
      </w:r>
      <w:r>
        <w:rPr>
          <w:rFonts w:eastAsia="Times New Roman"/>
          <w:color w:val="000000"/>
          <w:sz w:val="16"/>
          <w:szCs w:val="16"/>
        </w:rPr>
        <w:t>Includes 1,168,311 outstanding stock options, 480,717 unvested restricted stock units and 42,702 restricted stock units which have vested but the receipt of which have been deferred by the r</w:t>
      </w:r>
      <w:r>
        <w:rPr>
          <w:rFonts w:eastAsia="Times New Roman"/>
          <w:color w:val="000000"/>
          <w:sz w:val="16"/>
          <w:szCs w:val="16"/>
        </w:rPr>
        <w:t>ecipient, and 187,018 unvested performance-based restricted share units. The 2006 Stock Incentive Plan was superseded in May 2009 by the 2009 Stock Incentive Plan. The 2009 Stock Incentive Plan was superseded in May 2018 by the 2018 Omnibus Incentive Plan.</w:t>
      </w:r>
      <w:r>
        <w:rPr>
          <w:rFonts w:eastAsia="Times New Roman"/>
          <w:color w:val="000000"/>
          <w:sz w:val="16"/>
          <w:szCs w:val="16"/>
        </w:rPr>
        <w:t xml:space="preserve"> Shares available under the 2018 Omnibus Incentive Plan are reduced by one share for each share issued pursuant to the exercise of a stock option and by two shares for each share issued pursuant to a full-value award (e.g., restricted stock unit or perform</w:t>
      </w:r>
      <w:r>
        <w:rPr>
          <w:rFonts w:eastAsia="Times New Roman"/>
          <w:color w:val="000000"/>
          <w:sz w:val="16"/>
          <w:szCs w:val="16"/>
        </w:rPr>
        <w:t>ance-based restricted share unit).</w:t>
      </w:r>
    </w:p>
    <w:p w:rsidR="00000000" w:rsidRDefault="001F39D7">
      <w:pPr>
        <w:ind w:hanging="180"/>
        <w:jc w:val="both"/>
        <w:rPr>
          <w:rFonts w:eastAsia="Times New Roman"/>
        </w:rPr>
      </w:pPr>
    </w:p>
    <w:p w:rsidR="00000000" w:rsidRDefault="001F39D7">
      <w:pPr>
        <w:ind w:hanging="180"/>
        <w:jc w:val="both"/>
        <w:rPr>
          <w:rFonts w:eastAsia="Times New Roman"/>
        </w:rPr>
      </w:pPr>
      <w:r>
        <w:rPr>
          <w:rFonts w:eastAsia="Times New Roman"/>
          <w:color w:val="000000"/>
          <w:sz w:val="10"/>
          <w:szCs w:val="10"/>
        </w:rPr>
        <w:t>(b)</w:t>
      </w:r>
      <w:r>
        <w:rPr>
          <w:rFonts w:eastAsia="Times New Roman"/>
          <w:color w:val="000000"/>
          <w:sz w:val="10"/>
          <w:szCs w:val="10"/>
        </w:rPr>
        <w:t xml:space="preserve"> </w:t>
      </w:r>
      <w:r>
        <w:rPr>
          <w:rFonts w:eastAsia="Times New Roman"/>
          <w:color w:val="000000"/>
          <w:sz w:val="16"/>
          <w:szCs w:val="16"/>
        </w:rPr>
        <w:t>Excludes restricted stock units and performance-based restricted share units which have a weighted average exercise price of zero.</w:t>
      </w:r>
    </w:p>
    <w:p w:rsidR="00000000" w:rsidRDefault="001F39D7">
      <w:pPr>
        <w:ind w:hanging="180"/>
        <w:jc w:val="both"/>
        <w:rPr>
          <w:rFonts w:eastAsia="Times New Roman"/>
        </w:rPr>
      </w:pPr>
    </w:p>
    <w:p w:rsidR="00000000" w:rsidRDefault="001F39D7">
      <w:pPr>
        <w:jc w:val="both"/>
        <w:rPr>
          <w:rFonts w:eastAsia="Times New Roman"/>
        </w:rPr>
      </w:pPr>
      <w:r>
        <w:rPr>
          <w:rFonts w:eastAsia="Times New Roman"/>
          <w:color w:val="000000"/>
          <w:sz w:val="20"/>
          <w:szCs w:val="20"/>
        </w:rPr>
        <w:t>The information set forth in Note 2 to the Consolidated Financial Statements contained in this Form 10-K provides further i</w:t>
      </w:r>
      <w:r>
        <w:rPr>
          <w:rFonts w:eastAsia="Times New Roman"/>
          <w:color w:val="000000"/>
          <w:sz w:val="20"/>
          <w:szCs w:val="20"/>
        </w:rPr>
        <w:t>nformation with respect to the material features of each plan.</w:t>
      </w:r>
    </w:p>
    <w:p w:rsidR="00000000" w:rsidRDefault="001F39D7">
      <w:pPr>
        <w:divId w:val="1579903545"/>
        <w:rPr>
          <w:rFonts w:eastAsia="Times New Roman"/>
        </w:rPr>
      </w:pPr>
    </w:p>
    <w:p w:rsidR="00000000" w:rsidRDefault="001F39D7">
      <w:pPr>
        <w:jc w:val="both"/>
        <w:rPr>
          <w:rFonts w:eastAsia="Times New Roman"/>
        </w:rPr>
      </w:pPr>
      <w:r>
        <w:rPr>
          <w:rFonts w:eastAsia="Times New Roman"/>
          <w:b/>
          <w:bCs/>
          <w:color w:val="000000"/>
          <w:sz w:val="20"/>
          <w:szCs w:val="20"/>
          <w:u w:val="single"/>
        </w:rPr>
        <w:t>Item 13</w:t>
      </w:r>
      <w:r>
        <w:rPr>
          <w:rFonts w:eastAsia="Times New Roman"/>
          <w:b/>
          <w:bCs/>
          <w:color w:val="000000"/>
          <w:sz w:val="20"/>
          <w:szCs w:val="20"/>
        </w:rPr>
        <w:t>.        </w:t>
      </w:r>
      <w:r>
        <w:rPr>
          <w:rFonts w:eastAsia="Times New Roman"/>
          <w:b/>
          <w:bCs/>
          <w:color w:val="000000"/>
          <w:sz w:val="20"/>
          <w:szCs w:val="20"/>
          <w:u w:val="single"/>
        </w:rPr>
        <w:t>Certain Relationships and Related Transactions, and Director Independence</w:t>
      </w:r>
    </w:p>
    <w:p w:rsidR="00000000" w:rsidRDefault="001F39D7">
      <w:pPr>
        <w:divId w:val="710150980"/>
        <w:rPr>
          <w:rFonts w:eastAsia="Times New Roman"/>
        </w:rPr>
      </w:pPr>
    </w:p>
    <w:p w:rsidR="00000000" w:rsidRDefault="001F39D7">
      <w:pPr>
        <w:jc w:val="both"/>
        <w:rPr>
          <w:rFonts w:eastAsia="Times New Roman"/>
        </w:rPr>
      </w:pPr>
      <w:r>
        <w:rPr>
          <w:rFonts w:eastAsia="Times New Roman"/>
          <w:color w:val="000000"/>
          <w:sz w:val="20"/>
          <w:szCs w:val="20"/>
        </w:rPr>
        <w:t>The information set forth under the captions “Corporate Governance – Director Independence and Boar</w:t>
      </w:r>
      <w:r>
        <w:rPr>
          <w:rFonts w:eastAsia="Times New Roman"/>
          <w:color w:val="000000"/>
          <w:sz w:val="20"/>
          <w:szCs w:val="20"/>
        </w:rPr>
        <w:t>d Operations” and “Related Party Transactions” in our Proxy Statement for our Annual Meeting of Stockholders to be held on May 11, 2022, is incorporated herein by reference.</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14</w:t>
      </w:r>
      <w:r>
        <w:rPr>
          <w:rFonts w:eastAsia="Times New Roman"/>
          <w:b/>
          <w:bCs/>
          <w:color w:val="000000"/>
          <w:sz w:val="20"/>
          <w:szCs w:val="20"/>
        </w:rPr>
        <w:t>.        </w:t>
      </w:r>
      <w:r>
        <w:rPr>
          <w:rFonts w:eastAsia="Times New Roman"/>
          <w:b/>
          <w:bCs/>
          <w:color w:val="000000"/>
          <w:sz w:val="20"/>
          <w:szCs w:val="20"/>
          <w:u w:val="single"/>
        </w:rPr>
        <w:t>Principal Accountant Fees and Services</w:t>
      </w:r>
    </w:p>
    <w:p w:rsidR="00000000" w:rsidRDefault="001F39D7">
      <w:pPr>
        <w:divId w:val="1232696355"/>
        <w:rPr>
          <w:rFonts w:eastAsia="Times New Roman"/>
        </w:rPr>
      </w:pPr>
    </w:p>
    <w:p w:rsidR="00000000" w:rsidRDefault="001F39D7">
      <w:pPr>
        <w:jc w:val="both"/>
        <w:rPr>
          <w:rFonts w:eastAsia="Times New Roman"/>
        </w:rPr>
      </w:pPr>
      <w:r>
        <w:rPr>
          <w:rFonts w:eastAsia="Times New Roman"/>
          <w:color w:val="000000"/>
          <w:sz w:val="20"/>
          <w:szCs w:val="20"/>
        </w:rPr>
        <w:t>The information set for</w:t>
      </w:r>
      <w:r>
        <w:rPr>
          <w:rFonts w:eastAsia="Times New Roman"/>
          <w:color w:val="000000"/>
          <w:sz w:val="20"/>
          <w:szCs w:val="20"/>
        </w:rPr>
        <w:t>th under the caption “Item 2 – Ratification of Reappointment of Independent Registered Public Accounting Firm” in our Proxy Statement for our Annual Meeting of Stockholders to be held on May 11, 2022, is incorporated herein by reference.</w:t>
      </w:r>
    </w:p>
    <w:p w:rsidR="00000000" w:rsidRDefault="001F39D7">
      <w:pPr>
        <w:jc w:val="center"/>
        <w:rPr>
          <w:rFonts w:eastAsia="Times New Roman"/>
        </w:rPr>
      </w:pPr>
      <w:r>
        <w:rPr>
          <w:rFonts w:eastAsia="Times New Roman"/>
          <w:b/>
          <w:bCs/>
          <w:color w:val="000000"/>
          <w:sz w:val="20"/>
          <w:szCs w:val="20"/>
        </w:rPr>
        <w:t>PART IV</w:t>
      </w:r>
    </w:p>
    <w:p w:rsidR="00000000" w:rsidRDefault="001F39D7">
      <w:pPr>
        <w:divId w:val="193539368"/>
        <w:rPr>
          <w:rFonts w:eastAsia="Times New Roman"/>
        </w:rPr>
      </w:pPr>
    </w:p>
    <w:p w:rsidR="00000000" w:rsidRDefault="001F39D7">
      <w:pPr>
        <w:jc w:val="both"/>
        <w:rPr>
          <w:rFonts w:eastAsia="Times New Roman"/>
        </w:rPr>
      </w:pPr>
      <w:r>
        <w:rPr>
          <w:rFonts w:eastAsia="Times New Roman"/>
          <w:b/>
          <w:bCs/>
          <w:color w:val="000000"/>
          <w:sz w:val="20"/>
          <w:szCs w:val="20"/>
          <w:u w:val="single"/>
        </w:rPr>
        <w:t>Item 15</w:t>
      </w:r>
      <w:r>
        <w:rPr>
          <w:rFonts w:eastAsia="Times New Roman"/>
          <w:b/>
          <w:bCs/>
          <w:color w:val="000000"/>
          <w:sz w:val="20"/>
          <w:szCs w:val="20"/>
        </w:rPr>
        <w:t>.</w:t>
      </w:r>
      <w:r>
        <w:rPr>
          <w:rFonts w:eastAsia="Times New Roman"/>
          <w:b/>
          <w:bCs/>
          <w:color w:val="000000"/>
          <w:sz w:val="20"/>
          <w:szCs w:val="20"/>
        </w:rPr>
        <w:t>        </w:t>
      </w:r>
      <w:r>
        <w:rPr>
          <w:rFonts w:eastAsia="Times New Roman"/>
          <w:b/>
          <w:bCs/>
          <w:color w:val="000000"/>
          <w:sz w:val="20"/>
          <w:szCs w:val="20"/>
          <w:u w:val="single"/>
        </w:rPr>
        <w:t>Exhibits and Financial Statement Schedules</w:t>
      </w:r>
    </w:p>
    <w:p w:rsidR="00000000" w:rsidRDefault="001F39D7">
      <w:pPr>
        <w:divId w:val="1661689188"/>
        <w:rPr>
          <w:rFonts w:eastAsia="Times New Roman"/>
        </w:rPr>
      </w:pPr>
    </w:p>
    <w:p w:rsidR="00000000" w:rsidRDefault="001F39D7">
      <w:pPr>
        <w:divId w:val="1660112534"/>
        <w:rPr>
          <w:rFonts w:eastAsia="Times New Roman"/>
        </w:rPr>
      </w:pPr>
      <w:r>
        <w:rPr>
          <w:rFonts w:eastAsia="Times New Roman"/>
          <w:color w:val="000000"/>
          <w:sz w:val="20"/>
          <w:szCs w:val="20"/>
        </w:rPr>
        <w:t>(a) (1)    Financial Statements    </w:t>
      </w:r>
    </w:p>
    <w:p w:rsidR="00000000" w:rsidRDefault="001F39D7">
      <w:pPr>
        <w:divId w:val="1583369896"/>
        <w:rPr>
          <w:rFonts w:eastAsia="Times New Roman"/>
        </w:rPr>
      </w:pPr>
    </w:p>
    <w:p w:rsidR="00000000" w:rsidRDefault="001F39D7">
      <w:pPr>
        <w:ind w:firstLine="720"/>
        <w:jc w:val="both"/>
        <w:rPr>
          <w:rFonts w:eastAsia="Times New Roman"/>
        </w:rPr>
      </w:pPr>
      <w:r>
        <w:rPr>
          <w:rFonts w:eastAsia="Times New Roman"/>
          <w:color w:val="000000"/>
          <w:sz w:val="20"/>
          <w:szCs w:val="20"/>
        </w:rPr>
        <w:t>See Consolidated Financial Statements under Item 8 on pages 44 through 74 of this Form 10-K.</w:t>
      </w:r>
    </w:p>
    <w:p w:rsidR="00000000" w:rsidRDefault="001F39D7">
      <w:pPr>
        <w:divId w:val="276640363"/>
        <w:rPr>
          <w:rFonts w:eastAsia="Times New Roman"/>
        </w:rPr>
      </w:pPr>
    </w:p>
    <w:p w:rsidR="00000000" w:rsidRDefault="001F39D7">
      <w:pPr>
        <w:divId w:val="1251695961"/>
        <w:rPr>
          <w:rFonts w:eastAsia="Times New Roman"/>
        </w:rPr>
      </w:pPr>
      <w:r>
        <w:rPr>
          <w:rFonts w:eastAsia="Times New Roman"/>
          <w:color w:val="000000"/>
          <w:sz w:val="20"/>
          <w:szCs w:val="20"/>
        </w:rPr>
        <w:t>(a) (2)    Financial Statement Schedules</w:t>
      </w:r>
    </w:p>
    <w:p w:rsidR="00000000" w:rsidRDefault="001F39D7">
      <w:pPr>
        <w:divId w:val="1236086345"/>
        <w:rPr>
          <w:rFonts w:eastAsia="Times New Roman"/>
        </w:rPr>
      </w:pPr>
    </w:p>
    <w:p w:rsidR="00000000" w:rsidRDefault="001F39D7">
      <w:pPr>
        <w:jc w:val="both"/>
        <w:rPr>
          <w:rFonts w:eastAsia="Times New Roman"/>
        </w:rPr>
      </w:pPr>
      <w:r>
        <w:rPr>
          <w:rFonts w:eastAsia="Times New Roman"/>
          <w:color w:val="000000"/>
          <w:sz w:val="20"/>
          <w:szCs w:val="20"/>
        </w:rPr>
        <w:t>All schedules for which provision is made in the applicable accounting regulations of the SEC are not required under the related instructions, are inapplicable or the information is included in the Consolidated Financial Statements and, therefore, have bee</w:t>
      </w:r>
      <w:r>
        <w:rPr>
          <w:rFonts w:eastAsia="Times New Roman"/>
          <w:color w:val="000000"/>
          <w:sz w:val="20"/>
          <w:szCs w:val="20"/>
        </w:rPr>
        <w:t>n omitted.</w:t>
      </w:r>
    </w:p>
    <w:p w:rsidR="00000000" w:rsidRDefault="001F39D7">
      <w:pPr>
        <w:divId w:val="916091978"/>
        <w:rPr>
          <w:rFonts w:eastAsia="Times New Roman"/>
        </w:rPr>
      </w:pPr>
    </w:p>
    <w:p w:rsidR="00000000" w:rsidRDefault="001F39D7">
      <w:pPr>
        <w:divId w:val="1483428886"/>
        <w:rPr>
          <w:rFonts w:eastAsia="Times New Roman"/>
        </w:rPr>
      </w:pPr>
      <w:r>
        <w:rPr>
          <w:rFonts w:eastAsia="Times New Roman"/>
          <w:color w:val="000000"/>
          <w:sz w:val="20"/>
          <w:szCs w:val="20"/>
        </w:rPr>
        <w:t>(a) (3)    Exhibits</w:t>
      </w:r>
    </w:p>
    <w:p w:rsidR="00000000" w:rsidRDefault="001F39D7">
      <w:pPr>
        <w:divId w:val="1620796473"/>
        <w:rPr>
          <w:rFonts w:eastAsia="Times New Roman"/>
        </w:rPr>
      </w:pPr>
    </w:p>
    <w:p w:rsidR="00000000" w:rsidRDefault="001F39D7">
      <w:pPr>
        <w:jc w:val="both"/>
        <w:rPr>
          <w:rFonts w:eastAsia="Times New Roman"/>
        </w:rPr>
      </w:pPr>
      <w:r>
        <w:rPr>
          <w:rFonts w:eastAsia="Times New Roman"/>
          <w:color w:val="000000"/>
          <w:sz w:val="20"/>
          <w:szCs w:val="20"/>
        </w:rPr>
        <w:t>The exhibits listed in the Index to Exhibits, which appears on pages 78 through 81 of this Form 10-K, are incorporated herein by reference or filed as part of this Form 10-K.</w:t>
      </w:r>
    </w:p>
    <w:p w:rsidR="00000000" w:rsidRDefault="001F39D7">
      <w:pPr>
        <w:jc w:val="both"/>
        <w:rPr>
          <w:rFonts w:eastAsia="Times New Roman"/>
        </w:rPr>
      </w:pPr>
    </w:p>
    <w:p w:rsidR="00000000" w:rsidRDefault="001F39D7">
      <w:pPr>
        <w:jc w:val="both"/>
        <w:rPr>
          <w:rFonts w:eastAsia="Times New Roman"/>
        </w:rPr>
      </w:pPr>
      <w:r>
        <w:rPr>
          <w:rFonts w:eastAsia="Times New Roman"/>
          <w:b/>
          <w:bCs/>
          <w:color w:val="000000"/>
          <w:sz w:val="20"/>
          <w:szCs w:val="20"/>
          <w:u w:val="single"/>
        </w:rPr>
        <w:t>Item 16</w:t>
      </w:r>
      <w:r>
        <w:rPr>
          <w:rFonts w:eastAsia="Times New Roman"/>
          <w:b/>
          <w:bCs/>
          <w:color w:val="000000"/>
          <w:sz w:val="20"/>
          <w:szCs w:val="20"/>
        </w:rPr>
        <w:t>.        </w:t>
      </w:r>
      <w:r>
        <w:rPr>
          <w:rFonts w:eastAsia="Times New Roman"/>
          <w:b/>
          <w:bCs/>
          <w:color w:val="000000"/>
          <w:sz w:val="20"/>
          <w:szCs w:val="20"/>
          <w:u w:val="single"/>
        </w:rPr>
        <w:t>Form 10-K Summary</w:t>
      </w:r>
    </w:p>
    <w:p w:rsidR="00000000" w:rsidRDefault="001F39D7">
      <w:pPr>
        <w:divId w:val="209920604"/>
        <w:rPr>
          <w:rFonts w:eastAsia="Times New Roman"/>
        </w:rPr>
      </w:pPr>
    </w:p>
    <w:p w:rsidR="00000000" w:rsidRDefault="001F39D7">
      <w:pPr>
        <w:divId w:val="756637190"/>
        <w:rPr>
          <w:rFonts w:eastAsia="Times New Roman"/>
        </w:rPr>
      </w:pPr>
      <w:r>
        <w:rPr>
          <w:rFonts w:eastAsia="Times New Roman"/>
          <w:color w:val="000000"/>
          <w:sz w:val="20"/>
          <w:szCs w:val="20"/>
        </w:rPr>
        <w:t>None.</w:t>
      </w:r>
    </w:p>
    <w:p w:rsidR="00000000" w:rsidRDefault="001F39D7">
      <w:pPr>
        <w:jc w:val="center"/>
        <w:divId w:val="1002662311"/>
        <w:rPr>
          <w:rFonts w:eastAsia="Times New Roman"/>
        </w:rPr>
      </w:pPr>
      <w:r>
        <w:rPr>
          <w:rFonts w:eastAsia="Times New Roman"/>
          <w:color w:val="000000"/>
          <w:sz w:val="20"/>
          <w:szCs w:val="20"/>
        </w:rPr>
        <w:t>76</w:t>
      </w:r>
    </w:p>
    <w:p w:rsidR="00000000" w:rsidRDefault="001F39D7">
      <w:pPr>
        <w:rPr>
          <w:rFonts w:eastAsia="Times New Roman"/>
        </w:rPr>
      </w:pPr>
      <w:r>
        <w:rPr>
          <w:rFonts w:eastAsia="Times New Roman"/>
        </w:rPr>
        <w:pict>
          <v:rect id="_x0000_i1105" style="width:0;height:1.5pt" o:hralign="center" o:hrstd="t" o:hr="t" fillcolor="#a0a0a0" stroked="f"/>
        </w:pict>
      </w:r>
    </w:p>
    <w:p w:rsidR="00000000" w:rsidRDefault="001F39D7">
      <w:pPr>
        <w:divId w:val="473643864"/>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SIGNATURES</w:t>
      </w:r>
    </w:p>
    <w:p w:rsidR="00000000" w:rsidRDefault="001F39D7">
      <w:pPr>
        <w:divId w:val="1854370402"/>
        <w:rPr>
          <w:rFonts w:eastAsia="Times New Roman"/>
        </w:rPr>
      </w:pPr>
    </w:p>
    <w:p w:rsidR="00000000" w:rsidRDefault="001F39D7">
      <w:pPr>
        <w:jc w:val="both"/>
        <w:rPr>
          <w:rFonts w:eastAsia="Times New Roman"/>
        </w:rPr>
      </w:pPr>
      <w:r>
        <w:rPr>
          <w:rFonts w:eastAsia="Times New Roman"/>
          <w:color w:val="000000"/>
          <w:sz w:val="20"/>
          <w:szCs w:val="20"/>
        </w:rPr>
        <w:t xml:space="preserve">Pursuant to the requirements of Section 13 or 15(d) of the Securities Exchange Act of 1934, the Registrant has duly caused this report to be </w:t>
      </w:r>
      <w:r>
        <w:rPr>
          <w:rFonts w:eastAsia="Times New Roman"/>
          <w:color w:val="000000"/>
          <w:sz w:val="20"/>
          <w:szCs w:val="20"/>
        </w:rPr>
        <w:t xml:space="preserve">signed on its behalf by the undersigned, thereunto duly authorized. </w:t>
      </w:r>
    </w:p>
    <w:p w:rsidR="00000000" w:rsidRDefault="001F39D7">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81"/>
        <w:gridCol w:w="385"/>
        <w:gridCol w:w="36"/>
        <w:gridCol w:w="50"/>
        <w:gridCol w:w="2628"/>
        <w:gridCol w:w="36"/>
        <w:gridCol w:w="78"/>
        <w:gridCol w:w="244"/>
        <w:gridCol w:w="37"/>
        <w:gridCol w:w="61"/>
        <w:gridCol w:w="4573"/>
        <w:gridCol w:w="36"/>
      </w:tblGrid>
      <w:tr w:rsidR="00000000">
        <w:tc>
          <w:tcPr>
            <w:tcW w:w="50" w:type="pct"/>
            <w:vAlign w:val="center"/>
            <w:hideMark/>
          </w:tcPr>
          <w:p w:rsidR="00000000" w:rsidRDefault="001F39D7">
            <w:pPr>
              <w:jc w:val="both"/>
              <w:rPr>
                <w:rFonts w:eastAsia="Times New Roman"/>
              </w:rPr>
            </w:pPr>
          </w:p>
        </w:tc>
        <w:tc>
          <w:tcPr>
            <w:tcW w:w="23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601"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58"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2780"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1F39D7">
            <w:pPr>
              <w:spacing w:after="100"/>
              <w:rPr>
                <w:rFonts w:eastAsia="Times New Roman"/>
              </w:rPr>
            </w:pPr>
            <w:r>
              <w:rPr>
                <w:rFonts w:eastAsia="Times New Roman"/>
                <w:color w:val="000000"/>
                <w:sz w:val="20"/>
                <w:szCs w:val="20"/>
              </w:rPr>
              <w:t>TRACTOR SUPPLY COMPANY </w:t>
            </w:r>
          </w:p>
        </w:tc>
      </w:tr>
      <w:tr w:rsidR="00000000">
        <w:trPr>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u w:val="single"/>
              </w:rPr>
              <w:t>February 17, 2022</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1F39D7">
            <w:pPr>
              <w:spacing w:after="100"/>
              <w:divId w:val="1349402682"/>
              <w:rPr>
                <w:rFonts w:eastAsia="Times New Roman"/>
              </w:rPr>
            </w:pPr>
            <w:r>
              <w:rPr>
                <w:rFonts w:eastAsia="Times New Roman"/>
                <w:color w:val="000000"/>
                <w:sz w:val="20"/>
                <w:szCs w:val="20"/>
                <w:u w:val="single"/>
              </w:rPr>
              <w:t>/s/ Kurt D. Barton</w:t>
            </w:r>
          </w:p>
          <w:p w:rsidR="00000000" w:rsidRDefault="001F39D7">
            <w:pPr>
              <w:spacing w:after="100"/>
              <w:divId w:val="155733580"/>
              <w:rPr>
                <w:rFonts w:eastAsia="Times New Roman"/>
              </w:rPr>
            </w:pPr>
            <w:r>
              <w:rPr>
                <w:rFonts w:eastAsia="Times New Roman"/>
                <w:color w:val="000000"/>
                <w:sz w:val="20"/>
                <w:szCs w:val="20"/>
              </w:rPr>
              <w:t xml:space="preserve">Executive Vice President – </w:t>
            </w:r>
            <w:r>
              <w:rPr>
                <w:rFonts w:eastAsia="Times New Roman"/>
                <w:color w:val="000000"/>
                <w:sz w:val="20"/>
                <w:szCs w:val="20"/>
              </w:rPr>
              <w:t>Chief Financial Officer and Treasurer</w:t>
            </w:r>
          </w:p>
        </w:tc>
      </w:tr>
    </w:tbl>
    <w:p w:rsidR="00000000" w:rsidRDefault="001F39D7">
      <w:pPr>
        <w:divId w:val="647586462"/>
        <w:rPr>
          <w:rFonts w:eastAsia="Times New Roman"/>
        </w:rPr>
      </w:pPr>
    </w:p>
    <w:p w:rsidR="00000000" w:rsidRDefault="001F39D7">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3151"/>
        <w:gridCol w:w="37"/>
        <w:gridCol w:w="69"/>
        <w:gridCol w:w="3053"/>
        <w:gridCol w:w="36"/>
        <w:gridCol w:w="69"/>
        <w:gridCol w:w="428"/>
        <w:gridCol w:w="36"/>
        <w:gridCol w:w="69"/>
        <w:gridCol w:w="1253"/>
        <w:gridCol w:w="36"/>
      </w:tblGrid>
      <w:tr w:rsidR="00000000">
        <w:trPr>
          <w:divId w:val="1818106209"/>
        </w:trPr>
        <w:tc>
          <w:tcPr>
            <w:tcW w:w="50" w:type="pct"/>
            <w:vAlign w:val="center"/>
            <w:hideMark/>
          </w:tcPr>
          <w:p w:rsidR="00000000" w:rsidRDefault="001F39D7">
            <w:pPr>
              <w:jc w:val="both"/>
              <w:rPr>
                <w:rFonts w:eastAsia="Times New Roman"/>
              </w:rPr>
            </w:pPr>
          </w:p>
        </w:tc>
        <w:tc>
          <w:tcPr>
            <w:tcW w:w="190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184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2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763"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818106209"/>
        </w:trPr>
        <w:tc>
          <w:tcPr>
            <w:tcW w:w="0" w:type="auto"/>
            <w:gridSpan w:val="3"/>
            <w:tcMar>
              <w:top w:w="30" w:type="dxa"/>
              <w:left w:w="20" w:type="dxa"/>
              <w:bottom w:w="30" w:type="dxa"/>
              <w:right w:w="20" w:type="dxa"/>
            </w:tcMar>
            <w:vAlign w:val="bottom"/>
            <w:hideMark/>
          </w:tcPr>
          <w:p w:rsidR="00000000" w:rsidRDefault="001F39D7">
            <w:pPr>
              <w:spacing w:after="100"/>
              <w:jc w:val="center"/>
              <w:rPr>
                <w:rFonts w:eastAsia="Times New Roman"/>
              </w:rPr>
            </w:pPr>
            <w:r>
              <w:rPr>
                <w:rFonts w:eastAsia="Times New Roman"/>
                <w:b/>
                <w:bCs/>
                <w:color w:val="000000"/>
                <w:sz w:val="20"/>
                <w:szCs w:val="20"/>
                <w:u w:val="single"/>
              </w:rPr>
              <w:t>Signature</w:t>
            </w:r>
          </w:p>
          <w:p w:rsidR="00000000" w:rsidRDefault="001F39D7">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1F39D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b/>
                <w:bCs/>
                <w:color w:val="000000"/>
                <w:sz w:val="20"/>
                <w:szCs w:val="20"/>
                <w:u w:val="single"/>
              </w:rPr>
              <w:t>Date</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1750082320"/>
              <w:rPr>
                <w:rFonts w:eastAsia="Times New Roman"/>
              </w:rPr>
            </w:pPr>
            <w:r>
              <w:rPr>
                <w:rFonts w:eastAsia="Times New Roman"/>
                <w:color w:val="000000"/>
                <w:sz w:val="20"/>
                <w:szCs w:val="20"/>
                <w:u w:val="single"/>
              </w:rPr>
              <w:t>/s/ Kurt D. Barton</w:t>
            </w:r>
          </w:p>
          <w:p w:rsidR="00000000" w:rsidRDefault="001F39D7">
            <w:pPr>
              <w:spacing w:after="100"/>
              <w:divId w:val="1102454333"/>
              <w:rPr>
                <w:rFonts w:eastAsia="Times New Roman"/>
              </w:rPr>
            </w:pPr>
            <w:r>
              <w:rPr>
                <w:rFonts w:eastAsia="Times New Roman"/>
                <w:color w:val="000000"/>
                <w:sz w:val="20"/>
                <w:szCs w:val="20"/>
              </w:rPr>
              <w:t>Kurt D. Barton</w:t>
            </w:r>
          </w:p>
          <w:p w:rsidR="00000000" w:rsidRDefault="001F39D7">
            <w:pPr>
              <w:spacing w:after="100"/>
              <w:divId w:val="663431028"/>
              <w:rPr>
                <w:rFonts w:eastAsia="Times New Roman"/>
              </w:rPr>
            </w:pPr>
          </w:p>
        </w:tc>
        <w:tc>
          <w:tcPr>
            <w:tcW w:w="0" w:type="auto"/>
            <w:gridSpan w:val="3"/>
            <w:tcMar>
              <w:top w:w="30" w:type="dxa"/>
              <w:left w:w="20" w:type="dxa"/>
              <w:bottom w:w="30" w:type="dxa"/>
              <w:right w:w="20" w:type="dxa"/>
            </w:tcMar>
            <w:hideMark/>
          </w:tcPr>
          <w:p w:rsidR="00000000" w:rsidRDefault="001F39D7">
            <w:pPr>
              <w:spacing w:after="100"/>
              <w:divId w:val="344792900"/>
              <w:rPr>
                <w:rFonts w:eastAsia="Times New Roman"/>
              </w:rPr>
            </w:pPr>
            <w:r>
              <w:rPr>
                <w:rFonts w:eastAsia="Times New Roman"/>
                <w:color w:val="000000"/>
                <w:sz w:val="20"/>
                <w:szCs w:val="20"/>
              </w:rPr>
              <w:t>Executive Vice President –</w:t>
            </w:r>
          </w:p>
          <w:p w:rsidR="00000000" w:rsidRDefault="001F39D7">
            <w:pPr>
              <w:spacing w:after="100"/>
              <w:divId w:val="342711639"/>
              <w:rPr>
                <w:rFonts w:eastAsia="Times New Roman"/>
              </w:rPr>
            </w:pPr>
            <w:r>
              <w:rPr>
                <w:rFonts w:eastAsia="Times New Roman"/>
                <w:color w:val="000000"/>
                <w:sz w:val="20"/>
                <w:szCs w:val="20"/>
              </w:rPr>
              <w:t>Chief Financial Officer and Treasurer (Principal Financial and Accounting Officer)</w:t>
            </w:r>
          </w:p>
          <w:p w:rsidR="00000000" w:rsidRDefault="001F39D7">
            <w:pPr>
              <w:spacing w:after="100"/>
              <w:divId w:val="1847359717"/>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140464847"/>
              <w:rPr>
                <w:rFonts w:eastAsia="Times New Roman"/>
              </w:rPr>
            </w:pPr>
            <w:r>
              <w:rPr>
                <w:rFonts w:eastAsia="Times New Roman"/>
                <w:color w:val="000000"/>
                <w:sz w:val="20"/>
                <w:szCs w:val="20"/>
                <w:u w:val="single"/>
              </w:rPr>
              <w:t>/s/ Harry A. Lawton III</w:t>
            </w:r>
          </w:p>
          <w:p w:rsidR="00000000" w:rsidRDefault="001F39D7">
            <w:pPr>
              <w:spacing w:after="100"/>
              <w:divId w:val="1859855085"/>
              <w:rPr>
                <w:rFonts w:eastAsia="Times New Roman"/>
              </w:rPr>
            </w:pPr>
            <w:r>
              <w:rPr>
                <w:rFonts w:eastAsia="Times New Roman"/>
                <w:color w:val="000000"/>
                <w:sz w:val="20"/>
                <w:szCs w:val="20"/>
              </w:rPr>
              <w:t>Harry A. Lawton III</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President, Chief Executive Officer, and Director</w:t>
            </w:r>
            <w:r>
              <w:rPr>
                <w:rFonts w:eastAsia="Times New Roman"/>
                <w:color w:val="000000"/>
                <w:sz w:val="20"/>
                <w:szCs w:val="20"/>
              </w:rPr>
              <w:br/>
              <w:t>(Principal Executive Officer)</w:t>
            </w:r>
            <w:r>
              <w:rPr>
                <w:rFonts w:eastAsia="Times New Roman"/>
                <w:color w:val="000000"/>
                <w:sz w:val="20"/>
                <w:szCs w:val="20"/>
              </w:rPr>
              <w:b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1804469069"/>
              <w:rPr>
                <w:rFonts w:eastAsia="Times New Roman"/>
              </w:rPr>
            </w:pPr>
            <w:r>
              <w:rPr>
                <w:rFonts w:eastAsia="Times New Roman"/>
                <w:color w:val="000000"/>
                <w:sz w:val="20"/>
                <w:szCs w:val="20"/>
                <w:u w:val="single"/>
              </w:rPr>
              <w:t>/s/ Cynthia T. Jamison</w:t>
            </w:r>
          </w:p>
          <w:p w:rsidR="00000000" w:rsidRDefault="001F39D7">
            <w:pPr>
              <w:spacing w:after="100"/>
              <w:divId w:val="763956099"/>
              <w:rPr>
                <w:rFonts w:eastAsia="Times New Roman"/>
              </w:rPr>
            </w:pPr>
            <w:r>
              <w:rPr>
                <w:rFonts w:eastAsia="Times New Roman"/>
                <w:color w:val="000000"/>
                <w:sz w:val="20"/>
                <w:szCs w:val="20"/>
              </w:rPr>
              <w:t>Cynthia T. Jamison</w:t>
            </w:r>
          </w:p>
          <w:p w:rsidR="00000000" w:rsidRDefault="001F39D7">
            <w:pPr>
              <w:spacing w:after="100"/>
              <w:divId w:val="758329773"/>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divId w:val="1336416992"/>
              <w:rPr>
                <w:rFonts w:eastAsia="Times New Roman"/>
              </w:rPr>
            </w:pPr>
            <w:r>
              <w:rPr>
                <w:rFonts w:eastAsia="Times New Roman"/>
                <w:color w:val="000000"/>
                <w:sz w:val="20"/>
                <w:szCs w:val="20"/>
              </w:rPr>
              <w:t>Chairman of the Board</w:t>
            </w:r>
          </w:p>
          <w:p w:rsidR="00000000" w:rsidRDefault="001F39D7">
            <w:pPr>
              <w:spacing w:after="100"/>
              <w:divId w:val="248660934"/>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277683169"/>
              <w:rPr>
                <w:rFonts w:eastAsia="Times New Roman"/>
              </w:rPr>
            </w:pPr>
            <w:r>
              <w:rPr>
                <w:rFonts w:eastAsia="Times New Roman"/>
                <w:color w:val="000000"/>
                <w:sz w:val="20"/>
                <w:szCs w:val="20"/>
                <w:u w:val="single"/>
              </w:rPr>
              <w:t>/s/ Joy Brown</w:t>
            </w:r>
          </w:p>
          <w:p w:rsidR="00000000" w:rsidRDefault="001F39D7">
            <w:pPr>
              <w:spacing w:after="100"/>
              <w:divId w:val="250048513"/>
              <w:rPr>
                <w:rFonts w:eastAsia="Times New Roman"/>
              </w:rPr>
            </w:pPr>
            <w:r>
              <w:rPr>
                <w:rFonts w:eastAsia="Times New Roman"/>
                <w:color w:val="000000"/>
                <w:sz w:val="20"/>
                <w:szCs w:val="20"/>
              </w:rPr>
              <w:t>Joy Brown</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198662431"/>
              <w:rPr>
                <w:rFonts w:eastAsia="Times New Roman"/>
              </w:rPr>
            </w:pPr>
            <w:r>
              <w:rPr>
                <w:rFonts w:eastAsia="Times New Roman"/>
                <w:color w:val="000000"/>
                <w:sz w:val="20"/>
                <w:szCs w:val="20"/>
                <w:u w:val="single"/>
              </w:rPr>
              <w:t>/s/ Ricardo Cardenas</w:t>
            </w:r>
          </w:p>
          <w:p w:rsidR="00000000" w:rsidRDefault="001F39D7">
            <w:pPr>
              <w:spacing w:after="100"/>
              <w:divId w:val="400492868"/>
              <w:rPr>
                <w:rFonts w:eastAsia="Times New Roman"/>
              </w:rPr>
            </w:pPr>
            <w:r>
              <w:rPr>
                <w:rFonts w:eastAsia="Times New Roman"/>
                <w:color w:val="000000"/>
                <w:sz w:val="20"/>
                <w:szCs w:val="20"/>
              </w:rPr>
              <w:t>Ricardo Cardenas</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218131098"/>
              <w:rPr>
                <w:rFonts w:eastAsia="Times New Roman"/>
              </w:rPr>
            </w:pPr>
            <w:r>
              <w:rPr>
                <w:rFonts w:eastAsia="Times New Roman"/>
                <w:color w:val="000000"/>
                <w:sz w:val="20"/>
                <w:szCs w:val="20"/>
                <w:u w:val="single"/>
              </w:rPr>
              <w:t>/s/ Denise L. Jackson</w:t>
            </w:r>
          </w:p>
          <w:p w:rsidR="00000000" w:rsidRDefault="001F39D7">
            <w:pPr>
              <w:spacing w:after="100"/>
              <w:divId w:val="1243369055"/>
              <w:rPr>
                <w:rFonts w:eastAsia="Times New Roman"/>
              </w:rPr>
            </w:pPr>
            <w:r>
              <w:rPr>
                <w:rFonts w:eastAsia="Times New Roman"/>
                <w:color w:val="000000"/>
                <w:sz w:val="20"/>
                <w:szCs w:val="20"/>
              </w:rPr>
              <w:t>Denise L. Jackson</w:t>
            </w:r>
          </w:p>
          <w:p w:rsidR="00000000" w:rsidRDefault="001F39D7">
            <w:pPr>
              <w:spacing w:after="100"/>
              <w:divId w:val="70814563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9451841"/>
              <w:rPr>
                <w:rFonts w:eastAsia="Times New Roman"/>
              </w:rPr>
            </w:pPr>
            <w:r>
              <w:rPr>
                <w:rFonts w:eastAsia="Times New Roman"/>
                <w:color w:val="000000"/>
                <w:sz w:val="20"/>
                <w:szCs w:val="20"/>
                <w:u w:val="single"/>
              </w:rPr>
              <w:t>/s/ Thomas A. Kingsbury</w:t>
            </w:r>
          </w:p>
          <w:p w:rsidR="00000000" w:rsidRDefault="001F39D7">
            <w:pPr>
              <w:spacing w:after="100"/>
              <w:divId w:val="298268029"/>
              <w:rPr>
                <w:rFonts w:eastAsia="Times New Roman"/>
              </w:rPr>
            </w:pPr>
            <w:r>
              <w:rPr>
                <w:rFonts w:eastAsia="Times New Roman"/>
                <w:color w:val="000000"/>
                <w:sz w:val="20"/>
                <w:szCs w:val="20"/>
              </w:rPr>
              <w:t>Thomas A. Kingsbury</w:t>
            </w:r>
          </w:p>
          <w:p w:rsidR="00000000" w:rsidRDefault="001F39D7">
            <w:pPr>
              <w:spacing w:after="100"/>
              <w:divId w:val="45043983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1670408599"/>
              <w:rPr>
                <w:rFonts w:eastAsia="Times New Roman"/>
              </w:rPr>
            </w:pPr>
            <w:r>
              <w:rPr>
                <w:rFonts w:eastAsia="Times New Roman"/>
                <w:color w:val="000000"/>
                <w:sz w:val="20"/>
                <w:szCs w:val="20"/>
                <w:u w:val="single"/>
              </w:rPr>
              <w:t>/s/ Ramkumar Krishnan</w:t>
            </w:r>
          </w:p>
          <w:p w:rsidR="00000000" w:rsidRDefault="001F39D7">
            <w:pPr>
              <w:spacing w:after="100"/>
              <w:divId w:val="2076662685"/>
              <w:rPr>
                <w:rFonts w:eastAsia="Times New Roman"/>
              </w:rPr>
            </w:pPr>
            <w:r>
              <w:rPr>
                <w:rFonts w:eastAsia="Times New Roman"/>
                <w:color w:val="000000"/>
                <w:sz w:val="20"/>
                <w:szCs w:val="20"/>
              </w:rPr>
              <w:t>Ramkumar Krishnan</w:t>
            </w:r>
          </w:p>
          <w:p w:rsidR="00000000" w:rsidRDefault="001F39D7">
            <w:pPr>
              <w:spacing w:after="100"/>
              <w:divId w:val="1077366077"/>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932858403"/>
              <w:rPr>
                <w:rFonts w:eastAsia="Times New Roman"/>
              </w:rPr>
            </w:pPr>
            <w:r>
              <w:rPr>
                <w:rFonts w:eastAsia="Times New Roman"/>
                <w:color w:val="000000"/>
                <w:sz w:val="20"/>
                <w:szCs w:val="20"/>
                <w:u w:val="single"/>
              </w:rPr>
              <w:t>/s/ Edna K. Morris</w:t>
            </w:r>
          </w:p>
          <w:p w:rsidR="00000000" w:rsidRDefault="001F39D7">
            <w:pPr>
              <w:spacing w:after="100"/>
              <w:divId w:val="791704866"/>
              <w:rPr>
                <w:rFonts w:eastAsia="Times New Roman"/>
              </w:rPr>
            </w:pPr>
            <w:r>
              <w:rPr>
                <w:rFonts w:eastAsia="Times New Roman"/>
                <w:color w:val="000000"/>
                <w:sz w:val="20"/>
                <w:szCs w:val="20"/>
              </w:rPr>
              <w:t>Edna K. Morris</w:t>
            </w:r>
          </w:p>
          <w:p w:rsidR="00000000" w:rsidRDefault="001F39D7">
            <w:pPr>
              <w:spacing w:after="100"/>
              <w:divId w:val="1100489205"/>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r w:rsidR="00000000">
        <w:trPr>
          <w:divId w:val="1818106209"/>
        </w:trPr>
        <w:tc>
          <w:tcPr>
            <w:tcW w:w="0" w:type="auto"/>
            <w:gridSpan w:val="3"/>
            <w:tcMar>
              <w:top w:w="30" w:type="dxa"/>
              <w:left w:w="20" w:type="dxa"/>
              <w:bottom w:w="30" w:type="dxa"/>
              <w:right w:w="20" w:type="dxa"/>
            </w:tcMar>
            <w:hideMark/>
          </w:tcPr>
          <w:p w:rsidR="00000000" w:rsidRDefault="001F39D7">
            <w:pPr>
              <w:spacing w:after="100"/>
              <w:divId w:val="1401170330"/>
              <w:rPr>
                <w:rFonts w:eastAsia="Times New Roman"/>
              </w:rPr>
            </w:pPr>
            <w:r>
              <w:rPr>
                <w:rFonts w:eastAsia="Times New Roman"/>
                <w:color w:val="000000"/>
                <w:sz w:val="20"/>
                <w:szCs w:val="20"/>
                <w:u w:val="single"/>
              </w:rPr>
              <w:t>/s/ Mark J. Weikel</w:t>
            </w:r>
          </w:p>
          <w:p w:rsidR="00000000" w:rsidRDefault="001F39D7">
            <w:pPr>
              <w:spacing w:after="100"/>
              <w:divId w:val="322323146"/>
              <w:rPr>
                <w:rFonts w:eastAsia="Times New Roman"/>
              </w:rPr>
            </w:pPr>
            <w:r>
              <w:rPr>
                <w:rFonts w:eastAsia="Times New Roman"/>
                <w:color w:val="000000"/>
                <w:sz w:val="20"/>
                <w:szCs w:val="20"/>
              </w:rPr>
              <w:t>Mark J.Weikel</w:t>
            </w:r>
          </w:p>
        </w:tc>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c>
          <w:tcPr>
            <w:tcW w:w="0" w:type="auto"/>
            <w:gridSpan w:val="3"/>
            <w:tcMar>
              <w:top w:w="30" w:type="dxa"/>
              <w:left w:w="20" w:type="dxa"/>
              <w:bottom w:w="30" w:type="dxa"/>
              <w:right w:w="20" w:type="dxa"/>
            </w:tcMar>
            <w:hideMark/>
          </w:tcPr>
          <w:p w:rsidR="00000000" w:rsidRDefault="001F39D7">
            <w:pPr>
              <w:spacing w:after="100"/>
              <w:jc w:val="center"/>
              <w:rPr>
                <w:rFonts w:eastAsia="Times New Roman"/>
              </w:rPr>
            </w:pPr>
            <w:r>
              <w:rPr>
                <w:rFonts w:eastAsia="Times New Roman"/>
                <w:color w:val="000000"/>
                <w:sz w:val="20"/>
                <w:szCs w:val="20"/>
              </w:rPr>
              <w:t>February 17, 2022</w:t>
            </w:r>
          </w:p>
        </w:tc>
      </w:tr>
    </w:tbl>
    <w:p w:rsidR="00000000" w:rsidRDefault="001F39D7">
      <w:pPr>
        <w:divId w:val="570193077"/>
        <w:rPr>
          <w:rFonts w:eastAsia="Times New Roman"/>
        </w:rPr>
      </w:pPr>
    </w:p>
    <w:p w:rsidR="00000000" w:rsidRDefault="001F39D7">
      <w:pPr>
        <w:jc w:val="center"/>
        <w:divId w:val="1765033790"/>
        <w:rPr>
          <w:rFonts w:eastAsia="Times New Roman"/>
        </w:rPr>
      </w:pPr>
      <w:r>
        <w:rPr>
          <w:rFonts w:eastAsia="Times New Roman"/>
          <w:color w:val="000000"/>
          <w:sz w:val="20"/>
          <w:szCs w:val="20"/>
        </w:rPr>
        <w:t>77</w:t>
      </w:r>
    </w:p>
    <w:p w:rsidR="00000000" w:rsidRDefault="001F39D7">
      <w:pPr>
        <w:rPr>
          <w:rFonts w:eastAsia="Times New Roman"/>
        </w:rPr>
      </w:pPr>
      <w:r>
        <w:rPr>
          <w:rFonts w:eastAsia="Times New Roman"/>
        </w:rPr>
        <w:pict>
          <v:rect id="_x0000_i1106" style="width:0;height:1.5pt" o:hralign="center" o:hrstd="t" o:hr="t" fillcolor="#a0a0a0" stroked="f"/>
        </w:pict>
      </w:r>
    </w:p>
    <w:p w:rsidR="00000000" w:rsidRDefault="001F39D7">
      <w:pPr>
        <w:divId w:val="241108670"/>
        <w:rPr>
          <w:rFonts w:eastAsia="Times New Roman"/>
        </w:rPr>
      </w:pPr>
      <w:hyperlink w:anchor="ia0680a7a640346e7afc1f53a5745d231_7" w:history="1">
        <w:r>
          <w:rPr>
            <w:rStyle w:val="a3"/>
            <w:rFonts w:eastAsia="Times New Roman"/>
            <w:sz w:val="18"/>
            <w:szCs w:val="18"/>
          </w:rPr>
          <w:t>Index</w:t>
        </w:r>
      </w:hyperlink>
    </w:p>
    <w:p w:rsidR="00000000" w:rsidRDefault="001F39D7">
      <w:pPr>
        <w:jc w:val="center"/>
        <w:rPr>
          <w:rFonts w:eastAsia="Times New Roman"/>
        </w:rPr>
      </w:pPr>
      <w:r>
        <w:rPr>
          <w:rFonts w:eastAsia="Times New Roman"/>
          <w:b/>
          <w:bCs/>
          <w:color w:val="000000"/>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1"/>
        <w:gridCol w:w="406"/>
        <w:gridCol w:w="36"/>
        <w:gridCol w:w="54"/>
        <w:gridCol w:w="7604"/>
        <w:gridCol w:w="37"/>
        <w:gridCol w:w="36"/>
        <w:gridCol w:w="36"/>
        <w:gridCol w:w="36"/>
      </w:tblGrid>
      <w:tr w:rsidR="00000000">
        <w:trPr>
          <w:divId w:val="1748502196"/>
        </w:trPr>
        <w:tc>
          <w:tcPr>
            <w:tcW w:w="50" w:type="pct"/>
            <w:vAlign w:val="center"/>
            <w:hideMark/>
          </w:tcPr>
          <w:p w:rsidR="00000000" w:rsidRDefault="001F39D7">
            <w:pPr>
              <w:jc w:val="center"/>
              <w:rPr>
                <w:rFonts w:eastAsia="Times New Roman"/>
              </w:rPr>
            </w:pPr>
          </w:p>
        </w:tc>
        <w:tc>
          <w:tcPr>
            <w:tcW w:w="2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5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hideMark/>
          </w:tcPr>
          <w:p w:rsidR="00000000" w:rsidRDefault="001F39D7">
            <w:pPr>
              <w:spacing w:after="100"/>
              <w:divId w:val="1709378010"/>
              <w:rPr>
                <w:rFonts w:eastAsia="Times New Roman"/>
              </w:rPr>
            </w:pPr>
            <w:hyperlink r:id="rId6" w:history="1">
              <w:r>
                <w:rPr>
                  <w:rStyle w:val="a3"/>
                  <w:rFonts w:eastAsia="Times New Roman"/>
                  <w:sz w:val="20"/>
                  <w:szCs w:val="20"/>
                </w:rPr>
                <w:t>Underwriting Agreement, dated October 27, 2020, by and among the Company, Goldman Sachs &amp; Co. LLC and Wells Fargo Securities, LLC, as representatives of the se</w:t>
              </w:r>
              <w:r>
                <w:rPr>
                  <w:rStyle w:val="a3"/>
                  <w:rFonts w:eastAsia="Times New Roman"/>
                  <w:sz w:val="20"/>
                  <w:szCs w:val="20"/>
                </w:rPr>
                <w:t xml:space="preserve">veral underwriters named therein (filed as Exhibit 1.1 to Registrant’s Current Report on Form 8-K, filed with the Commission on October 28, 2020, </w:t>
              </w:r>
            </w:hyperlink>
            <w:hyperlink r:id="rId7" w:history="1">
              <w:r>
                <w:rPr>
                  <w:rStyle w:val="a3"/>
                  <w:rFonts w:eastAsia="Times New Roman"/>
                  <w:sz w:val="20"/>
                  <w:szCs w:val="20"/>
                </w:rPr>
                <w:t>and incorpora</w:t>
              </w:r>
              <w:r>
                <w:rPr>
                  <w:rStyle w:val="a3"/>
                  <w:rFonts w:eastAsia="Times New Roman"/>
                  <w:sz w:val="20"/>
                  <w:szCs w:val="20"/>
                </w:rPr>
                <w:t>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rPr>
            </w:pPr>
          </w:p>
        </w:tc>
      </w:tr>
      <w:tr w:rsidR="00000000">
        <w:trPr>
          <w:divId w:val="1748502196"/>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8" w:history="1">
              <w:r>
                <w:rPr>
                  <w:rStyle w:val="a3"/>
                  <w:rFonts w:eastAsia="Times New Roman"/>
                  <w:sz w:val="20"/>
                  <w:szCs w:val="20"/>
                </w:rPr>
                <w:t xml:space="preserve">Restated Certificate of Incorporation, as amended, of the Company (restated for SEC filing purposes only) (filed as Exhibit 3.1 to Registrant’s Quarterly Report on Form 10-Q, filed with the Commission on October 22, 2020, </w:t>
              </w:r>
            </w:hyperlink>
            <w:hyperlink r:id="rId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0" w:history="1">
              <w:r>
                <w:rPr>
                  <w:rStyle w:val="a3"/>
                  <w:rFonts w:eastAsia="Times New Roman"/>
                  <w:sz w:val="20"/>
                  <w:szCs w:val="20"/>
                </w:rPr>
                <w:t>Fifth Amended and Restated By-laws, as amended (filed as Exhibit 3.1 to Registrant’</w:t>
              </w:r>
              <w:r>
                <w:rPr>
                  <w:rStyle w:val="a3"/>
                  <w:rFonts w:eastAsia="Times New Roman"/>
                  <w:sz w:val="20"/>
                  <w:szCs w:val="20"/>
                </w:rPr>
                <w:t xml:space="preserve">s Quarterly Report on Form 10-Q, filed with the Commission on May 7, 2020, </w:t>
              </w:r>
            </w:hyperlink>
            <w:hyperlink r:id="rId11"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xml:space="preserve">Form of Specimen Certificate representing the Company’s Common Stock, par value $.008 per share (filed as Exhibit 4.2 to Amendment No. 1 to Registrant’s Registration Statement on Form S-1, Registration No. 33-73028, filed in paper form with the Commission </w:t>
            </w:r>
            <w:r>
              <w:rPr>
                <w:rFonts w:eastAsia="Times New Roman"/>
                <w:color w:val="000000"/>
                <w:sz w:val="20"/>
                <w:szCs w:val="20"/>
              </w:rPr>
              <w:t>on January 31, 1994, and incorporated herein by reference).</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2" w:history="1">
              <w:r>
                <w:rPr>
                  <w:rStyle w:val="a3"/>
                  <w:rFonts w:eastAsia="Times New Roman"/>
                  <w:sz w:val="20"/>
                  <w:szCs w:val="20"/>
                </w:rPr>
                <w:t>Form of Subordinate Indenture (filed as Exhibit 4.3 to Registran</w:t>
              </w:r>
              <w:r>
                <w:rPr>
                  <w:rStyle w:val="a3"/>
                  <w:rFonts w:eastAsia="Times New Roman"/>
                  <w:sz w:val="20"/>
                  <w:szCs w:val="20"/>
                </w:rPr>
                <w:t>t’s Registration Statement on Form S-3ASR, Registration No. 333-249595, filed with the Commission on October 22, 2020,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3" w:history="1">
              <w:r>
                <w:rPr>
                  <w:rStyle w:val="a3"/>
                  <w:rFonts w:eastAsia="Times New Roman"/>
                  <w:sz w:val="20"/>
                  <w:szCs w:val="20"/>
                </w:rPr>
                <w:t>Indenture, dated as of October 30, 2020, by and between Tractor Supply Company and Regions Bank, as trustee (filed as Exhibit 4.1 to Registrant’s Current Repor</w:t>
              </w:r>
              <w:r>
                <w:rPr>
                  <w:rStyle w:val="a3"/>
                  <w:rFonts w:eastAsia="Times New Roman"/>
                  <w:sz w:val="20"/>
                  <w:szCs w:val="20"/>
                </w:rPr>
                <w:t xml:space="preserve">t on Form 8-K, filed with the Commission on October 30, 2020, </w:t>
              </w:r>
            </w:hyperlink>
            <w:hyperlink r:id="rId14"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5" w:history="1">
              <w:r>
                <w:rPr>
                  <w:rStyle w:val="a3"/>
                  <w:rFonts w:eastAsia="Times New Roman"/>
                  <w:sz w:val="20"/>
                  <w:szCs w:val="20"/>
                </w:rPr>
                <w:t>First Supplemental Indenture, dated as of October 30, 2020, by and between Tractor Supply Company and Regions Bank, as trustee (filed as Exhibit 4.2 to Registr</w:t>
              </w:r>
              <w:r>
                <w:rPr>
                  <w:rStyle w:val="a3"/>
                  <w:rFonts w:eastAsia="Times New Roman"/>
                  <w:sz w:val="20"/>
                  <w:szCs w:val="20"/>
                </w:rPr>
                <w:t xml:space="preserve">ant’s Current Report on Form 8-K, filed with the Commission on October 30, 2020, </w:t>
              </w:r>
            </w:hyperlink>
            <w:hyperlink r:id="rId16"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7" w:history="1">
              <w:r>
                <w:rPr>
                  <w:rStyle w:val="a3"/>
                  <w:rFonts w:eastAsia="Times New Roman"/>
                  <w:sz w:val="20"/>
                  <w:szCs w:val="20"/>
                </w:rPr>
                <w:t xml:space="preserve">Form of 1.750% Note due 2030 (filed as Exhibit 4.3 to Registrant’s Current Report on Form 8-K, filed with the Commission on October 30, 2020, </w:t>
              </w:r>
            </w:hyperlink>
            <w:hyperlink r:id="rId18" w:history="1">
              <w:r>
                <w:rPr>
                  <w:rStyle w:val="a3"/>
                  <w:rFonts w:eastAsia="Times New Roman"/>
                  <w:sz w:val="20"/>
                  <w:szCs w:val="20"/>
                </w:rPr>
                <w:t>and incorporated herein by reference)(included in Exhibit 4.4).</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9" w:history="1">
              <w:r>
                <w:rPr>
                  <w:rStyle w:val="a3"/>
                  <w:rFonts w:eastAsia="Times New Roman"/>
                  <w:sz w:val="20"/>
                  <w:szCs w:val="20"/>
                </w:rPr>
                <w:t>Description of Registrant's Securities Registered Pursuant to Section 12 of the Exchange Act of 1934</w:t>
              </w:r>
            </w:hyperlink>
            <w:hyperlink r:id="rId20"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xml:space="preserve">Certificate of Insurance relating to the Medical Expense Reimbursement Plan of the Company (filed as Exhibit 10.33 to Registrant’s Registration Statement on Form S-1, Registration No. 33-73028, filed in paper form with the Commission on December 17, 1993, </w:t>
            </w:r>
            <w:r>
              <w:rPr>
                <w:rFonts w:eastAsia="Times New Roman"/>
                <w:color w:val="000000"/>
                <w:sz w:val="20"/>
                <w:szCs w:val="20"/>
              </w:rPr>
              <w:t>and incorporated herein by reference).</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Summary Plan Description of the Executive Life Insurance Plan of the Company (filed as Exhibit 10.34 to Registrant’s Registration Statement on Form S-1, Registration No. 33-73028, filed in pap</w:t>
            </w:r>
            <w:r>
              <w:rPr>
                <w:rFonts w:eastAsia="Times New Roman"/>
                <w:color w:val="000000"/>
                <w:sz w:val="20"/>
                <w:szCs w:val="20"/>
              </w:rPr>
              <w:t>er form with the Commission on December 17, 1993, and incorporated herein by reference).+</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21" w:history="1">
              <w:r>
                <w:rPr>
                  <w:rStyle w:val="a3"/>
                  <w:rFonts w:eastAsia="Times New Roman"/>
                  <w:sz w:val="20"/>
                  <w:szCs w:val="20"/>
                </w:rPr>
                <w:t>Tractor Supply Company 1996 Associate Stock Purchase Plan (filed as Exhibit 4.4 to Registrant’s Registration Statement on Form S-8, Registration No. 333-10699, filed wit</w:t>
              </w:r>
              <w:r>
                <w:rPr>
                  <w:rStyle w:val="a3"/>
                  <w:rFonts w:eastAsia="Times New Roman"/>
                  <w:sz w:val="20"/>
                  <w:szCs w:val="20"/>
                </w:rPr>
                <w:t>h the Commission on August 23, 1996,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22" w:history="1">
              <w:r>
                <w:rPr>
                  <w:rStyle w:val="a3"/>
                  <w:rFonts w:eastAsia="Times New Roman"/>
                  <w:sz w:val="20"/>
                  <w:szCs w:val="20"/>
                </w:rPr>
                <w:t>Tractor Supply Company Restated 401(k) Retirement Plan (filed as Exhibit 4.1 to Registrant’s Registration Statement on Form S-3, Registration No. 333-35317, filed with t</w:t>
              </w:r>
              <w:r>
                <w:rPr>
                  <w:rStyle w:val="a3"/>
                  <w:rFonts w:eastAsia="Times New Roman"/>
                  <w:sz w:val="20"/>
                  <w:szCs w:val="20"/>
                </w:rPr>
                <w:t>he Commission on September 10, 1997,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23" w:history="1">
              <w:r>
                <w:rPr>
                  <w:rStyle w:val="a3"/>
                  <w:rFonts w:eastAsia="Times New Roman"/>
                  <w:sz w:val="20"/>
                  <w:szCs w:val="20"/>
                </w:rPr>
                <w:t>First Amendment, dated December 22, 2003 to the Tractor Supply Company Restated 401(k) Retirement Savings Plan (filed as Exhibit 10.53 to Registrant’s Annua</w:t>
              </w:r>
              <w:r>
                <w:rPr>
                  <w:rStyle w:val="a3"/>
                  <w:rFonts w:eastAsia="Times New Roman"/>
                  <w:sz w:val="20"/>
                  <w:szCs w:val="20"/>
                </w:rPr>
                <w:t xml:space="preserve">l Report on Form 10-K, filed with the Commission on March 8, 2004, </w:t>
              </w:r>
            </w:hyperlink>
            <w:hyperlink r:id="rId24"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vAlign w:val="bottom"/>
            <w:hideMark/>
          </w:tcPr>
          <w:p w:rsidR="00000000" w:rsidRDefault="001F39D7">
            <w:pPr>
              <w:spacing w:after="100"/>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25" w:history="1">
              <w:r>
                <w:rPr>
                  <w:rStyle w:val="a3"/>
                  <w:rFonts w:eastAsia="Times New Roman"/>
                  <w:sz w:val="20"/>
                  <w:szCs w:val="20"/>
                </w:rPr>
                <w:t>Second Amendment to Tractor Supply Company Restated 401(k) Retirement Plan (filed as Exhibit 10.57 to Registrant’s Annual Report on Form 10-K, filed with the</w:t>
              </w:r>
              <w:r>
                <w:rPr>
                  <w:rStyle w:val="a3"/>
                  <w:rFonts w:eastAsia="Times New Roman"/>
                  <w:sz w:val="20"/>
                  <w:szCs w:val="20"/>
                </w:rPr>
                <w:t xml:space="preserve"> Commission on March 23, 2001, </w:t>
              </w:r>
            </w:hyperlink>
            <w:hyperlink r:id="rId26"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27" w:history="1">
              <w:r>
                <w:rPr>
                  <w:rStyle w:val="a3"/>
                  <w:rFonts w:eastAsia="Times New Roman"/>
                  <w:sz w:val="20"/>
                  <w:szCs w:val="20"/>
                </w:rPr>
                <w:t>Trust Agreement (filed as Exhibit 4.2 to Registrant’s Registration Statement on Form S-3, Registration No. 333-35317, filed with the Commission on September 10, 1997, an</w:t>
              </w:r>
              <w:r>
                <w:rPr>
                  <w:rStyle w:val="a3"/>
                  <w:rFonts w:eastAsia="Times New Roman"/>
                  <w:sz w:val="20"/>
                  <w:szCs w:val="20"/>
                </w:rPr>
                <w:t>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28" w:history="1">
              <w:r>
                <w:rPr>
                  <w:rStyle w:val="a3"/>
                  <w:rFonts w:eastAsia="Times New Roman"/>
                  <w:sz w:val="20"/>
                  <w:szCs w:val="20"/>
                </w:rPr>
                <w:t xml:space="preserve">Tractor Supply Company Executive Deferred Compensation Plan, dated November 11, 2001 (filed as </w:t>
              </w:r>
              <w:r>
                <w:rPr>
                  <w:rStyle w:val="a3"/>
                  <w:rFonts w:eastAsia="Times New Roman"/>
                  <w:sz w:val="20"/>
                  <w:szCs w:val="20"/>
                </w:rPr>
                <w:t xml:space="preserve">Exhibit 10.58 to Registrant’s Quarterly Report on Form 10-Q, filed with the Commission on May 13, 2002, </w:t>
              </w:r>
            </w:hyperlink>
            <w:hyperlink r:id="rId2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48502196"/>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bl>
    <w:p w:rsidR="00000000" w:rsidRDefault="001F39D7">
      <w:pPr>
        <w:jc w:val="center"/>
        <w:divId w:val="1053164666"/>
        <w:rPr>
          <w:rFonts w:eastAsia="Times New Roman"/>
        </w:rPr>
      </w:pPr>
      <w:r>
        <w:rPr>
          <w:rFonts w:eastAsia="Times New Roman"/>
          <w:color w:val="000000"/>
          <w:sz w:val="20"/>
          <w:szCs w:val="20"/>
        </w:rPr>
        <w:t>78</w:t>
      </w:r>
    </w:p>
    <w:p w:rsidR="00000000" w:rsidRDefault="001F39D7">
      <w:pPr>
        <w:rPr>
          <w:rFonts w:eastAsia="Times New Roman"/>
        </w:rPr>
      </w:pPr>
      <w:r>
        <w:rPr>
          <w:rFonts w:eastAsia="Times New Roman"/>
        </w:rPr>
        <w:pict>
          <v:rect id="_x0000_i1107" style="width:0;height:1.5pt" o:hralign="center" o:hrstd="t" o:hr="t" fillcolor="#a0a0a0" stroked="f"/>
        </w:pict>
      </w:r>
    </w:p>
    <w:p w:rsidR="00000000" w:rsidRDefault="001F39D7">
      <w:pPr>
        <w:divId w:val="695035676"/>
        <w:rPr>
          <w:rFonts w:eastAsia="Times New Roman"/>
        </w:rPr>
      </w:pPr>
      <w:hyperlink w:anchor="ia0680a7a640346e7afc1f53a5745d231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77"/>
        <w:gridCol w:w="406"/>
        <w:gridCol w:w="36"/>
        <w:gridCol w:w="39"/>
        <w:gridCol w:w="7602"/>
        <w:gridCol w:w="38"/>
        <w:gridCol w:w="36"/>
        <w:gridCol w:w="36"/>
        <w:gridCol w:w="36"/>
      </w:tblGrid>
      <w:tr w:rsidR="00000000">
        <w:trPr>
          <w:divId w:val="1936208565"/>
        </w:trPr>
        <w:tc>
          <w:tcPr>
            <w:tcW w:w="50" w:type="pct"/>
            <w:vAlign w:val="center"/>
            <w:hideMark/>
          </w:tcPr>
          <w:p w:rsidR="00000000" w:rsidRDefault="001F39D7">
            <w:pPr>
              <w:rPr>
                <w:rFonts w:eastAsia="Times New Roman"/>
              </w:rPr>
            </w:pPr>
          </w:p>
        </w:tc>
        <w:tc>
          <w:tcPr>
            <w:tcW w:w="2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5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30" w:history="1">
              <w:r>
                <w:rPr>
                  <w:rStyle w:val="a3"/>
                  <w:rFonts w:eastAsia="Times New Roman"/>
                  <w:sz w:val="20"/>
                  <w:szCs w:val="20"/>
                </w:rPr>
                <w:t>Form of Incentive Stock Option Agreement under the 2006 Stock Incentive Plan (filed as Exhibit 10.39 to Registrant’s Annual Report on Form 10-K, filed with the Com</w:t>
              </w:r>
              <w:r>
                <w:rPr>
                  <w:rStyle w:val="a3"/>
                  <w:rFonts w:eastAsia="Times New Roman"/>
                  <w:sz w:val="20"/>
                  <w:szCs w:val="20"/>
                </w:rPr>
                <w:t xml:space="preserve">mission on February 28, 2007, </w:t>
              </w:r>
            </w:hyperlink>
            <w:hyperlink r:id="rId31"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32" w:history="1">
              <w:r>
                <w:rPr>
                  <w:rStyle w:val="a3"/>
                  <w:rFonts w:eastAsia="Times New Roman"/>
                  <w:sz w:val="20"/>
                  <w:szCs w:val="20"/>
                </w:rPr>
                <w:t xml:space="preserve">Form of Incentive Stock Option Agreement under the 2006 Stock Incentive Plan (filed as Exhibit 10.45 to Registrant’s Annual Report on Form 10-K, filed with the Commission on February 27, 2008, </w:t>
              </w:r>
            </w:hyperlink>
            <w:hyperlink r:id="rId33" w:history="1">
              <w:r>
                <w:rPr>
                  <w:rStyle w:val="a3"/>
                  <w:rFonts w:eastAsia="Times New Roman"/>
                  <w:sz w:val="20"/>
                  <w:szCs w:val="20"/>
                </w:rPr>
                <w:t>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34" w:history="1">
              <w:r>
                <w:rPr>
                  <w:rStyle w:val="a3"/>
                  <w:rFonts w:eastAsia="Times New Roman"/>
                  <w:sz w:val="20"/>
                  <w:szCs w:val="20"/>
                </w:rPr>
                <w:t xml:space="preserve">Tractor Supply Company 2006 Stock Incentive Plan (filed as Exhibit 99.1 to the Registrant’s Current Report on Form 8-K filed with the Commission on April 27, 2006, </w:t>
              </w:r>
            </w:hyperlink>
            <w:hyperlink r:id="rId35"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36" w:history="1">
              <w:r>
                <w:rPr>
                  <w:rStyle w:val="a3"/>
                  <w:rFonts w:eastAsia="Times New Roman"/>
                  <w:sz w:val="20"/>
                  <w:szCs w:val="20"/>
                </w:rPr>
                <w:t xml:space="preserve">Second Amendment to the Tractor Supply Company 2006 Stock Incentive Plan, effective February 8, 2007 (filed as Exhibit 10.38 to Registrant’s Annual Report on Form 10-K, filed with the Commission on February 28, 2007, </w:t>
              </w:r>
            </w:hyperlink>
            <w:hyperlink r:id="rId37"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38" w:history="1">
              <w:r>
                <w:rPr>
                  <w:rStyle w:val="a3"/>
                  <w:rFonts w:eastAsia="Times New Roman"/>
                  <w:sz w:val="20"/>
                  <w:szCs w:val="20"/>
                </w:rPr>
                <w:t>Form of Incentive Stock Option Agreement under the 2006 Stock Incentive Plan (filed as Exhibit 10.41 to the Registrant’s Annual Report on Form 10-K, filed w</w:t>
              </w:r>
              <w:r>
                <w:rPr>
                  <w:rStyle w:val="a3"/>
                  <w:rFonts w:eastAsia="Times New Roman"/>
                  <w:sz w:val="20"/>
                  <w:szCs w:val="20"/>
                </w:rPr>
                <w:t xml:space="preserve">ith the Commission on February 25, 2009, </w:t>
              </w:r>
            </w:hyperlink>
            <w:hyperlink r:id="rId3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40" w:history="1">
              <w:r>
                <w:rPr>
                  <w:rStyle w:val="a3"/>
                  <w:rFonts w:eastAsia="Times New Roman"/>
                  <w:sz w:val="20"/>
                  <w:szCs w:val="20"/>
                </w:rPr>
                <w:t>Tractor Supply Company 2009 Stock Incentive Plan (filed as Exhibit 99.1 to Registrant’s Current Report on Form 8-K, filed with the Commission on April 14, 20</w:t>
              </w:r>
              <w:r>
                <w:rPr>
                  <w:rStyle w:val="a3"/>
                  <w:rFonts w:eastAsia="Times New Roman"/>
                  <w:sz w:val="20"/>
                  <w:szCs w:val="20"/>
                </w:rPr>
                <w:t xml:space="preserve">09, </w:t>
              </w:r>
            </w:hyperlink>
            <w:hyperlink r:id="rId41"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42" w:history="1">
              <w:r>
                <w:rPr>
                  <w:rStyle w:val="a3"/>
                  <w:rFonts w:eastAsia="Times New Roman"/>
                  <w:sz w:val="20"/>
                  <w:szCs w:val="20"/>
                </w:rPr>
                <w:t xml:space="preserve">Form of Incentive Stock Option Agreement under the Tractor Supply Company 2009 Stock Incentive Plan (filed as Exhibit 10.44 to Registrant’s Quarterly Report on Form 10-Q, filed with the Commission on August 4, 2009, </w:t>
              </w:r>
            </w:hyperlink>
            <w:hyperlink r:id="rId43"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44" w:history="1">
              <w:r>
                <w:rPr>
                  <w:rStyle w:val="a3"/>
                  <w:rFonts w:eastAsia="Times New Roman"/>
                  <w:sz w:val="20"/>
                  <w:szCs w:val="20"/>
                </w:rPr>
                <w:t xml:space="preserve">Form of Restricted Share Unit </w:t>
              </w:r>
              <w:r>
                <w:rPr>
                  <w:rStyle w:val="a3"/>
                  <w:rFonts w:eastAsia="Times New Roman"/>
                  <w:sz w:val="20"/>
                  <w:szCs w:val="20"/>
                </w:rPr>
                <w:t xml:space="preserve">Agreement under the Tractor Supply Company 2009 Stock Incentive Plan (filed as Exhibit 10.45 to Registrant’s Quarterly Report on Form 10-Q, filed with the Commission on August 4, 2009, </w:t>
              </w:r>
            </w:hyperlink>
            <w:hyperlink r:id="rId45"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46" w:history="1">
              <w:r>
                <w:rPr>
                  <w:rStyle w:val="a3"/>
                  <w:rFonts w:eastAsia="Times New Roman"/>
                  <w:sz w:val="20"/>
                  <w:szCs w:val="20"/>
                </w:rPr>
                <w:t>Form of Nonqualified Stock Option Agreement under the Tractor Supply Company 2009 Stock Incentive Plan (filed as Exhibit 10.46 to Registrant’s Quarterly Rep</w:t>
              </w:r>
              <w:r>
                <w:rPr>
                  <w:rStyle w:val="a3"/>
                  <w:rFonts w:eastAsia="Times New Roman"/>
                  <w:sz w:val="20"/>
                  <w:szCs w:val="20"/>
                </w:rPr>
                <w:t xml:space="preserve">ort on Form 10-Q, filed with the Commission on August 4, 2009, </w:t>
              </w:r>
            </w:hyperlink>
            <w:hyperlink r:id="rId47"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48" w:history="1">
              <w:r>
                <w:rPr>
                  <w:rStyle w:val="a3"/>
                  <w:rFonts w:eastAsia="Times New Roman"/>
                  <w:sz w:val="20"/>
                  <w:szCs w:val="20"/>
                </w:rPr>
                <w:t>Form of Director Restricted Stock Unit Award Agreement (filed as Exhibit 10.48 to Registrant’s Quarterly Report on Form 10-Q, filed with the Commission on N</w:t>
              </w:r>
              <w:r>
                <w:rPr>
                  <w:rStyle w:val="a3"/>
                  <w:rFonts w:eastAsia="Times New Roman"/>
                  <w:sz w:val="20"/>
                  <w:szCs w:val="20"/>
                </w:rPr>
                <w:t xml:space="preserve">ovember 2, 2009, </w:t>
              </w:r>
            </w:hyperlink>
            <w:hyperlink r:id="rId4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50" w:history="1">
              <w:r>
                <w:rPr>
                  <w:rStyle w:val="a3"/>
                  <w:rFonts w:eastAsia="Times New Roman"/>
                  <w:sz w:val="20"/>
                  <w:szCs w:val="20"/>
                </w:rPr>
                <w:t>Form of Restricted Share Unit Agreement for Officers (filed as Exhibit 10.49 to Registrant’s Quarterly Report on Form 10-Q, filed with the Commission on Nov</w:t>
              </w:r>
              <w:r>
                <w:rPr>
                  <w:rStyle w:val="a3"/>
                  <w:rFonts w:eastAsia="Times New Roman"/>
                  <w:sz w:val="20"/>
                  <w:szCs w:val="20"/>
                </w:rPr>
                <w:t xml:space="preserve">ember 2, 2009, </w:t>
              </w:r>
            </w:hyperlink>
            <w:hyperlink r:id="rId51"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52" w:history="1">
              <w:r>
                <w:rPr>
                  <w:rStyle w:val="a3"/>
                  <w:rFonts w:eastAsia="Times New Roman"/>
                  <w:sz w:val="20"/>
                  <w:szCs w:val="20"/>
                </w:rPr>
                <w:t>Form of Deferred Stock Unit Award Agreement for Directors (filed as Exhibit 10.50 to Registrant’s Quarterly Report on Form 10-Q, filed with the Commission o</w:t>
              </w:r>
              <w:r>
                <w:rPr>
                  <w:rStyle w:val="a3"/>
                  <w:rFonts w:eastAsia="Times New Roman"/>
                  <w:sz w:val="20"/>
                  <w:szCs w:val="20"/>
                </w:rPr>
                <w:t xml:space="preserve">n November 2, 2009, </w:t>
              </w:r>
            </w:hyperlink>
            <w:hyperlink r:id="rId53"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54" w:history="1">
              <w:r>
                <w:rPr>
                  <w:rStyle w:val="a3"/>
                  <w:rFonts w:eastAsia="Times New Roman"/>
                  <w:sz w:val="20"/>
                  <w:szCs w:val="20"/>
                </w:rPr>
                <w:t>Compensation Recoupment Policy (filed as Exhibit 10.42 to Registrant’s Quarterly Report on Form 10-Q, filed with the Commission on May 3, 2011</w:t>
              </w:r>
            </w:hyperlink>
            <w:hyperlink r:id="rId55" w:history="1">
              <w:r>
                <w:rPr>
                  <w:rStyle w:val="a3"/>
                  <w:rFonts w:eastAsia="Times New Roman"/>
                  <w:sz w:val="20"/>
                  <w:szCs w:val="20"/>
                </w:rPr>
                <w:t>,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56" w:history="1">
              <w:r>
                <w:rPr>
                  <w:rStyle w:val="a3"/>
                  <w:rFonts w:eastAsia="Times New Roman"/>
                  <w:sz w:val="20"/>
                  <w:szCs w:val="20"/>
                </w:rPr>
                <w:t>First Amendment</w:t>
              </w:r>
              <w:r>
                <w:rPr>
                  <w:rStyle w:val="a3"/>
                  <w:rFonts w:eastAsia="Times New Roman"/>
                  <w:sz w:val="20"/>
                  <w:szCs w:val="20"/>
                </w:rPr>
                <w:t xml:space="preserve"> to the Tractor Supply Company 2009 Stock Incentive Plan, effective February 4, 2015 (filed as Exhibit 10.34 to the Registrant’s Annual Report on Form 10-K, filed with the Commission on February 18, 2015,</w:t>
              </w:r>
            </w:hyperlink>
            <w:hyperlink r:id="rId57" w:history="1">
              <w:r>
                <w:rPr>
                  <w:rStyle w:val="a3"/>
                  <w:rFonts w:eastAsia="Times New Roman"/>
                  <w:sz w:val="20"/>
                  <w:szCs w:val="20"/>
                </w:rPr>
                <w:t xml:space="preserve">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58" w:history="1">
              <w:r>
                <w:rPr>
                  <w:rStyle w:val="a3"/>
                  <w:rFonts w:eastAsia="Times New Roman"/>
                  <w:sz w:val="20"/>
                  <w:szCs w:val="20"/>
                </w:rPr>
                <w:t xml:space="preserve">Note Purchase and Private Shelf Agreement, dated August 14, 2017, by and among Tractor Supply Company, PGIM, Inc. (“Prudential”) and certain of </w:t>
              </w:r>
              <w:r>
                <w:rPr>
                  <w:rStyle w:val="a3"/>
                  <w:rFonts w:eastAsia="Times New Roman"/>
                  <w:sz w:val="20"/>
                  <w:szCs w:val="20"/>
                </w:rPr>
                <w:t xml:space="preserve">its affiliates (the “Prudential Affiliates”) party thereto (filed as Exhibit 10.1 to Current Report on Form 8-K, filed with the Commission on August 16, 2017, </w:t>
              </w:r>
            </w:hyperlink>
            <w:hyperlink r:id="rId5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60" w:history="1">
              <w:r>
                <w:rPr>
                  <w:rStyle w:val="a3"/>
                  <w:rFonts w:eastAsia="Times New Roman"/>
                  <w:sz w:val="20"/>
                  <w:szCs w:val="20"/>
                </w:rPr>
                <w:t xml:space="preserve">Form of Performance Share Unit Agreement for Officers under the Tractor Supply Company 2009 Stock Incentive Plan (filed as Exhibit 10.33 to the </w:t>
              </w:r>
              <w:r>
                <w:rPr>
                  <w:rStyle w:val="a3"/>
                  <w:rFonts w:eastAsia="Times New Roman"/>
                  <w:sz w:val="20"/>
                  <w:szCs w:val="20"/>
                </w:rPr>
                <w:t>Registrant’s Annual Report on Form 10-K, filed with the Commission on February 22, 2018,</w:t>
              </w:r>
            </w:hyperlink>
            <w:hyperlink r:id="rId61" w:history="1">
              <w:r>
                <w:rPr>
                  <w:rStyle w:val="a3"/>
                  <w:rFonts w:eastAsia="Times New Roman"/>
                  <w:sz w:val="20"/>
                  <w:szCs w:val="20"/>
                </w:rPr>
                <w:t xml:space="preserve">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936208565"/>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62" w:history="1">
              <w:r>
                <w:rPr>
                  <w:rStyle w:val="a3"/>
                  <w:rFonts w:eastAsia="Times New Roman"/>
                  <w:sz w:val="20"/>
                  <w:szCs w:val="20"/>
                </w:rPr>
                <w:t>Form of Performance Share Unit Agreement for the Chief Executive Officer under the Tractor Supply Company 2009 Stock Incentive Plan (f</w:t>
              </w:r>
              <w:r>
                <w:rPr>
                  <w:rStyle w:val="a3"/>
                  <w:rFonts w:eastAsia="Times New Roman"/>
                  <w:sz w:val="20"/>
                  <w:szCs w:val="20"/>
                </w:rPr>
                <w:t xml:space="preserve">iled as Exhibit 10.34 to the Registrant’s Annual Report on Form 10-K, filed with the Commission on February 22, 2018, </w:t>
              </w:r>
            </w:hyperlink>
            <w:hyperlink r:id="rId63" w:history="1">
              <w:r>
                <w:rPr>
                  <w:rStyle w:val="a3"/>
                  <w:rFonts w:eastAsia="Times New Roman"/>
                  <w:sz w:val="20"/>
                  <w:szCs w:val="20"/>
                </w:rPr>
                <w:t>and incorporated herein by</w:t>
              </w:r>
              <w:r>
                <w:rPr>
                  <w:rStyle w:val="a3"/>
                  <w:rFonts w:eastAsia="Times New Roman"/>
                  <w:sz w:val="20"/>
                  <w:szCs w:val="20"/>
                </w:rPr>
                <w:t xml:space="preserve">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936208565"/>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bl>
    <w:p w:rsidR="00000000" w:rsidRDefault="001F39D7">
      <w:pPr>
        <w:jc w:val="center"/>
        <w:divId w:val="1858497412"/>
        <w:rPr>
          <w:rFonts w:eastAsia="Times New Roman"/>
        </w:rPr>
      </w:pPr>
      <w:r>
        <w:rPr>
          <w:rFonts w:eastAsia="Times New Roman"/>
          <w:color w:val="000000"/>
          <w:sz w:val="20"/>
          <w:szCs w:val="20"/>
        </w:rPr>
        <w:t>79</w:t>
      </w:r>
    </w:p>
    <w:p w:rsidR="00000000" w:rsidRDefault="001F39D7">
      <w:pPr>
        <w:rPr>
          <w:rFonts w:eastAsia="Times New Roman"/>
        </w:rPr>
      </w:pPr>
      <w:r>
        <w:rPr>
          <w:rFonts w:eastAsia="Times New Roman"/>
        </w:rPr>
        <w:pict>
          <v:rect id="_x0000_i1108" style="width:0;height:1.5pt" o:hralign="center" o:hrstd="t" o:hr="t" fillcolor="#a0a0a0" stroked="f"/>
        </w:pict>
      </w:r>
    </w:p>
    <w:p w:rsidR="00000000" w:rsidRDefault="001F39D7">
      <w:pPr>
        <w:divId w:val="1753039819"/>
        <w:rPr>
          <w:rFonts w:eastAsia="Times New Roman"/>
        </w:rPr>
      </w:pPr>
      <w:hyperlink w:anchor="ia0680a7a640346e7afc1f53a5745d231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77"/>
        <w:gridCol w:w="406"/>
        <w:gridCol w:w="36"/>
        <w:gridCol w:w="38"/>
        <w:gridCol w:w="7604"/>
        <w:gridCol w:w="37"/>
        <w:gridCol w:w="36"/>
        <w:gridCol w:w="36"/>
        <w:gridCol w:w="36"/>
      </w:tblGrid>
      <w:tr w:rsidR="00000000">
        <w:trPr>
          <w:divId w:val="1778065537"/>
        </w:trPr>
        <w:tc>
          <w:tcPr>
            <w:tcW w:w="50" w:type="pct"/>
            <w:vAlign w:val="center"/>
            <w:hideMark/>
          </w:tcPr>
          <w:p w:rsidR="00000000" w:rsidRDefault="001F39D7">
            <w:pPr>
              <w:rPr>
                <w:rFonts w:eastAsia="Times New Roman"/>
              </w:rPr>
            </w:pPr>
          </w:p>
        </w:tc>
        <w:tc>
          <w:tcPr>
            <w:tcW w:w="2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5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64" w:history="1">
              <w:r>
                <w:rPr>
                  <w:rStyle w:val="a3"/>
                  <w:rFonts w:eastAsia="Times New Roman"/>
                  <w:sz w:val="20"/>
                  <w:szCs w:val="20"/>
                </w:rPr>
                <w:t>Tractor Supply Company 2018 Omnibus Incentive Plan (filed as Exhibit A to Registrant’s Proxy Statement on Schedule 14A for Registrant’s Annual Meeting of</w:t>
              </w:r>
              <w:r>
                <w:rPr>
                  <w:rStyle w:val="a3"/>
                  <w:rFonts w:eastAsia="Times New Roman"/>
                  <w:sz w:val="20"/>
                  <w:szCs w:val="20"/>
                </w:rPr>
                <w:t xml:space="preserve"> Shareholders held on May 10, 2018, filed with the Commission on March 27, 2018, </w:t>
              </w:r>
            </w:hyperlink>
            <w:hyperlink r:id="rId65" w:history="1">
              <w:r>
                <w:rPr>
                  <w:rStyle w:val="a3"/>
                  <w:rFonts w:eastAsia="Times New Roman"/>
                  <w:sz w:val="20"/>
                  <w:szCs w:val="20"/>
                </w:rPr>
                <w:t>and incorporated herein by reference).+</w:t>
              </w:r>
            </w:hyperlink>
          </w:p>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66" w:history="1">
              <w:r>
                <w:rPr>
                  <w:rStyle w:val="a3"/>
                  <w:rFonts w:eastAsia="Times New Roman"/>
                  <w:sz w:val="20"/>
                  <w:szCs w:val="20"/>
                </w:rPr>
                <w:t>Form of Nonqualified Stock Option Agreement under the Tractor Supply Company 2018 Omnibus Incentive Plan (filed as Exhibit 10.2 to the Registran</w:t>
              </w:r>
              <w:r>
                <w:rPr>
                  <w:rStyle w:val="a3"/>
                  <w:rFonts w:eastAsia="Times New Roman"/>
                  <w:sz w:val="20"/>
                  <w:szCs w:val="20"/>
                </w:rPr>
                <w:t xml:space="preserve">t’s Quarterly Report on Form 10-Q, filed with the Commission on August 9, 2018, </w:t>
              </w:r>
            </w:hyperlink>
            <w:hyperlink r:id="rId67"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68" w:history="1">
              <w:r>
                <w:rPr>
                  <w:rStyle w:val="a3"/>
                  <w:rFonts w:eastAsia="Times New Roman"/>
                  <w:sz w:val="20"/>
                  <w:szCs w:val="20"/>
                </w:rPr>
                <w:t>Form of Restricted Share Unit Agreement under the Tractor Supply Company 2018 Omnibus Incentive Plan (filed as Exhibit 10.3 to the Regis</w:t>
              </w:r>
              <w:r>
                <w:rPr>
                  <w:rStyle w:val="a3"/>
                  <w:rFonts w:eastAsia="Times New Roman"/>
                  <w:sz w:val="20"/>
                  <w:szCs w:val="20"/>
                </w:rPr>
                <w:t xml:space="preserve">trant’s Quarterly Report on Form 10-Q, filed with the Commission on August 9, 2018, </w:t>
              </w:r>
            </w:hyperlink>
            <w:hyperlink r:id="rId6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70" w:history="1">
              <w:r>
                <w:rPr>
                  <w:rStyle w:val="a3"/>
                  <w:rFonts w:eastAsia="Times New Roman"/>
                  <w:sz w:val="20"/>
                  <w:szCs w:val="20"/>
                </w:rPr>
                <w:t>Form of Performance Share Unit Agreement for Officers under the Tractor Supply Company 2018 Omnibus Incentive Plan (filed as Exhibit 10.</w:t>
              </w:r>
              <w:r>
                <w:rPr>
                  <w:rStyle w:val="a3"/>
                  <w:rFonts w:eastAsia="Times New Roman"/>
                  <w:sz w:val="20"/>
                  <w:szCs w:val="20"/>
                </w:rPr>
                <w:t xml:space="preserve">4 to the Registrant’s Quarterly Report on Form 10-Q, filed with the Commission on August 9, 2018, </w:t>
              </w:r>
            </w:hyperlink>
            <w:hyperlink r:id="rId71"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vAlign w:val="bottom"/>
            <w:hideMark/>
          </w:tcPr>
          <w:p w:rsidR="00000000" w:rsidRDefault="001F39D7">
            <w:pPr>
              <w:spacing w:after="100"/>
              <w:jc w:val="both"/>
              <w:rPr>
                <w:rFonts w:eastAsia="Times New Roman"/>
              </w:rPr>
            </w:pPr>
            <w:hyperlink r:id="rId72" w:history="1">
              <w:r>
                <w:rPr>
                  <w:rStyle w:val="a3"/>
                  <w:rFonts w:eastAsia="Times New Roman"/>
                  <w:sz w:val="20"/>
                  <w:szCs w:val="20"/>
                </w:rPr>
                <w:t xml:space="preserve">Form of Indemnification Agreement, by and between Tractor Supply Company and each of its executive officers and directors, dated November 8, 2018 (filed as Exhibit 10.1 to Current Report on Form 8-K, filed with the Commission on November 14, 2018, </w:t>
              </w:r>
            </w:hyperlink>
            <w:hyperlink r:id="rId73" w:history="1">
              <w:r>
                <w:rPr>
                  <w:rStyle w:val="a3"/>
                  <w:rFonts w:eastAsia="Times New Roman"/>
                  <w:sz w:val="20"/>
                  <w:szCs w:val="20"/>
                </w:rPr>
                <w:t>a</w:t>
              </w:r>
            </w:hyperlink>
            <w:hyperlink r:id="rId74" w:history="1">
              <w:r>
                <w:rPr>
                  <w:rStyle w:val="a3"/>
                  <w:rFonts w:eastAsia="Times New Roman"/>
                  <w:sz w:val="20"/>
                  <w:szCs w:val="20"/>
                </w:rPr>
                <w:t>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75" w:history="1">
              <w:r>
                <w:rPr>
                  <w:rStyle w:val="a3"/>
                  <w:rFonts w:eastAsia="Times New Roman"/>
                  <w:sz w:val="20"/>
                  <w:szCs w:val="20"/>
                </w:rPr>
                <w:t>Form of Performance Share Unit Agreement for Officers under the Tractor Supply Co</w:t>
              </w:r>
              <w:r>
                <w:rPr>
                  <w:rStyle w:val="a3"/>
                  <w:rFonts w:eastAsia="Times New Roman"/>
                  <w:sz w:val="20"/>
                  <w:szCs w:val="20"/>
                </w:rPr>
                <w:t>mpany 2018 Omnibus Incentive Plan</w:t>
              </w:r>
            </w:hyperlink>
            <w:hyperlink r:id="rId76" w:history="1">
              <w:r>
                <w:rPr>
                  <w:rStyle w:val="a3"/>
                  <w:rFonts w:eastAsia="Times New Roman"/>
                  <w:sz w:val="20"/>
                  <w:szCs w:val="20"/>
                </w:rPr>
                <w:t xml:space="preserve"> (filed as Exh</w:t>
              </w:r>
            </w:hyperlink>
            <w:hyperlink r:id="rId77" w:history="1">
              <w:r>
                <w:rPr>
                  <w:rStyle w:val="a3"/>
                  <w:rFonts w:eastAsia="Times New Roman"/>
                  <w:sz w:val="20"/>
                  <w:szCs w:val="20"/>
                </w:rPr>
                <w:t>i</w:t>
              </w:r>
            </w:hyperlink>
            <w:hyperlink r:id="rId78" w:history="1">
              <w:r>
                <w:rPr>
                  <w:rStyle w:val="a3"/>
                  <w:rFonts w:eastAsia="Times New Roman"/>
                  <w:sz w:val="20"/>
                  <w:szCs w:val="20"/>
                </w:rPr>
                <w:t>bit</w:t>
              </w:r>
            </w:hyperlink>
            <w:hyperlink r:id="rId79" w:history="1">
              <w:r>
                <w:rPr>
                  <w:rStyle w:val="a3"/>
                  <w:rFonts w:eastAsia="Times New Roman"/>
                  <w:sz w:val="20"/>
                  <w:szCs w:val="20"/>
                </w:rPr>
                <w:t xml:space="preserve"> 10.35 to the</w:t>
              </w:r>
              <w:r>
                <w:rPr>
                  <w:rStyle w:val="a3"/>
                  <w:rFonts w:eastAsia="Times New Roman"/>
                  <w:sz w:val="20"/>
                  <w:szCs w:val="20"/>
                </w:rPr>
                <w:t xml:space="preserve"> Re</w:t>
              </w:r>
            </w:hyperlink>
            <w:hyperlink r:id="rId80" w:history="1">
              <w:r>
                <w:rPr>
                  <w:rStyle w:val="a3"/>
                  <w:rFonts w:eastAsia="Times New Roman"/>
                  <w:sz w:val="20"/>
                  <w:szCs w:val="20"/>
                </w:rPr>
                <w:t xml:space="preserve">gistrant's Quarterly Report on Form 10-K, filed </w:t>
              </w:r>
            </w:hyperlink>
            <w:hyperlink r:id="rId81" w:history="1">
              <w:r>
                <w:rPr>
                  <w:rStyle w:val="a3"/>
                  <w:rFonts w:eastAsia="Times New Roman"/>
                  <w:sz w:val="20"/>
                  <w:szCs w:val="20"/>
                </w:rPr>
                <w:t>with the Commission on February 18, 2021, and incorporated herein by reference)</w:t>
              </w:r>
            </w:hyperlink>
            <w:hyperlink r:id="rId82" w:history="1">
              <w:r>
                <w:rPr>
                  <w:rStyle w:val="a3"/>
                  <w:rFonts w:eastAsia="Times New Roman"/>
                  <w:sz w:val="20"/>
                  <w:szCs w:val="20"/>
                </w:rPr>
                <w:t>.+</w:t>
              </w:r>
            </w:hyperlink>
          </w:p>
          <w:p w:rsidR="00000000" w:rsidRDefault="001F39D7">
            <w:pPr>
              <w:spacing w:after="100"/>
              <w:jc w:val="both"/>
              <w:rPr>
                <w:rFonts w:eastAsia="Times New Roman"/>
              </w:rPr>
            </w:pPr>
          </w:p>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83" w:history="1">
              <w:r>
                <w:rPr>
                  <w:rStyle w:val="a3"/>
                  <w:rFonts w:eastAsia="Times New Roman"/>
                  <w:sz w:val="20"/>
                  <w:szCs w:val="20"/>
                </w:rPr>
                <w:t>Form of Performance Share Unit Agreement for Chief Executive Officer under the Tractor Supply Company 2018 Omnibus Incentive Plan</w:t>
              </w:r>
            </w:hyperlink>
            <w:hyperlink r:id="rId84" w:history="1">
              <w:r>
                <w:rPr>
                  <w:rStyle w:val="a3"/>
                  <w:rFonts w:eastAsia="Times New Roman"/>
                  <w:sz w:val="20"/>
                  <w:szCs w:val="20"/>
                </w:rPr>
                <w:t xml:space="preserve"> (filed as Exhibit 10.3</w:t>
              </w:r>
            </w:hyperlink>
            <w:hyperlink r:id="rId85" w:history="1">
              <w:r>
                <w:rPr>
                  <w:rStyle w:val="a3"/>
                  <w:rFonts w:eastAsia="Times New Roman"/>
                  <w:sz w:val="20"/>
                  <w:szCs w:val="20"/>
                </w:rPr>
                <w:t>6</w:t>
              </w:r>
            </w:hyperlink>
            <w:hyperlink r:id="rId86" w:history="1">
              <w:r>
                <w:rPr>
                  <w:rStyle w:val="a3"/>
                  <w:rFonts w:eastAsia="Times New Roman"/>
                  <w:sz w:val="20"/>
                  <w:szCs w:val="20"/>
                </w:rPr>
                <w:t xml:space="preserve"> to the Registrant's Quarterly Report on Form 10-K, filed with the Commission on February 18, 2021, and incorporated herein by reference).+</w:t>
              </w:r>
            </w:hyperlink>
          </w:p>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87" w:history="1">
              <w:r>
                <w:rPr>
                  <w:rStyle w:val="a3"/>
                  <w:rFonts w:eastAsia="Times New Roman"/>
                  <w:sz w:val="20"/>
                  <w:szCs w:val="20"/>
                </w:rPr>
                <w:t>Form of Restricted Share Unit Agreement under the Tractor Supply Company 2018 Omnibus Incentive Plan</w:t>
              </w:r>
            </w:hyperlink>
            <w:hyperlink r:id="rId88" w:history="1">
              <w:r>
                <w:rPr>
                  <w:rStyle w:val="a3"/>
                  <w:rFonts w:eastAsia="Times New Roman"/>
                  <w:sz w:val="20"/>
                  <w:szCs w:val="20"/>
                </w:rPr>
                <w:t xml:space="preserve"> (filed as Exhibit 10.3</w:t>
              </w:r>
            </w:hyperlink>
            <w:hyperlink r:id="rId89" w:history="1">
              <w:r>
                <w:rPr>
                  <w:rStyle w:val="a3"/>
                  <w:rFonts w:eastAsia="Times New Roman"/>
                  <w:sz w:val="20"/>
                  <w:szCs w:val="20"/>
                </w:rPr>
                <w:t>7</w:t>
              </w:r>
            </w:hyperlink>
            <w:hyperlink r:id="rId90" w:history="1">
              <w:r>
                <w:rPr>
                  <w:rStyle w:val="a3"/>
                  <w:rFonts w:eastAsia="Times New Roman"/>
                  <w:sz w:val="20"/>
                  <w:szCs w:val="20"/>
                </w:rPr>
                <w:t xml:space="preserve"> to the Registrant's Quarterly Report on Form 10-K, </w:t>
              </w:r>
              <w:r>
                <w:rPr>
                  <w:rStyle w:val="a3"/>
                  <w:rFonts w:eastAsia="Times New Roman"/>
                  <w:sz w:val="20"/>
                  <w:szCs w:val="20"/>
                </w:rPr>
                <w:t>filed with the Commission on February 18, 2021, and incorporated herein by reference).+</w:t>
              </w:r>
            </w:hyperlink>
          </w:p>
          <w:p w:rsidR="00000000" w:rsidRDefault="001F39D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91" w:history="1">
              <w:r>
                <w:rPr>
                  <w:rStyle w:val="a3"/>
                  <w:rFonts w:eastAsia="Times New Roman"/>
                  <w:sz w:val="20"/>
                  <w:szCs w:val="20"/>
                </w:rPr>
                <w:t>Form of Nonqualified Stock Option Agreement under the Tractor Supply Company 2018 Omnibus Incentive Plan</w:t>
              </w:r>
            </w:hyperlink>
            <w:hyperlink r:id="rId92" w:history="1">
              <w:r>
                <w:rPr>
                  <w:rStyle w:val="a3"/>
                  <w:rFonts w:eastAsia="Times New Roman"/>
                  <w:sz w:val="20"/>
                  <w:szCs w:val="20"/>
                </w:rPr>
                <w:t xml:space="preserve"> (filed as Exhibit 10.3</w:t>
              </w:r>
            </w:hyperlink>
            <w:hyperlink r:id="rId93" w:history="1">
              <w:r>
                <w:rPr>
                  <w:rStyle w:val="a3"/>
                  <w:rFonts w:eastAsia="Times New Roman"/>
                  <w:sz w:val="20"/>
                  <w:szCs w:val="20"/>
                </w:rPr>
                <w:t>8</w:t>
              </w:r>
            </w:hyperlink>
            <w:hyperlink r:id="rId94" w:history="1">
              <w:r>
                <w:rPr>
                  <w:rStyle w:val="a3"/>
                  <w:rFonts w:eastAsia="Times New Roman"/>
                  <w:sz w:val="20"/>
                  <w:szCs w:val="20"/>
                </w:rPr>
                <w:t xml:space="preserve"> to the Registrant's Quarterly Report on Form 10-K, filed with the Commission on February 18, 2021,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95" w:history="1">
              <w:r>
                <w:rPr>
                  <w:rStyle w:val="a3"/>
                  <w:rFonts w:eastAsia="Times New Roman"/>
                  <w:sz w:val="20"/>
                  <w:szCs w:val="20"/>
                </w:rPr>
                <w:t xml:space="preserve">Form of Change in Control Agreement, </w:t>
              </w:r>
            </w:hyperlink>
            <w:hyperlink r:id="rId96" w:history="1">
              <w:r>
                <w:rPr>
                  <w:rStyle w:val="a3"/>
                  <w:rFonts w:eastAsia="Times New Roman"/>
                  <w:sz w:val="20"/>
                  <w:szCs w:val="20"/>
                </w:rPr>
                <w:t>dated as of March 8, 2021 by and between Tractor Supply Compan</w:t>
              </w:r>
            </w:hyperlink>
            <w:hyperlink r:id="rId97" w:history="1">
              <w:r>
                <w:rPr>
                  <w:rStyle w:val="a3"/>
                  <w:rFonts w:eastAsia="Times New Roman"/>
                  <w:sz w:val="20"/>
                  <w:szCs w:val="20"/>
                </w:rPr>
                <w:t>y and each of Kurt D. Barton, Robert D. Mi</w:t>
              </w:r>
            </w:hyperlink>
            <w:hyperlink r:id="rId98" w:history="1">
              <w:r>
                <w:rPr>
                  <w:rStyle w:val="a3"/>
                  <w:rFonts w:eastAsia="Times New Roman"/>
                  <w:sz w:val="20"/>
                  <w:szCs w:val="20"/>
                </w:rPr>
                <w:t>lls, John</w:t>
              </w:r>
            </w:hyperlink>
            <w:hyperlink r:id="rId99" w:history="1">
              <w:r>
                <w:rPr>
                  <w:rStyle w:val="a3"/>
                  <w:rFonts w:eastAsia="Times New Roman"/>
                  <w:sz w:val="20"/>
                  <w:szCs w:val="20"/>
                </w:rPr>
                <w:t xml:space="preserve"> P. Ordus, Jonathan S. Estep, Me</w:t>
              </w:r>
            </w:hyperlink>
            <w:hyperlink r:id="rId100" w:history="1">
              <w:r>
                <w:rPr>
                  <w:rStyle w:val="a3"/>
                  <w:rFonts w:eastAsia="Times New Roman"/>
                  <w:sz w:val="20"/>
                  <w:szCs w:val="20"/>
                </w:rPr>
                <w:t>lissa D. Kersey, Colin W. Yankee, Noni L. Ellison, Christi C. Kor</w:t>
              </w:r>
            </w:hyperlink>
            <w:hyperlink r:id="rId101" w:history="1">
              <w:r>
                <w:rPr>
                  <w:rStyle w:val="a3"/>
                  <w:rFonts w:eastAsia="Times New Roman"/>
                  <w:sz w:val="20"/>
                  <w:szCs w:val="20"/>
                </w:rPr>
                <w:t>zekwa, and Matthew L. Rubin (filed as Exhibit 10.2 to Current Report on Form 8-K, f</w:t>
              </w:r>
            </w:hyperlink>
            <w:hyperlink r:id="rId102" w:history="1">
              <w:r>
                <w:rPr>
                  <w:rStyle w:val="a3"/>
                  <w:rFonts w:eastAsia="Times New Roman"/>
                  <w:sz w:val="20"/>
                  <w:szCs w:val="20"/>
                </w:rPr>
                <w:t>iled with the Commission on March 10, 2021, and incorporated herein by reference). +</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03" w:history="1">
              <w:r>
                <w:rPr>
                  <w:rStyle w:val="a3"/>
                  <w:rFonts w:eastAsia="Times New Roman"/>
                  <w:sz w:val="20"/>
                  <w:szCs w:val="20"/>
                </w:rPr>
                <w:t>Employment Agreement, dated December 4, 2019, by and between Tractor Supply Company and Harry A. Lawton III (filed as Exhibit 10.1 to Registrant’s C</w:t>
              </w:r>
              <w:r>
                <w:rPr>
                  <w:rStyle w:val="a3"/>
                  <w:rFonts w:eastAsia="Times New Roman"/>
                  <w:sz w:val="20"/>
                  <w:szCs w:val="20"/>
                </w:rPr>
                <w:t xml:space="preserve">urrent Report on Form 8-K, filed with the Commission on December 6, 2019, </w:t>
              </w:r>
            </w:hyperlink>
            <w:hyperlink r:id="rId104"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12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05" w:history="1">
              <w:r>
                <w:rPr>
                  <w:rStyle w:val="a3"/>
                  <w:rFonts w:eastAsia="Times New Roman"/>
                  <w:sz w:val="20"/>
                  <w:szCs w:val="20"/>
                </w:rPr>
                <w:t xml:space="preserve">Change in Control Agreement, dated </w:t>
              </w:r>
            </w:hyperlink>
            <w:hyperlink r:id="rId106" w:history="1">
              <w:r>
                <w:rPr>
                  <w:rStyle w:val="a3"/>
                  <w:rFonts w:eastAsia="Times New Roman"/>
                  <w:sz w:val="20"/>
                  <w:szCs w:val="20"/>
                </w:rPr>
                <w:t>March</w:t>
              </w:r>
            </w:hyperlink>
            <w:hyperlink r:id="rId107" w:history="1">
              <w:r>
                <w:rPr>
                  <w:rStyle w:val="a3"/>
                  <w:rFonts w:eastAsia="Times New Roman"/>
                  <w:sz w:val="20"/>
                  <w:szCs w:val="20"/>
                </w:rPr>
                <w:t xml:space="preserve"> </w:t>
              </w:r>
            </w:hyperlink>
            <w:hyperlink r:id="rId108" w:history="1">
              <w:r>
                <w:rPr>
                  <w:rStyle w:val="a3"/>
                  <w:rFonts w:eastAsia="Times New Roman"/>
                  <w:sz w:val="20"/>
                  <w:szCs w:val="20"/>
                </w:rPr>
                <w:t>8</w:t>
              </w:r>
            </w:hyperlink>
            <w:hyperlink r:id="rId109" w:history="1">
              <w:r>
                <w:rPr>
                  <w:rStyle w:val="a3"/>
                  <w:rFonts w:eastAsia="Times New Roman"/>
                  <w:sz w:val="20"/>
                  <w:szCs w:val="20"/>
                </w:rPr>
                <w:t>, 20</w:t>
              </w:r>
            </w:hyperlink>
            <w:hyperlink r:id="rId110" w:history="1">
              <w:r>
                <w:rPr>
                  <w:rStyle w:val="a3"/>
                  <w:rFonts w:eastAsia="Times New Roman"/>
                  <w:sz w:val="20"/>
                  <w:szCs w:val="20"/>
                </w:rPr>
                <w:t>21</w:t>
              </w:r>
            </w:hyperlink>
            <w:hyperlink r:id="rId111" w:history="1">
              <w:r>
                <w:rPr>
                  <w:rStyle w:val="a3"/>
                  <w:rFonts w:eastAsia="Times New Roman"/>
                  <w:sz w:val="20"/>
                  <w:szCs w:val="20"/>
                </w:rPr>
                <w:t>, by and between Tractor Supply Company and Harry A. Lawton III (filed as Exhibit 10.</w:t>
              </w:r>
            </w:hyperlink>
            <w:hyperlink r:id="rId112" w:history="1">
              <w:r>
                <w:rPr>
                  <w:rStyle w:val="a3"/>
                  <w:rFonts w:eastAsia="Times New Roman"/>
                  <w:sz w:val="20"/>
                  <w:szCs w:val="20"/>
                </w:rPr>
                <w:t>1</w:t>
              </w:r>
            </w:hyperlink>
            <w:hyperlink r:id="rId113" w:history="1">
              <w:r>
                <w:rPr>
                  <w:rStyle w:val="a3"/>
                  <w:rFonts w:eastAsia="Times New Roman"/>
                  <w:sz w:val="20"/>
                  <w:szCs w:val="20"/>
                </w:rPr>
                <w:t xml:space="preserve"> to Current Report on Form 8-K, filed with the Commission on </w:t>
              </w:r>
            </w:hyperlink>
            <w:hyperlink r:id="rId114" w:history="1">
              <w:r>
                <w:rPr>
                  <w:rStyle w:val="a3"/>
                  <w:rFonts w:eastAsia="Times New Roman"/>
                  <w:sz w:val="20"/>
                  <w:szCs w:val="20"/>
                </w:rPr>
                <w:t>March</w:t>
              </w:r>
            </w:hyperlink>
            <w:hyperlink r:id="rId115" w:history="1">
              <w:r>
                <w:rPr>
                  <w:rStyle w:val="a3"/>
                  <w:rFonts w:eastAsia="Times New Roman"/>
                  <w:sz w:val="20"/>
                  <w:szCs w:val="20"/>
                </w:rPr>
                <w:t xml:space="preserve"> </w:t>
              </w:r>
            </w:hyperlink>
            <w:hyperlink r:id="rId116" w:history="1">
              <w:r>
                <w:rPr>
                  <w:rStyle w:val="a3"/>
                  <w:rFonts w:eastAsia="Times New Roman"/>
                  <w:sz w:val="20"/>
                  <w:szCs w:val="20"/>
                </w:rPr>
                <w:t>10</w:t>
              </w:r>
            </w:hyperlink>
            <w:hyperlink r:id="rId117" w:history="1">
              <w:r>
                <w:rPr>
                  <w:rStyle w:val="a3"/>
                  <w:rFonts w:eastAsia="Times New Roman"/>
                  <w:sz w:val="20"/>
                  <w:szCs w:val="20"/>
                </w:rPr>
                <w:t>, 20</w:t>
              </w:r>
            </w:hyperlink>
            <w:hyperlink r:id="rId118" w:history="1">
              <w:r>
                <w:rPr>
                  <w:rStyle w:val="a3"/>
                  <w:rFonts w:eastAsia="Times New Roman"/>
                  <w:sz w:val="20"/>
                  <w:szCs w:val="20"/>
                </w:rPr>
                <w:t>21</w:t>
              </w:r>
            </w:hyperlink>
            <w:hyperlink r:id="rId119" w:history="1">
              <w:r>
                <w:rPr>
                  <w:rStyle w:val="a3"/>
                  <w:rFonts w:eastAsia="Times New Roman"/>
                  <w:sz w:val="20"/>
                  <w:szCs w:val="20"/>
                </w:rPr>
                <w:t xml:space="preserve">, </w:t>
              </w:r>
            </w:hyperlink>
            <w:hyperlink r:id="rId120"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21" w:history="1">
              <w:r>
                <w:rPr>
                  <w:rStyle w:val="a3"/>
                  <w:rFonts w:eastAsia="Times New Roman"/>
                  <w:sz w:val="20"/>
                  <w:szCs w:val="20"/>
                </w:rPr>
                <w:t>Form of Performance Share Unit Agreement under the T</w:t>
              </w:r>
              <w:r>
                <w:rPr>
                  <w:rStyle w:val="a3"/>
                  <w:rFonts w:eastAsia="Times New Roman"/>
                  <w:sz w:val="20"/>
                  <w:szCs w:val="20"/>
                </w:rPr>
                <w:t xml:space="preserve">ractor Supply Company 2018 Omnibus Incentive Plan (filed as Exhibit 10.48 to the Registrant’s Annual Report on Form 10-K, filed with the Commission on February 20, 2020, </w:t>
              </w:r>
            </w:hyperlink>
            <w:hyperlink r:id="rId122"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1778065537"/>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23" w:history="1">
              <w:r>
                <w:rPr>
                  <w:rStyle w:val="a3"/>
                  <w:rFonts w:eastAsia="Times New Roman"/>
                  <w:sz w:val="20"/>
                  <w:szCs w:val="20"/>
                </w:rPr>
                <w:t>Form of Restricted Share Unit Agreement under the Tractor Supply Company 2018 Omnibus Incentive Plan (filed as Exhibit 10.49 to the Registrant’s Annual Rep</w:t>
              </w:r>
              <w:r>
                <w:rPr>
                  <w:rStyle w:val="a3"/>
                  <w:rFonts w:eastAsia="Times New Roman"/>
                  <w:sz w:val="20"/>
                  <w:szCs w:val="20"/>
                </w:rPr>
                <w:t xml:space="preserve">ort on Form 10-K, filed with the Commission on February 20, 2020, </w:t>
              </w:r>
            </w:hyperlink>
            <w:hyperlink r:id="rId124" w:history="1">
              <w:r>
                <w:rPr>
                  <w:rStyle w:val="a3"/>
                  <w:rFonts w:eastAsia="Times New Roman"/>
                  <w:sz w:val="20"/>
                  <w:szCs w:val="20"/>
                </w:rPr>
                <w:t>and incorporated herein by reference).+</w:t>
              </w:r>
            </w:hyperlink>
          </w:p>
          <w:p w:rsidR="00000000" w:rsidRDefault="001F39D7">
            <w:pPr>
              <w:spacing w:after="100"/>
              <w:jc w:val="both"/>
              <w:rPr>
                <w:rFonts w:eastAsia="Times New Roman"/>
              </w:rPr>
            </w:pPr>
          </w:p>
          <w:p w:rsidR="00000000" w:rsidRDefault="001F39D7">
            <w:pPr>
              <w:spacing w:after="100"/>
              <w:jc w:val="both"/>
              <w:rPr>
                <w:rFonts w:eastAsia="Times New Roman"/>
              </w:rPr>
            </w:pPr>
            <w:hyperlink r:id="rId125" w:history="1">
              <w:r>
                <w:rPr>
                  <w:rStyle w:val="a3"/>
                  <w:rFonts w:eastAsia="Times New Roman"/>
                  <w:sz w:val="20"/>
                  <w:szCs w:val="20"/>
                </w:rPr>
                <w:t>Form of Performance Share Unit Agreement for Petsen</w:t>
              </w:r>
            </w:hyperlink>
            <w:hyperlink r:id="rId126" w:history="1">
              <w:r>
                <w:rPr>
                  <w:rStyle w:val="a3"/>
                  <w:rFonts w:eastAsia="Times New Roman"/>
                  <w:sz w:val="20"/>
                  <w:szCs w:val="20"/>
                </w:rPr>
                <w:t>se Employees under the Tra</w:t>
              </w:r>
              <w:r>
                <w:rPr>
                  <w:rStyle w:val="a3"/>
                  <w:rFonts w:eastAsia="Times New Roman"/>
                  <w:sz w:val="20"/>
                  <w:szCs w:val="20"/>
                </w:rPr>
                <w:t>ctor Supply Company 2018 Omnibus Incentive Plan (filed as Exhibit 10.59 to the Registrant</w:t>
              </w:r>
            </w:hyperlink>
            <w:hyperlink r:id="rId127" w:history="1">
              <w:r>
                <w:rPr>
                  <w:rStyle w:val="a3"/>
                  <w:rFonts w:eastAsia="Times New Roman"/>
                  <w:sz w:val="20"/>
                  <w:szCs w:val="20"/>
                </w:rPr>
                <w:t xml:space="preserve">'s </w:t>
              </w:r>
            </w:hyperlink>
            <w:hyperlink r:id="rId128" w:history="1">
              <w:r>
                <w:rPr>
                  <w:rStyle w:val="a3"/>
                  <w:rFonts w:eastAsia="Times New Roman"/>
                  <w:sz w:val="20"/>
                  <w:szCs w:val="20"/>
                </w:rPr>
                <w:t>Annual Repo</w:t>
              </w:r>
            </w:hyperlink>
            <w:hyperlink r:id="rId129" w:history="1">
              <w:r>
                <w:rPr>
                  <w:rStyle w:val="a3"/>
                  <w:rFonts w:eastAsia="Times New Roman"/>
                  <w:sz w:val="20"/>
                  <w:szCs w:val="20"/>
                </w:rPr>
                <w:t>rt on Form 10-K</w:t>
              </w:r>
            </w:hyperlink>
            <w:hyperlink r:id="rId130" w:history="1">
              <w:r>
                <w:rPr>
                  <w:rStyle w:val="a3"/>
                  <w:rFonts w:eastAsia="Times New Roman"/>
                  <w:sz w:val="20"/>
                  <w:szCs w:val="20"/>
                </w:rPr>
                <w:t>,</w:t>
              </w:r>
            </w:hyperlink>
            <w:hyperlink r:id="rId131" w:history="1">
              <w:r>
                <w:rPr>
                  <w:rStyle w:val="a3"/>
                  <w:rFonts w:eastAsia="Times New Roman"/>
                  <w:sz w:val="20"/>
                  <w:szCs w:val="20"/>
                </w:rPr>
                <w:t xml:space="preserve"> filed with the Commission on Feb</w:t>
              </w:r>
              <w:r>
                <w:rPr>
                  <w:rStyle w:val="a3"/>
                  <w:rFonts w:eastAsia="Times New Roman"/>
                  <w:sz w:val="20"/>
                  <w:szCs w:val="20"/>
                </w:rPr>
                <w:t>ruary 18, 2021, and incorporated herein by reference).+</w:t>
              </w:r>
            </w:hyperlink>
          </w:p>
          <w:p w:rsidR="00000000" w:rsidRDefault="001F39D7">
            <w:pPr>
              <w:spacing w:after="100"/>
              <w:jc w:val="both"/>
              <w:rPr>
                <w:rFonts w:eastAsia="Times New Roman"/>
              </w:rPr>
            </w:pPr>
          </w:p>
          <w:p w:rsidR="00000000" w:rsidRDefault="001F39D7">
            <w:pPr>
              <w:spacing w:after="100"/>
              <w:jc w:val="both"/>
              <w:rPr>
                <w:rFonts w:eastAsia="Times New Roman"/>
              </w:rPr>
            </w:pPr>
            <w:hyperlink r:id="rId132" w:history="1">
              <w:r>
                <w:rPr>
                  <w:rStyle w:val="a3"/>
                  <w:rFonts w:eastAsia="Times New Roman"/>
                  <w:sz w:val="20"/>
                  <w:szCs w:val="20"/>
                </w:rPr>
                <w:t xml:space="preserve">Form of Restricted Share Unit Agreement </w:t>
              </w:r>
            </w:hyperlink>
            <w:hyperlink r:id="rId133" w:history="1">
              <w:r>
                <w:rPr>
                  <w:rStyle w:val="a3"/>
                  <w:rFonts w:eastAsia="Times New Roman"/>
                  <w:sz w:val="20"/>
                  <w:szCs w:val="20"/>
                </w:rPr>
                <w:t>for Petsense Employees under the Tractor Supply Company 2018 Omnibus Incentive Plan (filed as Exhibit 10.60 to the Re</w:t>
              </w:r>
            </w:hyperlink>
            <w:hyperlink r:id="rId134" w:history="1">
              <w:r>
                <w:rPr>
                  <w:rStyle w:val="a3"/>
                  <w:rFonts w:eastAsia="Times New Roman"/>
                  <w:sz w:val="20"/>
                  <w:szCs w:val="20"/>
                </w:rPr>
                <w:t>gistrant's Annual Report on Form 10-K</w:t>
              </w:r>
            </w:hyperlink>
            <w:hyperlink r:id="rId135" w:history="1">
              <w:r>
                <w:rPr>
                  <w:rStyle w:val="a3"/>
                  <w:rFonts w:eastAsia="Times New Roman"/>
                  <w:sz w:val="20"/>
                  <w:szCs w:val="20"/>
                </w:rPr>
                <w:t>, filed with the</w:t>
              </w:r>
            </w:hyperlink>
            <w:hyperlink r:id="rId136" w:history="1">
              <w:r>
                <w:rPr>
                  <w:rStyle w:val="a3"/>
                  <w:rFonts w:eastAsia="Times New Roman"/>
                  <w:sz w:val="20"/>
                  <w:szCs w:val="20"/>
                </w:rPr>
                <w:t xml:space="preserve"> Commission on February 18, 2021, and incorporated herein by reference).+</w:t>
              </w:r>
            </w:hyperlink>
          </w:p>
          <w:p w:rsidR="00000000" w:rsidRDefault="001F39D7">
            <w:pPr>
              <w:spacing w:after="100"/>
              <w:jc w:val="both"/>
              <w:rPr>
                <w:rFonts w:eastAsia="Times New Roman"/>
              </w:rPr>
            </w:pPr>
          </w:p>
          <w:p w:rsidR="00000000" w:rsidRDefault="001F39D7">
            <w:pPr>
              <w:spacing w:after="100"/>
              <w:jc w:val="both"/>
              <w:rPr>
                <w:rFonts w:eastAsia="Times New Roman"/>
              </w:rPr>
            </w:pPr>
            <w:hyperlink r:id="rId137" w:history="1">
              <w:r>
                <w:rPr>
                  <w:rStyle w:val="a3"/>
                  <w:rFonts w:eastAsia="Times New Roman"/>
                  <w:sz w:val="20"/>
                  <w:szCs w:val="20"/>
                </w:rPr>
                <w:t>Fo</w:t>
              </w:r>
              <w:r>
                <w:rPr>
                  <w:rStyle w:val="a3"/>
                  <w:rFonts w:eastAsia="Times New Roman"/>
                  <w:sz w:val="20"/>
                  <w:szCs w:val="20"/>
                </w:rPr>
                <w:t>rm on Nonqualif</w:t>
              </w:r>
            </w:hyperlink>
            <w:hyperlink r:id="rId138" w:history="1">
              <w:r>
                <w:rPr>
                  <w:rStyle w:val="a3"/>
                  <w:rFonts w:eastAsia="Times New Roman"/>
                  <w:sz w:val="20"/>
                  <w:szCs w:val="20"/>
                </w:rPr>
                <w:t>ied Stock Option Agreement for Petsense Emp</w:t>
              </w:r>
            </w:hyperlink>
            <w:hyperlink r:id="rId139" w:history="1">
              <w:r>
                <w:rPr>
                  <w:rStyle w:val="a3"/>
                  <w:rFonts w:eastAsia="Times New Roman"/>
                  <w:sz w:val="20"/>
                  <w:szCs w:val="20"/>
                </w:rPr>
                <w:t>loyees under the Tractor Supply Company 2018 Omnibus Incentive Plan (filed as Exhibit 10.61 to the Registrant</w:t>
              </w:r>
            </w:hyperlink>
            <w:hyperlink r:id="rId140" w:history="1">
              <w:r>
                <w:rPr>
                  <w:rStyle w:val="a3"/>
                  <w:rFonts w:eastAsia="Times New Roman"/>
                  <w:sz w:val="20"/>
                  <w:szCs w:val="20"/>
                </w:rPr>
                <w:t>'s Ann</w:t>
              </w:r>
              <w:r>
                <w:rPr>
                  <w:rStyle w:val="a3"/>
                  <w:rFonts w:eastAsia="Times New Roman"/>
                  <w:sz w:val="20"/>
                  <w:szCs w:val="20"/>
                </w:rPr>
                <w:t>ual Report on Form 10-K</w:t>
              </w:r>
            </w:hyperlink>
            <w:hyperlink r:id="rId141" w:history="1">
              <w:r>
                <w:rPr>
                  <w:rStyle w:val="a3"/>
                  <w:rFonts w:eastAsia="Times New Roman"/>
                  <w:sz w:val="20"/>
                  <w:szCs w:val="20"/>
                </w:rPr>
                <w:t>, filed wit</w:t>
              </w:r>
            </w:hyperlink>
            <w:hyperlink r:id="rId142" w:history="1">
              <w:r>
                <w:rPr>
                  <w:rStyle w:val="a3"/>
                  <w:rFonts w:eastAsia="Times New Roman"/>
                  <w:sz w:val="20"/>
                  <w:szCs w:val="20"/>
                </w:rPr>
                <w:t>h</w:t>
              </w:r>
            </w:hyperlink>
            <w:hyperlink r:id="rId143" w:history="1">
              <w:r>
                <w:rPr>
                  <w:rStyle w:val="a3"/>
                  <w:rFonts w:eastAsia="Times New Roman"/>
                  <w:sz w:val="20"/>
                  <w:szCs w:val="20"/>
                </w:rPr>
                <w:t xml:space="preserve"> </w:t>
              </w:r>
            </w:hyperlink>
            <w:hyperlink r:id="rId144" w:history="1">
              <w:r>
                <w:rPr>
                  <w:rStyle w:val="a3"/>
                  <w:rFonts w:eastAsia="Times New Roman"/>
                  <w:sz w:val="20"/>
                  <w:szCs w:val="20"/>
                </w:rPr>
                <w:t>the Commis</w:t>
              </w:r>
            </w:hyperlink>
            <w:hyperlink r:id="rId145" w:history="1">
              <w:r>
                <w:rPr>
                  <w:rStyle w:val="a3"/>
                  <w:rFonts w:eastAsia="Times New Roman"/>
                  <w:sz w:val="20"/>
                  <w:szCs w:val="20"/>
                </w:rPr>
                <w:t xml:space="preserve">sion on </w:t>
              </w:r>
            </w:hyperlink>
            <w:hyperlink r:id="rId146" w:history="1">
              <w:r>
                <w:rPr>
                  <w:rStyle w:val="a3"/>
                  <w:rFonts w:eastAsia="Times New Roman"/>
                  <w:sz w:val="20"/>
                  <w:szCs w:val="20"/>
                </w:rPr>
                <w:t>February 18, 2021, and incorporated herein by</w:t>
              </w:r>
            </w:hyperlink>
            <w:hyperlink r:id="rId147" w:history="1">
              <w:r>
                <w:rPr>
                  <w:rStyle w:val="a3"/>
                  <w:rFonts w:eastAsia="Times New Roman"/>
                  <w:sz w:val="20"/>
                  <w:szCs w:val="20"/>
                </w:rPr>
                <w:t xml:space="preserve">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1778065537"/>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bl>
    <w:p w:rsidR="00000000" w:rsidRDefault="001F39D7">
      <w:pPr>
        <w:jc w:val="center"/>
        <w:divId w:val="16273525"/>
        <w:rPr>
          <w:rFonts w:eastAsia="Times New Roman"/>
        </w:rPr>
      </w:pPr>
      <w:r>
        <w:rPr>
          <w:rFonts w:eastAsia="Times New Roman"/>
          <w:color w:val="000000"/>
          <w:sz w:val="20"/>
          <w:szCs w:val="20"/>
        </w:rPr>
        <w:t>80</w:t>
      </w:r>
    </w:p>
    <w:p w:rsidR="00000000" w:rsidRDefault="001F39D7">
      <w:pPr>
        <w:rPr>
          <w:rFonts w:eastAsia="Times New Roman"/>
        </w:rPr>
      </w:pPr>
      <w:r>
        <w:rPr>
          <w:rFonts w:eastAsia="Times New Roman"/>
        </w:rPr>
        <w:pict>
          <v:rect id="_x0000_i1109" style="width:0;height:1.5pt" o:hralign="center" o:hrstd="t" o:hr="t" fillcolor="#a0a0a0" stroked="f"/>
        </w:pict>
      </w:r>
    </w:p>
    <w:p w:rsidR="00000000" w:rsidRDefault="001F39D7">
      <w:pPr>
        <w:divId w:val="782380141"/>
        <w:rPr>
          <w:rFonts w:eastAsia="Times New Roman"/>
        </w:rPr>
      </w:pPr>
      <w:hyperlink w:anchor="ia0680a7a640346e7afc1f53a5745d231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92"/>
        <w:gridCol w:w="489"/>
        <w:gridCol w:w="36"/>
        <w:gridCol w:w="38"/>
        <w:gridCol w:w="7506"/>
        <w:gridCol w:w="37"/>
        <w:gridCol w:w="36"/>
        <w:gridCol w:w="36"/>
        <w:gridCol w:w="36"/>
      </w:tblGrid>
      <w:tr w:rsidR="00000000">
        <w:trPr>
          <w:divId w:val="930821629"/>
        </w:trPr>
        <w:tc>
          <w:tcPr>
            <w:tcW w:w="50" w:type="pct"/>
            <w:vAlign w:val="center"/>
            <w:hideMark/>
          </w:tcPr>
          <w:p w:rsidR="00000000" w:rsidRDefault="001F39D7">
            <w:pPr>
              <w:rPr>
                <w:rFonts w:eastAsia="Times New Roman"/>
              </w:rPr>
            </w:pPr>
          </w:p>
        </w:tc>
        <w:tc>
          <w:tcPr>
            <w:tcW w:w="266"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0" w:type="pct"/>
            <w:vAlign w:val="center"/>
            <w:hideMark/>
          </w:tcPr>
          <w:p w:rsidR="00000000" w:rsidRDefault="001F39D7">
            <w:pPr>
              <w:spacing w:after="100"/>
              <w:rPr>
                <w:rFonts w:eastAsia="Times New Roman"/>
                <w:sz w:val="20"/>
                <w:szCs w:val="20"/>
              </w:rPr>
            </w:pPr>
          </w:p>
        </w:tc>
        <w:tc>
          <w:tcPr>
            <w:tcW w:w="4594"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c>
          <w:tcPr>
            <w:tcW w:w="19" w:type="pct"/>
            <w:vAlign w:val="center"/>
            <w:hideMark/>
          </w:tcPr>
          <w:p w:rsidR="00000000" w:rsidRDefault="001F39D7">
            <w:pPr>
              <w:spacing w:after="100"/>
              <w:rPr>
                <w:rFonts w:eastAsia="Times New Roman"/>
                <w:sz w:val="20"/>
                <w:szCs w:val="20"/>
              </w:rPr>
            </w:pPr>
          </w:p>
        </w:tc>
        <w:tc>
          <w:tcPr>
            <w:tcW w:w="5" w:type="pct"/>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48" w:history="1">
              <w:r>
                <w:rPr>
                  <w:rStyle w:val="a3"/>
                  <w:rFonts w:eastAsia="Times New Roman"/>
                  <w:sz w:val="20"/>
                  <w:szCs w:val="20"/>
                </w:rPr>
                <w:t>Transition Agreement, dated Oc</w:t>
              </w:r>
              <w:r>
                <w:rPr>
                  <w:rStyle w:val="a3"/>
                  <w:rFonts w:eastAsia="Times New Roman"/>
                  <w:sz w:val="20"/>
                  <w:szCs w:val="20"/>
                </w:rPr>
                <w:t xml:space="preserve">tober 14, 2020, by and between Tractor Supply Company and Benjamin F. Parrish (filed as </w:t>
              </w:r>
            </w:hyperlink>
            <w:hyperlink r:id="rId149" w:history="1">
              <w:r>
                <w:rPr>
                  <w:rStyle w:val="a3"/>
                  <w:rFonts w:eastAsia="Times New Roman"/>
                  <w:sz w:val="20"/>
                  <w:szCs w:val="20"/>
                </w:rPr>
                <w:t>E</w:t>
              </w:r>
            </w:hyperlink>
            <w:hyperlink r:id="rId150" w:history="1">
              <w:r>
                <w:rPr>
                  <w:rStyle w:val="a3"/>
                  <w:rFonts w:eastAsia="Times New Roman"/>
                  <w:sz w:val="20"/>
                  <w:szCs w:val="20"/>
                </w:rPr>
                <w:t>xhibit 10.1 to Current Report on Form 8-K, filed with the Commission on October 16, 2020,</w:t>
              </w:r>
            </w:hyperlink>
            <w:hyperlink r:id="rId151" w:history="1">
              <w:r>
                <w:rPr>
                  <w:rStyle w:val="a3"/>
                  <w:rFonts w:eastAsia="Times New Roman"/>
                  <w:sz w:val="20"/>
                  <w:szCs w:val="20"/>
                </w:rPr>
                <w:t xml:space="preserve"> </w:t>
              </w:r>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52" w:history="1">
              <w:r>
                <w:rPr>
                  <w:rStyle w:val="a3"/>
                  <w:rFonts w:eastAsia="Times New Roman"/>
                  <w:sz w:val="20"/>
                  <w:szCs w:val="20"/>
                </w:rPr>
                <w:t>First Amendment to Note Purchase and Private Shelf Agreement, dated October 16, 2020, by and among Tractor Supply Company, certain subsidiaries of T</w:t>
              </w:r>
              <w:r>
                <w:rPr>
                  <w:rStyle w:val="a3"/>
                  <w:rFonts w:eastAsia="Times New Roman"/>
                  <w:sz w:val="20"/>
                  <w:szCs w:val="20"/>
                </w:rPr>
                <w:t xml:space="preserve">ractor Supply Company, PGIM, Inc. and certain affiliates of PGIM, Inc (filed as Exhibit 10.4 to Registrant’s Quarterly Report on Form 10-Q, filed with the Commission on October 22, 2020, </w:t>
              </w:r>
            </w:hyperlink>
            <w:hyperlink r:id="rId153" w:history="1">
              <w:r>
                <w:rPr>
                  <w:rStyle w:val="a3"/>
                  <w:rFonts w:eastAsia="Times New Roman"/>
                  <w:sz w:val="20"/>
                  <w:szCs w:val="20"/>
                </w:rPr>
                <w:t xml:space="preserve">and incorporated herein by reference). </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54" w:history="1">
              <w:r>
                <w:rPr>
                  <w:rStyle w:val="a3"/>
                  <w:rFonts w:eastAsia="Times New Roman"/>
                  <w:sz w:val="20"/>
                  <w:szCs w:val="20"/>
                </w:rPr>
                <w:t>Amended and Restated Credit Agreement, dated as of November 4, 2020, by and among Tractor Supply Company, as Borrower, certain lenders and Wells Far</w:t>
              </w:r>
              <w:r>
                <w:rPr>
                  <w:rStyle w:val="a3"/>
                  <w:rFonts w:eastAsia="Times New Roman"/>
                  <w:sz w:val="20"/>
                  <w:szCs w:val="20"/>
                </w:rPr>
                <w:t xml:space="preserve">go Bank, National Association, as Administrative Agent and Regions Bank, as Syndication Agent, for the lenders (filed as Exhibit 10.1 to </w:t>
              </w:r>
            </w:hyperlink>
            <w:hyperlink r:id="rId155" w:history="1">
              <w:r>
                <w:rPr>
                  <w:rStyle w:val="a3"/>
                  <w:rFonts w:eastAsia="Times New Roman"/>
                  <w:sz w:val="20"/>
                  <w:szCs w:val="20"/>
                </w:rPr>
                <w:t>Registrant'</w:t>
              </w:r>
              <w:r>
                <w:rPr>
                  <w:rStyle w:val="a3"/>
                  <w:rFonts w:eastAsia="Times New Roman"/>
                  <w:sz w:val="20"/>
                  <w:szCs w:val="20"/>
                </w:rPr>
                <w:t xml:space="preserve">s </w:t>
              </w:r>
            </w:hyperlink>
            <w:hyperlink r:id="rId156" w:history="1">
              <w:r>
                <w:rPr>
                  <w:rStyle w:val="a3"/>
                  <w:rFonts w:eastAsia="Times New Roman"/>
                  <w:sz w:val="20"/>
                  <w:szCs w:val="20"/>
                </w:rPr>
                <w:t xml:space="preserve">Current Report on Form 8-K, filed with the Commission on November 5, 2020, </w:t>
              </w:r>
            </w:hyperlink>
            <w:hyperlink r:id="rId157"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58" w:history="1">
              <w:r>
                <w:rPr>
                  <w:rStyle w:val="a3"/>
                  <w:rFonts w:eastAsia="Times New Roman"/>
                  <w:sz w:val="20"/>
                  <w:szCs w:val="20"/>
                </w:rPr>
                <w:t>Second Amendment to Note Purchase and Private Shelf Agreement, dated November 4, 2020, by and among Tractor Supply Company, PGIM, Inc. and the other noteho</w:t>
              </w:r>
              <w:r>
                <w:rPr>
                  <w:rStyle w:val="a3"/>
                  <w:rFonts w:eastAsia="Times New Roman"/>
                  <w:sz w:val="20"/>
                  <w:szCs w:val="20"/>
                </w:rPr>
                <w:t xml:space="preserve">lders (filed as Exhibit 10.2 to Current Report on Form 8-K, filed with the Commission on November 5, 2020, </w:t>
              </w:r>
            </w:hyperlink>
            <w:hyperlink r:id="rId159" w:history="1">
              <w:r>
                <w:rPr>
                  <w:rStyle w:val="a3"/>
                  <w:rFonts w:eastAsia="Times New Roman"/>
                  <w:sz w:val="20"/>
                  <w:szCs w:val="20"/>
                </w:rPr>
                <w:t>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60" w:history="1">
              <w:r>
                <w:rPr>
                  <w:rStyle w:val="a3"/>
                  <w:rFonts w:eastAsia="Times New Roman"/>
                  <w:sz w:val="20"/>
                  <w:szCs w:val="20"/>
                </w:rPr>
                <w:t>Offer Letter between Melissa D. Kersey and Tractor Supply Company (filed as Exhibit 10.3 to Registrant's Quarterly Report on Form 10-Q, filed with the Commission on May 6, 2021 and incorporated herein by reference).+</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61" w:history="1">
              <w:r>
                <w:rPr>
                  <w:rStyle w:val="a3"/>
                  <w:rFonts w:eastAsia="Times New Roman"/>
                  <w:sz w:val="20"/>
                  <w:szCs w:val="20"/>
                </w:rPr>
                <w:t>Form of Restricted Share Unit Agreement under the Tractor Supply Company 2018 Omnibus Incentive Plan</w:t>
              </w:r>
            </w:hyperlink>
            <w:hyperlink r:id="rId162"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63" w:history="1">
              <w:r>
                <w:rPr>
                  <w:rStyle w:val="a3"/>
                  <w:rFonts w:eastAsia="Times New Roman"/>
                  <w:sz w:val="20"/>
                  <w:szCs w:val="20"/>
                </w:rPr>
                <w:t xml:space="preserve">Form of </w:t>
              </w:r>
            </w:hyperlink>
            <w:hyperlink r:id="rId164" w:history="1">
              <w:r>
                <w:rPr>
                  <w:rStyle w:val="a3"/>
                  <w:rFonts w:eastAsia="Times New Roman"/>
                  <w:sz w:val="20"/>
                  <w:szCs w:val="20"/>
                </w:rPr>
                <w:t>Restricted</w:t>
              </w:r>
            </w:hyperlink>
            <w:hyperlink r:id="rId165" w:history="1">
              <w:r>
                <w:rPr>
                  <w:rStyle w:val="a3"/>
                  <w:rFonts w:eastAsia="Times New Roman"/>
                  <w:sz w:val="20"/>
                  <w:szCs w:val="20"/>
                </w:rPr>
                <w:t xml:space="preserve"> Share Unit Agreement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66" w:history="1">
              <w:r>
                <w:rPr>
                  <w:rStyle w:val="a3"/>
                  <w:rFonts w:eastAsia="Times New Roman"/>
                  <w:sz w:val="20"/>
                  <w:szCs w:val="20"/>
                </w:rPr>
                <w:t>Form of Performance Share Unit Agreement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67" w:history="1">
              <w:r>
                <w:rPr>
                  <w:rStyle w:val="a3"/>
                  <w:rFonts w:eastAsia="Times New Roman"/>
                  <w:sz w:val="20"/>
                  <w:szCs w:val="20"/>
                </w:rPr>
                <w:t xml:space="preserve">Form of </w:t>
              </w:r>
            </w:hyperlink>
            <w:hyperlink r:id="rId168" w:history="1">
              <w:r>
                <w:rPr>
                  <w:rStyle w:val="a3"/>
                  <w:rFonts w:eastAsia="Times New Roman"/>
                  <w:sz w:val="20"/>
                  <w:szCs w:val="20"/>
                </w:rPr>
                <w:t>Non</w:t>
              </w:r>
            </w:hyperlink>
            <w:hyperlink r:id="rId169" w:history="1">
              <w:r>
                <w:rPr>
                  <w:rStyle w:val="a3"/>
                  <w:rFonts w:eastAsia="Times New Roman"/>
                  <w:sz w:val="20"/>
                  <w:szCs w:val="20"/>
                </w:rPr>
                <w:t xml:space="preserve">qualifed Stock Option </w:t>
              </w:r>
            </w:hyperlink>
            <w:hyperlink r:id="rId170" w:history="1">
              <w:r>
                <w:rPr>
                  <w:rStyle w:val="a3"/>
                  <w:rFonts w:eastAsia="Times New Roman"/>
                  <w:sz w:val="20"/>
                  <w:szCs w:val="20"/>
                </w:rPr>
                <w:t xml:space="preserve">Agreement under the Tractor Supply </w:t>
              </w:r>
              <w:r>
                <w:rPr>
                  <w:rStyle w:val="a3"/>
                  <w:rFonts w:eastAsia="Times New Roman"/>
                  <w:sz w:val="20"/>
                  <w:szCs w:val="20"/>
                </w:rPr>
                <w:t>Company 2018 Omnibus Incentive Plan.+</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71" w:history="1">
              <w:r>
                <w:rPr>
                  <w:rStyle w:val="a3"/>
                  <w:rFonts w:eastAsia="Times New Roman"/>
                  <w:sz w:val="20"/>
                  <w:szCs w:val="20"/>
                </w:rPr>
                <w:t>Form of Restricted Share Unit Agreement for Petsense Employees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72" w:history="1">
              <w:r>
                <w:rPr>
                  <w:rStyle w:val="a3"/>
                  <w:rFonts w:eastAsia="Times New Roman"/>
                  <w:sz w:val="20"/>
                  <w:szCs w:val="20"/>
                </w:rPr>
                <w:t xml:space="preserve">Form of </w:t>
              </w:r>
            </w:hyperlink>
            <w:hyperlink r:id="rId173" w:history="1">
              <w:r>
                <w:rPr>
                  <w:rStyle w:val="a3"/>
                  <w:rFonts w:eastAsia="Times New Roman"/>
                  <w:sz w:val="20"/>
                  <w:szCs w:val="20"/>
                </w:rPr>
                <w:t>Performance</w:t>
              </w:r>
            </w:hyperlink>
            <w:hyperlink r:id="rId174" w:history="1">
              <w:r>
                <w:rPr>
                  <w:rStyle w:val="a3"/>
                  <w:rFonts w:eastAsia="Times New Roman"/>
                  <w:sz w:val="20"/>
                  <w:szCs w:val="20"/>
                </w:rPr>
                <w:t xml:space="preserve"> Share Unit Agreement for Petsense Employees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75" w:history="1">
              <w:r>
                <w:rPr>
                  <w:rStyle w:val="a3"/>
                  <w:rFonts w:eastAsia="Times New Roman"/>
                  <w:sz w:val="20"/>
                  <w:szCs w:val="20"/>
                </w:rPr>
                <w:t xml:space="preserve">Form of </w:t>
              </w:r>
            </w:hyperlink>
            <w:hyperlink r:id="rId176" w:history="1">
              <w:r>
                <w:rPr>
                  <w:rStyle w:val="a3"/>
                  <w:rFonts w:eastAsia="Times New Roman"/>
                  <w:sz w:val="20"/>
                  <w:szCs w:val="20"/>
                </w:rPr>
                <w:t>Nonqualif</w:t>
              </w:r>
            </w:hyperlink>
            <w:hyperlink r:id="rId177" w:history="1">
              <w:r>
                <w:rPr>
                  <w:rStyle w:val="a3"/>
                  <w:rFonts w:eastAsia="Times New Roman"/>
                  <w:sz w:val="20"/>
                  <w:szCs w:val="20"/>
                </w:rPr>
                <w:t>ied Stock Option</w:t>
              </w:r>
            </w:hyperlink>
            <w:hyperlink r:id="rId178" w:history="1">
              <w:r>
                <w:rPr>
                  <w:rStyle w:val="a3"/>
                  <w:rFonts w:eastAsia="Times New Roman"/>
                  <w:sz w:val="20"/>
                  <w:szCs w:val="20"/>
                </w:rPr>
                <w:t xml:space="preserve"> Agreement for Petsense Employees under the Tractor S</w:t>
              </w:r>
              <w:r>
                <w:rPr>
                  <w:rStyle w:val="a3"/>
                  <w:rFonts w:eastAsia="Times New Roman"/>
                  <w:sz w:val="20"/>
                  <w:szCs w:val="20"/>
                </w:rPr>
                <w:t>upply Company 2018 Omnibus Incentive Plan.+</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10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79" w:history="1">
              <w:r>
                <w:rPr>
                  <w:rStyle w:val="a3"/>
                  <w:rFonts w:eastAsia="Times New Roman"/>
                  <w:sz w:val="20"/>
                  <w:szCs w:val="20"/>
                </w:rPr>
                <w:t>List of subsidiaries.</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80"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81" w:history="1">
              <w:r>
                <w:rPr>
                  <w:rStyle w:val="a3"/>
                  <w:rFonts w:eastAsia="Times New Roman"/>
                  <w:sz w:val="20"/>
                  <w:szCs w:val="20"/>
                </w:rPr>
                <w:t>Certification of Chief Executive Officer under Section 302 of the Sarbanes-Oxley Act of 2002.</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82" w:history="1">
              <w:r>
                <w:rPr>
                  <w:rStyle w:val="a3"/>
                  <w:rFonts w:eastAsia="Times New Roman"/>
                  <w:sz w:val="20"/>
                  <w:szCs w:val="20"/>
                </w:rPr>
                <w:t>Certification of Chief Financial Officer under Section 302 of the Sarbanes-Oxley Act of 2002.</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r w:rsidR="00000000">
        <w:trPr>
          <w:divId w:val="930821629"/>
          <w:trHeight w:val="60"/>
        </w:trPr>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F39D7">
            <w:pPr>
              <w:spacing w:after="100"/>
              <w:rPr>
                <w:rFonts w:eastAsia="Times New Roman"/>
                <w:sz w:val="20"/>
                <w:szCs w:val="20"/>
              </w:rPr>
            </w:pPr>
          </w:p>
        </w:tc>
      </w:tr>
      <w:tr w:rsidR="00000000">
        <w:trPr>
          <w:divId w:val="930821629"/>
        </w:trPr>
        <w:tc>
          <w:tcPr>
            <w:tcW w:w="0" w:type="auto"/>
            <w:gridSpan w:val="3"/>
            <w:tcMar>
              <w:top w:w="30" w:type="dxa"/>
              <w:left w:w="20" w:type="dxa"/>
              <w:bottom w:w="30" w:type="dxa"/>
              <w:right w:w="20" w:type="dxa"/>
            </w:tcMar>
            <w:hideMark/>
          </w:tcPr>
          <w:p w:rsidR="00000000" w:rsidRDefault="001F39D7">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1F39D7">
            <w:pPr>
              <w:spacing w:after="100"/>
              <w:jc w:val="both"/>
              <w:rPr>
                <w:rFonts w:eastAsia="Times New Roman"/>
              </w:rPr>
            </w:pPr>
            <w:hyperlink r:id="rId183" w:history="1">
              <w:r>
                <w:rPr>
                  <w:rStyle w:val="a3"/>
                  <w:rFonts w:eastAsia="Times New Roman"/>
                  <w:sz w:val="20"/>
                  <w:szCs w:val="20"/>
                </w:rPr>
                <w:t>Certification of Chief Executive Officer and Chief Financial Officer under Section 906 of the Sarbanes-Oxley Act of 2002.</w:t>
              </w:r>
            </w:hyperlink>
          </w:p>
        </w:tc>
        <w:tc>
          <w:tcPr>
            <w:tcW w:w="0" w:type="auto"/>
            <w:gridSpan w:val="3"/>
            <w:tcMar>
              <w:top w:w="0" w:type="dxa"/>
              <w:left w:w="20" w:type="dxa"/>
              <w:bottom w:w="0" w:type="dxa"/>
              <w:right w:w="20" w:type="dxa"/>
            </w:tcMar>
            <w:vAlign w:val="center"/>
            <w:hideMark/>
          </w:tcPr>
          <w:p w:rsidR="00000000" w:rsidRDefault="001F39D7">
            <w:pPr>
              <w:spacing w:after="100"/>
              <w:jc w:val="both"/>
              <w:rPr>
                <w:rFonts w:eastAsia="Times New Roman"/>
              </w:rPr>
            </w:pPr>
          </w:p>
        </w:tc>
      </w:tr>
    </w:tbl>
    <w:p w:rsidR="00000000" w:rsidRDefault="001F39D7">
      <w:pPr>
        <w:jc w:val="center"/>
        <w:rPr>
          <w:rFonts w:eastAsia="Times New Roman"/>
        </w:rPr>
      </w:pPr>
    </w:p>
    <w:p w:rsidR="00000000" w:rsidRDefault="001F39D7">
      <w:pPr>
        <w:ind w:hanging="720"/>
        <w:jc w:val="both"/>
        <w:rPr>
          <w:rFonts w:eastAsia="Times New Roman"/>
        </w:rPr>
      </w:pPr>
      <w:r>
        <w:rPr>
          <w:rFonts w:eastAsia="Times New Roman"/>
          <w:color w:val="000000"/>
          <w:sz w:val="20"/>
          <w:szCs w:val="20"/>
        </w:rPr>
        <w:t xml:space="preserve">101* </w:t>
      </w:r>
      <w:r>
        <w:rPr>
          <w:rFonts w:eastAsia="Times New Roman"/>
          <w:color w:val="000000"/>
          <w:sz w:val="20"/>
          <w:szCs w:val="20"/>
        </w:rPr>
        <w:t>The following financial information from our Annual Report on Form 10-K for fiscal 2021, filed with the SEC on February 17, 2022, formatted in Extensible Business Reporting Language (XBRL): (i) the Consolidated Balance Sheets at December 25, 2021 and Decem</w:t>
      </w:r>
      <w:r>
        <w:rPr>
          <w:rFonts w:eastAsia="Times New Roman"/>
          <w:color w:val="000000"/>
          <w:sz w:val="20"/>
          <w:szCs w:val="20"/>
        </w:rPr>
        <w:t>ber 26, 2020, (ii) the Consolidated Statements of Income for the fiscal years ended December 25, 2021, December 26, 2020, and December 28, 2019, (iii) the Consolidated Statements of Comprehensive Income for the fiscal years ended December 25, 2021, Decembe</w:t>
      </w:r>
      <w:r>
        <w:rPr>
          <w:rFonts w:eastAsia="Times New Roman"/>
          <w:color w:val="000000"/>
          <w:sz w:val="20"/>
          <w:szCs w:val="20"/>
        </w:rPr>
        <w:t>r 26, 2020, and December 28, 2019, (iv) the Consolidated Statements of Stockholders’ Equity for the fiscal years ended December 25, 2021, December 26, 2020, and December 28, 2019, (v) the Consolidated Statements of Cash Flows for the fiscal years ended Dec</w:t>
      </w:r>
      <w:r>
        <w:rPr>
          <w:rFonts w:eastAsia="Times New Roman"/>
          <w:color w:val="000000"/>
          <w:sz w:val="20"/>
          <w:szCs w:val="20"/>
        </w:rPr>
        <w:t>ember 25, 2021, December 26, 2020, and December 28, 2019, and (vi) the Notes to Consolidated Financial Statements.</w:t>
      </w:r>
    </w:p>
    <w:p w:rsidR="00000000" w:rsidRDefault="001F39D7">
      <w:pPr>
        <w:ind w:hanging="630"/>
        <w:jc w:val="both"/>
        <w:rPr>
          <w:rFonts w:eastAsia="Times New Roman"/>
        </w:rPr>
      </w:pPr>
    </w:p>
    <w:p w:rsidR="00000000" w:rsidRDefault="001F39D7">
      <w:pPr>
        <w:ind w:hanging="720"/>
        <w:jc w:val="both"/>
        <w:rPr>
          <w:rFonts w:eastAsia="Times New Roman"/>
        </w:rPr>
      </w:pPr>
      <w:r>
        <w:rPr>
          <w:rFonts w:eastAsia="Times New Roman"/>
          <w:color w:val="000000"/>
          <w:sz w:val="20"/>
          <w:szCs w:val="20"/>
        </w:rPr>
        <w:t>104    The cover page from the Company's Annual Report on Form 10-K for the year ended December 25, 2021, formatted in Inline XBRL (include</w:t>
      </w:r>
      <w:r>
        <w:rPr>
          <w:rFonts w:eastAsia="Times New Roman"/>
          <w:color w:val="000000"/>
          <w:sz w:val="20"/>
          <w:szCs w:val="20"/>
        </w:rPr>
        <w:t>d in Exhibit 101).</w:t>
      </w:r>
    </w:p>
    <w:p w:rsidR="00000000" w:rsidRDefault="001F39D7">
      <w:pPr>
        <w:ind w:hanging="630"/>
        <w:jc w:val="both"/>
        <w:rPr>
          <w:rFonts w:eastAsia="Times New Roman"/>
        </w:rPr>
      </w:pPr>
    </w:p>
    <w:p w:rsidR="00000000" w:rsidRDefault="001F39D7">
      <w:pPr>
        <w:ind w:firstLine="360"/>
        <w:divId w:val="1076316234"/>
        <w:rPr>
          <w:rFonts w:eastAsia="Times New Roman"/>
        </w:rPr>
      </w:pPr>
      <w:r>
        <w:rPr>
          <w:rFonts w:eastAsia="Times New Roman"/>
          <w:color w:val="000000"/>
          <w:sz w:val="20"/>
          <w:szCs w:val="20"/>
        </w:rPr>
        <w:t>*           Filed herewith</w:t>
      </w:r>
    </w:p>
    <w:p w:rsidR="00000000" w:rsidRDefault="001F39D7">
      <w:pPr>
        <w:ind w:firstLine="360"/>
        <w:divId w:val="1248149035"/>
        <w:rPr>
          <w:rFonts w:eastAsia="Times New Roman"/>
        </w:rPr>
      </w:pPr>
      <w:r>
        <w:rPr>
          <w:rFonts w:eastAsia="Times New Roman"/>
          <w:color w:val="000000"/>
          <w:sz w:val="20"/>
          <w:szCs w:val="20"/>
        </w:rPr>
        <w:t>+           Management contract or compensatory plan or arrangement</w:t>
      </w:r>
    </w:p>
    <w:p w:rsidR="001F39D7" w:rsidRDefault="001F39D7">
      <w:pPr>
        <w:jc w:val="center"/>
        <w:divId w:val="556741559"/>
        <w:rPr>
          <w:rFonts w:eastAsia="Times New Roman"/>
        </w:rPr>
      </w:pPr>
      <w:r>
        <w:rPr>
          <w:rFonts w:eastAsia="Times New Roman"/>
          <w:color w:val="000000"/>
          <w:sz w:val="20"/>
          <w:szCs w:val="20"/>
        </w:rPr>
        <w:t>81</w:t>
      </w:r>
    </w:p>
    <w:sectPr w:rsidR="001F39D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39D7"/>
    <w:rsid w:val="001F39D7"/>
  </w:rsids>
  <m:mathPr>
    <m:mathFont m:val="Cambria Math"/>
    <m:brkBin m:val="before"/>
    <m:brkBinSub m:val="--"/>
    <m:smallFrac m:val="0"/>
    <m:dispDef/>
    <m:lMargin m:val="0"/>
    <m:rMargin m:val="0"/>
    <m:defJc m:val="centerGroup"/>
    <m:wrapIndent m:val="1440"/>
    <m:intLim m:val="subSup"/>
    <m:naryLim m:val="undOvr"/>
  </m:mathPr>
  <w:attachedSchema w:val="http://www.xbrl.org/2009/utr"/>
  <w:attachedSchema w:val="http://www.tractorsupply.com/20211225"/>
  <w:attachedSchema w:val="http://xbrl.org/2006/xbrldi"/>
  <w:attachedSchema w:val="http://www.sec.gov/inlineXBRL/transformation/2015-08-31"/>
  <w:attachedSchema w:val="http://www.w3.org/1999/xlink"/>
  <w:attachedSchema w:val="http://xbrl.sec.gov/stpr/2021"/>
  <w:attachedSchema w:val="http://www.xbrl.org/2003/linkbase"/>
  <w:attachedSchema w:val="http://fasb.org/srt/2021-01-31"/>
  <w:attachedSchema w:val="http://www.xbrl.org/2003/instance"/>
  <w:attachedSchema w:val="http://www.xbrl.org/inlineXBRL/transformation/2020-02-12"/>
  <w:attachedSchema w:val="http://xbrl.sec.gov/dei/2021q4"/>
  <w:attachedSchema w:val="http://www.xbrl.org/2003/iso4217"/>
  <w:attachedSchema w:val="http://fasb.org/us-gaap/2021-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77">
      <w:marLeft w:val="0"/>
      <w:marRight w:val="0"/>
      <w:marTop w:val="0"/>
      <w:marBottom w:val="0"/>
      <w:divBdr>
        <w:top w:val="none" w:sz="0" w:space="0" w:color="auto"/>
        <w:left w:val="none" w:sz="0" w:space="0" w:color="auto"/>
        <w:bottom w:val="none" w:sz="0" w:space="0" w:color="auto"/>
        <w:right w:val="none" w:sz="0" w:space="0" w:color="auto"/>
      </w:divBdr>
    </w:div>
    <w:div w:id="3678796">
      <w:marLeft w:val="0"/>
      <w:marRight w:val="0"/>
      <w:marTop w:val="0"/>
      <w:marBottom w:val="0"/>
      <w:divBdr>
        <w:top w:val="none" w:sz="0" w:space="0" w:color="auto"/>
        <w:left w:val="none" w:sz="0" w:space="0" w:color="auto"/>
        <w:bottom w:val="none" w:sz="0" w:space="0" w:color="auto"/>
        <w:right w:val="none" w:sz="0" w:space="0" w:color="auto"/>
      </w:divBdr>
    </w:div>
    <w:div w:id="4326518">
      <w:marLeft w:val="0"/>
      <w:marRight w:val="0"/>
      <w:marTop w:val="0"/>
      <w:marBottom w:val="0"/>
      <w:divBdr>
        <w:top w:val="none" w:sz="0" w:space="0" w:color="auto"/>
        <w:left w:val="none" w:sz="0" w:space="0" w:color="auto"/>
        <w:bottom w:val="none" w:sz="0" w:space="0" w:color="auto"/>
        <w:right w:val="none" w:sz="0" w:space="0" w:color="auto"/>
      </w:divBdr>
      <w:divsChild>
        <w:div w:id="1499416417">
          <w:marLeft w:val="0"/>
          <w:marRight w:val="0"/>
          <w:marTop w:val="0"/>
          <w:marBottom w:val="0"/>
          <w:divBdr>
            <w:top w:val="none" w:sz="0" w:space="0" w:color="auto"/>
            <w:left w:val="none" w:sz="0" w:space="0" w:color="auto"/>
            <w:bottom w:val="none" w:sz="0" w:space="0" w:color="auto"/>
            <w:right w:val="none" w:sz="0" w:space="0" w:color="auto"/>
          </w:divBdr>
        </w:div>
      </w:divsChild>
    </w:div>
    <w:div w:id="5987226">
      <w:marLeft w:val="0"/>
      <w:marRight w:val="0"/>
      <w:marTop w:val="0"/>
      <w:marBottom w:val="0"/>
      <w:divBdr>
        <w:top w:val="none" w:sz="0" w:space="0" w:color="auto"/>
        <w:left w:val="none" w:sz="0" w:space="0" w:color="auto"/>
        <w:bottom w:val="none" w:sz="0" w:space="0" w:color="auto"/>
        <w:right w:val="none" w:sz="0" w:space="0" w:color="auto"/>
      </w:divBdr>
    </w:div>
    <w:div w:id="9527657">
      <w:marLeft w:val="0"/>
      <w:marRight w:val="0"/>
      <w:marTop w:val="0"/>
      <w:marBottom w:val="0"/>
      <w:divBdr>
        <w:top w:val="none" w:sz="0" w:space="0" w:color="auto"/>
        <w:left w:val="none" w:sz="0" w:space="0" w:color="auto"/>
        <w:bottom w:val="none" w:sz="0" w:space="0" w:color="auto"/>
        <w:right w:val="none" w:sz="0" w:space="0" w:color="auto"/>
      </w:divBdr>
    </w:div>
    <w:div w:id="10450041">
      <w:marLeft w:val="0"/>
      <w:marRight w:val="0"/>
      <w:marTop w:val="0"/>
      <w:marBottom w:val="0"/>
      <w:divBdr>
        <w:top w:val="none" w:sz="0" w:space="0" w:color="auto"/>
        <w:left w:val="none" w:sz="0" w:space="0" w:color="auto"/>
        <w:bottom w:val="none" w:sz="0" w:space="0" w:color="auto"/>
        <w:right w:val="none" w:sz="0" w:space="0" w:color="auto"/>
      </w:divBdr>
    </w:div>
    <w:div w:id="17856499">
      <w:marLeft w:val="0"/>
      <w:marRight w:val="0"/>
      <w:marTop w:val="0"/>
      <w:marBottom w:val="0"/>
      <w:divBdr>
        <w:top w:val="none" w:sz="0" w:space="0" w:color="auto"/>
        <w:left w:val="none" w:sz="0" w:space="0" w:color="auto"/>
        <w:bottom w:val="none" w:sz="0" w:space="0" w:color="auto"/>
        <w:right w:val="none" w:sz="0" w:space="0" w:color="auto"/>
      </w:divBdr>
    </w:div>
    <w:div w:id="22440347">
      <w:marLeft w:val="0"/>
      <w:marRight w:val="0"/>
      <w:marTop w:val="0"/>
      <w:marBottom w:val="0"/>
      <w:divBdr>
        <w:top w:val="none" w:sz="0" w:space="0" w:color="auto"/>
        <w:left w:val="none" w:sz="0" w:space="0" w:color="auto"/>
        <w:bottom w:val="none" w:sz="0" w:space="0" w:color="auto"/>
        <w:right w:val="none" w:sz="0" w:space="0" w:color="auto"/>
      </w:divBdr>
      <w:divsChild>
        <w:div w:id="870143085">
          <w:marLeft w:val="0"/>
          <w:marRight w:val="0"/>
          <w:marTop w:val="0"/>
          <w:marBottom w:val="0"/>
          <w:divBdr>
            <w:top w:val="none" w:sz="0" w:space="0" w:color="auto"/>
            <w:left w:val="none" w:sz="0" w:space="0" w:color="auto"/>
            <w:bottom w:val="none" w:sz="0" w:space="0" w:color="auto"/>
            <w:right w:val="none" w:sz="0" w:space="0" w:color="auto"/>
          </w:divBdr>
        </w:div>
      </w:divsChild>
    </w:div>
    <w:div w:id="30695144">
      <w:marLeft w:val="0"/>
      <w:marRight w:val="0"/>
      <w:marTop w:val="0"/>
      <w:marBottom w:val="0"/>
      <w:divBdr>
        <w:top w:val="none" w:sz="0" w:space="0" w:color="auto"/>
        <w:left w:val="none" w:sz="0" w:space="0" w:color="auto"/>
        <w:bottom w:val="none" w:sz="0" w:space="0" w:color="auto"/>
        <w:right w:val="none" w:sz="0" w:space="0" w:color="auto"/>
      </w:divBdr>
      <w:divsChild>
        <w:div w:id="556741559">
          <w:marLeft w:val="0"/>
          <w:marRight w:val="0"/>
          <w:marTop w:val="0"/>
          <w:marBottom w:val="0"/>
          <w:divBdr>
            <w:top w:val="none" w:sz="0" w:space="0" w:color="auto"/>
            <w:left w:val="none" w:sz="0" w:space="0" w:color="auto"/>
            <w:bottom w:val="none" w:sz="0" w:space="0" w:color="auto"/>
            <w:right w:val="none" w:sz="0" w:space="0" w:color="auto"/>
          </w:divBdr>
        </w:div>
      </w:divsChild>
    </w:div>
    <w:div w:id="30888861">
      <w:marLeft w:val="0"/>
      <w:marRight w:val="0"/>
      <w:marTop w:val="0"/>
      <w:marBottom w:val="0"/>
      <w:divBdr>
        <w:top w:val="none" w:sz="0" w:space="0" w:color="auto"/>
        <w:left w:val="none" w:sz="0" w:space="0" w:color="auto"/>
        <w:bottom w:val="none" w:sz="0" w:space="0" w:color="auto"/>
        <w:right w:val="none" w:sz="0" w:space="0" w:color="auto"/>
      </w:divBdr>
    </w:div>
    <w:div w:id="35814873">
      <w:marLeft w:val="0"/>
      <w:marRight w:val="0"/>
      <w:marTop w:val="0"/>
      <w:marBottom w:val="0"/>
      <w:divBdr>
        <w:top w:val="none" w:sz="0" w:space="0" w:color="auto"/>
        <w:left w:val="none" w:sz="0" w:space="0" w:color="auto"/>
        <w:bottom w:val="none" w:sz="0" w:space="0" w:color="auto"/>
        <w:right w:val="none" w:sz="0" w:space="0" w:color="auto"/>
      </w:divBdr>
      <w:divsChild>
        <w:div w:id="218178562">
          <w:marLeft w:val="0"/>
          <w:marRight w:val="0"/>
          <w:marTop w:val="0"/>
          <w:marBottom w:val="0"/>
          <w:divBdr>
            <w:top w:val="none" w:sz="0" w:space="0" w:color="auto"/>
            <w:left w:val="none" w:sz="0" w:space="0" w:color="auto"/>
            <w:bottom w:val="none" w:sz="0" w:space="0" w:color="auto"/>
            <w:right w:val="none" w:sz="0" w:space="0" w:color="auto"/>
          </w:divBdr>
        </w:div>
      </w:divsChild>
    </w:div>
    <w:div w:id="42340553">
      <w:marLeft w:val="0"/>
      <w:marRight w:val="0"/>
      <w:marTop w:val="0"/>
      <w:marBottom w:val="0"/>
      <w:divBdr>
        <w:top w:val="none" w:sz="0" w:space="0" w:color="auto"/>
        <w:left w:val="none" w:sz="0" w:space="0" w:color="auto"/>
        <w:bottom w:val="none" w:sz="0" w:space="0" w:color="auto"/>
        <w:right w:val="none" w:sz="0" w:space="0" w:color="auto"/>
      </w:divBdr>
    </w:div>
    <w:div w:id="48502334">
      <w:marLeft w:val="0"/>
      <w:marRight w:val="0"/>
      <w:marTop w:val="0"/>
      <w:marBottom w:val="0"/>
      <w:divBdr>
        <w:top w:val="none" w:sz="0" w:space="0" w:color="auto"/>
        <w:left w:val="none" w:sz="0" w:space="0" w:color="auto"/>
        <w:bottom w:val="none" w:sz="0" w:space="0" w:color="auto"/>
        <w:right w:val="none" w:sz="0" w:space="0" w:color="auto"/>
      </w:divBdr>
    </w:div>
    <w:div w:id="48772761">
      <w:marLeft w:val="0"/>
      <w:marRight w:val="0"/>
      <w:marTop w:val="0"/>
      <w:marBottom w:val="0"/>
      <w:divBdr>
        <w:top w:val="none" w:sz="0" w:space="0" w:color="auto"/>
        <w:left w:val="none" w:sz="0" w:space="0" w:color="auto"/>
        <w:bottom w:val="none" w:sz="0" w:space="0" w:color="auto"/>
        <w:right w:val="none" w:sz="0" w:space="0" w:color="auto"/>
      </w:divBdr>
      <w:divsChild>
        <w:div w:id="647320755">
          <w:marLeft w:val="0"/>
          <w:marRight w:val="0"/>
          <w:marTop w:val="0"/>
          <w:marBottom w:val="0"/>
          <w:divBdr>
            <w:top w:val="none" w:sz="0" w:space="0" w:color="auto"/>
            <w:left w:val="none" w:sz="0" w:space="0" w:color="auto"/>
            <w:bottom w:val="none" w:sz="0" w:space="0" w:color="auto"/>
            <w:right w:val="none" w:sz="0" w:space="0" w:color="auto"/>
          </w:divBdr>
        </w:div>
      </w:divsChild>
    </w:div>
    <w:div w:id="54206784">
      <w:marLeft w:val="0"/>
      <w:marRight w:val="0"/>
      <w:marTop w:val="0"/>
      <w:marBottom w:val="0"/>
      <w:divBdr>
        <w:top w:val="none" w:sz="0" w:space="0" w:color="auto"/>
        <w:left w:val="none" w:sz="0" w:space="0" w:color="auto"/>
        <w:bottom w:val="none" w:sz="0" w:space="0" w:color="auto"/>
        <w:right w:val="none" w:sz="0" w:space="0" w:color="auto"/>
      </w:divBdr>
    </w:div>
    <w:div w:id="54816935">
      <w:marLeft w:val="0"/>
      <w:marRight w:val="0"/>
      <w:marTop w:val="0"/>
      <w:marBottom w:val="0"/>
      <w:divBdr>
        <w:top w:val="none" w:sz="0" w:space="0" w:color="auto"/>
        <w:left w:val="none" w:sz="0" w:space="0" w:color="auto"/>
        <w:bottom w:val="none" w:sz="0" w:space="0" w:color="auto"/>
        <w:right w:val="none" w:sz="0" w:space="0" w:color="auto"/>
      </w:divBdr>
      <w:divsChild>
        <w:div w:id="904950505">
          <w:marLeft w:val="0"/>
          <w:marRight w:val="0"/>
          <w:marTop w:val="0"/>
          <w:marBottom w:val="0"/>
          <w:divBdr>
            <w:top w:val="none" w:sz="0" w:space="0" w:color="auto"/>
            <w:left w:val="none" w:sz="0" w:space="0" w:color="auto"/>
            <w:bottom w:val="none" w:sz="0" w:space="0" w:color="auto"/>
            <w:right w:val="none" w:sz="0" w:space="0" w:color="auto"/>
          </w:divBdr>
        </w:div>
      </w:divsChild>
    </w:div>
    <w:div w:id="66001826">
      <w:marLeft w:val="0"/>
      <w:marRight w:val="0"/>
      <w:marTop w:val="0"/>
      <w:marBottom w:val="0"/>
      <w:divBdr>
        <w:top w:val="none" w:sz="0" w:space="0" w:color="auto"/>
        <w:left w:val="none" w:sz="0" w:space="0" w:color="auto"/>
        <w:bottom w:val="none" w:sz="0" w:space="0" w:color="auto"/>
        <w:right w:val="none" w:sz="0" w:space="0" w:color="auto"/>
      </w:divBdr>
    </w:div>
    <w:div w:id="67113314">
      <w:marLeft w:val="0"/>
      <w:marRight w:val="0"/>
      <w:marTop w:val="0"/>
      <w:marBottom w:val="0"/>
      <w:divBdr>
        <w:top w:val="none" w:sz="0" w:space="0" w:color="auto"/>
        <w:left w:val="none" w:sz="0" w:space="0" w:color="auto"/>
        <w:bottom w:val="none" w:sz="0" w:space="0" w:color="auto"/>
        <w:right w:val="none" w:sz="0" w:space="0" w:color="auto"/>
      </w:divBdr>
    </w:div>
    <w:div w:id="75716040">
      <w:marLeft w:val="0"/>
      <w:marRight w:val="0"/>
      <w:marTop w:val="0"/>
      <w:marBottom w:val="0"/>
      <w:divBdr>
        <w:top w:val="none" w:sz="0" w:space="0" w:color="auto"/>
        <w:left w:val="none" w:sz="0" w:space="0" w:color="auto"/>
        <w:bottom w:val="none" w:sz="0" w:space="0" w:color="auto"/>
        <w:right w:val="none" w:sz="0" w:space="0" w:color="auto"/>
      </w:divBdr>
      <w:divsChild>
        <w:div w:id="1318219584">
          <w:marLeft w:val="0"/>
          <w:marRight w:val="0"/>
          <w:marTop w:val="0"/>
          <w:marBottom w:val="0"/>
          <w:divBdr>
            <w:top w:val="none" w:sz="0" w:space="0" w:color="auto"/>
            <w:left w:val="none" w:sz="0" w:space="0" w:color="auto"/>
            <w:bottom w:val="none" w:sz="0" w:space="0" w:color="auto"/>
            <w:right w:val="none" w:sz="0" w:space="0" w:color="auto"/>
          </w:divBdr>
        </w:div>
      </w:divsChild>
    </w:div>
    <w:div w:id="76481365">
      <w:marLeft w:val="0"/>
      <w:marRight w:val="0"/>
      <w:marTop w:val="0"/>
      <w:marBottom w:val="0"/>
      <w:divBdr>
        <w:top w:val="none" w:sz="0" w:space="0" w:color="auto"/>
        <w:left w:val="none" w:sz="0" w:space="0" w:color="auto"/>
        <w:bottom w:val="none" w:sz="0" w:space="0" w:color="auto"/>
        <w:right w:val="none" w:sz="0" w:space="0" w:color="auto"/>
      </w:divBdr>
      <w:divsChild>
        <w:div w:id="729766021">
          <w:marLeft w:val="0"/>
          <w:marRight w:val="0"/>
          <w:marTop w:val="0"/>
          <w:marBottom w:val="0"/>
          <w:divBdr>
            <w:top w:val="none" w:sz="0" w:space="0" w:color="auto"/>
            <w:left w:val="none" w:sz="0" w:space="0" w:color="auto"/>
            <w:bottom w:val="none" w:sz="0" w:space="0" w:color="auto"/>
            <w:right w:val="none" w:sz="0" w:space="0" w:color="auto"/>
          </w:divBdr>
        </w:div>
      </w:divsChild>
    </w:div>
    <w:div w:id="83964685">
      <w:marLeft w:val="0"/>
      <w:marRight w:val="0"/>
      <w:marTop w:val="0"/>
      <w:marBottom w:val="0"/>
      <w:divBdr>
        <w:top w:val="none" w:sz="0" w:space="0" w:color="auto"/>
        <w:left w:val="none" w:sz="0" w:space="0" w:color="auto"/>
        <w:bottom w:val="none" w:sz="0" w:space="0" w:color="auto"/>
        <w:right w:val="none" w:sz="0" w:space="0" w:color="auto"/>
      </w:divBdr>
    </w:div>
    <w:div w:id="88696987">
      <w:marLeft w:val="0"/>
      <w:marRight w:val="0"/>
      <w:marTop w:val="0"/>
      <w:marBottom w:val="0"/>
      <w:divBdr>
        <w:top w:val="none" w:sz="0" w:space="0" w:color="auto"/>
        <w:left w:val="none" w:sz="0" w:space="0" w:color="auto"/>
        <w:bottom w:val="none" w:sz="0" w:space="0" w:color="auto"/>
        <w:right w:val="none" w:sz="0" w:space="0" w:color="auto"/>
      </w:divBdr>
      <w:divsChild>
        <w:div w:id="1082218923">
          <w:marLeft w:val="0"/>
          <w:marRight w:val="0"/>
          <w:marTop w:val="0"/>
          <w:marBottom w:val="0"/>
          <w:divBdr>
            <w:top w:val="none" w:sz="0" w:space="0" w:color="auto"/>
            <w:left w:val="none" w:sz="0" w:space="0" w:color="auto"/>
            <w:bottom w:val="none" w:sz="0" w:space="0" w:color="auto"/>
            <w:right w:val="none" w:sz="0" w:space="0" w:color="auto"/>
          </w:divBdr>
        </w:div>
      </w:divsChild>
    </w:div>
    <w:div w:id="90780370">
      <w:marLeft w:val="0"/>
      <w:marRight w:val="0"/>
      <w:marTop w:val="0"/>
      <w:marBottom w:val="0"/>
      <w:divBdr>
        <w:top w:val="none" w:sz="0" w:space="0" w:color="auto"/>
        <w:left w:val="none" w:sz="0" w:space="0" w:color="auto"/>
        <w:bottom w:val="none" w:sz="0" w:space="0" w:color="auto"/>
        <w:right w:val="none" w:sz="0" w:space="0" w:color="auto"/>
      </w:divBdr>
      <w:divsChild>
        <w:div w:id="995306833">
          <w:marLeft w:val="0"/>
          <w:marRight w:val="0"/>
          <w:marTop w:val="0"/>
          <w:marBottom w:val="0"/>
          <w:divBdr>
            <w:top w:val="none" w:sz="0" w:space="0" w:color="auto"/>
            <w:left w:val="none" w:sz="0" w:space="0" w:color="auto"/>
            <w:bottom w:val="none" w:sz="0" w:space="0" w:color="auto"/>
            <w:right w:val="none" w:sz="0" w:space="0" w:color="auto"/>
          </w:divBdr>
        </w:div>
      </w:divsChild>
    </w:div>
    <w:div w:id="91164976">
      <w:marLeft w:val="0"/>
      <w:marRight w:val="0"/>
      <w:marTop w:val="0"/>
      <w:marBottom w:val="0"/>
      <w:divBdr>
        <w:top w:val="none" w:sz="0" w:space="0" w:color="auto"/>
        <w:left w:val="none" w:sz="0" w:space="0" w:color="auto"/>
        <w:bottom w:val="none" w:sz="0" w:space="0" w:color="auto"/>
        <w:right w:val="none" w:sz="0" w:space="0" w:color="auto"/>
      </w:divBdr>
    </w:div>
    <w:div w:id="92558727">
      <w:marLeft w:val="0"/>
      <w:marRight w:val="0"/>
      <w:marTop w:val="0"/>
      <w:marBottom w:val="0"/>
      <w:divBdr>
        <w:top w:val="none" w:sz="0" w:space="0" w:color="auto"/>
        <w:left w:val="none" w:sz="0" w:space="0" w:color="auto"/>
        <w:bottom w:val="none" w:sz="0" w:space="0" w:color="auto"/>
        <w:right w:val="none" w:sz="0" w:space="0" w:color="auto"/>
      </w:divBdr>
    </w:div>
    <w:div w:id="93208914">
      <w:marLeft w:val="0"/>
      <w:marRight w:val="0"/>
      <w:marTop w:val="0"/>
      <w:marBottom w:val="0"/>
      <w:divBdr>
        <w:top w:val="none" w:sz="0" w:space="0" w:color="auto"/>
        <w:left w:val="none" w:sz="0" w:space="0" w:color="auto"/>
        <w:bottom w:val="none" w:sz="0" w:space="0" w:color="auto"/>
        <w:right w:val="none" w:sz="0" w:space="0" w:color="auto"/>
      </w:divBdr>
    </w:div>
    <w:div w:id="94981210">
      <w:marLeft w:val="0"/>
      <w:marRight w:val="0"/>
      <w:marTop w:val="0"/>
      <w:marBottom w:val="0"/>
      <w:divBdr>
        <w:top w:val="none" w:sz="0" w:space="0" w:color="auto"/>
        <w:left w:val="none" w:sz="0" w:space="0" w:color="auto"/>
        <w:bottom w:val="none" w:sz="0" w:space="0" w:color="auto"/>
        <w:right w:val="none" w:sz="0" w:space="0" w:color="auto"/>
      </w:divBdr>
      <w:divsChild>
        <w:div w:id="373694483">
          <w:marLeft w:val="0"/>
          <w:marRight w:val="0"/>
          <w:marTop w:val="0"/>
          <w:marBottom w:val="0"/>
          <w:divBdr>
            <w:top w:val="none" w:sz="0" w:space="0" w:color="auto"/>
            <w:left w:val="none" w:sz="0" w:space="0" w:color="auto"/>
            <w:bottom w:val="none" w:sz="0" w:space="0" w:color="auto"/>
            <w:right w:val="none" w:sz="0" w:space="0" w:color="auto"/>
          </w:divBdr>
        </w:div>
      </w:divsChild>
    </w:div>
    <w:div w:id="95490598">
      <w:marLeft w:val="0"/>
      <w:marRight w:val="0"/>
      <w:marTop w:val="0"/>
      <w:marBottom w:val="0"/>
      <w:divBdr>
        <w:top w:val="none" w:sz="0" w:space="0" w:color="auto"/>
        <w:left w:val="none" w:sz="0" w:space="0" w:color="auto"/>
        <w:bottom w:val="none" w:sz="0" w:space="0" w:color="auto"/>
        <w:right w:val="none" w:sz="0" w:space="0" w:color="auto"/>
      </w:divBdr>
    </w:div>
    <w:div w:id="100538578">
      <w:marLeft w:val="0"/>
      <w:marRight w:val="0"/>
      <w:marTop w:val="0"/>
      <w:marBottom w:val="0"/>
      <w:divBdr>
        <w:top w:val="none" w:sz="0" w:space="0" w:color="auto"/>
        <w:left w:val="none" w:sz="0" w:space="0" w:color="auto"/>
        <w:bottom w:val="none" w:sz="0" w:space="0" w:color="auto"/>
        <w:right w:val="none" w:sz="0" w:space="0" w:color="auto"/>
      </w:divBdr>
    </w:div>
    <w:div w:id="101731633">
      <w:marLeft w:val="0"/>
      <w:marRight w:val="0"/>
      <w:marTop w:val="0"/>
      <w:marBottom w:val="0"/>
      <w:divBdr>
        <w:top w:val="none" w:sz="0" w:space="0" w:color="auto"/>
        <w:left w:val="none" w:sz="0" w:space="0" w:color="auto"/>
        <w:bottom w:val="none" w:sz="0" w:space="0" w:color="auto"/>
        <w:right w:val="none" w:sz="0" w:space="0" w:color="auto"/>
      </w:divBdr>
      <w:divsChild>
        <w:div w:id="743183658">
          <w:marLeft w:val="0"/>
          <w:marRight w:val="0"/>
          <w:marTop w:val="0"/>
          <w:marBottom w:val="0"/>
          <w:divBdr>
            <w:top w:val="none" w:sz="0" w:space="0" w:color="auto"/>
            <w:left w:val="none" w:sz="0" w:space="0" w:color="auto"/>
            <w:bottom w:val="none" w:sz="0" w:space="0" w:color="auto"/>
            <w:right w:val="none" w:sz="0" w:space="0" w:color="auto"/>
          </w:divBdr>
        </w:div>
      </w:divsChild>
    </w:div>
    <w:div w:id="107314872">
      <w:marLeft w:val="0"/>
      <w:marRight w:val="0"/>
      <w:marTop w:val="0"/>
      <w:marBottom w:val="0"/>
      <w:divBdr>
        <w:top w:val="none" w:sz="0" w:space="0" w:color="auto"/>
        <w:left w:val="none" w:sz="0" w:space="0" w:color="auto"/>
        <w:bottom w:val="none" w:sz="0" w:space="0" w:color="auto"/>
        <w:right w:val="none" w:sz="0" w:space="0" w:color="auto"/>
      </w:divBdr>
    </w:div>
    <w:div w:id="108475064">
      <w:marLeft w:val="0"/>
      <w:marRight w:val="0"/>
      <w:marTop w:val="0"/>
      <w:marBottom w:val="0"/>
      <w:divBdr>
        <w:top w:val="none" w:sz="0" w:space="0" w:color="auto"/>
        <w:left w:val="none" w:sz="0" w:space="0" w:color="auto"/>
        <w:bottom w:val="none" w:sz="0" w:space="0" w:color="auto"/>
        <w:right w:val="none" w:sz="0" w:space="0" w:color="auto"/>
      </w:divBdr>
      <w:divsChild>
        <w:div w:id="381637608">
          <w:marLeft w:val="0"/>
          <w:marRight w:val="0"/>
          <w:marTop w:val="0"/>
          <w:marBottom w:val="0"/>
          <w:divBdr>
            <w:top w:val="none" w:sz="0" w:space="0" w:color="auto"/>
            <w:left w:val="none" w:sz="0" w:space="0" w:color="auto"/>
            <w:bottom w:val="none" w:sz="0" w:space="0" w:color="auto"/>
            <w:right w:val="none" w:sz="0" w:space="0" w:color="auto"/>
          </w:divBdr>
        </w:div>
      </w:divsChild>
    </w:div>
    <w:div w:id="112210396">
      <w:marLeft w:val="0"/>
      <w:marRight w:val="0"/>
      <w:marTop w:val="0"/>
      <w:marBottom w:val="0"/>
      <w:divBdr>
        <w:top w:val="none" w:sz="0" w:space="0" w:color="auto"/>
        <w:left w:val="none" w:sz="0" w:space="0" w:color="auto"/>
        <w:bottom w:val="none" w:sz="0" w:space="0" w:color="auto"/>
        <w:right w:val="none" w:sz="0" w:space="0" w:color="auto"/>
      </w:divBdr>
    </w:div>
    <w:div w:id="115492995">
      <w:marLeft w:val="0"/>
      <w:marRight w:val="0"/>
      <w:marTop w:val="0"/>
      <w:marBottom w:val="0"/>
      <w:divBdr>
        <w:top w:val="none" w:sz="0" w:space="0" w:color="auto"/>
        <w:left w:val="none" w:sz="0" w:space="0" w:color="auto"/>
        <w:bottom w:val="none" w:sz="0" w:space="0" w:color="auto"/>
        <w:right w:val="none" w:sz="0" w:space="0" w:color="auto"/>
      </w:divBdr>
    </w:div>
    <w:div w:id="118647690">
      <w:marLeft w:val="0"/>
      <w:marRight w:val="0"/>
      <w:marTop w:val="0"/>
      <w:marBottom w:val="0"/>
      <w:divBdr>
        <w:top w:val="none" w:sz="0" w:space="0" w:color="auto"/>
        <w:left w:val="none" w:sz="0" w:space="0" w:color="auto"/>
        <w:bottom w:val="none" w:sz="0" w:space="0" w:color="auto"/>
        <w:right w:val="none" w:sz="0" w:space="0" w:color="auto"/>
      </w:divBdr>
    </w:div>
    <w:div w:id="120071964">
      <w:marLeft w:val="0"/>
      <w:marRight w:val="0"/>
      <w:marTop w:val="0"/>
      <w:marBottom w:val="0"/>
      <w:divBdr>
        <w:top w:val="none" w:sz="0" w:space="0" w:color="auto"/>
        <w:left w:val="none" w:sz="0" w:space="0" w:color="auto"/>
        <w:bottom w:val="none" w:sz="0" w:space="0" w:color="auto"/>
        <w:right w:val="none" w:sz="0" w:space="0" w:color="auto"/>
      </w:divBdr>
      <w:divsChild>
        <w:div w:id="227542200">
          <w:marLeft w:val="0"/>
          <w:marRight w:val="0"/>
          <w:marTop w:val="0"/>
          <w:marBottom w:val="0"/>
          <w:divBdr>
            <w:top w:val="none" w:sz="0" w:space="0" w:color="auto"/>
            <w:left w:val="none" w:sz="0" w:space="0" w:color="auto"/>
            <w:bottom w:val="none" w:sz="0" w:space="0" w:color="auto"/>
            <w:right w:val="none" w:sz="0" w:space="0" w:color="auto"/>
          </w:divBdr>
        </w:div>
      </w:divsChild>
    </w:div>
    <w:div w:id="120391443">
      <w:marLeft w:val="0"/>
      <w:marRight w:val="0"/>
      <w:marTop w:val="0"/>
      <w:marBottom w:val="0"/>
      <w:divBdr>
        <w:top w:val="none" w:sz="0" w:space="0" w:color="auto"/>
        <w:left w:val="none" w:sz="0" w:space="0" w:color="auto"/>
        <w:bottom w:val="none" w:sz="0" w:space="0" w:color="auto"/>
        <w:right w:val="none" w:sz="0" w:space="0" w:color="auto"/>
      </w:divBdr>
      <w:divsChild>
        <w:div w:id="237444755">
          <w:marLeft w:val="0"/>
          <w:marRight w:val="0"/>
          <w:marTop w:val="0"/>
          <w:marBottom w:val="0"/>
          <w:divBdr>
            <w:top w:val="none" w:sz="0" w:space="0" w:color="auto"/>
            <w:left w:val="none" w:sz="0" w:space="0" w:color="auto"/>
            <w:bottom w:val="none" w:sz="0" w:space="0" w:color="auto"/>
            <w:right w:val="none" w:sz="0" w:space="0" w:color="auto"/>
          </w:divBdr>
        </w:div>
      </w:divsChild>
    </w:div>
    <w:div w:id="121386645">
      <w:marLeft w:val="0"/>
      <w:marRight w:val="0"/>
      <w:marTop w:val="0"/>
      <w:marBottom w:val="0"/>
      <w:divBdr>
        <w:top w:val="none" w:sz="0" w:space="0" w:color="auto"/>
        <w:left w:val="none" w:sz="0" w:space="0" w:color="auto"/>
        <w:bottom w:val="none" w:sz="0" w:space="0" w:color="auto"/>
        <w:right w:val="none" w:sz="0" w:space="0" w:color="auto"/>
      </w:divBdr>
      <w:divsChild>
        <w:div w:id="2139951215">
          <w:marLeft w:val="0"/>
          <w:marRight w:val="0"/>
          <w:marTop w:val="0"/>
          <w:marBottom w:val="0"/>
          <w:divBdr>
            <w:top w:val="none" w:sz="0" w:space="0" w:color="auto"/>
            <w:left w:val="none" w:sz="0" w:space="0" w:color="auto"/>
            <w:bottom w:val="none" w:sz="0" w:space="0" w:color="auto"/>
            <w:right w:val="none" w:sz="0" w:space="0" w:color="auto"/>
          </w:divBdr>
        </w:div>
      </w:divsChild>
    </w:div>
    <w:div w:id="127019867">
      <w:marLeft w:val="0"/>
      <w:marRight w:val="0"/>
      <w:marTop w:val="0"/>
      <w:marBottom w:val="0"/>
      <w:divBdr>
        <w:top w:val="none" w:sz="0" w:space="0" w:color="auto"/>
        <w:left w:val="none" w:sz="0" w:space="0" w:color="auto"/>
        <w:bottom w:val="none" w:sz="0" w:space="0" w:color="auto"/>
        <w:right w:val="none" w:sz="0" w:space="0" w:color="auto"/>
      </w:divBdr>
    </w:div>
    <w:div w:id="130752620">
      <w:marLeft w:val="0"/>
      <w:marRight w:val="0"/>
      <w:marTop w:val="0"/>
      <w:marBottom w:val="0"/>
      <w:divBdr>
        <w:top w:val="none" w:sz="0" w:space="0" w:color="auto"/>
        <w:left w:val="none" w:sz="0" w:space="0" w:color="auto"/>
        <w:bottom w:val="none" w:sz="0" w:space="0" w:color="auto"/>
        <w:right w:val="none" w:sz="0" w:space="0" w:color="auto"/>
      </w:divBdr>
      <w:divsChild>
        <w:div w:id="2062558614">
          <w:marLeft w:val="0"/>
          <w:marRight w:val="0"/>
          <w:marTop w:val="0"/>
          <w:marBottom w:val="0"/>
          <w:divBdr>
            <w:top w:val="none" w:sz="0" w:space="0" w:color="auto"/>
            <w:left w:val="none" w:sz="0" w:space="0" w:color="auto"/>
            <w:bottom w:val="none" w:sz="0" w:space="0" w:color="auto"/>
            <w:right w:val="none" w:sz="0" w:space="0" w:color="auto"/>
          </w:divBdr>
        </w:div>
      </w:divsChild>
    </w:div>
    <w:div w:id="131143663">
      <w:marLeft w:val="0"/>
      <w:marRight w:val="0"/>
      <w:marTop w:val="0"/>
      <w:marBottom w:val="0"/>
      <w:divBdr>
        <w:top w:val="none" w:sz="0" w:space="0" w:color="auto"/>
        <w:left w:val="none" w:sz="0" w:space="0" w:color="auto"/>
        <w:bottom w:val="none" w:sz="0" w:space="0" w:color="auto"/>
        <w:right w:val="none" w:sz="0" w:space="0" w:color="auto"/>
      </w:divBdr>
      <w:divsChild>
        <w:div w:id="1130246998">
          <w:marLeft w:val="0"/>
          <w:marRight w:val="0"/>
          <w:marTop w:val="0"/>
          <w:marBottom w:val="0"/>
          <w:divBdr>
            <w:top w:val="none" w:sz="0" w:space="0" w:color="auto"/>
            <w:left w:val="none" w:sz="0" w:space="0" w:color="auto"/>
            <w:bottom w:val="none" w:sz="0" w:space="0" w:color="auto"/>
            <w:right w:val="none" w:sz="0" w:space="0" w:color="auto"/>
          </w:divBdr>
        </w:div>
      </w:divsChild>
    </w:div>
    <w:div w:id="134228079">
      <w:marLeft w:val="0"/>
      <w:marRight w:val="0"/>
      <w:marTop w:val="0"/>
      <w:marBottom w:val="0"/>
      <w:divBdr>
        <w:top w:val="none" w:sz="0" w:space="0" w:color="auto"/>
        <w:left w:val="none" w:sz="0" w:space="0" w:color="auto"/>
        <w:bottom w:val="none" w:sz="0" w:space="0" w:color="auto"/>
        <w:right w:val="none" w:sz="0" w:space="0" w:color="auto"/>
      </w:divBdr>
    </w:div>
    <w:div w:id="138889026">
      <w:marLeft w:val="0"/>
      <w:marRight w:val="0"/>
      <w:marTop w:val="0"/>
      <w:marBottom w:val="0"/>
      <w:divBdr>
        <w:top w:val="none" w:sz="0" w:space="0" w:color="auto"/>
        <w:left w:val="none" w:sz="0" w:space="0" w:color="auto"/>
        <w:bottom w:val="none" w:sz="0" w:space="0" w:color="auto"/>
        <w:right w:val="none" w:sz="0" w:space="0" w:color="auto"/>
      </w:divBdr>
      <w:divsChild>
        <w:div w:id="1567106621">
          <w:marLeft w:val="0"/>
          <w:marRight w:val="0"/>
          <w:marTop w:val="0"/>
          <w:marBottom w:val="0"/>
          <w:divBdr>
            <w:top w:val="none" w:sz="0" w:space="0" w:color="auto"/>
            <w:left w:val="none" w:sz="0" w:space="0" w:color="auto"/>
            <w:bottom w:val="none" w:sz="0" w:space="0" w:color="auto"/>
            <w:right w:val="none" w:sz="0" w:space="0" w:color="auto"/>
          </w:divBdr>
        </w:div>
      </w:divsChild>
    </w:div>
    <w:div w:id="139733166">
      <w:marLeft w:val="0"/>
      <w:marRight w:val="0"/>
      <w:marTop w:val="0"/>
      <w:marBottom w:val="0"/>
      <w:divBdr>
        <w:top w:val="none" w:sz="0" w:space="0" w:color="auto"/>
        <w:left w:val="none" w:sz="0" w:space="0" w:color="auto"/>
        <w:bottom w:val="none" w:sz="0" w:space="0" w:color="auto"/>
        <w:right w:val="none" w:sz="0" w:space="0" w:color="auto"/>
      </w:divBdr>
    </w:div>
    <w:div w:id="151412285">
      <w:marLeft w:val="0"/>
      <w:marRight w:val="0"/>
      <w:marTop w:val="0"/>
      <w:marBottom w:val="0"/>
      <w:divBdr>
        <w:top w:val="none" w:sz="0" w:space="0" w:color="auto"/>
        <w:left w:val="none" w:sz="0" w:space="0" w:color="auto"/>
        <w:bottom w:val="none" w:sz="0" w:space="0" w:color="auto"/>
        <w:right w:val="none" w:sz="0" w:space="0" w:color="auto"/>
      </w:divBdr>
      <w:divsChild>
        <w:div w:id="1266763304">
          <w:marLeft w:val="0"/>
          <w:marRight w:val="0"/>
          <w:marTop w:val="0"/>
          <w:marBottom w:val="0"/>
          <w:divBdr>
            <w:top w:val="none" w:sz="0" w:space="0" w:color="auto"/>
            <w:left w:val="none" w:sz="0" w:space="0" w:color="auto"/>
            <w:bottom w:val="none" w:sz="0" w:space="0" w:color="auto"/>
            <w:right w:val="none" w:sz="0" w:space="0" w:color="auto"/>
          </w:divBdr>
        </w:div>
      </w:divsChild>
    </w:div>
    <w:div w:id="155733580">
      <w:marLeft w:val="0"/>
      <w:marRight w:val="0"/>
      <w:marTop w:val="0"/>
      <w:marBottom w:val="0"/>
      <w:divBdr>
        <w:top w:val="none" w:sz="0" w:space="0" w:color="auto"/>
        <w:left w:val="none" w:sz="0" w:space="0" w:color="auto"/>
        <w:bottom w:val="none" w:sz="0" w:space="0" w:color="auto"/>
        <w:right w:val="none" w:sz="0" w:space="0" w:color="auto"/>
      </w:divBdr>
    </w:div>
    <w:div w:id="163013349">
      <w:marLeft w:val="0"/>
      <w:marRight w:val="0"/>
      <w:marTop w:val="0"/>
      <w:marBottom w:val="0"/>
      <w:divBdr>
        <w:top w:val="none" w:sz="0" w:space="0" w:color="auto"/>
        <w:left w:val="none" w:sz="0" w:space="0" w:color="auto"/>
        <w:bottom w:val="none" w:sz="0" w:space="0" w:color="auto"/>
        <w:right w:val="none" w:sz="0" w:space="0" w:color="auto"/>
      </w:divBdr>
    </w:div>
    <w:div w:id="164712652">
      <w:marLeft w:val="0"/>
      <w:marRight w:val="0"/>
      <w:marTop w:val="0"/>
      <w:marBottom w:val="0"/>
      <w:divBdr>
        <w:top w:val="none" w:sz="0" w:space="0" w:color="auto"/>
        <w:left w:val="none" w:sz="0" w:space="0" w:color="auto"/>
        <w:bottom w:val="none" w:sz="0" w:space="0" w:color="auto"/>
        <w:right w:val="none" w:sz="0" w:space="0" w:color="auto"/>
      </w:divBdr>
      <w:divsChild>
        <w:div w:id="1542546903">
          <w:marLeft w:val="0"/>
          <w:marRight w:val="0"/>
          <w:marTop w:val="0"/>
          <w:marBottom w:val="0"/>
          <w:divBdr>
            <w:top w:val="none" w:sz="0" w:space="0" w:color="auto"/>
            <w:left w:val="none" w:sz="0" w:space="0" w:color="auto"/>
            <w:bottom w:val="none" w:sz="0" w:space="0" w:color="auto"/>
            <w:right w:val="none" w:sz="0" w:space="0" w:color="auto"/>
          </w:divBdr>
        </w:div>
      </w:divsChild>
    </w:div>
    <w:div w:id="165941103">
      <w:marLeft w:val="0"/>
      <w:marRight w:val="0"/>
      <w:marTop w:val="0"/>
      <w:marBottom w:val="0"/>
      <w:divBdr>
        <w:top w:val="none" w:sz="0" w:space="0" w:color="auto"/>
        <w:left w:val="none" w:sz="0" w:space="0" w:color="auto"/>
        <w:bottom w:val="none" w:sz="0" w:space="0" w:color="auto"/>
        <w:right w:val="none" w:sz="0" w:space="0" w:color="auto"/>
      </w:divBdr>
    </w:div>
    <w:div w:id="168374031">
      <w:marLeft w:val="0"/>
      <w:marRight w:val="0"/>
      <w:marTop w:val="0"/>
      <w:marBottom w:val="0"/>
      <w:divBdr>
        <w:top w:val="none" w:sz="0" w:space="0" w:color="auto"/>
        <w:left w:val="none" w:sz="0" w:space="0" w:color="auto"/>
        <w:bottom w:val="none" w:sz="0" w:space="0" w:color="auto"/>
        <w:right w:val="none" w:sz="0" w:space="0" w:color="auto"/>
      </w:divBdr>
    </w:div>
    <w:div w:id="173304899">
      <w:marLeft w:val="0"/>
      <w:marRight w:val="0"/>
      <w:marTop w:val="0"/>
      <w:marBottom w:val="0"/>
      <w:divBdr>
        <w:top w:val="none" w:sz="0" w:space="0" w:color="auto"/>
        <w:left w:val="none" w:sz="0" w:space="0" w:color="auto"/>
        <w:bottom w:val="none" w:sz="0" w:space="0" w:color="auto"/>
        <w:right w:val="none" w:sz="0" w:space="0" w:color="auto"/>
      </w:divBdr>
    </w:div>
    <w:div w:id="180822685">
      <w:marLeft w:val="0"/>
      <w:marRight w:val="0"/>
      <w:marTop w:val="0"/>
      <w:marBottom w:val="0"/>
      <w:divBdr>
        <w:top w:val="none" w:sz="0" w:space="0" w:color="auto"/>
        <w:left w:val="none" w:sz="0" w:space="0" w:color="auto"/>
        <w:bottom w:val="none" w:sz="0" w:space="0" w:color="auto"/>
        <w:right w:val="none" w:sz="0" w:space="0" w:color="auto"/>
      </w:divBdr>
    </w:div>
    <w:div w:id="187839711">
      <w:marLeft w:val="0"/>
      <w:marRight w:val="0"/>
      <w:marTop w:val="0"/>
      <w:marBottom w:val="0"/>
      <w:divBdr>
        <w:top w:val="none" w:sz="0" w:space="0" w:color="auto"/>
        <w:left w:val="none" w:sz="0" w:space="0" w:color="auto"/>
        <w:bottom w:val="none" w:sz="0" w:space="0" w:color="auto"/>
        <w:right w:val="none" w:sz="0" w:space="0" w:color="auto"/>
      </w:divBdr>
    </w:div>
    <w:div w:id="188958093">
      <w:marLeft w:val="0"/>
      <w:marRight w:val="0"/>
      <w:marTop w:val="0"/>
      <w:marBottom w:val="0"/>
      <w:divBdr>
        <w:top w:val="none" w:sz="0" w:space="0" w:color="auto"/>
        <w:left w:val="none" w:sz="0" w:space="0" w:color="auto"/>
        <w:bottom w:val="none" w:sz="0" w:space="0" w:color="auto"/>
        <w:right w:val="none" w:sz="0" w:space="0" w:color="auto"/>
      </w:divBdr>
    </w:div>
    <w:div w:id="189420721">
      <w:marLeft w:val="0"/>
      <w:marRight w:val="0"/>
      <w:marTop w:val="0"/>
      <w:marBottom w:val="0"/>
      <w:divBdr>
        <w:top w:val="none" w:sz="0" w:space="0" w:color="auto"/>
        <w:left w:val="none" w:sz="0" w:space="0" w:color="auto"/>
        <w:bottom w:val="none" w:sz="0" w:space="0" w:color="auto"/>
        <w:right w:val="none" w:sz="0" w:space="0" w:color="auto"/>
      </w:divBdr>
    </w:div>
    <w:div w:id="193539368">
      <w:marLeft w:val="0"/>
      <w:marRight w:val="0"/>
      <w:marTop w:val="0"/>
      <w:marBottom w:val="0"/>
      <w:divBdr>
        <w:top w:val="none" w:sz="0" w:space="0" w:color="auto"/>
        <w:left w:val="none" w:sz="0" w:space="0" w:color="auto"/>
        <w:bottom w:val="none" w:sz="0" w:space="0" w:color="auto"/>
        <w:right w:val="none" w:sz="0" w:space="0" w:color="auto"/>
      </w:divBdr>
    </w:div>
    <w:div w:id="195852613">
      <w:marLeft w:val="0"/>
      <w:marRight w:val="0"/>
      <w:marTop w:val="0"/>
      <w:marBottom w:val="0"/>
      <w:divBdr>
        <w:top w:val="none" w:sz="0" w:space="0" w:color="auto"/>
        <w:left w:val="none" w:sz="0" w:space="0" w:color="auto"/>
        <w:bottom w:val="none" w:sz="0" w:space="0" w:color="auto"/>
        <w:right w:val="none" w:sz="0" w:space="0" w:color="auto"/>
      </w:divBdr>
    </w:div>
    <w:div w:id="200750122">
      <w:marLeft w:val="0"/>
      <w:marRight w:val="0"/>
      <w:marTop w:val="0"/>
      <w:marBottom w:val="0"/>
      <w:divBdr>
        <w:top w:val="none" w:sz="0" w:space="0" w:color="auto"/>
        <w:left w:val="none" w:sz="0" w:space="0" w:color="auto"/>
        <w:bottom w:val="none" w:sz="0" w:space="0" w:color="auto"/>
        <w:right w:val="none" w:sz="0" w:space="0" w:color="auto"/>
      </w:divBdr>
      <w:divsChild>
        <w:div w:id="113985635">
          <w:marLeft w:val="0"/>
          <w:marRight w:val="0"/>
          <w:marTop w:val="0"/>
          <w:marBottom w:val="0"/>
          <w:divBdr>
            <w:top w:val="none" w:sz="0" w:space="0" w:color="auto"/>
            <w:left w:val="none" w:sz="0" w:space="0" w:color="auto"/>
            <w:bottom w:val="none" w:sz="0" w:space="0" w:color="auto"/>
            <w:right w:val="none" w:sz="0" w:space="0" w:color="auto"/>
          </w:divBdr>
        </w:div>
      </w:divsChild>
    </w:div>
    <w:div w:id="202790869">
      <w:marLeft w:val="0"/>
      <w:marRight w:val="0"/>
      <w:marTop w:val="0"/>
      <w:marBottom w:val="0"/>
      <w:divBdr>
        <w:top w:val="none" w:sz="0" w:space="0" w:color="auto"/>
        <w:left w:val="none" w:sz="0" w:space="0" w:color="auto"/>
        <w:bottom w:val="none" w:sz="0" w:space="0" w:color="auto"/>
        <w:right w:val="none" w:sz="0" w:space="0" w:color="auto"/>
      </w:divBdr>
    </w:div>
    <w:div w:id="206574988">
      <w:marLeft w:val="0"/>
      <w:marRight w:val="0"/>
      <w:marTop w:val="0"/>
      <w:marBottom w:val="0"/>
      <w:divBdr>
        <w:top w:val="none" w:sz="0" w:space="0" w:color="auto"/>
        <w:left w:val="none" w:sz="0" w:space="0" w:color="auto"/>
        <w:bottom w:val="none" w:sz="0" w:space="0" w:color="auto"/>
        <w:right w:val="none" w:sz="0" w:space="0" w:color="auto"/>
      </w:divBdr>
      <w:divsChild>
        <w:div w:id="614485808">
          <w:marLeft w:val="0"/>
          <w:marRight w:val="0"/>
          <w:marTop w:val="0"/>
          <w:marBottom w:val="15"/>
          <w:divBdr>
            <w:top w:val="none" w:sz="0" w:space="0" w:color="auto"/>
            <w:left w:val="none" w:sz="0" w:space="0" w:color="auto"/>
            <w:bottom w:val="none" w:sz="0" w:space="0" w:color="auto"/>
            <w:right w:val="none" w:sz="0" w:space="0" w:color="auto"/>
          </w:divBdr>
        </w:div>
      </w:divsChild>
    </w:div>
    <w:div w:id="209920604">
      <w:marLeft w:val="0"/>
      <w:marRight w:val="0"/>
      <w:marTop w:val="0"/>
      <w:marBottom w:val="0"/>
      <w:divBdr>
        <w:top w:val="none" w:sz="0" w:space="0" w:color="auto"/>
        <w:left w:val="none" w:sz="0" w:space="0" w:color="auto"/>
        <w:bottom w:val="none" w:sz="0" w:space="0" w:color="auto"/>
        <w:right w:val="none" w:sz="0" w:space="0" w:color="auto"/>
      </w:divBdr>
    </w:div>
    <w:div w:id="211044303">
      <w:marLeft w:val="0"/>
      <w:marRight w:val="0"/>
      <w:marTop w:val="0"/>
      <w:marBottom w:val="0"/>
      <w:divBdr>
        <w:top w:val="none" w:sz="0" w:space="0" w:color="auto"/>
        <w:left w:val="none" w:sz="0" w:space="0" w:color="auto"/>
        <w:bottom w:val="none" w:sz="0" w:space="0" w:color="auto"/>
        <w:right w:val="none" w:sz="0" w:space="0" w:color="auto"/>
      </w:divBdr>
    </w:div>
    <w:div w:id="215045099">
      <w:marLeft w:val="0"/>
      <w:marRight w:val="0"/>
      <w:marTop w:val="0"/>
      <w:marBottom w:val="0"/>
      <w:divBdr>
        <w:top w:val="none" w:sz="0" w:space="0" w:color="auto"/>
        <w:left w:val="none" w:sz="0" w:space="0" w:color="auto"/>
        <w:bottom w:val="none" w:sz="0" w:space="0" w:color="auto"/>
        <w:right w:val="none" w:sz="0" w:space="0" w:color="auto"/>
      </w:divBdr>
      <w:divsChild>
        <w:div w:id="115376030">
          <w:marLeft w:val="0"/>
          <w:marRight w:val="0"/>
          <w:marTop w:val="0"/>
          <w:marBottom w:val="0"/>
          <w:divBdr>
            <w:top w:val="none" w:sz="0" w:space="0" w:color="auto"/>
            <w:left w:val="none" w:sz="0" w:space="0" w:color="auto"/>
            <w:bottom w:val="none" w:sz="0" w:space="0" w:color="auto"/>
            <w:right w:val="none" w:sz="0" w:space="0" w:color="auto"/>
          </w:divBdr>
        </w:div>
      </w:divsChild>
    </w:div>
    <w:div w:id="215629844">
      <w:marLeft w:val="0"/>
      <w:marRight w:val="0"/>
      <w:marTop w:val="0"/>
      <w:marBottom w:val="0"/>
      <w:divBdr>
        <w:top w:val="none" w:sz="0" w:space="0" w:color="auto"/>
        <w:left w:val="none" w:sz="0" w:space="0" w:color="auto"/>
        <w:bottom w:val="none" w:sz="0" w:space="0" w:color="auto"/>
        <w:right w:val="none" w:sz="0" w:space="0" w:color="auto"/>
      </w:divBdr>
    </w:div>
    <w:div w:id="219486882">
      <w:marLeft w:val="0"/>
      <w:marRight w:val="0"/>
      <w:marTop w:val="0"/>
      <w:marBottom w:val="0"/>
      <w:divBdr>
        <w:top w:val="none" w:sz="0" w:space="0" w:color="auto"/>
        <w:left w:val="none" w:sz="0" w:space="0" w:color="auto"/>
        <w:bottom w:val="none" w:sz="0" w:space="0" w:color="auto"/>
        <w:right w:val="none" w:sz="0" w:space="0" w:color="auto"/>
      </w:divBdr>
    </w:div>
    <w:div w:id="234240594">
      <w:marLeft w:val="0"/>
      <w:marRight w:val="0"/>
      <w:marTop w:val="0"/>
      <w:marBottom w:val="0"/>
      <w:divBdr>
        <w:top w:val="none" w:sz="0" w:space="0" w:color="auto"/>
        <w:left w:val="none" w:sz="0" w:space="0" w:color="auto"/>
        <w:bottom w:val="none" w:sz="0" w:space="0" w:color="auto"/>
        <w:right w:val="none" w:sz="0" w:space="0" w:color="auto"/>
      </w:divBdr>
    </w:div>
    <w:div w:id="237138720">
      <w:marLeft w:val="0"/>
      <w:marRight w:val="0"/>
      <w:marTop w:val="0"/>
      <w:marBottom w:val="0"/>
      <w:divBdr>
        <w:top w:val="none" w:sz="0" w:space="0" w:color="auto"/>
        <w:left w:val="none" w:sz="0" w:space="0" w:color="auto"/>
        <w:bottom w:val="none" w:sz="0" w:space="0" w:color="auto"/>
        <w:right w:val="none" w:sz="0" w:space="0" w:color="auto"/>
      </w:divBdr>
    </w:div>
    <w:div w:id="243151230">
      <w:marLeft w:val="0"/>
      <w:marRight w:val="0"/>
      <w:marTop w:val="0"/>
      <w:marBottom w:val="0"/>
      <w:divBdr>
        <w:top w:val="none" w:sz="0" w:space="0" w:color="auto"/>
        <w:left w:val="none" w:sz="0" w:space="0" w:color="auto"/>
        <w:bottom w:val="none" w:sz="0" w:space="0" w:color="auto"/>
        <w:right w:val="none" w:sz="0" w:space="0" w:color="auto"/>
      </w:divBdr>
      <w:divsChild>
        <w:div w:id="1689526124">
          <w:marLeft w:val="0"/>
          <w:marRight w:val="0"/>
          <w:marTop w:val="0"/>
          <w:marBottom w:val="0"/>
          <w:divBdr>
            <w:top w:val="none" w:sz="0" w:space="0" w:color="auto"/>
            <w:left w:val="none" w:sz="0" w:space="0" w:color="auto"/>
            <w:bottom w:val="none" w:sz="0" w:space="0" w:color="auto"/>
            <w:right w:val="none" w:sz="0" w:space="0" w:color="auto"/>
          </w:divBdr>
        </w:div>
      </w:divsChild>
    </w:div>
    <w:div w:id="247427771">
      <w:marLeft w:val="0"/>
      <w:marRight w:val="0"/>
      <w:marTop w:val="0"/>
      <w:marBottom w:val="0"/>
      <w:divBdr>
        <w:top w:val="none" w:sz="0" w:space="0" w:color="auto"/>
        <w:left w:val="none" w:sz="0" w:space="0" w:color="auto"/>
        <w:bottom w:val="none" w:sz="0" w:space="0" w:color="auto"/>
        <w:right w:val="none" w:sz="0" w:space="0" w:color="auto"/>
      </w:divBdr>
      <w:divsChild>
        <w:div w:id="1321695301">
          <w:marLeft w:val="0"/>
          <w:marRight w:val="0"/>
          <w:marTop w:val="0"/>
          <w:marBottom w:val="0"/>
          <w:divBdr>
            <w:top w:val="none" w:sz="0" w:space="0" w:color="auto"/>
            <w:left w:val="none" w:sz="0" w:space="0" w:color="auto"/>
            <w:bottom w:val="none" w:sz="0" w:space="0" w:color="auto"/>
            <w:right w:val="none" w:sz="0" w:space="0" w:color="auto"/>
          </w:divBdr>
        </w:div>
      </w:divsChild>
    </w:div>
    <w:div w:id="252860242">
      <w:marLeft w:val="0"/>
      <w:marRight w:val="0"/>
      <w:marTop w:val="0"/>
      <w:marBottom w:val="0"/>
      <w:divBdr>
        <w:top w:val="none" w:sz="0" w:space="0" w:color="auto"/>
        <w:left w:val="none" w:sz="0" w:space="0" w:color="auto"/>
        <w:bottom w:val="none" w:sz="0" w:space="0" w:color="auto"/>
        <w:right w:val="none" w:sz="0" w:space="0" w:color="auto"/>
      </w:divBdr>
      <w:divsChild>
        <w:div w:id="180971748">
          <w:marLeft w:val="0"/>
          <w:marRight w:val="0"/>
          <w:marTop w:val="0"/>
          <w:marBottom w:val="0"/>
          <w:divBdr>
            <w:top w:val="none" w:sz="0" w:space="0" w:color="auto"/>
            <w:left w:val="none" w:sz="0" w:space="0" w:color="auto"/>
            <w:bottom w:val="none" w:sz="0" w:space="0" w:color="auto"/>
            <w:right w:val="none" w:sz="0" w:space="0" w:color="auto"/>
          </w:divBdr>
        </w:div>
      </w:divsChild>
    </w:div>
    <w:div w:id="260382399">
      <w:marLeft w:val="0"/>
      <w:marRight w:val="0"/>
      <w:marTop w:val="0"/>
      <w:marBottom w:val="0"/>
      <w:divBdr>
        <w:top w:val="none" w:sz="0" w:space="0" w:color="auto"/>
        <w:left w:val="none" w:sz="0" w:space="0" w:color="auto"/>
        <w:bottom w:val="none" w:sz="0" w:space="0" w:color="auto"/>
        <w:right w:val="none" w:sz="0" w:space="0" w:color="auto"/>
      </w:divBdr>
    </w:div>
    <w:div w:id="276640363">
      <w:marLeft w:val="0"/>
      <w:marRight w:val="0"/>
      <w:marTop w:val="0"/>
      <w:marBottom w:val="0"/>
      <w:divBdr>
        <w:top w:val="none" w:sz="0" w:space="0" w:color="auto"/>
        <w:left w:val="none" w:sz="0" w:space="0" w:color="auto"/>
        <w:bottom w:val="none" w:sz="0" w:space="0" w:color="auto"/>
        <w:right w:val="none" w:sz="0" w:space="0" w:color="auto"/>
      </w:divBdr>
    </w:div>
    <w:div w:id="277569935">
      <w:marLeft w:val="0"/>
      <w:marRight w:val="0"/>
      <w:marTop w:val="0"/>
      <w:marBottom w:val="0"/>
      <w:divBdr>
        <w:top w:val="none" w:sz="0" w:space="0" w:color="auto"/>
        <w:left w:val="none" w:sz="0" w:space="0" w:color="auto"/>
        <w:bottom w:val="none" w:sz="0" w:space="0" w:color="auto"/>
        <w:right w:val="none" w:sz="0" w:space="0" w:color="auto"/>
      </w:divBdr>
    </w:div>
    <w:div w:id="278491170">
      <w:marLeft w:val="0"/>
      <w:marRight w:val="0"/>
      <w:marTop w:val="0"/>
      <w:marBottom w:val="0"/>
      <w:divBdr>
        <w:top w:val="none" w:sz="0" w:space="0" w:color="auto"/>
        <w:left w:val="none" w:sz="0" w:space="0" w:color="auto"/>
        <w:bottom w:val="none" w:sz="0" w:space="0" w:color="auto"/>
        <w:right w:val="none" w:sz="0" w:space="0" w:color="auto"/>
      </w:divBdr>
      <w:divsChild>
        <w:div w:id="1973366811">
          <w:marLeft w:val="0"/>
          <w:marRight w:val="0"/>
          <w:marTop w:val="0"/>
          <w:marBottom w:val="0"/>
          <w:divBdr>
            <w:top w:val="none" w:sz="0" w:space="0" w:color="auto"/>
            <w:left w:val="none" w:sz="0" w:space="0" w:color="auto"/>
            <w:bottom w:val="none" w:sz="0" w:space="0" w:color="auto"/>
            <w:right w:val="none" w:sz="0" w:space="0" w:color="auto"/>
          </w:divBdr>
        </w:div>
      </w:divsChild>
    </w:div>
    <w:div w:id="280039478">
      <w:marLeft w:val="0"/>
      <w:marRight w:val="0"/>
      <w:marTop w:val="0"/>
      <w:marBottom w:val="0"/>
      <w:divBdr>
        <w:top w:val="none" w:sz="0" w:space="0" w:color="auto"/>
        <w:left w:val="none" w:sz="0" w:space="0" w:color="auto"/>
        <w:bottom w:val="none" w:sz="0" w:space="0" w:color="auto"/>
        <w:right w:val="none" w:sz="0" w:space="0" w:color="auto"/>
      </w:divBdr>
    </w:div>
    <w:div w:id="283997736">
      <w:marLeft w:val="0"/>
      <w:marRight w:val="0"/>
      <w:marTop w:val="0"/>
      <w:marBottom w:val="0"/>
      <w:divBdr>
        <w:top w:val="none" w:sz="0" w:space="0" w:color="auto"/>
        <w:left w:val="none" w:sz="0" w:space="0" w:color="auto"/>
        <w:bottom w:val="none" w:sz="0" w:space="0" w:color="auto"/>
        <w:right w:val="none" w:sz="0" w:space="0" w:color="auto"/>
      </w:divBdr>
    </w:div>
    <w:div w:id="285047571">
      <w:marLeft w:val="0"/>
      <w:marRight w:val="0"/>
      <w:marTop w:val="0"/>
      <w:marBottom w:val="0"/>
      <w:divBdr>
        <w:top w:val="none" w:sz="0" w:space="0" w:color="auto"/>
        <w:left w:val="none" w:sz="0" w:space="0" w:color="auto"/>
        <w:bottom w:val="none" w:sz="0" w:space="0" w:color="auto"/>
        <w:right w:val="none" w:sz="0" w:space="0" w:color="auto"/>
      </w:divBdr>
    </w:div>
    <w:div w:id="291905706">
      <w:marLeft w:val="0"/>
      <w:marRight w:val="0"/>
      <w:marTop w:val="0"/>
      <w:marBottom w:val="0"/>
      <w:divBdr>
        <w:top w:val="none" w:sz="0" w:space="0" w:color="auto"/>
        <w:left w:val="none" w:sz="0" w:space="0" w:color="auto"/>
        <w:bottom w:val="none" w:sz="0" w:space="0" w:color="auto"/>
        <w:right w:val="none" w:sz="0" w:space="0" w:color="auto"/>
      </w:divBdr>
    </w:div>
    <w:div w:id="294064640">
      <w:marLeft w:val="0"/>
      <w:marRight w:val="0"/>
      <w:marTop w:val="0"/>
      <w:marBottom w:val="0"/>
      <w:divBdr>
        <w:top w:val="none" w:sz="0" w:space="0" w:color="auto"/>
        <w:left w:val="none" w:sz="0" w:space="0" w:color="auto"/>
        <w:bottom w:val="none" w:sz="0" w:space="0" w:color="auto"/>
        <w:right w:val="none" w:sz="0" w:space="0" w:color="auto"/>
      </w:divBdr>
    </w:div>
    <w:div w:id="295112417">
      <w:marLeft w:val="0"/>
      <w:marRight w:val="0"/>
      <w:marTop w:val="0"/>
      <w:marBottom w:val="0"/>
      <w:divBdr>
        <w:top w:val="none" w:sz="0" w:space="0" w:color="auto"/>
        <w:left w:val="none" w:sz="0" w:space="0" w:color="auto"/>
        <w:bottom w:val="none" w:sz="0" w:space="0" w:color="auto"/>
        <w:right w:val="none" w:sz="0" w:space="0" w:color="auto"/>
      </w:divBdr>
    </w:div>
    <w:div w:id="296690277">
      <w:marLeft w:val="0"/>
      <w:marRight w:val="0"/>
      <w:marTop w:val="0"/>
      <w:marBottom w:val="0"/>
      <w:divBdr>
        <w:top w:val="none" w:sz="0" w:space="0" w:color="auto"/>
        <w:left w:val="none" w:sz="0" w:space="0" w:color="auto"/>
        <w:bottom w:val="none" w:sz="0" w:space="0" w:color="auto"/>
        <w:right w:val="none" w:sz="0" w:space="0" w:color="auto"/>
      </w:divBdr>
      <w:divsChild>
        <w:div w:id="984699617">
          <w:marLeft w:val="0"/>
          <w:marRight w:val="0"/>
          <w:marTop w:val="0"/>
          <w:marBottom w:val="0"/>
          <w:divBdr>
            <w:top w:val="none" w:sz="0" w:space="0" w:color="auto"/>
            <w:left w:val="none" w:sz="0" w:space="0" w:color="auto"/>
            <w:bottom w:val="none" w:sz="0" w:space="0" w:color="auto"/>
            <w:right w:val="none" w:sz="0" w:space="0" w:color="auto"/>
          </w:divBdr>
        </w:div>
      </w:divsChild>
    </w:div>
    <w:div w:id="318389731">
      <w:marLeft w:val="0"/>
      <w:marRight w:val="0"/>
      <w:marTop w:val="0"/>
      <w:marBottom w:val="0"/>
      <w:divBdr>
        <w:top w:val="none" w:sz="0" w:space="0" w:color="auto"/>
        <w:left w:val="none" w:sz="0" w:space="0" w:color="auto"/>
        <w:bottom w:val="none" w:sz="0" w:space="0" w:color="auto"/>
        <w:right w:val="none" w:sz="0" w:space="0" w:color="auto"/>
      </w:divBdr>
      <w:divsChild>
        <w:div w:id="1370304866">
          <w:marLeft w:val="0"/>
          <w:marRight w:val="0"/>
          <w:marTop w:val="0"/>
          <w:marBottom w:val="0"/>
          <w:divBdr>
            <w:top w:val="none" w:sz="0" w:space="0" w:color="auto"/>
            <w:left w:val="none" w:sz="0" w:space="0" w:color="auto"/>
            <w:bottom w:val="none" w:sz="0" w:space="0" w:color="auto"/>
            <w:right w:val="none" w:sz="0" w:space="0" w:color="auto"/>
          </w:divBdr>
        </w:div>
      </w:divsChild>
    </w:div>
    <w:div w:id="329017827">
      <w:marLeft w:val="0"/>
      <w:marRight w:val="0"/>
      <w:marTop w:val="0"/>
      <w:marBottom w:val="0"/>
      <w:divBdr>
        <w:top w:val="none" w:sz="0" w:space="0" w:color="auto"/>
        <w:left w:val="none" w:sz="0" w:space="0" w:color="auto"/>
        <w:bottom w:val="none" w:sz="0" w:space="0" w:color="auto"/>
        <w:right w:val="none" w:sz="0" w:space="0" w:color="auto"/>
      </w:divBdr>
      <w:divsChild>
        <w:div w:id="301617432">
          <w:marLeft w:val="0"/>
          <w:marRight w:val="0"/>
          <w:marTop w:val="0"/>
          <w:marBottom w:val="0"/>
          <w:divBdr>
            <w:top w:val="none" w:sz="0" w:space="0" w:color="auto"/>
            <w:left w:val="none" w:sz="0" w:space="0" w:color="auto"/>
            <w:bottom w:val="none" w:sz="0" w:space="0" w:color="auto"/>
            <w:right w:val="none" w:sz="0" w:space="0" w:color="auto"/>
          </w:divBdr>
        </w:div>
      </w:divsChild>
    </w:div>
    <w:div w:id="338505050">
      <w:marLeft w:val="0"/>
      <w:marRight w:val="0"/>
      <w:marTop w:val="0"/>
      <w:marBottom w:val="0"/>
      <w:divBdr>
        <w:top w:val="none" w:sz="0" w:space="0" w:color="auto"/>
        <w:left w:val="none" w:sz="0" w:space="0" w:color="auto"/>
        <w:bottom w:val="none" w:sz="0" w:space="0" w:color="auto"/>
        <w:right w:val="none" w:sz="0" w:space="0" w:color="auto"/>
      </w:divBdr>
    </w:div>
    <w:div w:id="339743667">
      <w:marLeft w:val="0"/>
      <w:marRight w:val="0"/>
      <w:marTop w:val="0"/>
      <w:marBottom w:val="0"/>
      <w:divBdr>
        <w:top w:val="none" w:sz="0" w:space="0" w:color="auto"/>
        <w:left w:val="none" w:sz="0" w:space="0" w:color="auto"/>
        <w:bottom w:val="none" w:sz="0" w:space="0" w:color="auto"/>
        <w:right w:val="none" w:sz="0" w:space="0" w:color="auto"/>
      </w:divBdr>
    </w:div>
    <w:div w:id="341396189">
      <w:marLeft w:val="0"/>
      <w:marRight w:val="0"/>
      <w:marTop w:val="0"/>
      <w:marBottom w:val="0"/>
      <w:divBdr>
        <w:top w:val="none" w:sz="0" w:space="0" w:color="auto"/>
        <w:left w:val="none" w:sz="0" w:space="0" w:color="auto"/>
        <w:bottom w:val="none" w:sz="0" w:space="0" w:color="auto"/>
        <w:right w:val="none" w:sz="0" w:space="0" w:color="auto"/>
      </w:divBdr>
      <w:divsChild>
        <w:div w:id="1726949059">
          <w:marLeft w:val="0"/>
          <w:marRight w:val="0"/>
          <w:marTop w:val="0"/>
          <w:marBottom w:val="0"/>
          <w:divBdr>
            <w:top w:val="none" w:sz="0" w:space="0" w:color="auto"/>
            <w:left w:val="none" w:sz="0" w:space="0" w:color="auto"/>
            <w:bottom w:val="none" w:sz="0" w:space="0" w:color="auto"/>
            <w:right w:val="none" w:sz="0" w:space="0" w:color="auto"/>
          </w:divBdr>
        </w:div>
      </w:divsChild>
    </w:div>
    <w:div w:id="341398950">
      <w:marLeft w:val="0"/>
      <w:marRight w:val="0"/>
      <w:marTop w:val="0"/>
      <w:marBottom w:val="0"/>
      <w:divBdr>
        <w:top w:val="none" w:sz="0" w:space="0" w:color="auto"/>
        <w:left w:val="none" w:sz="0" w:space="0" w:color="auto"/>
        <w:bottom w:val="none" w:sz="0" w:space="0" w:color="auto"/>
        <w:right w:val="none" w:sz="0" w:space="0" w:color="auto"/>
      </w:divBdr>
    </w:div>
    <w:div w:id="346441792">
      <w:marLeft w:val="0"/>
      <w:marRight w:val="0"/>
      <w:marTop w:val="0"/>
      <w:marBottom w:val="0"/>
      <w:divBdr>
        <w:top w:val="none" w:sz="0" w:space="0" w:color="auto"/>
        <w:left w:val="none" w:sz="0" w:space="0" w:color="auto"/>
        <w:bottom w:val="none" w:sz="0" w:space="0" w:color="auto"/>
        <w:right w:val="none" w:sz="0" w:space="0" w:color="auto"/>
      </w:divBdr>
    </w:div>
    <w:div w:id="349455452">
      <w:marLeft w:val="0"/>
      <w:marRight w:val="0"/>
      <w:marTop w:val="0"/>
      <w:marBottom w:val="0"/>
      <w:divBdr>
        <w:top w:val="none" w:sz="0" w:space="0" w:color="auto"/>
        <w:left w:val="none" w:sz="0" w:space="0" w:color="auto"/>
        <w:bottom w:val="none" w:sz="0" w:space="0" w:color="auto"/>
        <w:right w:val="none" w:sz="0" w:space="0" w:color="auto"/>
      </w:divBdr>
    </w:div>
    <w:div w:id="350955631">
      <w:marLeft w:val="0"/>
      <w:marRight w:val="0"/>
      <w:marTop w:val="0"/>
      <w:marBottom w:val="0"/>
      <w:divBdr>
        <w:top w:val="none" w:sz="0" w:space="0" w:color="auto"/>
        <w:left w:val="none" w:sz="0" w:space="0" w:color="auto"/>
        <w:bottom w:val="none" w:sz="0" w:space="0" w:color="auto"/>
        <w:right w:val="none" w:sz="0" w:space="0" w:color="auto"/>
      </w:divBdr>
    </w:div>
    <w:div w:id="353069798">
      <w:marLeft w:val="0"/>
      <w:marRight w:val="0"/>
      <w:marTop w:val="0"/>
      <w:marBottom w:val="0"/>
      <w:divBdr>
        <w:top w:val="none" w:sz="0" w:space="0" w:color="auto"/>
        <w:left w:val="none" w:sz="0" w:space="0" w:color="auto"/>
        <w:bottom w:val="none" w:sz="0" w:space="0" w:color="auto"/>
        <w:right w:val="none" w:sz="0" w:space="0" w:color="auto"/>
      </w:divBdr>
      <w:divsChild>
        <w:div w:id="604072541">
          <w:marLeft w:val="0"/>
          <w:marRight w:val="0"/>
          <w:marTop w:val="0"/>
          <w:marBottom w:val="0"/>
          <w:divBdr>
            <w:top w:val="none" w:sz="0" w:space="0" w:color="auto"/>
            <w:left w:val="none" w:sz="0" w:space="0" w:color="auto"/>
            <w:bottom w:val="none" w:sz="0" w:space="0" w:color="auto"/>
            <w:right w:val="none" w:sz="0" w:space="0" w:color="auto"/>
          </w:divBdr>
        </w:div>
      </w:divsChild>
    </w:div>
    <w:div w:id="356393983">
      <w:marLeft w:val="0"/>
      <w:marRight w:val="0"/>
      <w:marTop w:val="0"/>
      <w:marBottom w:val="0"/>
      <w:divBdr>
        <w:top w:val="none" w:sz="0" w:space="0" w:color="auto"/>
        <w:left w:val="none" w:sz="0" w:space="0" w:color="auto"/>
        <w:bottom w:val="none" w:sz="0" w:space="0" w:color="auto"/>
        <w:right w:val="none" w:sz="0" w:space="0" w:color="auto"/>
      </w:divBdr>
      <w:divsChild>
        <w:div w:id="394083152">
          <w:marLeft w:val="0"/>
          <w:marRight w:val="0"/>
          <w:marTop w:val="0"/>
          <w:marBottom w:val="0"/>
          <w:divBdr>
            <w:top w:val="none" w:sz="0" w:space="0" w:color="auto"/>
            <w:left w:val="none" w:sz="0" w:space="0" w:color="auto"/>
            <w:bottom w:val="none" w:sz="0" w:space="0" w:color="auto"/>
            <w:right w:val="none" w:sz="0" w:space="0" w:color="auto"/>
          </w:divBdr>
        </w:div>
      </w:divsChild>
    </w:div>
    <w:div w:id="356659352">
      <w:marLeft w:val="0"/>
      <w:marRight w:val="0"/>
      <w:marTop w:val="0"/>
      <w:marBottom w:val="0"/>
      <w:divBdr>
        <w:top w:val="none" w:sz="0" w:space="0" w:color="auto"/>
        <w:left w:val="none" w:sz="0" w:space="0" w:color="auto"/>
        <w:bottom w:val="none" w:sz="0" w:space="0" w:color="auto"/>
        <w:right w:val="none" w:sz="0" w:space="0" w:color="auto"/>
      </w:divBdr>
      <w:divsChild>
        <w:div w:id="1184516098">
          <w:marLeft w:val="0"/>
          <w:marRight w:val="0"/>
          <w:marTop w:val="0"/>
          <w:marBottom w:val="0"/>
          <w:divBdr>
            <w:top w:val="none" w:sz="0" w:space="0" w:color="auto"/>
            <w:left w:val="none" w:sz="0" w:space="0" w:color="auto"/>
            <w:bottom w:val="none" w:sz="0" w:space="0" w:color="auto"/>
            <w:right w:val="none" w:sz="0" w:space="0" w:color="auto"/>
          </w:divBdr>
        </w:div>
      </w:divsChild>
    </w:div>
    <w:div w:id="360935698">
      <w:marLeft w:val="0"/>
      <w:marRight w:val="0"/>
      <w:marTop w:val="0"/>
      <w:marBottom w:val="0"/>
      <w:divBdr>
        <w:top w:val="none" w:sz="0" w:space="0" w:color="auto"/>
        <w:left w:val="none" w:sz="0" w:space="0" w:color="auto"/>
        <w:bottom w:val="none" w:sz="0" w:space="0" w:color="auto"/>
        <w:right w:val="none" w:sz="0" w:space="0" w:color="auto"/>
      </w:divBdr>
    </w:div>
    <w:div w:id="370425821">
      <w:marLeft w:val="0"/>
      <w:marRight w:val="0"/>
      <w:marTop w:val="0"/>
      <w:marBottom w:val="0"/>
      <w:divBdr>
        <w:top w:val="none" w:sz="0" w:space="0" w:color="auto"/>
        <w:left w:val="none" w:sz="0" w:space="0" w:color="auto"/>
        <w:bottom w:val="none" w:sz="0" w:space="0" w:color="auto"/>
        <w:right w:val="none" w:sz="0" w:space="0" w:color="auto"/>
      </w:divBdr>
    </w:div>
    <w:div w:id="377584886">
      <w:marLeft w:val="0"/>
      <w:marRight w:val="0"/>
      <w:marTop w:val="0"/>
      <w:marBottom w:val="0"/>
      <w:divBdr>
        <w:top w:val="none" w:sz="0" w:space="0" w:color="auto"/>
        <w:left w:val="none" w:sz="0" w:space="0" w:color="auto"/>
        <w:bottom w:val="none" w:sz="0" w:space="0" w:color="auto"/>
        <w:right w:val="none" w:sz="0" w:space="0" w:color="auto"/>
      </w:divBdr>
      <w:divsChild>
        <w:div w:id="1380009652">
          <w:marLeft w:val="0"/>
          <w:marRight w:val="0"/>
          <w:marTop w:val="0"/>
          <w:marBottom w:val="0"/>
          <w:divBdr>
            <w:top w:val="none" w:sz="0" w:space="0" w:color="auto"/>
            <w:left w:val="none" w:sz="0" w:space="0" w:color="auto"/>
            <w:bottom w:val="none" w:sz="0" w:space="0" w:color="auto"/>
            <w:right w:val="none" w:sz="0" w:space="0" w:color="auto"/>
          </w:divBdr>
        </w:div>
      </w:divsChild>
    </w:div>
    <w:div w:id="377749889">
      <w:marLeft w:val="0"/>
      <w:marRight w:val="0"/>
      <w:marTop w:val="0"/>
      <w:marBottom w:val="0"/>
      <w:divBdr>
        <w:top w:val="none" w:sz="0" w:space="0" w:color="auto"/>
        <w:left w:val="none" w:sz="0" w:space="0" w:color="auto"/>
        <w:bottom w:val="none" w:sz="0" w:space="0" w:color="auto"/>
        <w:right w:val="none" w:sz="0" w:space="0" w:color="auto"/>
      </w:divBdr>
    </w:div>
    <w:div w:id="382757173">
      <w:marLeft w:val="0"/>
      <w:marRight w:val="0"/>
      <w:marTop w:val="0"/>
      <w:marBottom w:val="0"/>
      <w:divBdr>
        <w:top w:val="none" w:sz="0" w:space="0" w:color="auto"/>
        <w:left w:val="none" w:sz="0" w:space="0" w:color="auto"/>
        <w:bottom w:val="none" w:sz="0" w:space="0" w:color="auto"/>
        <w:right w:val="none" w:sz="0" w:space="0" w:color="auto"/>
      </w:divBdr>
      <w:divsChild>
        <w:div w:id="786122390">
          <w:marLeft w:val="0"/>
          <w:marRight w:val="0"/>
          <w:marTop w:val="0"/>
          <w:marBottom w:val="0"/>
          <w:divBdr>
            <w:top w:val="none" w:sz="0" w:space="0" w:color="auto"/>
            <w:left w:val="none" w:sz="0" w:space="0" w:color="auto"/>
            <w:bottom w:val="none" w:sz="0" w:space="0" w:color="auto"/>
            <w:right w:val="none" w:sz="0" w:space="0" w:color="auto"/>
          </w:divBdr>
        </w:div>
      </w:divsChild>
    </w:div>
    <w:div w:id="388572927">
      <w:marLeft w:val="0"/>
      <w:marRight w:val="0"/>
      <w:marTop w:val="0"/>
      <w:marBottom w:val="0"/>
      <w:divBdr>
        <w:top w:val="none" w:sz="0" w:space="0" w:color="auto"/>
        <w:left w:val="none" w:sz="0" w:space="0" w:color="auto"/>
        <w:bottom w:val="none" w:sz="0" w:space="0" w:color="auto"/>
        <w:right w:val="none" w:sz="0" w:space="0" w:color="auto"/>
      </w:divBdr>
      <w:divsChild>
        <w:div w:id="221869151">
          <w:marLeft w:val="0"/>
          <w:marRight w:val="0"/>
          <w:marTop w:val="0"/>
          <w:marBottom w:val="0"/>
          <w:divBdr>
            <w:top w:val="none" w:sz="0" w:space="0" w:color="auto"/>
            <w:left w:val="none" w:sz="0" w:space="0" w:color="auto"/>
            <w:bottom w:val="none" w:sz="0" w:space="0" w:color="auto"/>
            <w:right w:val="none" w:sz="0" w:space="0" w:color="auto"/>
          </w:divBdr>
        </w:div>
      </w:divsChild>
    </w:div>
    <w:div w:id="388768420">
      <w:marLeft w:val="0"/>
      <w:marRight w:val="0"/>
      <w:marTop w:val="0"/>
      <w:marBottom w:val="0"/>
      <w:divBdr>
        <w:top w:val="none" w:sz="0" w:space="0" w:color="auto"/>
        <w:left w:val="none" w:sz="0" w:space="0" w:color="auto"/>
        <w:bottom w:val="none" w:sz="0" w:space="0" w:color="auto"/>
        <w:right w:val="none" w:sz="0" w:space="0" w:color="auto"/>
      </w:divBdr>
    </w:div>
    <w:div w:id="393281762">
      <w:marLeft w:val="0"/>
      <w:marRight w:val="0"/>
      <w:marTop w:val="0"/>
      <w:marBottom w:val="0"/>
      <w:divBdr>
        <w:top w:val="none" w:sz="0" w:space="0" w:color="auto"/>
        <w:left w:val="none" w:sz="0" w:space="0" w:color="auto"/>
        <w:bottom w:val="none" w:sz="0" w:space="0" w:color="auto"/>
        <w:right w:val="none" w:sz="0" w:space="0" w:color="auto"/>
      </w:divBdr>
      <w:divsChild>
        <w:div w:id="1896040927">
          <w:marLeft w:val="0"/>
          <w:marRight w:val="0"/>
          <w:marTop w:val="0"/>
          <w:marBottom w:val="0"/>
          <w:divBdr>
            <w:top w:val="none" w:sz="0" w:space="0" w:color="auto"/>
            <w:left w:val="none" w:sz="0" w:space="0" w:color="auto"/>
            <w:bottom w:val="none" w:sz="0" w:space="0" w:color="auto"/>
            <w:right w:val="none" w:sz="0" w:space="0" w:color="auto"/>
          </w:divBdr>
        </w:div>
      </w:divsChild>
    </w:div>
    <w:div w:id="399595449">
      <w:marLeft w:val="0"/>
      <w:marRight w:val="0"/>
      <w:marTop w:val="0"/>
      <w:marBottom w:val="0"/>
      <w:divBdr>
        <w:top w:val="none" w:sz="0" w:space="0" w:color="auto"/>
        <w:left w:val="none" w:sz="0" w:space="0" w:color="auto"/>
        <w:bottom w:val="none" w:sz="0" w:space="0" w:color="auto"/>
        <w:right w:val="none" w:sz="0" w:space="0" w:color="auto"/>
      </w:divBdr>
    </w:div>
    <w:div w:id="410079302">
      <w:marLeft w:val="0"/>
      <w:marRight w:val="0"/>
      <w:marTop w:val="0"/>
      <w:marBottom w:val="0"/>
      <w:divBdr>
        <w:top w:val="none" w:sz="0" w:space="0" w:color="auto"/>
        <w:left w:val="none" w:sz="0" w:space="0" w:color="auto"/>
        <w:bottom w:val="none" w:sz="0" w:space="0" w:color="auto"/>
        <w:right w:val="none" w:sz="0" w:space="0" w:color="auto"/>
      </w:divBdr>
    </w:div>
    <w:div w:id="416289154">
      <w:marLeft w:val="0"/>
      <w:marRight w:val="0"/>
      <w:marTop w:val="0"/>
      <w:marBottom w:val="0"/>
      <w:divBdr>
        <w:top w:val="none" w:sz="0" w:space="0" w:color="auto"/>
        <w:left w:val="none" w:sz="0" w:space="0" w:color="auto"/>
        <w:bottom w:val="none" w:sz="0" w:space="0" w:color="auto"/>
        <w:right w:val="none" w:sz="0" w:space="0" w:color="auto"/>
      </w:divBdr>
    </w:div>
    <w:div w:id="417137268">
      <w:marLeft w:val="0"/>
      <w:marRight w:val="0"/>
      <w:marTop w:val="0"/>
      <w:marBottom w:val="0"/>
      <w:divBdr>
        <w:top w:val="none" w:sz="0" w:space="0" w:color="auto"/>
        <w:left w:val="none" w:sz="0" w:space="0" w:color="auto"/>
        <w:bottom w:val="none" w:sz="0" w:space="0" w:color="auto"/>
        <w:right w:val="none" w:sz="0" w:space="0" w:color="auto"/>
      </w:divBdr>
      <w:divsChild>
        <w:div w:id="1697579462">
          <w:marLeft w:val="0"/>
          <w:marRight w:val="0"/>
          <w:marTop w:val="0"/>
          <w:marBottom w:val="0"/>
          <w:divBdr>
            <w:top w:val="none" w:sz="0" w:space="0" w:color="auto"/>
            <w:left w:val="none" w:sz="0" w:space="0" w:color="auto"/>
            <w:bottom w:val="none" w:sz="0" w:space="0" w:color="auto"/>
            <w:right w:val="none" w:sz="0" w:space="0" w:color="auto"/>
          </w:divBdr>
        </w:div>
      </w:divsChild>
    </w:div>
    <w:div w:id="418330067">
      <w:marLeft w:val="0"/>
      <w:marRight w:val="0"/>
      <w:marTop w:val="0"/>
      <w:marBottom w:val="0"/>
      <w:divBdr>
        <w:top w:val="none" w:sz="0" w:space="0" w:color="auto"/>
        <w:left w:val="none" w:sz="0" w:space="0" w:color="auto"/>
        <w:bottom w:val="none" w:sz="0" w:space="0" w:color="auto"/>
        <w:right w:val="none" w:sz="0" w:space="0" w:color="auto"/>
      </w:divBdr>
    </w:div>
    <w:div w:id="429202700">
      <w:marLeft w:val="0"/>
      <w:marRight w:val="0"/>
      <w:marTop w:val="0"/>
      <w:marBottom w:val="0"/>
      <w:divBdr>
        <w:top w:val="none" w:sz="0" w:space="0" w:color="auto"/>
        <w:left w:val="none" w:sz="0" w:space="0" w:color="auto"/>
        <w:bottom w:val="none" w:sz="0" w:space="0" w:color="auto"/>
        <w:right w:val="none" w:sz="0" w:space="0" w:color="auto"/>
      </w:divBdr>
      <w:divsChild>
        <w:div w:id="229006196">
          <w:marLeft w:val="0"/>
          <w:marRight w:val="0"/>
          <w:marTop w:val="0"/>
          <w:marBottom w:val="0"/>
          <w:divBdr>
            <w:top w:val="none" w:sz="0" w:space="0" w:color="auto"/>
            <w:left w:val="none" w:sz="0" w:space="0" w:color="auto"/>
            <w:bottom w:val="none" w:sz="0" w:space="0" w:color="auto"/>
            <w:right w:val="none" w:sz="0" w:space="0" w:color="auto"/>
          </w:divBdr>
        </w:div>
      </w:divsChild>
    </w:div>
    <w:div w:id="433014468">
      <w:marLeft w:val="0"/>
      <w:marRight w:val="0"/>
      <w:marTop w:val="0"/>
      <w:marBottom w:val="0"/>
      <w:divBdr>
        <w:top w:val="none" w:sz="0" w:space="0" w:color="auto"/>
        <w:left w:val="none" w:sz="0" w:space="0" w:color="auto"/>
        <w:bottom w:val="none" w:sz="0" w:space="0" w:color="auto"/>
        <w:right w:val="none" w:sz="0" w:space="0" w:color="auto"/>
      </w:divBdr>
      <w:divsChild>
        <w:div w:id="2058819910">
          <w:marLeft w:val="0"/>
          <w:marRight w:val="0"/>
          <w:marTop w:val="0"/>
          <w:marBottom w:val="0"/>
          <w:divBdr>
            <w:top w:val="none" w:sz="0" w:space="0" w:color="auto"/>
            <w:left w:val="none" w:sz="0" w:space="0" w:color="auto"/>
            <w:bottom w:val="none" w:sz="0" w:space="0" w:color="auto"/>
            <w:right w:val="none" w:sz="0" w:space="0" w:color="auto"/>
          </w:divBdr>
        </w:div>
      </w:divsChild>
    </w:div>
    <w:div w:id="435951382">
      <w:marLeft w:val="0"/>
      <w:marRight w:val="0"/>
      <w:marTop w:val="0"/>
      <w:marBottom w:val="0"/>
      <w:divBdr>
        <w:top w:val="none" w:sz="0" w:space="0" w:color="auto"/>
        <w:left w:val="none" w:sz="0" w:space="0" w:color="auto"/>
        <w:bottom w:val="none" w:sz="0" w:space="0" w:color="auto"/>
        <w:right w:val="none" w:sz="0" w:space="0" w:color="auto"/>
      </w:divBdr>
    </w:div>
    <w:div w:id="437070869">
      <w:marLeft w:val="0"/>
      <w:marRight w:val="0"/>
      <w:marTop w:val="0"/>
      <w:marBottom w:val="0"/>
      <w:divBdr>
        <w:top w:val="none" w:sz="0" w:space="0" w:color="auto"/>
        <w:left w:val="none" w:sz="0" w:space="0" w:color="auto"/>
        <w:bottom w:val="none" w:sz="0" w:space="0" w:color="auto"/>
        <w:right w:val="none" w:sz="0" w:space="0" w:color="auto"/>
      </w:divBdr>
    </w:div>
    <w:div w:id="437986446">
      <w:marLeft w:val="0"/>
      <w:marRight w:val="0"/>
      <w:marTop w:val="0"/>
      <w:marBottom w:val="0"/>
      <w:divBdr>
        <w:top w:val="none" w:sz="0" w:space="0" w:color="auto"/>
        <w:left w:val="none" w:sz="0" w:space="0" w:color="auto"/>
        <w:bottom w:val="none" w:sz="0" w:space="0" w:color="auto"/>
        <w:right w:val="none" w:sz="0" w:space="0" w:color="auto"/>
      </w:divBdr>
    </w:div>
    <w:div w:id="441921152">
      <w:marLeft w:val="0"/>
      <w:marRight w:val="0"/>
      <w:marTop w:val="0"/>
      <w:marBottom w:val="0"/>
      <w:divBdr>
        <w:top w:val="none" w:sz="0" w:space="0" w:color="auto"/>
        <w:left w:val="none" w:sz="0" w:space="0" w:color="auto"/>
        <w:bottom w:val="none" w:sz="0" w:space="0" w:color="auto"/>
        <w:right w:val="none" w:sz="0" w:space="0" w:color="auto"/>
      </w:divBdr>
    </w:div>
    <w:div w:id="449977915">
      <w:marLeft w:val="0"/>
      <w:marRight w:val="0"/>
      <w:marTop w:val="0"/>
      <w:marBottom w:val="0"/>
      <w:divBdr>
        <w:top w:val="none" w:sz="0" w:space="0" w:color="auto"/>
        <w:left w:val="none" w:sz="0" w:space="0" w:color="auto"/>
        <w:bottom w:val="none" w:sz="0" w:space="0" w:color="auto"/>
        <w:right w:val="none" w:sz="0" w:space="0" w:color="auto"/>
      </w:divBdr>
    </w:div>
    <w:div w:id="451020818">
      <w:marLeft w:val="0"/>
      <w:marRight w:val="0"/>
      <w:marTop w:val="0"/>
      <w:marBottom w:val="0"/>
      <w:divBdr>
        <w:top w:val="none" w:sz="0" w:space="0" w:color="auto"/>
        <w:left w:val="none" w:sz="0" w:space="0" w:color="auto"/>
        <w:bottom w:val="none" w:sz="0" w:space="0" w:color="auto"/>
        <w:right w:val="none" w:sz="0" w:space="0" w:color="auto"/>
      </w:divBdr>
      <w:divsChild>
        <w:div w:id="1364669878">
          <w:marLeft w:val="0"/>
          <w:marRight w:val="0"/>
          <w:marTop w:val="0"/>
          <w:marBottom w:val="0"/>
          <w:divBdr>
            <w:top w:val="none" w:sz="0" w:space="0" w:color="auto"/>
            <w:left w:val="none" w:sz="0" w:space="0" w:color="auto"/>
            <w:bottom w:val="none" w:sz="0" w:space="0" w:color="auto"/>
            <w:right w:val="none" w:sz="0" w:space="0" w:color="auto"/>
          </w:divBdr>
        </w:div>
      </w:divsChild>
    </w:div>
    <w:div w:id="457796171">
      <w:marLeft w:val="0"/>
      <w:marRight w:val="0"/>
      <w:marTop w:val="0"/>
      <w:marBottom w:val="0"/>
      <w:divBdr>
        <w:top w:val="none" w:sz="0" w:space="0" w:color="auto"/>
        <w:left w:val="none" w:sz="0" w:space="0" w:color="auto"/>
        <w:bottom w:val="none" w:sz="0" w:space="0" w:color="auto"/>
        <w:right w:val="none" w:sz="0" w:space="0" w:color="auto"/>
      </w:divBdr>
    </w:div>
    <w:div w:id="459569996">
      <w:marLeft w:val="0"/>
      <w:marRight w:val="0"/>
      <w:marTop w:val="0"/>
      <w:marBottom w:val="0"/>
      <w:divBdr>
        <w:top w:val="none" w:sz="0" w:space="0" w:color="auto"/>
        <w:left w:val="none" w:sz="0" w:space="0" w:color="auto"/>
        <w:bottom w:val="none" w:sz="0" w:space="0" w:color="auto"/>
        <w:right w:val="none" w:sz="0" w:space="0" w:color="auto"/>
      </w:divBdr>
    </w:div>
    <w:div w:id="460614726">
      <w:marLeft w:val="0"/>
      <w:marRight w:val="0"/>
      <w:marTop w:val="0"/>
      <w:marBottom w:val="0"/>
      <w:divBdr>
        <w:top w:val="none" w:sz="0" w:space="0" w:color="auto"/>
        <w:left w:val="none" w:sz="0" w:space="0" w:color="auto"/>
        <w:bottom w:val="none" w:sz="0" w:space="0" w:color="auto"/>
        <w:right w:val="none" w:sz="0" w:space="0" w:color="auto"/>
      </w:divBdr>
    </w:div>
    <w:div w:id="465706284">
      <w:marLeft w:val="0"/>
      <w:marRight w:val="0"/>
      <w:marTop w:val="0"/>
      <w:marBottom w:val="0"/>
      <w:divBdr>
        <w:top w:val="none" w:sz="0" w:space="0" w:color="auto"/>
        <w:left w:val="none" w:sz="0" w:space="0" w:color="auto"/>
        <w:bottom w:val="none" w:sz="0" w:space="0" w:color="auto"/>
        <w:right w:val="none" w:sz="0" w:space="0" w:color="auto"/>
      </w:divBdr>
      <w:divsChild>
        <w:div w:id="1689061013">
          <w:marLeft w:val="0"/>
          <w:marRight w:val="0"/>
          <w:marTop w:val="0"/>
          <w:marBottom w:val="0"/>
          <w:divBdr>
            <w:top w:val="none" w:sz="0" w:space="0" w:color="auto"/>
            <w:left w:val="none" w:sz="0" w:space="0" w:color="auto"/>
            <w:bottom w:val="none" w:sz="0" w:space="0" w:color="auto"/>
            <w:right w:val="none" w:sz="0" w:space="0" w:color="auto"/>
          </w:divBdr>
        </w:div>
      </w:divsChild>
    </w:div>
    <w:div w:id="478033658">
      <w:marLeft w:val="0"/>
      <w:marRight w:val="0"/>
      <w:marTop w:val="0"/>
      <w:marBottom w:val="0"/>
      <w:divBdr>
        <w:top w:val="none" w:sz="0" w:space="0" w:color="auto"/>
        <w:left w:val="none" w:sz="0" w:space="0" w:color="auto"/>
        <w:bottom w:val="none" w:sz="0" w:space="0" w:color="auto"/>
        <w:right w:val="none" w:sz="0" w:space="0" w:color="auto"/>
      </w:divBdr>
    </w:div>
    <w:div w:id="478618053">
      <w:marLeft w:val="0"/>
      <w:marRight w:val="0"/>
      <w:marTop w:val="0"/>
      <w:marBottom w:val="0"/>
      <w:divBdr>
        <w:top w:val="none" w:sz="0" w:space="0" w:color="auto"/>
        <w:left w:val="none" w:sz="0" w:space="0" w:color="auto"/>
        <w:bottom w:val="none" w:sz="0" w:space="0" w:color="auto"/>
        <w:right w:val="none" w:sz="0" w:space="0" w:color="auto"/>
      </w:divBdr>
    </w:div>
    <w:div w:id="485971917">
      <w:marLeft w:val="0"/>
      <w:marRight w:val="0"/>
      <w:marTop w:val="0"/>
      <w:marBottom w:val="0"/>
      <w:divBdr>
        <w:top w:val="none" w:sz="0" w:space="0" w:color="auto"/>
        <w:left w:val="none" w:sz="0" w:space="0" w:color="auto"/>
        <w:bottom w:val="none" w:sz="0" w:space="0" w:color="auto"/>
        <w:right w:val="none" w:sz="0" w:space="0" w:color="auto"/>
      </w:divBdr>
    </w:div>
    <w:div w:id="487402849">
      <w:marLeft w:val="0"/>
      <w:marRight w:val="0"/>
      <w:marTop w:val="0"/>
      <w:marBottom w:val="0"/>
      <w:divBdr>
        <w:top w:val="none" w:sz="0" w:space="0" w:color="auto"/>
        <w:left w:val="none" w:sz="0" w:space="0" w:color="auto"/>
        <w:bottom w:val="none" w:sz="0" w:space="0" w:color="auto"/>
        <w:right w:val="none" w:sz="0" w:space="0" w:color="auto"/>
      </w:divBdr>
      <w:divsChild>
        <w:div w:id="1429890926">
          <w:marLeft w:val="0"/>
          <w:marRight w:val="0"/>
          <w:marTop w:val="0"/>
          <w:marBottom w:val="0"/>
          <w:divBdr>
            <w:top w:val="none" w:sz="0" w:space="0" w:color="auto"/>
            <w:left w:val="none" w:sz="0" w:space="0" w:color="auto"/>
            <w:bottom w:val="none" w:sz="0" w:space="0" w:color="auto"/>
            <w:right w:val="none" w:sz="0" w:space="0" w:color="auto"/>
          </w:divBdr>
        </w:div>
      </w:divsChild>
    </w:div>
    <w:div w:id="489829622">
      <w:marLeft w:val="0"/>
      <w:marRight w:val="0"/>
      <w:marTop w:val="0"/>
      <w:marBottom w:val="0"/>
      <w:divBdr>
        <w:top w:val="none" w:sz="0" w:space="0" w:color="auto"/>
        <w:left w:val="none" w:sz="0" w:space="0" w:color="auto"/>
        <w:bottom w:val="none" w:sz="0" w:space="0" w:color="auto"/>
        <w:right w:val="none" w:sz="0" w:space="0" w:color="auto"/>
      </w:divBdr>
      <w:divsChild>
        <w:div w:id="1835563931">
          <w:marLeft w:val="0"/>
          <w:marRight w:val="0"/>
          <w:marTop w:val="0"/>
          <w:marBottom w:val="0"/>
          <w:divBdr>
            <w:top w:val="none" w:sz="0" w:space="0" w:color="auto"/>
            <w:left w:val="none" w:sz="0" w:space="0" w:color="auto"/>
            <w:bottom w:val="none" w:sz="0" w:space="0" w:color="auto"/>
            <w:right w:val="none" w:sz="0" w:space="0" w:color="auto"/>
          </w:divBdr>
        </w:div>
      </w:divsChild>
    </w:div>
    <w:div w:id="512111742">
      <w:marLeft w:val="0"/>
      <w:marRight w:val="0"/>
      <w:marTop w:val="0"/>
      <w:marBottom w:val="0"/>
      <w:divBdr>
        <w:top w:val="none" w:sz="0" w:space="0" w:color="auto"/>
        <w:left w:val="none" w:sz="0" w:space="0" w:color="auto"/>
        <w:bottom w:val="none" w:sz="0" w:space="0" w:color="auto"/>
        <w:right w:val="none" w:sz="0" w:space="0" w:color="auto"/>
      </w:divBdr>
    </w:div>
    <w:div w:id="525680942">
      <w:marLeft w:val="0"/>
      <w:marRight w:val="0"/>
      <w:marTop w:val="0"/>
      <w:marBottom w:val="0"/>
      <w:divBdr>
        <w:top w:val="none" w:sz="0" w:space="0" w:color="auto"/>
        <w:left w:val="none" w:sz="0" w:space="0" w:color="auto"/>
        <w:bottom w:val="none" w:sz="0" w:space="0" w:color="auto"/>
        <w:right w:val="none" w:sz="0" w:space="0" w:color="auto"/>
      </w:divBdr>
    </w:div>
    <w:div w:id="528496887">
      <w:marLeft w:val="0"/>
      <w:marRight w:val="0"/>
      <w:marTop w:val="0"/>
      <w:marBottom w:val="0"/>
      <w:divBdr>
        <w:top w:val="none" w:sz="0" w:space="0" w:color="auto"/>
        <w:left w:val="none" w:sz="0" w:space="0" w:color="auto"/>
        <w:bottom w:val="none" w:sz="0" w:space="0" w:color="auto"/>
        <w:right w:val="none" w:sz="0" w:space="0" w:color="auto"/>
      </w:divBdr>
      <w:divsChild>
        <w:div w:id="846988039">
          <w:marLeft w:val="0"/>
          <w:marRight w:val="0"/>
          <w:marTop w:val="0"/>
          <w:marBottom w:val="0"/>
          <w:divBdr>
            <w:top w:val="none" w:sz="0" w:space="0" w:color="auto"/>
            <w:left w:val="none" w:sz="0" w:space="0" w:color="auto"/>
            <w:bottom w:val="none" w:sz="0" w:space="0" w:color="auto"/>
            <w:right w:val="none" w:sz="0" w:space="0" w:color="auto"/>
          </w:divBdr>
        </w:div>
      </w:divsChild>
    </w:div>
    <w:div w:id="532810348">
      <w:marLeft w:val="0"/>
      <w:marRight w:val="0"/>
      <w:marTop w:val="0"/>
      <w:marBottom w:val="0"/>
      <w:divBdr>
        <w:top w:val="none" w:sz="0" w:space="0" w:color="auto"/>
        <w:left w:val="none" w:sz="0" w:space="0" w:color="auto"/>
        <w:bottom w:val="none" w:sz="0" w:space="0" w:color="auto"/>
        <w:right w:val="none" w:sz="0" w:space="0" w:color="auto"/>
      </w:divBdr>
    </w:div>
    <w:div w:id="532965646">
      <w:marLeft w:val="0"/>
      <w:marRight w:val="0"/>
      <w:marTop w:val="0"/>
      <w:marBottom w:val="0"/>
      <w:divBdr>
        <w:top w:val="none" w:sz="0" w:space="0" w:color="auto"/>
        <w:left w:val="none" w:sz="0" w:space="0" w:color="auto"/>
        <w:bottom w:val="none" w:sz="0" w:space="0" w:color="auto"/>
        <w:right w:val="none" w:sz="0" w:space="0" w:color="auto"/>
      </w:divBdr>
    </w:div>
    <w:div w:id="538736731">
      <w:marLeft w:val="0"/>
      <w:marRight w:val="0"/>
      <w:marTop w:val="0"/>
      <w:marBottom w:val="0"/>
      <w:divBdr>
        <w:top w:val="none" w:sz="0" w:space="0" w:color="auto"/>
        <w:left w:val="none" w:sz="0" w:space="0" w:color="auto"/>
        <w:bottom w:val="none" w:sz="0" w:space="0" w:color="auto"/>
        <w:right w:val="none" w:sz="0" w:space="0" w:color="auto"/>
      </w:divBdr>
      <w:divsChild>
        <w:div w:id="2048752269">
          <w:marLeft w:val="0"/>
          <w:marRight w:val="0"/>
          <w:marTop w:val="0"/>
          <w:marBottom w:val="0"/>
          <w:divBdr>
            <w:top w:val="none" w:sz="0" w:space="0" w:color="auto"/>
            <w:left w:val="none" w:sz="0" w:space="0" w:color="auto"/>
            <w:bottom w:val="none" w:sz="0" w:space="0" w:color="auto"/>
            <w:right w:val="none" w:sz="0" w:space="0" w:color="auto"/>
          </w:divBdr>
        </w:div>
      </w:divsChild>
    </w:div>
    <w:div w:id="538934320">
      <w:marLeft w:val="0"/>
      <w:marRight w:val="0"/>
      <w:marTop w:val="0"/>
      <w:marBottom w:val="0"/>
      <w:divBdr>
        <w:top w:val="none" w:sz="0" w:space="0" w:color="auto"/>
        <w:left w:val="none" w:sz="0" w:space="0" w:color="auto"/>
        <w:bottom w:val="none" w:sz="0" w:space="0" w:color="auto"/>
        <w:right w:val="none" w:sz="0" w:space="0" w:color="auto"/>
      </w:divBdr>
    </w:div>
    <w:div w:id="545071515">
      <w:marLeft w:val="0"/>
      <w:marRight w:val="0"/>
      <w:marTop w:val="0"/>
      <w:marBottom w:val="0"/>
      <w:divBdr>
        <w:top w:val="none" w:sz="0" w:space="0" w:color="auto"/>
        <w:left w:val="none" w:sz="0" w:space="0" w:color="auto"/>
        <w:bottom w:val="none" w:sz="0" w:space="0" w:color="auto"/>
        <w:right w:val="none" w:sz="0" w:space="0" w:color="auto"/>
      </w:divBdr>
    </w:div>
    <w:div w:id="547449312">
      <w:marLeft w:val="0"/>
      <w:marRight w:val="0"/>
      <w:marTop w:val="0"/>
      <w:marBottom w:val="0"/>
      <w:divBdr>
        <w:top w:val="none" w:sz="0" w:space="0" w:color="auto"/>
        <w:left w:val="none" w:sz="0" w:space="0" w:color="auto"/>
        <w:bottom w:val="none" w:sz="0" w:space="0" w:color="auto"/>
        <w:right w:val="none" w:sz="0" w:space="0" w:color="auto"/>
      </w:divBdr>
    </w:div>
    <w:div w:id="552036290">
      <w:marLeft w:val="0"/>
      <w:marRight w:val="0"/>
      <w:marTop w:val="0"/>
      <w:marBottom w:val="0"/>
      <w:divBdr>
        <w:top w:val="none" w:sz="0" w:space="0" w:color="auto"/>
        <w:left w:val="none" w:sz="0" w:space="0" w:color="auto"/>
        <w:bottom w:val="none" w:sz="0" w:space="0" w:color="auto"/>
        <w:right w:val="none" w:sz="0" w:space="0" w:color="auto"/>
      </w:divBdr>
      <w:divsChild>
        <w:div w:id="1893273722">
          <w:marLeft w:val="0"/>
          <w:marRight w:val="0"/>
          <w:marTop w:val="0"/>
          <w:marBottom w:val="0"/>
          <w:divBdr>
            <w:top w:val="none" w:sz="0" w:space="0" w:color="auto"/>
            <w:left w:val="none" w:sz="0" w:space="0" w:color="auto"/>
            <w:bottom w:val="none" w:sz="0" w:space="0" w:color="auto"/>
            <w:right w:val="none" w:sz="0" w:space="0" w:color="auto"/>
          </w:divBdr>
        </w:div>
      </w:divsChild>
    </w:div>
    <w:div w:id="560749159">
      <w:marLeft w:val="0"/>
      <w:marRight w:val="0"/>
      <w:marTop w:val="0"/>
      <w:marBottom w:val="0"/>
      <w:divBdr>
        <w:top w:val="none" w:sz="0" w:space="0" w:color="auto"/>
        <w:left w:val="none" w:sz="0" w:space="0" w:color="auto"/>
        <w:bottom w:val="none" w:sz="0" w:space="0" w:color="auto"/>
        <w:right w:val="none" w:sz="0" w:space="0" w:color="auto"/>
      </w:divBdr>
      <w:divsChild>
        <w:div w:id="579754408">
          <w:marLeft w:val="0"/>
          <w:marRight w:val="0"/>
          <w:marTop w:val="0"/>
          <w:marBottom w:val="0"/>
          <w:divBdr>
            <w:top w:val="none" w:sz="0" w:space="0" w:color="auto"/>
            <w:left w:val="none" w:sz="0" w:space="0" w:color="auto"/>
            <w:bottom w:val="none" w:sz="0" w:space="0" w:color="auto"/>
            <w:right w:val="none" w:sz="0" w:space="0" w:color="auto"/>
          </w:divBdr>
        </w:div>
      </w:divsChild>
    </w:div>
    <w:div w:id="561864739">
      <w:marLeft w:val="0"/>
      <w:marRight w:val="0"/>
      <w:marTop w:val="0"/>
      <w:marBottom w:val="0"/>
      <w:divBdr>
        <w:top w:val="none" w:sz="0" w:space="0" w:color="auto"/>
        <w:left w:val="none" w:sz="0" w:space="0" w:color="auto"/>
        <w:bottom w:val="none" w:sz="0" w:space="0" w:color="auto"/>
        <w:right w:val="none" w:sz="0" w:space="0" w:color="auto"/>
      </w:divBdr>
    </w:div>
    <w:div w:id="562834042">
      <w:marLeft w:val="0"/>
      <w:marRight w:val="0"/>
      <w:marTop w:val="0"/>
      <w:marBottom w:val="0"/>
      <w:divBdr>
        <w:top w:val="none" w:sz="0" w:space="0" w:color="auto"/>
        <w:left w:val="none" w:sz="0" w:space="0" w:color="auto"/>
        <w:bottom w:val="none" w:sz="0" w:space="0" w:color="auto"/>
        <w:right w:val="none" w:sz="0" w:space="0" w:color="auto"/>
      </w:divBdr>
      <w:divsChild>
        <w:div w:id="1002005905">
          <w:marLeft w:val="0"/>
          <w:marRight w:val="0"/>
          <w:marTop w:val="0"/>
          <w:marBottom w:val="0"/>
          <w:divBdr>
            <w:top w:val="none" w:sz="0" w:space="0" w:color="auto"/>
            <w:left w:val="none" w:sz="0" w:space="0" w:color="auto"/>
            <w:bottom w:val="none" w:sz="0" w:space="0" w:color="auto"/>
            <w:right w:val="none" w:sz="0" w:space="0" w:color="auto"/>
          </w:divBdr>
        </w:div>
      </w:divsChild>
    </w:div>
    <w:div w:id="566260384">
      <w:marLeft w:val="0"/>
      <w:marRight w:val="0"/>
      <w:marTop w:val="0"/>
      <w:marBottom w:val="0"/>
      <w:divBdr>
        <w:top w:val="none" w:sz="0" w:space="0" w:color="auto"/>
        <w:left w:val="none" w:sz="0" w:space="0" w:color="auto"/>
        <w:bottom w:val="none" w:sz="0" w:space="0" w:color="auto"/>
        <w:right w:val="none" w:sz="0" w:space="0" w:color="auto"/>
      </w:divBdr>
    </w:div>
    <w:div w:id="570193077">
      <w:marLeft w:val="0"/>
      <w:marRight w:val="0"/>
      <w:marTop w:val="0"/>
      <w:marBottom w:val="0"/>
      <w:divBdr>
        <w:top w:val="none" w:sz="0" w:space="0" w:color="auto"/>
        <w:left w:val="none" w:sz="0" w:space="0" w:color="auto"/>
        <w:bottom w:val="none" w:sz="0" w:space="0" w:color="auto"/>
        <w:right w:val="none" w:sz="0" w:space="0" w:color="auto"/>
      </w:divBdr>
    </w:div>
    <w:div w:id="573319945">
      <w:marLeft w:val="0"/>
      <w:marRight w:val="0"/>
      <w:marTop w:val="0"/>
      <w:marBottom w:val="0"/>
      <w:divBdr>
        <w:top w:val="none" w:sz="0" w:space="0" w:color="auto"/>
        <w:left w:val="none" w:sz="0" w:space="0" w:color="auto"/>
        <w:bottom w:val="none" w:sz="0" w:space="0" w:color="auto"/>
        <w:right w:val="none" w:sz="0" w:space="0" w:color="auto"/>
      </w:divBdr>
    </w:div>
    <w:div w:id="574631797">
      <w:marLeft w:val="0"/>
      <w:marRight w:val="0"/>
      <w:marTop w:val="0"/>
      <w:marBottom w:val="0"/>
      <w:divBdr>
        <w:top w:val="none" w:sz="0" w:space="0" w:color="auto"/>
        <w:left w:val="none" w:sz="0" w:space="0" w:color="auto"/>
        <w:bottom w:val="none" w:sz="0" w:space="0" w:color="auto"/>
        <w:right w:val="none" w:sz="0" w:space="0" w:color="auto"/>
      </w:divBdr>
    </w:div>
    <w:div w:id="579607854">
      <w:marLeft w:val="0"/>
      <w:marRight w:val="0"/>
      <w:marTop w:val="0"/>
      <w:marBottom w:val="0"/>
      <w:divBdr>
        <w:top w:val="none" w:sz="0" w:space="0" w:color="auto"/>
        <w:left w:val="none" w:sz="0" w:space="0" w:color="auto"/>
        <w:bottom w:val="none" w:sz="0" w:space="0" w:color="auto"/>
        <w:right w:val="none" w:sz="0" w:space="0" w:color="auto"/>
      </w:divBdr>
    </w:div>
    <w:div w:id="581378055">
      <w:marLeft w:val="0"/>
      <w:marRight w:val="0"/>
      <w:marTop w:val="0"/>
      <w:marBottom w:val="0"/>
      <w:divBdr>
        <w:top w:val="none" w:sz="0" w:space="0" w:color="auto"/>
        <w:left w:val="none" w:sz="0" w:space="0" w:color="auto"/>
        <w:bottom w:val="none" w:sz="0" w:space="0" w:color="auto"/>
        <w:right w:val="none" w:sz="0" w:space="0" w:color="auto"/>
      </w:divBdr>
    </w:div>
    <w:div w:id="582421334">
      <w:marLeft w:val="0"/>
      <w:marRight w:val="0"/>
      <w:marTop w:val="0"/>
      <w:marBottom w:val="0"/>
      <w:divBdr>
        <w:top w:val="none" w:sz="0" w:space="0" w:color="auto"/>
        <w:left w:val="none" w:sz="0" w:space="0" w:color="auto"/>
        <w:bottom w:val="none" w:sz="0" w:space="0" w:color="auto"/>
        <w:right w:val="none" w:sz="0" w:space="0" w:color="auto"/>
      </w:divBdr>
      <w:divsChild>
        <w:div w:id="1278101486">
          <w:marLeft w:val="0"/>
          <w:marRight w:val="0"/>
          <w:marTop w:val="0"/>
          <w:marBottom w:val="0"/>
          <w:divBdr>
            <w:top w:val="none" w:sz="0" w:space="0" w:color="auto"/>
            <w:left w:val="none" w:sz="0" w:space="0" w:color="auto"/>
            <w:bottom w:val="none" w:sz="0" w:space="0" w:color="auto"/>
            <w:right w:val="none" w:sz="0" w:space="0" w:color="auto"/>
          </w:divBdr>
        </w:div>
      </w:divsChild>
    </w:div>
    <w:div w:id="587276775">
      <w:marLeft w:val="0"/>
      <w:marRight w:val="0"/>
      <w:marTop w:val="0"/>
      <w:marBottom w:val="0"/>
      <w:divBdr>
        <w:top w:val="none" w:sz="0" w:space="0" w:color="auto"/>
        <w:left w:val="none" w:sz="0" w:space="0" w:color="auto"/>
        <w:bottom w:val="none" w:sz="0" w:space="0" w:color="auto"/>
        <w:right w:val="none" w:sz="0" w:space="0" w:color="auto"/>
      </w:divBdr>
    </w:div>
    <w:div w:id="588273951">
      <w:marLeft w:val="0"/>
      <w:marRight w:val="0"/>
      <w:marTop w:val="0"/>
      <w:marBottom w:val="0"/>
      <w:divBdr>
        <w:top w:val="none" w:sz="0" w:space="0" w:color="auto"/>
        <w:left w:val="none" w:sz="0" w:space="0" w:color="auto"/>
        <w:bottom w:val="none" w:sz="0" w:space="0" w:color="auto"/>
        <w:right w:val="none" w:sz="0" w:space="0" w:color="auto"/>
      </w:divBdr>
    </w:div>
    <w:div w:id="592474958">
      <w:marLeft w:val="0"/>
      <w:marRight w:val="0"/>
      <w:marTop w:val="0"/>
      <w:marBottom w:val="0"/>
      <w:divBdr>
        <w:top w:val="none" w:sz="0" w:space="0" w:color="auto"/>
        <w:left w:val="none" w:sz="0" w:space="0" w:color="auto"/>
        <w:bottom w:val="none" w:sz="0" w:space="0" w:color="auto"/>
        <w:right w:val="none" w:sz="0" w:space="0" w:color="auto"/>
      </w:divBdr>
      <w:divsChild>
        <w:div w:id="2017993761">
          <w:marLeft w:val="0"/>
          <w:marRight w:val="0"/>
          <w:marTop w:val="0"/>
          <w:marBottom w:val="0"/>
          <w:divBdr>
            <w:top w:val="none" w:sz="0" w:space="0" w:color="auto"/>
            <w:left w:val="none" w:sz="0" w:space="0" w:color="auto"/>
            <w:bottom w:val="none" w:sz="0" w:space="0" w:color="auto"/>
            <w:right w:val="none" w:sz="0" w:space="0" w:color="auto"/>
          </w:divBdr>
        </w:div>
      </w:divsChild>
    </w:div>
    <w:div w:id="593250307">
      <w:marLeft w:val="0"/>
      <w:marRight w:val="0"/>
      <w:marTop w:val="0"/>
      <w:marBottom w:val="0"/>
      <w:divBdr>
        <w:top w:val="none" w:sz="0" w:space="0" w:color="auto"/>
        <w:left w:val="none" w:sz="0" w:space="0" w:color="auto"/>
        <w:bottom w:val="none" w:sz="0" w:space="0" w:color="auto"/>
        <w:right w:val="none" w:sz="0" w:space="0" w:color="auto"/>
      </w:divBdr>
    </w:div>
    <w:div w:id="602684397">
      <w:marLeft w:val="0"/>
      <w:marRight w:val="0"/>
      <w:marTop w:val="0"/>
      <w:marBottom w:val="0"/>
      <w:divBdr>
        <w:top w:val="none" w:sz="0" w:space="0" w:color="auto"/>
        <w:left w:val="none" w:sz="0" w:space="0" w:color="auto"/>
        <w:bottom w:val="none" w:sz="0" w:space="0" w:color="auto"/>
        <w:right w:val="none" w:sz="0" w:space="0" w:color="auto"/>
      </w:divBdr>
    </w:div>
    <w:div w:id="603853069">
      <w:marLeft w:val="0"/>
      <w:marRight w:val="0"/>
      <w:marTop w:val="0"/>
      <w:marBottom w:val="0"/>
      <w:divBdr>
        <w:top w:val="none" w:sz="0" w:space="0" w:color="auto"/>
        <w:left w:val="none" w:sz="0" w:space="0" w:color="auto"/>
        <w:bottom w:val="none" w:sz="0" w:space="0" w:color="auto"/>
        <w:right w:val="none" w:sz="0" w:space="0" w:color="auto"/>
      </w:divBdr>
    </w:div>
    <w:div w:id="611088007">
      <w:marLeft w:val="0"/>
      <w:marRight w:val="0"/>
      <w:marTop w:val="0"/>
      <w:marBottom w:val="0"/>
      <w:divBdr>
        <w:top w:val="none" w:sz="0" w:space="0" w:color="auto"/>
        <w:left w:val="none" w:sz="0" w:space="0" w:color="auto"/>
        <w:bottom w:val="none" w:sz="0" w:space="0" w:color="auto"/>
        <w:right w:val="none" w:sz="0" w:space="0" w:color="auto"/>
      </w:divBdr>
      <w:divsChild>
        <w:div w:id="1458530092">
          <w:marLeft w:val="0"/>
          <w:marRight w:val="0"/>
          <w:marTop w:val="0"/>
          <w:marBottom w:val="0"/>
          <w:divBdr>
            <w:top w:val="none" w:sz="0" w:space="0" w:color="auto"/>
            <w:left w:val="none" w:sz="0" w:space="0" w:color="auto"/>
            <w:bottom w:val="none" w:sz="0" w:space="0" w:color="auto"/>
            <w:right w:val="none" w:sz="0" w:space="0" w:color="auto"/>
          </w:divBdr>
        </w:div>
      </w:divsChild>
    </w:div>
    <w:div w:id="621376710">
      <w:marLeft w:val="0"/>
      <w:marRight w:val="0"/>
      <w:marTop w:val="0"/>
      <w:marBottom w:val="0"/>
      <w:divBdr>
        <w:top w:val="none" w:sz="0" w:space="0" w:color="auto"/>
        <w:left w:val="none" w:sz="0" w:space="0" w:color="auto"/>
        <w:bottom w:val="none" w:sz="0" w:space="0" w:color="auto"/>
        <w:right w:val="none" w:sz="0" w:space="0" w:color="auto"/>
      </w:divBdr>
    </w:div>
    <w:div w:id="627857921">
      <w:marLeft w:val="0"/>
      <w:marRight w:val="0"/>
      <w:marTop w:val="0"/>
      <w:marBottom w:val="0"/>
      <w:divBdr>
        <w:top w:val="none" w:sz="0" w:space="0" w:color="auto"/>
        <w:left w:val="none" w:sz="0" w:space="0" w:color="auto"/>
        <w:bottom w:val="none" w:sz="0" w:space="0" w:color="auto"/>
        <w:right w:val="none" w:sz="0" w:space="0" w:color="auto"/>
      </w:divBdr>
      <w:divsChild>
        <w:div w:id="488983945">
          <w:marLeft w:val="0"/>
          <w:marRight w:val="0"/>
          <w:marTop w:val="0"/>
          <w:marBottom w:val="0"/>
          <w:divBdr>
            <w:top w:val="none" w:sz="0" w:space="0" w:color="auto"/>
            <w:left w:val="none" w:sz="0" w:space="0" w:color="auto"/>
            <w:bottom w:val="none" w:sz="0" w:space="0" w:color="auto"/>
            <w:right w:val="none" w:sz="0" w:space="0" w:color="auto"/>
          </w:divBdr>
        </w:div>
      </w:divsChild>
    </w:div>
    <w:div w:id="639110928">
      <w:marLeft w:val="0"/>
      <w:marRight w:val="0"/>
      <w:marTop w:val="0"/>
      <w:marBottom w:val="0"/>
      <w:divBdr>
        <w:top w:val="none" w:sz="0" w:space="0" w:color="auto"/>
        <w:left w:val="none" w:sz="0" w:space="0" w:color="auto"/>
        <w:bottom w:val="none" w:sz="0" w:space="0" w:color="auto"/>
        <w:right w:val="none" w:sz="0" w:space="0" w:color="auto"/>
      </w:divBdr>
    </w:div>
    <w:div w:id="647586462">
      <w:marLeft w:val="0"/>
      <w:marRight w:val="0"/>
      <w:marTop w:val="0"/>
      <w:marBottom w:val="0"/>
      <w:divBdr>
        <w:top w:val="none" w:sz="0" w:space="0" w:color="auto"/>
        <w:left w:val="none" w:sz="0" w:space="0" w:color="auto"/>
        <w:bottom w:val="none" w:sz="0" w:space="0" w:color="auto"/>
        <w:right w:val="none" w:sz="0" w:space="0" w:color="auto"/>
      </w:divBdr>
    </w:div>
    <w:div w:id="649016135">
      <w:marLeft w:val="0"/>
      <w:marRight w:val="0"/>
      <w:marTop w:val="0"/>
      <w:marBottom w:val="0"/>
      <w:divBdr>
        <w:top w:val="none" w:sz="0" w:space="0" w:color="auto"/>
        <w:left w:val="none" w:sz="0" w:space="0" w:color="auto"/>
        <w:bottom w:val="none" w:sz="0" w:space="0" w:color="auto"/>
        <w:right w:val="none" w:sz="0" w:space="0" w:color="auto"/>
      </w:divBdr>
    </w:div>
    <w:div w:id="655572438">
      <w:marLeft w:val="0"/>
      <w:marRight w:val="0"/>
      <w:marTop w:val="0"/>
      <w:marBottom w:val="0"/>
      <w:divBdr>
        <w:top w:val="none" w:sz="0" w:space="0" w:color="auto"/>
        <w:left w:val="none" w:sz="0" w:space="0" w:color="auto"/>
        <w:bottom w:val="none" w:sz="0" w:space="0" w:color="auto"/>
        <w:right w:val="none" w:sz="0" w:space="0" w:color="auto"/>
      </w:divBdr>
    </w:div>
    <w:div w:id="656881243">
      <w:marLeft w:val="0"/>
      <w:marRight w:val="0"/>
      <w:marTop w:val="0"/>
      <w:marBottom w:val="0"/>
      <w:divBdr>
        <w:top w:val="none" w:sz="0" w:space="0" w:color="auto"/>
        <w:left w:val="none" w:sz="0" w:space="0" w:color="auto"/>
        <w:bottom w:val="none" w:sz="0" w:space="0" w:color="auto"/>
        <w:right w:val="none" w:sz="0" w:space="0" w:color="auto"/>
      </w:divBdr>
    </w:div>
    <w:div w:id="665131755">
      <w:marLeft w:val="0"/>
      <w:marRight w:val="0"/>
      <w:marTop w:val="0"/>
      <w:marBottom w:val="0"/>
      <w:divBdr>
        <w:top w:val="none" w:sz="0" w:space="0" w:color="auto"/>
        <w:left w:val="none" w:sz="0" w:space="0" w:color="auto"/>
        <w:bottom w:val="none" w:sz="0" w:space="0" w:color="auto"/>
        <w:right w:val="none" w:sz="0" w:space="0" w:color="auto"/>
      </w:divBdr>
    </w:div>
    <w:div w:id="666134317">
      <w:marLeft w:val="0"/>
      <w:marRight w:val="0"/>
      <w:marTop w:val="0"/>
      <w:marBottom w:val="0"/>
      <w:divBdr>
        <w:top w:val="none" w:sz="0" w:space="0" w:color="auto"/>
        <w:left w:val="none" w:sz="0" w:space="0" w:color="auto"/>
        <w:bottom w:val="none" w:sz="0" w:space="0" w:color="auto"/>
        <w:right w:val="none" w:sz="0" w:space="0" w:color="auto"/>
      </w:divBdr>
    </w:div>
    <w:div w:id="668675746">
      <w:marLeft w:val="0"/>
      <w:marRight w:val="0"/>
      <w:marTop w:val="0"/>
      <w:marBottom w:val="0"/>
      <w:divBdr>
        <w:top w:val="none" w:sz="0" w:space="0" w:color="auto"/>
        <w:left w:val="none" w:sz="0" w:space="0" w:color="auto"/>
        <w:bottom w:val="none" w:sz="0" w:space="0" w:color="auto"/>
        <w:right w:val="none" w:sz="0" w:space="0" w:color="auto"/>
      </w:divBdr>
    </w:div>
    <w:div w:id="673609797">
      <w:marLeft w:val="0"/>
      <w:marRight w:val="0"/>
      <w:marTop w:val="0"/>
      <w:marBottom w:val="0"/>
      <w:divBdr>
        <w:top w:val="none" w:sz="0" w:space="0" w:color="auto"/>
        <w:left w:val="none" w:sz="0" w:space="0" w:color="auto"/>
        <w:bottom w:val="none" w:sz="0" w:space="0" w:color="auto"/>
        <w:right w:val="none" w:sz="0" w:space="0" w:color="auto"/>
      </w:divBdr>
    </w:div>
    <w:div w:id="674527786">
      <w:marLeft w:val="0"/>
      <w:marRight w:val="0"/>
      <w:marTop w:val="0"/>
      <w:marBottom w:val="0"/>
      <w:divBdr>
        <w:top w:val="none" w:sz="0" w:space="0" w:color="auto"/>
        <w:left w:val="none" w:sz="0" w:space="0" w:color="auto"/>
        <w:bottom w:val="none" w:sz="0" w:space="0" w:color="auto"/>
        <w:right w:val="none" w:sz="0" w:space="0" w:color="auto"/>
      </w:divBdr>
    </w:div>
    <w:div w:id="675035563">
      <w:marLeft w:val="0"/>
      <w:marRight w:val="0"/>
      <w:marTop w:val="0"/>
      <w:marBottom w:val="0"/>
      <w:divBdr>
        <w:top w:val="none" w:sz="0" w:space="0" w:color="auto"/>
        <w:left w:val="none" w:sz="0" w:space="0" w:color="auto"/>
        <w:bottom w:val="none" w:sz="0" w:space="0" w:color="auto"/>
        <w:right w:val="none" w:sz="0" w:space="0" w:color="auto"/>
      </w:divBdr>
      <w:divsChild>
        <w:div w:id="1266619548">
          <w:marLeft w:val="0"/>
          <w:marRight w:val="0"/>
          <w:marTop w:val="0"/>
          <w:marBottom w:val="0"/>
          <w:divBdr>
            <w:top w:val="none" w:sz="0" w:space="0" w:color="auto"/>
            <w:left w:val="none" w:sz="0" w:space="0" w:color="auto"/>
            <w:bottom w:val="none" w:sz="0" w:space="0" w:color="auto"/>
            <w:right w:val="none" w:sz="0" w:space="0" w:color="auto"/>
          </w:divBdr>
        </w:div>
      </w:divsChild>
    </w:div>
    <w:div w:id="676737316">
      <w:marLeft w:val="0"/>
      <w:marRight w:val="0"/>
      <w:marTop w:val="0"/>
      <w:marBottom w:val="0"/>
      <w:divBdr>
        <w:top w:val="none" w:sz="0" w:space="0" w:color="auto"/>
        <w:left w:val="none" w:sz="0" w:space="0" w:color="auto"/>
        <w:bottom w:val="none" w:sz="0" w:space="0" w:color="auto"/>
        <w:right w:val="none" w:sz="0" w:space="0" w:color="auto"/>
      </w:divBdr>
      <w:divsChild>
        <w:div w:id="1359429354">
          <w:marLeft w:val="0"/>
          <w:marRight w:val="0"/>
          <w:marTop w:val="0"/>
          <w:marBottom w:val="0"/>
          <w:divBdr>
            <w:top w:val="none" w:sz="0" w:space="0" w:color="auto"/>
            <w:left w:val="none" w:sz="0" w:space="0" w:color="auto"/>
            <w:bottom w:val="none" w:sz="0" w:space="0" w:color="auto"/>
            <w:right w:val="none" w:sz="0" w:space="0" w:color="auto"/>
          </w:divBdr>
        </w:div>
      </w:divsChild>
    </w:div>
    <w:div w:id="684285163">
      <w:marLeft w:val="0"/>
      <w:marRight w:val="0"/>
      <w:marTop w:val="0"/>
      <w:marBottom w:val="0"/>
      <w:divBdr>
        <w:top w:val="none" w:sz="0" w:space="0" w:color="auto"/>
        <w:left w:val="none" w:sz="0" w:space="0" w:color="auto"/>
        <w:bottom w:val="none" w:sz="0" w:space="0" w:color="auto"/>
        <w:right w:val="none" w:sz="0" w:space="0" w:color="auto"/>
      </w:divBdr>
    </w:div>
    <w:div w:id="684939614">
      <w:marLeft w:val="0"/>
      <w:marRight w:val="0"/>
      <w:marTop w:val="0"/>
      <w:marBottom w:val="0"/>
      <w:divBdr>
        <w:top w:val="none" w:sz="0" w:space="0" w:color="auto"/>
        <w:left w:val="none" w:sz="0" w:space="0" w:color="auto"/>
        <w:bottom w:val="none" w:sz="0" w:space="0" w:color="auto"/>
        <w:right w:val="none" w:sz="0" w:space="0" w:color="auto"/>
      </w:divBdr>
      <w:divsChild>
        <w:div w:id="1343974922">
          <w:marLeft w:val="0"/>
          <w:marRight w:val="0"/>
          <w:marTop w:val="0"/>
          <w:marBottom w:val="0"/>
          <w:divBdr>
            <w:top w:val="none" w:sz="0" w:space="0" w:color="auto"/>
            <w:left w:val="none" w:sz="0" w:space="0" w:color="auto"/>
            <w:bottom w:val="none" w:sz="0" w:space="0" w:color="auto"/>
            <w:right w:val="none" w:sz="0" w:space="0" w:color="auto"/>
          </w:divBdr>
        </w:div>
      </w:divsChild>
    </w:div>
    <w:div w:id="685449327">
      <w:marLeft w:val="0"/>
      <w:marRight w:val="0"/>
      <w:marTop w:val="0"/>
      <w:marBottom w:val="0"/>
      <w:divBdr>
        <w:top w:val="none" w:sz="0" w:space="0" w:color="auto"/>
        <w:left w:val="none" w:sz="0" w:space="0" w:color="auto"/>
        <w:bottom w:val="none" w:sz="0" w:space="0" w:color="auto"/>
        <w:right w:val="none" w:sz="0" w:space="0" w:color="auto"/>
      </w:divBdr>
    </w:div>
    <w:div w:id="686518278">
      <w:marLeft w:val="0"/>
      <w:marRight w:val="0"/>
      <w:marTop w:val="0"/>
      <w:marBottom w:val="0"/>
      <w:divBdr>
        <w:top w:val="none" w:sz="0" w:space="0" w:color="auto"/>
        <w:left w:val="none" w:sz="0" w:space="0" w:color="auto"/>
        <w:bottom w:val="none" w:sz="0" w:space="0" w:color="auto"/>
        <w:right w:val="none" w:sz="0" w:space="0" w:color="auto"/>
      </w:divBdr>
    </w:div>
    <w:div w:id="689181324">
      <w:marLeft w:val="0"/>
      <w:marRight w:val="0"/>
      <w:marTop w:val="0"/>
      <w:marBottom w:val="0"/>
      <w:divBdr>
        <w:top w:val="none" w:sz="0" w:space="0" w:color="auto"/>
        <w:left w:val="none" w:sz="0" w:space="0" w:color="auto"/>
        <w:bottom w:val="none" w:sz="0" w:space="0" w:color="auto"/>
        <w:right w:val="none" w:sz="0" w:space="0" w:color="auto"/>
      </w:divBdr>
    </w:div>
    <w:div w:id="690566149">
      <w:marLeft w:val="0"/>
      <w:marRight w:val="0"/>
      <w:marTop w:val="0"/>
      <w:marBottom w:val="0"/>
      <w:divBdr>
        <w:top w:val="none" w:sz="0" w:space="0" w:color="auto"/>
        <w:left w:val="none" w:sz="0" w:space="0" w:color="auto"/>
        <w:bottom w:val="none" w:sz="0" w:space="0" w:color="auto"/>
        <w:right w:val="none" w:sz="0" w:space="0" w:color="auto"/>
      </w:divBdr>
    </w:div>
    <w:div w:id="692263576">
      <w:marLeft w:val="0"/>
      <w:marRight w:val="0"/>
      <w:marTop w:val="0"/>
      <w:marBottom w:val="0"/>
      <w:divBdr>
        <w:top w:val="none" w:sz="0" w:space="0" w:color="auto"/>
        <w:left w:val="none" w:sz="0" w:space="0" w:color="auto"/>
        <w:bottom w:val="none" w:sz="0" w:space="0" w:color="auto"/>
        <w:right w:val="none" w:sz="0" w:space="0" w:color="auto"/>
      </w:divBdr>
    </w:div>
    <w:div w:id="694887198">
      <w:marLeft w:val="0"/>
      <w:marRight w:val="0"/>
      <w:marTop w:val="0"/>
      <w:marBottom w:val="0"/>
      <w:divBdr>
        <w:top w:val="none" w:sz="0" w:space="0" w:color="auto"/>
        <w:left w:val="none" w:sz="0" w:space="0" w:color="auto"/>
        <w:bottom w:val="none" w:sz="0" w:space="0" w:color="auto"/>
        <w:right w:val="none" w:sz="0" w:space="0" w:color="auto"/>
      </w:divBdr>
      <w:divsChild>
        <w:div w:id="1332754437">
          <w:marLeft w:val="0"/>
          <w:marRight w:val="0"/>
          <w:marTop w:val="0"/>
          <w:marBottom w:val="0"/>
          <w:divBdr>
            <w:top w:val="none" w:sz="0" w:space="0" w:color="auto"/>
            <w:left w:val="none" w:sz="0" w:space="0" w:color="auto"/>
            <w:bottom w:val="none" w:sz="0" w:space="0" w:color="auto"/>
            <w:right w:val="none" w:sz="0" w:space="0" w:color="auto"/>
          </w:divBdr>
        </w:div>
      </w:divsChild>
    </w:div>
    <w:div w:id="699282221">
      <w:marLeft w:val="0"/>
      <w:marRight w:val="0"/>
      <w:marTop w:val="0"/>
      <w:marBottom w:val="0"/>
      <w:divBdr>
        <w:top w:val="none" w:sz="0" w:space="0" w:color="auto"/>
        <w:left w:val="none" w:sz="0" w:space="0" w:color="auto"/>
        <w:bottom w:val="none" w:sz="0" w:space="0" w:color="auto"/>
        <w:right w:val="none" w:sz="0" w:space="0" w:color="auto"/>
      </w:divBdr>
      <w:divsChild>
        <w:div w:id="2038726195">
          <w:marLeft w:val="0"/>
          <w:marRight w:val="0"/>
          <w:marTop w:val="0"/>
          <w:marBottom w:val="0"/>
          <w:divBdr>
            <w:top w:val="none" w:sz="0" w:space="0" w:color="auto"/>
            <w:left w:val="none" w:sz="0" w:space="0" w:color="auto"/>
            <w:bottom w:val="none" w:sz="0" w:space="0" w:color="auto"/>
            <w:right w:val="none" w:sz="0" w:space="0" w:color="auto"/>
          </w:divBdr>
        </w:div>
      </w:divsChild>
    </w:div>
    <w:div w:id="704062920">
      <w:marLeft w:val="0"/>
      <w:marRight w:val="0"/>
      <w:marTop w:val="0"/>
      <w:marBottom w:val="0"/>
      <w:divBdr>
        <w:top w:val="none" w:sz="0" w:space="0" w:color="auto"/>
        <w:left w:val="none" w:sz="0" w:space="0" w:color="auto"/>
        <w:bottom w:val="none" w:sz="0" w:space="0" w:color="auto"/>
        <w:right w:val="none" w:sz="0" w:space="0" w:color="auto"/>
      </w:divBdr>
      <w:divsChild>
        <w:div w:id="717124777">
          <w:marLeft w:val="0"/>
          <w:marRight w:val="0"/>
          <w:marTop w:val="0"/>
          <w:marBottom w:val="0"/>
          <w:divBdr>
            <w:top w:val="none" w:sz="0" w:space="0" w:color="auto"/>
            <w:left w:val="none" w:sz="0" w:space="0" w:color="auto"/>
            <w:bottom w:val="none" w:sz="0" w:space="0" w:color="auto"/>
            <w:right w:val="none" w:sz="0" w:space="0" w:color="auto"/>
          </w:divBdr>
          <w:divsChild>
            <w:div w:id="21013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0980">
      <w:marLeft w:val="0"/>
      <w:marRight w:val="0"/>
      <w:marTop w:val="0"/>
      <w:marBottom w:val="0"/>
      <w:divBdr>
        <w:top w:val="none" w:sz="0" w:space="0" w:color="auto"/>
        <w:left w:val="none" w:sz="0" w:space="0" w:color="auto"/>
        <w:bottom w:val="none" w:sz="0" w:space="0" w:color="auto"/>
        <w:right w:val="none" w:sz="0" w:space="0" w:color="auto"/>
      </w:divBdr>
    </w:div>
    <w:div w:id="710299666">
      <w:marLeft w:val="0"/>
      <w:marRight w:val="0"/>
      <w:marTop w:val="0"/>
      <w:marBottom w:val="0"/>
      <w:divBdr>
        <w:top w:val="none" w:sz="0" w:space="0" w:color="auto"/>
        <w:left w:val="none" w:sz="0" w:space="0" w:color="auto"/>
        <w:bottom w:val="none" w:sz="0" w:space="0" w:color="auto"/>
        <w:right w:val="none" w:sz="0" w:space="0" w:color="auto"/>
      </w:divBdr>
      <w:divsChild>
        <w:div w:id="360787051">
          <w:marLeft w:val="0"/>
          <w:marRight w:val="0"/>
          <w:marTop w:val="0"/>
          <w:marBottom w:val="0"/>
          <w:divBdr>
            <w:top w:val="none" w:sz="0" w:space="0" w:color="auto"/>
            <w:left w:val="none" w:sz="0" w:space="0" w:color="auto"/>
            <w:bottom w:val="none" w:sz="0" w:space="0" w:color="auto"/>
            <w:right w:val="none" w:sz="0" w:space="0" w:color="auto"/>
          </w:divBdr>
        </w:div>
      </w:divsChild>
    </w:div>
    <w:div w:id="712189813">
      <w:marLeft w:val="0"/>
      <w:marRight w:val="0"/>
      <w:marTop w:val="0"/>
      <w:marBottom w:val="0"/>
      <w:divBdr>
        <w:top w:val="none" w:sz="0" w:space="0" w:color="auto"/>
        <w:left w:val="none" w:sz="0" w:space="0" w:color="auto"/>
        <w:bottom w:val="none" w:sz="0" w:space="0" w:color="auto"/>
        <w:right w:val="none" w:sz="0" w:space="0" w:color="auto"/>
      </w:divBdr>
      <w:divsChild>
        <w:div w:id="1891765724">
          <w:marLeft w:val="0"/>
          <w:marRight w:val="0"/>
          <w:marTop w:val="0"/>
          <w:marBottom w:val="0"/>
          <w:divBdr>
            <w:top w:val="none" w:sz="0" w:space="0" w:color="auto"/>
            <w:left w:val="none" w:sz="0" w:space="0" w:color="auto"/>
            <w:bottom w:val="none" w:sz="0" w:space="0" w:color="auto"/>
            <w:right w:val="none" w:sz="0" w:space="0" w:color="auto"/>
          </w:divBdr>
        </w:div>
      </w:divsChild>
    </w:div>
    <w:div w:id="719281840">
      <w:marLeft w:val="0"/>
      <w:marRight w:val="0"/>
      <w:marTop w:val="0"/>
      <w:marBottom w:val="0"/>
      <w:divBdr>
        <w:top w:val="none" w:sz="0" w:space="0" w:color="auto"/>
        <w:left w:val="none" w:sz="0" w:space="0" w:color="auto"/>
        <w:bottom w:val="none" w:sz="0" w:space="0" w:color="auto"/>
        <w:right w:val="none" w:sz="0" w:space="0" w:color="auto"/>
      </w:divBdr>
      <w:divsChild>
        <w:div w:id="342631955">
          <w:marLeft w:val="0"/>
          <w:marRight w:val="0"/>
          <w:marTop w:val="0"/>
          <w:marBottom w:val="0"/>
          <w:divBdr>
            <w:top w:val="none" w:sz="0" w:space="0" w:color="auto"/>
            <w:left w:val="none" w:sz="0" w:space="0" w:color="auto"/>
            <w:bottom w:val="none" w:sz="0" w:space="0" w:color="auto"/>
            <w:right w:val="none" w:sz="0" w:space="0" w:color="auto"/>
          </w:divBdr>
        </w:div>
      </w:divsChild>
    </w:div>
    <w:div w:id="720443940">
      <w:marLeft w:val="0"/>
      <w:marRight w:val="0"/>
      <w:marTop w:val="0"/>
      <w:marBottom w:val="0"/>
      <w:divBdr>
        <w:top w:val="none" w:sz="0" w:space="0" w:color="auto"/>
        <w:left w:val="none" w:sz="0" w:space="0" w:color="auto"/>
        <w:bottom w:val="none" w:sz="0" w:space="0" w:color="auto"/>
        <w:right w:val="none" w:sz="0" w:space="0" w:color="auto"/>
      </w:divBdr>
      <w:divsChild>
        <w:div w:id="1556703170">
          <w:marLeft w:val="0"/>
          <w:marRight w:val="0"/>
          <w:marTop w:val="0"/>
          <w:marBottom w:val="0"/>
          <w:divBdr>
            <w:top w:val="none" w:sz="0" w:space="0" w:color="auto"/>
            <w:left w:val="none" w:sz="0" w:space="0" w:color="auto"/>
            <w:bottom w:val="none" w:sz="0" w:space="0" w:color="auto"/>
            <w:right w:val="none" w:sz="0" w:space="0" w:color="auto"/>
          </w:divBdr>
        </w:div>
      </w:divsChild>
    </w:div>
    <w:div w:id="723025594">
      <w:marLeft w:val="0"/>
      <w:marRight w:val="0"/>
      <w:marTop w:val="0"/>
      <w:marBottom w:val="0"/>
      <w:divBdr>
        <w:top w:val="none" w:sz="0" w:space="0" w:color="auto"/>
        <w:left w:val="none" w:sz="0" w:space="0" w:color="auto"/>
        <w:bottom w:val="none" w:sz="0" w:space="0" w:color="auto"/>
        <w:right w:val="none" w:sz="0" w:space="0" w:color="auto"/>
      </w:divBdr>
      <w:divsChild>
        <w:div w:id="875971927">
          <w:marLeft w:val="0"/>
          <w:marRight w:val="0"/>
          <w:marTop w:val="0"/>
          <w:marBottom w:val="0"/>
          <w:divBdr>
            <w:top w:val="none" w:sz="0" w:space="0" w:color="auto"/>
            <w:left w:val="none" w:sz="0" w:space="0" w:color="auto"/>
            <w:bottom w:val="none" w:sz="0" w:space="0" w:color="auto"/>
            <w:right w:val="none" w:sz="0" w:space="0" w:color="auto"/>
          </w:divBdr>
        </w:div>
      </w:divsChild>
    </w:div>
    <w:div w:id="723715939">
      <w:marLeft w:val="0"/>
      <w:marRight w:val="0"/>
      <w:marTop w:val="0"/>
      <w:marBottom w:val="0"/>
      <w:divBdr>
        <w:top w:val="none" w:sz="0" w:space="0" w:color="auto"/>
        <w:left w:val="none" w:sz="0" w:space="0" w:color="auto"/>
        <w:bottom w:val="none" w:sz="0" w:space="0" w:color="auto"/>
        <w:right w:val="none" w:sz="0" w:space="0" w:color="auto"/>
      </w:divBdr>
      <w:divsChild>
        <w:div w:id="1013649070">
          <w:marLeft w:val="0"/>
          <w:marRight w:val="0"/>
          <w:marTop w:val="0"/>
          <w:marBottom w:val="0"/>
          <w:divBdr>
            <w:top w:val="none" w:sz="0" w:space="0" w:color="auto"/>
            <w:left w:val="none" w:sz="0" w:space="0" w:color="auto"/>
            <w:bottom w:val="none" w:sz="0" w:space="0" w:color="auto"/>
            <w:right w:val="none" w:sz="0" w:space="0" w:color="auto"/>
          </w:divBdr>
        </w:div>
      </w:divsChild>
    </w:div>
    <w:div w:id="728502995">
      <w:marLeft w:val="0"/>
      <w:marRight w:val="0"/>
      <w:marTop w:val="0"/>
      <w:marBottom w:val="0"/>
      <w:divBdr>
        <w:top w:val="none" w:sz="0" w:space="0" w:color="auto"/>
        <w:left w:val="none" w:sz="0" w:space="0" w:color="auto"/>
        <w:bottom w:val="none" w:sz="0" w:space="0" w:color="auto"/>
        <w:right w:val="none" w:sz="0" w:space="0" w:color="auto"/>
      </w:divBdr>
    </w:div>
    <w:div w:id="734283462">
      <w:marLeft w:val="0"/>
      <w:marRight w:val="0"/>
      <w:marTop w:val="0"/>
      <w:marBottom w:val="0"/>
      <w:divBdr>
        <w:top w:val="none" w:sz="0" w:space="0" w:color="auto"/>
        <w:left w:val="none" w:sz="0" w:space="0" w:color="auto"/>
        <w:bottom w:val="none" w:sz="0" w:space="0" w:color="auto"/>
        <w:right w:val="none" w:sz="0" w:space="0" w:color="auto"/>
      </w:divBdr>
      <w:divsChild>
        <w:div w:id="1402823761">
          <w:marLeft w:val="0"/>
          <w:marRight w:val="0"/>
          <w:marTop w:val="0"/>
          <w:marBottom w:val="0"/>
          <w:divBdr>
            <w:top w:val="none" w:sz="0" w:space="0" w:color="auto"/>
            <w:left w:val="none" w:sz="0" w:space="0" w:color="auto"/>
            <w:bottom w:val="none" w:sz="0" w:space="0" w:color="auto"/>
            <w:right w:val="none" w:sz="0" w:space="0" w:color="auto"/>
          </w:divBdr>
        </w:div>
      </w:divsChild>
    </w:div>
    <w:div w:id="744030626">
      <w:marLeft w:val="0"/>
      <w:marRight w:val="0"/>
      <w:marTop w:val="0"/>
      <w:marBottom w:val="0"/>
      <w:divBdr>
        <w:top w:val="none" w:sz="0" w:space="0" w:color="auto"/>
        <w:left w:val="none" w:sz="0" w:space="0" w:color="auto"/>
        <w:bottom w:val="none" w:sz="0" w:space="0" w:color="auto"/>
        <w:right w:val="none" w:sz="0" w:space="0" w:color="auto"/>
      </w:divBdr>
    </w:div>
    <w:div w:id="744955140">
      <w:marLeft w:val="0"/>
      <w:marRight w:val="0"/>
      <w:marTop w:val="0"/>
      <w:marBottom w:val="0"/>
      <w:divBdr>
        <w:top w:val="none" w:sz="0" w:space="0" w:color="auto"/>
        <w:left w:val="none" w:sz="0" w:space="0" w:color="auto"/>
        <w:bottom w:val="none" w:sz="0" w:space="0" w:color="auto"/>
        <w:right w:val="none" w:sz="0" w:space="0" w:color="auto"/>
      </w:divBdr>
      <w:divsChild>
        <w:div w:id="1312710193">
          <w:marLeft w:val="0"/>
          <w:marRight w:val="0"/>
          <w:marTop w:val="0"/>
          <w:marBottom w:val="0"/>
          <w:divBdr>
            <w:top w:val="none" w:sz="0" w:space="0" w:color="auto"/>
            <w:left w:val="none" w:sz="0" w:space="0" w:color="auto"/>
            <w:bottom w:val="none" w:sz="0" w:space="0" w:color="auto"/>
            <w:right w:val="none" w:sz="0" w:space="0" w:color="auto"/>
          </w:divBdr>
        </w:div>
      </w:divsChild>
    </w:div>
    <w:div w:id="753094254">
      <w:marLeft w:val="0"/>
      <w:marRight w:val="0"/>
      <w:marTop w:val="0"/>
      <w:marBottom w:val="0"/>
      <w:divBdr>
        <w:top w:val="none" w:sz="0" w:space="0" w:color="auto"/>
        <w:left w:val="none" w:sz="0" w:space="0" w:color="auto"/>
        <w:bottom w:val="none" w:sz="0" w:space="0" w:color="auto"/>
        <w:right w:val="none" w:sz="0" w:space="0" w:color="auto"/>
      </w:divBdr>
    </w:div>
    <w:div w:id="754975927">
      <w:marLeft w:val="0"/>
      <w:marRight w:val="0"/>
      <w:marTop w:val="0"/>
      <w:marBottom w:val="0"/>
      <w:divBdr>
        <w:top w:val="none" w:sz="0" w:space="0" w:color="auto"/>
        <w:left w:val="none" w:sz="0" w:space="0" w:color="auto"/>
        <w:bottom w:val="none" w:sz="0" w:space="0" w:color="auto"/>
        <w:right w:val="none" w:sz="0" w:space="0" w:color="auto"/>
      </w:divBdr>
    </w:div>
    <w:div w:id="756637190">
      <w:marLeft w:val="0"/>
      <w:marRight w:val="0"/>
      <w:marTop w:val="0"/>
      <w:marBottom w:val="0"/>
      <w:divBdr>
        <w:top w:val="none" w:sz="0" w:space="0" w:color="auto"/>
        <w:left w:val="none" w:sz="0" w:space="0" w:color="auto"/>
        <w:bottom w:val="none" w:sz="0" w:space="0" w:color="auto"/>
        <w:right w:val="none" w:sz="0" w:space="0" w:color="auto"/>
      </w:divBdr>
    </w:div>
    <w:div w:id="758212440">
      <w:marLeft w:val="0"/>
      <w:marRight w:val="0"/>
      <w:marTop w:val="0"/>
      <w:marBottom w:val="0"/>
      <w:divBdr>
        <w:top w:val="none" w:sz="0" w:space="0" w:color="auto"/>
        <w:left w:val="none" w:sz="0" w:space="0" w:color="auto"/>
        <w:bottom w:val="none" w:sz="0" w:space="0" w:color="auto"/>
        <w:right w:val="none" w:sz="0" w:space="0" w:color="auto"/>
      </w:divBdr>
      <w:divsChild>
        <w:div w:id="410077704">
          <w:marLeft w:val="0"/>
          <w:marRight w:val="0"/>
          <w:marTop w:val="0"/>
          <w:marBottom w:val="0"/>
          <w:divBdr>
            <w:top w:val="none" w:sz="0" w:space="0" w:color="auto"/>
            <w:left w:val="none" w:sz="0" w:space="0" w:color="auto"/>
            <w:bottom w:val="none" w:sz="0" w:space="0" w:color="auto"/>
            <w:right w:val="none" w:sz="0" w:space="0" w:color="auto"/>
          </w:divBdr>
        </w:div>
      </w:divsChild>
    </w:div>
    <w:div w:id="766928999">
      <w:marLeft w:val="0"/>
      <w:marRight w:val="0"/>
      <w:marTop w:val="0"/>
      <w:marBottom w:val="0"/>
      <w:divBdr>
        <w:top w:val="none" w:sz="0" w:space="0" w:color="auto"/>
        <w:left w:val="none" w:sz="0" w:space="0" w:color="auto"/>
        <w:bottom w:val="none" w:sz="0" w:space="0" w:color="auto"/>
        <w:right w:val="none" w:sz="0" w:space="0" w:color="auto"/>
      </w:divBdr>
    </w:div>
    <w:div w:id="768542666">
      <w:marLeft w:val="0"/>
      <w:marRight w:val="0"/>
      <w:marTop w:val="0"/>
      <w:marBottom w:val="0"/>
      <w:divBdr>
        <w:top w:val="none" w:sz="0" w:space="0" w:color="auto"/>
        <w:left w:val="none" w:sz="0" w:space="0" w:color="auto"/>
        <w:bottom w:val="none" w:sz="0" w:space="0" w:color="auto"/>
        <w:right w:val="none" w:sz="0" w:space="0" w:color="auto"/>
      </w:divBdr>
    </w:div>
    <w:div w:id="775249850">
      <w:marLeft w:val="0"/>
      <w:marRight w:val="0"/>
      <w:marTop w:val="0"/>
      <w:marBottom w:val="0"/>
      <w:divBdr>
        <w:top w:val="none" w:sz="0" w:space="0" w:color="auto"/>
        <w:left w:val="none" w:sz="0" w:space="0" w:color="auto"/>
        <w:bottom w:val="none" w:sz="0" w:space="0" w:color="auto"/>
        <w:right w:val="none" w:sz="0" w:space="0" w:color="auto"/>
      </w:divBdr>
    </w:div>
    <w:div w:id="777719436">
      <w:marLeft w:val="0"/>
      <w:marRight w:val="0"/>
      <w:marTop w:val="0"/>
      <w:marBottom w:val="0"/>
      <w:divBdr>
        <w:top w:val="none" w:sz="0" w:space="0" w:color="auto"/>
        <w:left w:val="none" w:sz="0" w:space="0" w:color="auto"/>
        <w:bottom w:val="none" w:sz="0" w:space="0" w:color="auto"/>
        <w:right w:val="none" w:sz="0" w:space="0" w:color="auto"/>
      </w:divBdr>
    </w:div>
    <w:div w:id="781463209">
      <w:marLeft w:val="0"/>
      <w:marRight w:val="0"/>
      <w:marTop w:val="0"/>
      <w:marBottom w:val="0"/>
      <w:divBdr>
        <w:top w:val="none" w:sz="0" w:space="0" w:color="auto"/>
        <w:left w:val="none" w:sz="0" w:space="0" w:color="auto"/>
        <w:bottom w:val="none" w:sz="0" w:space="0" w:color="auto"/>
        <w:right w:val="none" w:sz="0" w:space="0" w:color="auto"/>
      </w:divBdr>
      <w:divsChild>
        <w:div w:id="1058193">
          <w:marLeft w:val="0"/>
          <w:marRight w:val="0"/>
          <w:marTop w:val="0"/>
          <w:marBottom w:val="0"/>
          <w:divBdr>
            <w:top w:val="none" w:sz="0" w:space="0" w:color="auto"/>
            <w:left w:val="none" w:sz="0" w:space="0" w:color="auto"/>
            <w:bottom w:val="none" w:sz="0" w:space="0" w:color="auto"/>
            <w:right w:val="none" w:sz="0" w:space="0" w:color="auto"/>
          </w:divBdr>
        </w:div>
      </w:divsChild>
    </w:div>
    <w:div w:id="785465661">
      <w:marLeft w:val="0"/>
      <w:marRight w:val="0"/>
      <w:marTop w:val="0"/>
      <w:marBottom w:val="0"/>
      <w:divBdr>
        <w:top w:val="none" w:sz="0" w:space="0" w:color="auto"/>
        <w:left w:val="none" w:sz="0" w:space="0" w:color="auto"/>
        <w:bottom w:val="none" w:sz="0" w:space="0" w:color="auto"/>
        <w:right w:val="none" w:sz="0" w:space="0" w:color="auto"/>
      </w:divBdr>
      <w:divsChild>
        <w:div w:id="962687365">
          <w:marLeft w:val="0"/>
          <w:marRight w:val="0"/>
          <w:marTop w:val="0"/>
          <w:marBottom w:val="0"/>
          <w:divBdr>
            <w:top w:val="none" w:sz="0" w:space="0" w:color="auto"/>
            <w:left w:val="none" w:sz="0" w:space="0" w:color="auto"/>
            <w:bottom w:val="none" w:sz="0" w:space="0" w:color="auto"/>
            <w:right w:val="none" w:sz="0" w:space="0" w:color="auto"/>
          </w:divBdr>
        </w:div>
      </w:divsChild>
    </w:div>
    <w:div w:id="786436010">
      <w:marLeft w:val="0"/>
      <w:marRight w:val="0"/>
      <w:marTop w:val="0"/>
      <w:marBottom w:val="0"/>
      <w:divBdr>
        <w:top w:val="none" w:sz="0" w:space="0" w:color="auto"/>
        <w:left w:val="none" w:sz="0" w:space="0" w:color="auto"/>
        <w:bottom w:val="none" w:sz="0" w:space="0" w:color="auto"/>
        <w:right w:val="none" w:sz="0" w:space="0" w:color="auto"/>
      </w:divBdr>
    </w:div>
    <w:div w:id="793715430">
      <w:marLeft w:val="0"/>
      <w:marRight w:val="0"/>
      <w:marTop w:val="0"/>
      <w:marBottom w:val="0"/>
      <w:divBdr>
        <w:top w:val="none" w:sz="0" w:space="0" w:color="auto"/>
        <w:left w:val="none" w:sz="0" w:space="0" w:color="auto"/>
        <w:bottom w:val="none" w:sz="0" w:space="0" w:color="auto"/>
        <w:right w:val="none" w:sz="0" w:space="0" w:color="auto"/>
      </w:divBdr>
    </w:div>
    <w:div w:id="805927177">
      <w:marLeft w:val="0"/>
      <w:marRight w:val="0"/>
      <w:marTop w:val="0"/>
      <w:marBottom w:val="0"/>
      <w:divBdr>
        <w:top w:val="none" w:sz="0" w:space="0" w:color="auto"/>
        <w:left w:val="none" w:sz="0" w:space="0" w:color="auto"/>
        <w:bottom w:val="none" w:sz="0" w:space="0" w:color="auto"/>
        <w:right w:val="none" w:sz="0" w:space="0" w:color="auto"/>
      </w:divBdr>
    </w:div>
    <w:div w:id="805976916">
      <w:marLeft w:val="0"/>
      <w:marRight w:val="0"/>
      <w:marTop w:val="0"/>
      <w:marBottom w:val="0"/>
      <w:divBdr>
        <w:top w:val="none" w:sz="0" w:space="0" w:color="auto"/>
        <w:left w:val="none" w:sz="0" w:space="0" w:color="auto"/>
        <w:bottom w:val="none" w:sz="0" w:space="0" w:color="auto"/>
        <w:right w:val="none" w:sz="0" w:space="0" w:color="auto"/>
      </w:divBdr>
      <w:divsChild>
        <w:div w:id="1784224241">
          <w:marLeft w:val="0"/>
          <w:marRight w:val="0"/>
          <w:marTop w:val="0"/>
          <w:marBottom w:val="0"/>
          <w:divBdr>
            <w:top w:val="none" w:sz="0" w:space="0" w:color="auto"/>
            <w:left w:val="none" w:sz="0" w:space="0" w:color="auto"/>
            <w:bottom w:val="none" w:sz="0" w:space="0" w:color="auto"/>
            <w:right w:val="none" w:sz="0" w:space="0" w:color="auto"/>
          </w:divBdr>
        </w:div>
      </w:divsChild>
    </w:div>
    <w:div w:id="806705340">
      <w:marLeft w:val="0"/>
      <w:marRight w:val="0"/>
      <w:marTop w:val="0"/>
      <w:marBottom w:val="0"/>
      <w:divBdr>
        <w:top w:val="none" w:sz="0" w:space="0" w:color="auto"/>
        <w:left w:val="none" w:sz="0" w:space="0" w:color="auto"/>
        <w:bottom w:val="none" w:sz="0" w:space="0" w:color="auto"/>
        <w:right w:val="none" w:sz="0" w:space="0" w:color="auto"/>
      </w:divBdr>
    </w:div>
    <w:div w:id="807286066">
      <w:marLeft w:val="0"/>
      <w:marRight w:val="0"/>
      <w:marTop w:val="0"/>
      <w:marBottom w:val="0"/>
      <w:divBdr>
        <w:top w:val="none" w:sz="0" w:space="0" w:color="auto"/>
        <w:left w:val="none" w:sz="0" w:space="0" w:color="auto"/>
        <w:bottom w:val="none" w:sz="0" w:space="0" w:color="auto"/>
        <w:right w:val="none" w:sz="0" w:space="0" w:color="auto"/>
      </w:divBdr>
    </w:div>
    <w:div w:id="812212975">
      <w:marLeft w:val="0"/>
      <w:marRight w:val="0"/>
      <w:marTop w:val="0"/>
      <w:marBottom w:val="0"/>
      <w:divBdr>
        <w:top w:val="none" w:sz="0" w:space="0" w:color="auto"/>
        <w:left w:val="none" w:sz="0" w:space="0" w:color="auto"/>
        <w:bottom w:val="none" w:sz="0" w:space="0" w:color="auto"/>
        <w:right w:val="none" w:sz="0" w:space="0" w:color="auto"/>
      </w:divBdr>
    </w:div>
    <w:div w:id="817266636">
      <w:marLeft w:val="0"/>
      <w:marRight w:val="0"/>
      <w:marTop w:val="0"/>
      <w:marBottom w:val="0"/>
      <w:divBdr>
        <w:top w:val="none" w:sz="0" w:space="0" w:color="auto"/>
        <w:left w:val="none" w:sz="0" w:space="0" w:color="auto"/>
        <w:bottom w:val="none" w:sz="0" w:space="0" w:color="auto"/>
        <w:right w:val="none" w:sz="0" w:space="0" w:color="auto"/>
      </w:divBdr>
    </w:div>
    <w:div w:id="829445436">
      <w:marLeft w:val="0"/>
      <w:marRight w:val="0"/>
      <w:marTop w:val="0"/>
      <w:marBottom w:val="0"/>
      <w:divBdr>
        <w:top w:val="none" w:sz="0" w:space="0" w:color="auto"/>
        <w:left w:val="none" w:sz="0" w:space="0" w:color="auto"/>
        <w:bottom w:val="none" w:sz="0" w:space="0" w:color="auto"/>
        <w:right w:val="none" w:sz="0" w:space="0" w:color="auto"/>
      </w:divBdr>
    </w:div>
    <w:div w:id="829490755">
      <w:marLeft w:val="0"/>
      <w:marRight w:val="0"/>
      <w:marTop w:val="0"/>
      <w:marBottom w:val="0"/>
      <w:divBdr>
        <w:top w:val="none" w:sz="0" w:space="0" w:color="auto"/>
        <w:left w:val="none" w:sz="0" w:space="0" w:color="auto"/>
        <w:bottom w:val="none" w:sz="0" w:space="0" w:color="auto"/>
        <w:right w:val="none" w:sz="0" w:space="0" w:color="auto"/>
      </w:divBdr>
    </w:div>
    <w:div w:id="830490790">
      <w:marLeft w:val="0"/>
      <w:marRight w:val="0"/>
      <w:marTop w:val="0"/>
      <w:marBottom w:val="0"/>
      <w:divBdr>
        <w:top w:val="none" w:sz="0" w:space="0" w:color="auto"/>
        <w:left w:val="none" w:sz="0" w:space="0" w:color="auto"/>
        <w:bottom w:val="none" w:sz="0" w:space="0" w:color="auto"/>
        <w:right w:val="none" w:sz="0" w:space="0" w:color="auto"/>
      </w:divBdr>
      <w:divsChild>
        <w:div w:id="1844280764">
          <w:marLeft w:val="0"/>
          <w:marRight w:val="0"/>
          <w:marTop w:val="0"/>
          <w:marBottom w:val="0"/>
          <w:divBdr>
            <w:top w:val="none" w:sz="0" w:space="0" w:color="auto"/>
            <w:left w:val="none" w:sz="0" w:space="0" w:color="auto"/>
            <w:bottom w:val="none" w:sz="0" w:space="0" w:color="auto"/>
            <w:right w:val="none" w:sz="0" w:space="0" w:color="auto"/>
          </w:divBdr>
        </w:div>
      </w:divsChild>
    </w:div>
    <w:div w:id="839199404">
      <w:marLeft w:val="0"/>
      <w:marRight w:val="0"/>
      <w:marTop w:val="0"/>
      <w:marBottom w:val="0"/>
      <w:divBdr>
        <w:top w:val="none" w:sz="0" w:space="0" w:color="auto"/>
        <w:left w:val="none" w:sz="0" w:space="0" w:color="auto"/>
        <w:bottom w:val="none" w:sz="0" w:space="0" w:color="auto"/>
        <w:right w:val="none" w:sz="0" w:space="0" w:color="auto"/>
      </w:divBdr>
    </w:div>
    <w:div w:id="840391835">
      <w:marLeft w:val="0"/>
      <w:marRight w:val="0"/>
      <w:marTop w:val="0"/>
      <w:marBottom w:val="0"/>
      <w:divBdr>
        <w:top w:val="none" w:sz="0" w:space="0" w:color="auto"/>
        <w:left w:val="none" w:sz="0" w:space="0" w:color="auto"/>
        <w:bottom w:val="none" w:sz="0" w:space="0" w:color="auto"/>
        <w:right w:val="none" w:sz="0" w:space="0" w:color="auto"/>
      </w:divBdr>
    </w:div>
    <w:div w:id="840581092">
      <w:marLeft w:val="0"/>
      <w:marRight w:val="0"/>
      <w:marTop w:val="0"/>
      <w:marBottom w:val="0"/>
      <w:divBdr>
        <w:top w:val="none" w:sz="0" w:space="0" w:color="auto"/>
        <w:left w:val="none" w:sz="0" w:space="0" w:color="auto"/>
        <w:bottom w:val="none" w:sz="0" w:space="0" w:color="auto"/>
        <w:right w:val="none" w:sz="0" w:space="0" w:color="auto"/>
      </w:divBdr>
    </w:div>
    <w:div w:id="841893662">
      <w:marLeft w:val="0"/>
      <w:marRight w:val="0"/>
      <w:marTop w:val="0"/>
      <w:marBottom w:val="0"/>
      <w:divBdr>
        <w:top w:val="none" w:sz="0" w:space="0" w:color="auto"/>
        <w:left w:val="none" w:sz="0" w:space="0" w:color="auto"/>
        <w:bottom w:val="none" w:sz="0" w:space="0" w:color="auto"/>
        <w:right w:val="none" w:sz="0" w:space="0" w:color="auto"/>
      </w:divBdr>
      <w:divsChild>
        <w:div w:id="348407003">
          <w:marLeft w:val="0"/>
          <w:marRight w:val="0"/>
          <w:marTop w:val="0"/>
          <w:marBottom w:val="0"/>
          <w:divBdr>
            <w:top w:val="none" w:sz="0" w:space="0" w:color="auto"/>
            <w:left w:val="none" w:sz="0" w:space="0" w:color="auto"/>
            <w:bottom w:val="none" w:sz="0" w:space="0" w:color="auto"/>
            <w:right w:val="none" w:sz="0" w:space="0" w:color="auto"/>
          </w:divBdr>
        </w:div>
      </w:divsChild>
    </w:div>
    <w:div w:id="842741080">
      <w:marLeft w:val="0"/>
      <w:marRight w:val="0"/>
      <w:marTop w:val="0"/>
      <w:marBottom w:val="0"/>
      <w:divBdr>
        <w:top w:val="none" w:sz="0" w:space="0" w:color="auto"/>
        <w:left w:val="none" w:sz="0" w:space="0" w:color="auto"/>
        <w:bottom w:val="none" w:sz="0" w:space="0" w:color="auto"/>
        <w:right w:val="none" w:sz="0" w:space="0" w:color="auto"/>
      </w:divBdr>
      <w:divsChild>
        <w:div w:id="710617152">
          <w:marLeft w:val="0"/>
          <w:marRight w:val="0"/>
          <w:marTop w:val="0"/>
          <w:marBottom w:val="0"/>
          <w:divBdr>
            <w:top w:val="none" w:sz="0" w:space="0" w:color="auto"/>
            <w:left w:val="none" w:sz="0" w:space="0" w:color="auto"/>
            <w:bottom w:val="none" w:sz="0" w:space="0" w:color="auto"/>
            <w:right w:val="none" w:sz="0" w:space="0" w:color="auto"/>
          </w:divBdr>
        </w:div>
      </w:divsChild>
    </w:div>
    <w:div w:id="849836279">
      <w:marLeft w:val="0"/>
      <w:marRight w:val="0"/>
      <w:marTop w:val="0"/>
      <w:marBottom w:val="0"/>
      <w:divBdr>
        <w:top w:val="none" w:sz="0" w:space="0" w:color="auto"/>
        <w:left w:val="none" w:sz="0" w:space="0" w:color="auto"/>
        <w:bottom w:val="none" w:sz="0" w:space="0" w:color="auto"/>
        <w:right w:val="none" w:sz="0" w:space="0" w:color="auto"/>
      </w:divBdr>
    </w:div>
    <w:div w:id="865754089">
      <w:marLeft w:val="0"/>
      <w:marRight w:val="0"/>
      <w:marTop w:val="0"/>
      <w:marBottom w:val="0"/>
      <w:divBdr>
        <w:top w:val="none" w:sz="0" w:space="0" w:color="auto"/>
        <w:left w:val="none" w:sz="0" w:space="0" w:color="auto"/>
        <w:bottom w:val="none" w:sz="0" w:space="0" w:color="auto"/>
        <w:right w:val="none" w:sz="0" w:space="0" w:color="auto"/>
      </w:divBdr>
    </w:div>
    <w:div w:id="866406979">
      <w:marLeft w:val="0"/>
      <w:marRight w:val="0"/>
      <w:marTop w:val="0"/>
      <w:marBottom w:val="0"/>
      <w:divBdr>
        <w:top w:val="none" w:sz="0" w:space="0" w:color="auto"/>
        <w:left w:val="none" w:sz="0" w:space="0" w:color="auto"/>
        <w:bottom w:val="none" w:sz="0" w:space="0" w:color="auto"/>
        <w:right w:val="none" w:sz="0" w:space="0" w:color="auto"/>
      </w:divBdr>
      <w:divsChild>
        <w:div w:id="241108670">
          <w:marLeft w:val="0"/>
          <w:marRight w:val="0"/>
          <w:marTop w:val="0"/>
          <w:marBottom w:val="0"/>
          <w:divBdr>
            <w:top w:val="none" w:sz="0" w:space="0" w:color="auto"/>
            <w:left w:val="none" w:sz="0" w:space="0" w:color="auto"/>
            <w:bottom w:val="none" w:sz="0" w:space="0" w:color="auto"/>
            <w:right w:val="none" w:sz="0" w:space="0" w:color="auto"/>
          </w:divBdr>
        </w:div>
      </w:divsChild>
    </w:div>
    <w:div w:id="870727887">
      <w:marLeft w:val="0"/>
      <w:marRight w:val="0"/>
      <w:marTop w:val="0"/>
      <w:marBottom w:val="0"/>
      <w:divBdr>
        <w:top w:val="none" w:sz="0" w:space="0" w:color="auto"/>
        <w:left w:val="none" w:sz="0" w:space="0" w:color="auto"/>
        <w:bottom w:val="none" w:sz="0" w:space="0" w:color="auto"/>
        <w:right w:val="none" w:sz="0" w:space="0" w:color="auto"/>
      </w:divBdr>
    </w:div>
    <w:div w:id="874656026">
      <w:marLeft w:val="0"/>
      <w:marRight w:val="0"/>
      <w:marTop w:val="0"/>
      <w:marBottom w:val="0"/>
      <w:divBdr>
        <w:top w:val="none" w:sz="0" w:space="0" w:color="auto"/>
        <w:left w:val="none" w:sz="0" w:space="0" w:color="auto"/>
        <w:bottom w:val="none" w:sz="0" w:space="0" w:color="auto"/>
        <w:right w:val="none" w:sz="0" w:space="0" w:color="auto"/>
      </w:divBdr>
      <w:divsChild>
        <w:div w:id="1460948949">
          <w:marLeft w:val="0"/>
          <w:marRight w:val="0"/>
          <w:marTop w:val="0"/>
          <w:marBottom w:val="0"/>
          <w:divBdr>
            <w:top w:val="none" w:sz="0" w:space="0" w:color="auto"/>
            <w:left w:val="none" w:sz="0" w:space="0" w:color="auto"/>
            <w:bottom w:val="none" w:sz="0" w:space="0" w:color="auto"/>
            <w:right w:val="none" w:sz="0" w:space="0" w:color="auto"/>
          </w:divBdr>
        </w:div>
      </w:divsChild>
    </w:div>
    <w:div w:id="876043328">
      <w:marLeft w:val="0"/>
      <w:marRight w:val="0"/>
      <w:marTop w:val="0"/>
      <w:marBottom w:val="0"/>
      <w:divBdr>
        <w:top w:val="none" w:sz="0" w:space="0" w:color="auto"/>
        <w:left w:val="none" w:sz="0" w:space="0" w:color="auto"/>
        <w:bottom w:val="none" w:sz="0" w:space="0" w:color="auto"/>
        <w:right w:val="none" w:sz="0" w:space="0" w:color="auto"/>
      </w:divBdr>
    </w:div>
    <w:div w:id="879170123">
      <w:marLeft w:val="0"/>
      <w:marRight w:val="0"/>
      <w:marTop w:val="0"/>
      <w:marBottom w:val="0"/>
      <w:divBdr>
        <w:top w:val="none" w:sz="0" w:space="0" w:color="auto"/>
        <w:left w:val="none" w:sz="0" w:space="0" w:color="auto"/>
        <w:bottom w:val="none" w:sz="0" w:space="0" w:color="auto"/>
        <w:right w:val="none" w:sz="0" w:space="0" w:color="auto"/>
      </w:divBdr>
      <w:divsChild>
        <w:div w:id="706876369">
          <w:marLeft w:val="0"/>
          <w:marRight w:val="0"/>
          <w:marTop w:val="0"/>
          <w:marBottom w:val="0"/>
          <w:divBdr>
            <w:top w:val="none" w:sz="0" w:space="0" w:color="auto"/>
            <w:left w:val="none" w:sz="0" w:space="0" w:color="auto"/>
            <w:bottom w:val="none" w:sz="0" w:space="0" w:color="auto"/>
            <w:right w:val="none" w:sz="0" w:space="0" w:color="auto"/>
          </w:divBdr>
        </w:div>
      </w:divsChild>
    </w:div>
    <w:div w:id="886138316">
      <w:marLeft w:val="0"/>
      <w:marRight w:val="0"/>
      <w:marTop w:val="0"/>
      <w:marBottom w:val="0"/>
      <w:divBdr>
        <w:top w:val="none" w:sz="0" w:space="0" w:color="auto"/>
        <w:left w:val="none" w:sz="0" w:space="0" w:color="auto"/>
        <w:bottom w:val="none" w:sz="0" w:space="0" w:color="auto"/>
        <w:right w:val="none" w:sz="0" w:space="0" w:color="auto"/>
      </w:divBdr>
    </w:div>
    <w:div w:id="895703310">
      <w:marLeft w:val="0"/>
      <w:marRight w:val="0"/>
      <w:marTop w:val="0"/>
      <w:marBottom w:val="0"/>
      <w:divBdr>
        <w:top w:val="none" w:sz="0" w:space="0" w:color="auto"/>
        <w:left w:val="none" w:sz="0" w:space="0" w:color="auto"/>
        <w:bottom w:val="none" w:sz="0" w:space="0" w:color="auto"/>
        <w:right w:val="none" w:sz="0" w:space="0" w:color="auto"/>
      </w:divBdr>
    </w:div>
    <w:div w:id="896163061">
      <w:marLeft w:val="0"/>
      <w:marRight w:val="0"/>
      <w:marTop w:val="0"/>
      <w:marBottom w:val="0"/>
      <w:divBdr>
        <w:top w:val="none" w:sz="0" w:space="0" w:color="auto"/>
        <w:left w:val="none" w:sz="0" w:space="0" w:color="auto"/>
        <w:bottom w:val="none" w:sz="0" w:space="0" w:color="auto"/>
        <w:right w:val="none" w:sz="0" w:space="0" w:color="auto"/>
      </w:divBdr>
      <w:divsChild>
        <w:div w:id="2070348321">
          <w:marLeft w:val="0"/>
          <w:marRight w:val="0"/>
          <w:marTop w:val="0"/>
          <w:marBottom w:val="0"/>
          <w:divBdr>
            <w:top w:val="none" w:sz="0" w:space="0" w:color="auto"/>
            <w:left w:val="none" w:sz="0" w:space="0" w:color="auto"/>
            <w:bottom w:val="none" w:sz="0" w:space="0" w:color="auto"/>
            <w:right w:val="none" w:sz="0" w:space="0" w:color="auto"/>
          </w:divBdr>
        </w:div>
      </w:divsChild>
    </w:div>
    <w:div w:id="897085955">
      <w:marLeft w:val="0"/>
      <w:marRight w:val="0"/>
      <w:marTop w:val="0"/>
      <w:marBottom w:val="0"/>
      <w:divBdr>
        <w:top w:val="none" w:sz="0" w:space="0" w:color="auto"/>
        <w:left w:val="none" w:sz="0" w:space="0" w:color="auto"/>
        <w:bottom w:val="none" w:sz="0" w:space="0" w:color="auto"/>
        <w:right w:val="none" w:sz="0" w:space="0" w:color="auto"/>
      </w:divBdr>
    </w:div>
    <w:div w:id="897785525">
      <w:marLeft w:val="0"/>
      <w:marRight w:val="0"/>
      <w:marTop w:val="0"/>
      <w:marBottom w:val="0"/>
      <w:divBdr>
        <w:top w:val="none" w:sz="0" w:space="0" w:color="auto"/>
        <w:left w:val="none" w:sz="0" w:space="0" w:color="auto"/>
        <w:bottom w:val="none" w:sz="0" w:space="0" w:color="auto"/>
        <w:right w:val="none" w:sz="0" w:space="0" w:color="auto"/>
      </w:divBdr>
    </w:div>
    <w:div w:id="906913402">
      <w:marLeft w:val="0"/>
      <w:marRight w:val="0"/>
      <w:marTop w:val="0"/>
      <w:marBottom w:val="0"/>
      <w:divBdr>
        <w:top w:val="none" w:sz="0" w:space="0" w:color="auto"/>
        <w:left w:val="none" w:sz="0" w:space="0" w:color="auto"/>
        <w:bottom w:val="none" w:sz="0" w:space="0" w:color="auto"/>
        <w:right w:val="none" w:sz="0" w:space="0" w:color="auto"/>
      </w:divBdr>
    </w:div>
    <w:div w:id="909920807">
      <w:marLeft w:val="0"/>
      <w:marRight w:val="0"/>
      <w:marTop w:val="0"/>
      <w:marBottom w:val="0"/>
      <w:divBdr>
        <w:top w:val="none" w:sz="0" w:space="0" w:color="auto"/>
        <w:left w:val="none" w:sz="0" w:space="0" w:color="auto"/>
        <w:bottom w:val="none" w:sz="0" w:space="0" w:color="auto"/>
        <w:right w:val="none" w:sz="0" w:space="0" w:color="auto"/>
      </w:divBdr>
      <w:divsChild>
        <w:div w:id="695035676">
          <w:marLeft w:val="0"/>
          <w:marRight w:val="0"/>
          <w:marTop w:val="0"/>
          <w:marBottom w:val="0"/>
          <w:divBdr>
            <w:top w:val="none" w:sz="0" w:space="0" w:color="auto"/>
            <w:left w:val="none" w:sz="0" w:space="0" w:color="auto"/>
            <w:bottom w:val="none" w:sz="0" w:space="0" w:color="auto"/>
            <w:right w:val="none" w:sz="0" w:space="0" w:color="auto"/>
          </w:divBdr>
        </w:div>
      </w:divsChild>
    </w:div>
    <w:div w:id="910039421">
      <w:marLeft w:val="0"/>
      <w:marRight w:val="0"/>
      <w:marTop w:val="0"/>
      <w:marBottom w:val="0"/>
      <w:divBdr>
        <w:top w:val="none" w:sz="0" w:space="0" w:color="auto"/>
        <w:left w:val="none" w:sz="0" w:space="0" w:color="auto"/>
        <w:bottom w:val="none" w:sz="0" w:space="0" w:color="auto"/>
        <w:right w:val="none" w:sz="0" w:space="0" w:color="auto"/>
      </w:divBdr>
      <w:divsChild>
        <w:div w:id="167646030">
          <w:marLeft w:val="0"/>
          <w:marRight w:val="0"/>
          <w:marTop w:val="0"/>
          <w:marBottom w:val="0"/>
          <w:divBdr>
            <w:top w:val="none" w:sz="0" w:space="0" w:color="auto"/>
            <w:left w:val="none" w:sz="0" w:space="0" w:color="auto"/>
            <w:bottom w:val="none" w:sz="0" w:space="0" w:color="auto"/>
            <w:right w:val="none" w:sz="0" w:space="0" w:color="auto"/>
          </w:divBdr>
        </w:div>
      </w:divsChild>
    </w:div>
    <w:div w:id="915358383">
      <w:marLeft w:val="0"/>
      <w:marRight w:val="0"/>
      <w:marTop w:val="0"/>
      <w:marBottom w:val="0"/>
      <w:divBdr>
        <w:top w:val="none" w:sz="0" w:space="0" w:color="auto"/>
        <w:left w:val="none" w:sz="0" w:space="0" w:color="auto"/>
        <w:bottom w:val="none" w:sz="0" w:space="0" w:color="auto"/>
        <w:right w:val="none" w:sz="0" w:space="0" w:color="auto"/>
      </w:divBdr>
    </w:div>
    <w:div w:id="916091978">
      <w:marLeft w:val="0"/>
      <w:marRight w:val="0"/>
      <w:marTop w:val="0"/>
      <w:marBottom w:val="0"/>
      <w:divBdr>
        <w:top w:val="none" w:sz="0" w:space="0" w:color="auto"/>
        <w:left w:val="none" w:sz="0" w:space="0" w:color="auto"/>
        <w:bottom w:val="none" w:sz="0" w:space="0" w:color="auto"/>
        <w:right w:val="none" w:sz="0" w:space="0" w:color="auto"/>
      </w:divBdr>
    </w:div>
    <w:div w:id="920060832">
      <w:marLeft w:val="0"/>
      <w:marRight w:val="0"/>
      <w:marTop w:val="0"/>
      <w:marBottom w:val="0"/>
      <w:divBdr>
        <w:top w:val="none" w:sz="0" w:space="0" w:color="auto"/>
        <w:left w:val="none" w:sz="0" w:space="0" w:color="auto"/>
        <w:bottom w:val="none" w:sz="0" w:space="0" w:color="auto"/>
        <w:right w:val="none" w:sz="0" w:space="0" w:color="auto"/>
      </w:divBdr>
    </w:div>
    <w:div w:id="921448871">
      <w:marLeft w:val="0"/>
      <w:marRight w:val="0"/>
      <w:marTop w:val="0"/>
      <w:marBottom w:val="0"/>
      <w:divBdr>
        <w:top w:val="none" w:sz="0" w:space="0" w:color="auto"/>
        <w:left w:val="none" w:sz="0" w:space="0" w:color="auto"/>
        <w:bottom w:val="none" w:sz="0" w:space="0" w:color="auto"/>
        <w:right w:val="none" w:sz="0" w:space="0" w:color="auto"/>
      </w:divBdr>
      <w:divsChild>
        <w:div w:id="1827162802">
          <w:marLeft w:val="0"/>
          <w:marRight w:val="0"/>
          <w:marTop w:val="0"/>
          <w:marBottom w:val="0"/>
          <w:divBdr>
            <w:top w:val="none" w:sz="0" w:space="0" w:color="auto"/>
            <w:left w:val="none" w:sz="0" w:space="0" w:color="auto"/>
            <w:bottom w:val="none" w:sz="0" w:space="0" w:color="auto"/>
            <w:right w:val="none" w:sz="0" w:space="0" w:color="auto"/>
          </w:divBdr>
        </w:div>
      </w:divsChild>
    </w:div>
    <w:div w:id="930821629">
      <w:marLeft w:val="0"/>
      <w:marRight w:val="0"/>
      <w:marTop w:val="0"/>
      <w:marBottom w:val="0"/>
      <w:divBdr>
        <w:top w:val="none" w:sz="0" w:space="0" w:color="auto"/>
        <w:left w:val="none" w:sz="0" w:space="0" w:color="auto"/>
        <w:bottom w:val="none" w:sz="0" w:space="0" w:color="auto"/>
        <w:right w:val="none" w:sz="0" w:space="0" w:color="auto"/>
      </w:divBdr>
    </w:div>
    <w:div w:id="939144217">
      <w:marLeft w:val="0"/>
      <w:marRight w:val="0"/>
      <w:marTop w:val="0"/>
      <w:marBottom w:val="0"/>
      <w:divBdr>
        <w:top w:val="none" w:sz="0" w:space="0" w:color="auto"/>
        <w:left w:val="none" w:sz="0" w:space="0" w:color="auto"/>
        <w:bottom w:val="none" w:sz="0" w:space="0" w:color="auto"/>
        <w:right w:val="none" w:sz="0" w:space="0" w:color="auto"/>
      </w:divBdr>
      <w:divsChild>
        <w:div w:id="330260011">
          <w:marLeft w:val="0"/>
          <w:marRight w:val="0"/>
          <w:marTop w:val="0"/>
          <w:marBottom w:val="0"/>
          <w:divBdr>
            <w:top w:val="none" w:sz="0" w:space="0" w:color="auto"/>
            <w:left w:val="none" w:sz="0" w:space="0" w:color="auto"/>
            <w:bottom w:val="none" w:sz="0" w:space="0" w:color="auto"/>
            <w:right w:val="none" w:sz="0" w:space="0" w:color="auto"/>
          </w:divBdr>
        </w:div>
      </w:divsChild>
    </w:div>
    <w:div w:id="941259885">
      <w:marLeft w:val="0"/>
      <w:marRight w:val="0"/>
      <w:marTop w:val="0"/>
      <w:marBottom w:val="0"/>
      <w:divBdr>
        <w:top w:val="none" w:sz="0" w:space="0" w:color="auto"/>
        <w:left w:val="none" w:sz="0" w:space="0" w:color="auto"/>
        <w:bottom w:val="none" w:sz="0" w:space="0" w:color="auto"/>
        <w:right w:val="none" w:sz="0" w:space="0" w:color="auto"/>
      </w:divBdr>
    </w:div>
    <w:div w:id="954826481">
      <w:marLeft w:val="0"/>
      <w:marRight w:val="0"/>
      <w:marTop w:val="0"/>
      <w:marBottom w:val="0"/>
      <w:divBdr>
        <w:top w:val="none" w:sz="0" w:space="0" w:color="auto"/>
        <w:left w:val="none" w:sz="0" w:space="0" w:color="auto"/>
        <w:bottom w:val="none" w:sz="0" w:space="0" w:color="auto"/>
        <w:right w:val="none" w:sz="0" w:space="0" w:color="auto"/>
      </w:divBdr>
      <w:divsChild>
        <w:div w:id="381514595">
          <w:marLeft w:val="0"/>
          <w:marRight w:val="0"/>
          <w:marTop w:val="0"/>
          <w:marBottom w:val="0"/>
          <w:divBdr>
            <w:top w:val="none" w:sz="0" w:space="0" w:color="auto"/>
            <w:left w:val="none" w:sz="0" w:space="0" w:color="auto"/>
            <w:bottom w:val="none" w:sz="0" w:space="0" w:color="auto"/>
            <w:right w:val="none" w:sz="0" w:space="0" w:color="auto"/>
          </w:divBdr>
        </w:div>
      </w:divsChild>
    </w:div>
    <w:div w:id="956104851">
      <w:marLeft w:val="0"/>
      <w:marRight w:val="0"/>
      <w:marTop w:val="0"/>
      <w:marBottom w:val="0"/>
      <w:divBdr>
        <w:top w:val="none" w:sz="0" w:space="0" w:color="auto"/>
        <w:left w:val="none" w:sz="0" w:space="0" w:color="auto"/>
        <w:bottom w:val="none" w:sz="0" w:space="0" w:color="auto"/>
        <w:right w:val="none" w:sz="0" w:space="0" w:color="auto"/>
      </w:divBdr>
    </w:div>
    <w:div w:id="957762665">
      <w:marLeft w:val="0"/>
      <w:marRight w:val="0"/>
      <w:marTop w:val="0"/>
      <w:marBottom w:val="0"/>
      <w:divBdr>
        <w:top w:val="none" w:sz="0" w:space="0" w:color="auto"/>
        <w:left w:val="none" w:sz="0" w:space="0" w:color="auto"/>
        <w:bottom w:val="none" w:sz="0" w:space="0" w:color="auto"/>
        <w:right w:val="none" w:sz="0" w:space="0" w:color="auto"/>
      </w:divBdr>
    </w:div>
    <w:div w:id="976641779">
      <w:marLeft w:val="0"/>
      <w:marRight w:val="0"/>
      <w:marTop w:val="0"/>
      <w:marBottom w:val="0"/>
      <w:divBdr>
        <w:top w:val="none" w:sz="0" w:space="0" w:color="auto"/>
        <w:left w:val="none" w:sz="0" w:space="0" w:color="auto"/>
        <w:bottom w:val="none" w:sz="0" w:space="0" w:color="auto"/>
        <w:right w:val="none" w:sz="0" w:space="0" w:color="auto"/>
      </w:divBdr>
      <w:divsChild>
        <w:div w:id="1293712020">
          <w:marLeft w:val="0"/>
          <w:marRight w:val="0"/>
          <w:marTop w:val="0"/>
          <w:marBottom w:val="0"/>
          <w:divBdr>
            <w:top w:val="none" w:sz="0" w:space="0" w:color="auto"/>
            <w:left w:val="none" w:sz="0" w:space="0" w:color="auto"/>
            <w:bottom w:val="none" w:sz="0" w:space="0" w:color="auto"/>
            <w:right w:val="none" w:sz="0" w:space="0" w:color="auto"/>
          </w:divBdr>
        </w:div>
      </w:divsChild>
    </w:div>
    <w:div w:id="982539000">
      <w:marLeft w:val="0"/>
      <w:marRight w:val="0"/>
      <w:marTop w:val="0"/>
      <w:marBottom w:val="0"/>
      <w:divBdr>
        <w:top w:val="none" w:sz="0" w:space="0" w:color="auto"/>
        <w:left w:val="none" w:sz="0" w:space="0" w:color="auto"/>
        <w:bottom w:val="none" w:sz="0" w:space="0" w:color="auto"/>
        <w:right w:val="none" w:sz="0" w:space="0" w:color="auto"/>
      </w:divBdr>
    </w:div>
    <w:div w:id="988436878">
      <w:marLeft w:val="0"/>
      <w:marRight w:val="0"/>
      <w:marTop w:val="0"/>
      <w:marBottom w:val="0"/>
      <w:divBdr>
        <w:top w:val="none" w:sz="0" w:space="0" w:color="auto"/>
        <w:left w:val="none" w:sz="0" w:space="0" w:color="auto"/>
        <w:bottom w:val="none" w:sz="0" w:space="0" w:color="auto"/>
        <w:right w:val="none" w:sz="0" w:space="0" w:color="auto"/>
      </w:divBdr>
    </w:div>
    <w:div w:id="1014963085">
      <w:marLeft w:val="0"/>
      <w:marRight w:val="0"/>
      <w:marTop w:val="0"/>
      <w:marBottom w:val="0"/>
      <w:divBdr>
        <w:top w:val="none" w:sz="0" w:space="0" w:color="auto"/>
        <w:left w:val="none" w:sz="0" w:space="0" w:color="auto"/>
        <w:bottom w:val="none" w:sz="0" w:space="0" w:color="auto"/>
        <w:right w:val="none" w:sz="0" w:space="0" w:color="auto"/>
      </w:divBdr>
    </w:div>
    <w:div w:id="1015422007">
      <w:marLeft w:val="0"/>
      <w:marRight w:val="0"/>
      <w:marTop w:val="0"/>
      <w:marBottom w:val="0"/>
      <w:divBdr>
        <w:top w:val="none" w:sz="0" w:space="0" w:color="auto"/>
        <w:left w:val="none" w:sz="0" w:space="0" w:color="auto"/>
        <w:bottom w:val="none" w:sz="0" w:space="0" w:color="auto"/>
        <w:right w:val="none" w:sz="0" w:space="0" w:color="auto"/>
      </w:divBdr>
      <w:divsChild>
        <w:div w:id="473643864">
          <w:marLeft w:val="0"/>
          <w:marRight w:val="0"/>
          <w:marTop w:val="0"/>
          <w:marBottom w:val="0"/>
          <w:divBdr>
            <w:top w:val="none" w:sz="0" w:space="0" w:color="auto"/>
            <w:left w:val="none" w:sz="0" w:space="0" w:color="auto"/>
            <w:bottom w:val="none" w:sz="0" w:space="0" w:color="auto"/>
            <w:right w:val="none" w:sz="0" w:space="0" w:color="auto"/>
          </w:divBdr>
        </w:div>
      </w:divsChild>
    </w:div>
    <w:div w:id="1027490674">
      <w:marLeft w:val="0"/>
      <w:marRight w:val="0"/>
      <w:marTop w:val="0"/>
      <w:marBottom w:val="0"/>
      <w:divBdr>
        <w:top w:val="none" w:sz="0" w:space="0" w:color="auto"/>
        <w:left w:val="none" w:sz="0" w:space="0" w:color="auto"/>
        <w:bottom w:val="none" w:sz="0" w:space="0" w:color="auto"/>
        <w:right w:val="none" w:sz="0" w:space="0" w:color="auto"/>
      </w:divBdr>
    </w:div>
    <w:div w:id="1033533136">
      <w:marLeft w:val="0"/>
      <w:marRight w:val="0"/>
      <w:marTop w:val="0"/>
      <w:marBottom w:val="0"/>
      <w:divBdr>
        <w:top w:val="none" w:sz="0" w:space="0" w:color="auto"/>
        <w:left w:val="none" w:sz="0" w:space="0" w:color="auto"/>
        <w:bottom w:val="none" w:sz="0" w:space="0" w:color="auto"/>
        <w:right w:val="none" w:sz="0" w:space="0" w:color="auto"/>
      </w:divBdr>
      <w:divsChild>
        <w:div w:id="16273525">
          <w:marLeft w:val="0"/>
          <w:marRight w:val="0"/>
          <w:marTop w:val="0"/>
          <w:marBottom w:val="0"/>
          <w:divBdr>
            <w:top w:val="none" w:sz="0" w:space="0" w:color="auto"/>
            <w:left w:val="none" w:sz="0" w:space="0" w:color="auto"/>
            <w:bottom w:val="none" w:sz="0" w:space="0" w:color="auto"/>
            <w:right w:val="none" w:sz="0" w:space="0" w:color="auto"/>
          </w:divBdr>
        </w:div>
      </w:divsChild>
    </w:div>
    <w:div w:id="1036658317">
      <w:marLeft w:val="0"/>
      <w:marRight w:val="0"/>
      <w:marTop w:val="0"/>
      <w:marBottom w:val="0"/>
      <w:divBdr>
        <w:top w:val="none" w:sz="0" w:space="0" w:color="auto"/>
        <w:left w:val="none" w:sz="0" w:space="0" w:color="auto"/>
        <w:bottom w:val="none" w:sz="0" w:space="0" w:color="auto"/>
        <w:right w:val="none" w:sz="0" w:space="0" w:color="auto"/>
      </w:divBdr>
    </w:div>
    <w:div w:id="1036808882">
      <w:marLeft w:val="0"/>
      <w:marRight w:val="0"/>
      <w:marTop w:val="0"/>
      <w:marBottom w:val="0"/>
      <w:divBdr>
        <w:top w:val="none" w:sz="0" w:space="0" w:color="auto"/>
        <w:left w:val="none" w:sz="0" w:space="0" w:color="auto"/>
        <w:bottom w:val="none" w:sz="0" w:space="0" w:color="auto"/>
        <w:right w:val="none" w:sz="0" w:space="0" w:color="auto"/>
      </w:divBdr>
    </w:div>
    <w:div w:id="1038242055">
      <w:marLeft w:val="0"/>
      <w:marRight w:val="0"/>
      <w:marTop w:val="0"/>
      <w:marBottom w:val="0"/>
      <w:divBdr>
        <w:top w:val="none" w:sz="0" w:space="0" w:color="auto"/>
        <w:left w:val="none" w:sz="0" w:space="0" w:color="auto"/>
        <w:bottom w:val="none" w:sz="0" w:space="0" w:color="auto"/>
        <w:right w:val="none" w:sz="0" w:space="0" w:color="auto"/>
      </w:divBdr>
    </w:div>
    <w:div w:id="1039162373">
      <w:marLeft w:val="0"/>
      <w:marRight w:val="0"/>
      <w:marTop w:val="0"/>
      <w:marBottom w:val="0"/>
      <w:divBdr>
        <w:top w:val="none" w:sz="0" w:space="0" w:color="auto"/>
        <w:left w:val="none" w:sz="0" w:space="0" w:color="auto"/>
        <w:bottom w:val="none" w:sz="0" w:space="0" w:color="auto"/>
        <w:right w:val="none" w:sz="0" w:space="0" w:color="auto"/>
      </w:divBdr>
    </w:div>
    <w:div w:id="1039403131">
      <w:marLeft w:val="0"/>
      <w:marRight w:val="0"/>
      <w:marTop w:val="0"/>
      <w:marBottom w:val="0"/>
      <w:divBdr>
        <w:top w:val="none" w:sz="0" w:space="0" w:color="auto"/>
        <w:left w:val="none" w:sz="0" w:space="0" w:color="auto"/>
        <w:bottom w:val="none" w:sz="0" w:space="0" w:color="auto"/>
        <w:right w:val="none" w:sz="0" w:space="0" w:color="auto"/>
      </w:divBdr>
      <w:divsChild>
        <w:div w:id="196550947">
          <w:marLeft w:val="0"/>
          <w:marRight w:val="0"/>
          <w:marTop w:val="0"/>
          <w:marBottom w:val="0"/>
          <w:divBdr>
            <w:top w:val="none" w:sz="0" w:space="0" w:color="auto"/>
            <w:left w:val="none" w:sz="0" w:space="0" w:color="auto"/>
            <w:bottom w:val="none" w:sz="0" w:space="0" w:color="auto"/>
            <w:right w:val="none" w:sz="0" w:space="0" w:color="auto"/>
          </w:divBdr>
        </w:div>
      </w:divsChild>
    </w:div>
    <w:div w:id="1049258883">
      <w:marLeft w:val="0"/>
      <w:marRight w:val="0"/>
      <w:marTop w:val="0"/>
      <w:marBottom w:val="0"/>
      <w:divBdr>
        <w:top w:val="none" w:sz="0" w:space="0" w:color="auto"/>
        <w:left w:val="none" w:sz="0" w:space="0" w:color="auto"/>
        <w:bottom w:val="none" w:sz="0" w:space="0" w:color="auto"/>
        <w:right w:val="none" w:sz="0" w:space="0" w:color="auto"/>
      </w:divBdr>
      <w:divsChild>
        <w:div w:id="440607334">
          <w:marLeft w:val="0"/>
          <w:marRight w:val="0"/>
          <w:marTop w:val="0"/>
          <w:marBottom w:val="0"/>
          <w:divBdr>
            <w:top w:val="none" w:sz="0" w:space="0" w:color="auto"/>
            <w:left w:val="none" w:sz="0" w:space="0" w:color="auto"/>
            <w:bottom w:val="none" w:sz="0" w:space="0" w:color="auto"/>
            <w:right w:val="none" w:sz="0" w:space="0" w:color="auto"/>
          </w:divBdr>
        </w:div>
      </w:divsChild>
    </w:div>
    <w:div w:id="1056513113">
      <w:marLeft w:val="0"/>
      <w:marRight w:val="0"/>
      <w:marTop w:val="0"/>
      <w:marBottom w:val="0"/>
      <w:divBdr>
        <w:top w:val="none" w:sz="0" w:space="0" w:color="auto"/>
        <w:left w:val="none" w:sz="0" w:space="0" w:color="auto"/>
        <w:bottom w:val="none" w:sz="0" w:space="0" w:color="auto"/>
        <w:right w:val="none" w:sz="0" w:space="0" w:color="auto"/>
      </w:divBdr>
    </w:div>
    <w:div w:id="1072702330">
      <w:marLeft w:val="0"/>
      <w:marRight w:val="0"/>
      <w:marTop w:val="0"/>
      <w:marBottom w:val="0"/>
      <w:divBdr>
        <w:top w:val="none" w:sz="0" w:space="0" w:color="auto"/>
        <w:left w:val="none" w:sz="0" w:space="0" w:color="auto"/>
        <w:bottom w:val="none" w:sz="0" w:space="0" w:color="auto"/>
        <w:right w:val="none" w:sz="0" w:space="0" w:color="auto"/>
      </w:divBdr>
    </w:div>
    <w:div w:id="1076316234">
      <w:marLeft w:val="0"/>
      <w:marRight w:val="0"/>
      <w:marTop w:val="0"/>
      <w:marBottom w:val="0"/>
      <w:divBdr>
        <w:top w:val="none" w:sz="0" w:space="0" w:color="auto"/>
        <w:left w:val="none" w:sz="0" w:space="0" w:color="auto"/>
        <w:bottom w:val="none" w:sz="0" w:space="0" w:color="auto"/>
        <w:right w:val="none" w:sz="0" w:space="0" w:color="auto"/>
      </w:divBdr>
    </w:div>
    <w:div w:id="1086806279">
      <w:marLeft w:val="0"/>
      <w:marRight w:val="0"/>
      <w:marTop w:val="0"/>
      <w:marBottom w:val="0"/>
      <w:divBdr>
        <w:top w:val="none" w:sz="0" w:space="0" w:color="auto"/>
        <w:left w:val="none" w:sz="0" w:space="0" w:color="auto"/>
        <w:bottom w:val="none" w:sz="0" w:space="0" w:color="auto"/>
        <w:right w:val="none" w:sz="0" w:space="0" w:color="auto"/>
      </w:divBdr>
    </w:div>
    <w:div w:id="1093472035">
      <w:marLeft w:val="0"/>
      <w:marRight w:val="0"/>
      <w:marTop w:val="0"/>
      <w:marBottom w:val="0"/>
      <w:divBdr>
        <w:top w:val="none" w:sz="0" w:space="0" w:color="auto"/>
        <w:left w:val="none" w:sz="0" w:space="0" w:color="auto"/>
        <w:bottom w:val="none" w:sz="0" w:space="0" w:color="auto"/>
        <w:right w:val="none" w:sz="0" w:space="0" w:color="auto"/>
      </w:divBdr>
    </w:div>
    <w:div w:id="1097363264">
      <w:marLeft w:val="0"/>
      <w:marRight w:val="0"/>
      <w:marTop w:val="0"/>
      <w:marBottom w:val="0"/>
      <w:divBdr>
        <w:top w:val="none" w:sz="0" w:space="0" w:color="auto"/>
        <w:left w:val="none" w:sz="0" w:space="0" w:color="auto"/>
        <w:bottom w:val="none" w:sz="0" w:space="0" w:color="auto"/>
        <w:right w:val="none" w:sz="0" w:space="0" w:color="auto"/>
      </w:divBdr>
    </w:div>
    <w:div w:id="1097749225">
      <w:marLeft w:val="0"/>
      <w:marRight w:val="0"/>
      <w:marTop w:val="0"/>
      <w:marBottom w:val="0"/>
      <w:divBdr>
        <w:top w:val="none" w:sz="0" w:space="0" w:color="auto"/>
        <w:left w:val="none" w:sz="0" w:space="0" w:color="auto"/>
        <w:bottom w:val="none" w:sz="0" w:space="0" w:color="auto"/>
        <w:right w:val="none" w:sz="0" w:space="0" w:color="auto"/>
      </w:divBdr>
      <w:divsChild>
        <w:div w:id="651830950">
          <w:marLeft w:val="0"/>
          <w:marRight w:val="0"/>
          <w:marTop w:val="0"/>
          <w:marBottom w:val="0"/>
          <w:divBdr>
            <w:top w:val="none" w:sz="0" w:space="0" w:color="auto"/>
            <w:left w:val="none" w:sz="0" w:space="0" w:color="auto"/>
            <w:bottom w:val="none" w:sz="0" w:space="0" w:color="auto"/>
            <w:right w:val="none" w:sz="0" w:space="0" w:color="auto"/>
          </w:divBdr>
        </w:div>
      </w:divsChild>
    </w:div>
    <w:div w:id="1098525676">
      <w:marLeft w:val="0"/>
      <w:marRight w:val="0"/>
      <w:marTop w:val="0"/>
      <w:marBottom w:val="0"/>
      <w:divBdr>
        <w:top w:val="none" w:sz="0" w:space="0" w:color="auto"/>
        <w:left w:val="none" w:sz="0" w:space="0" w:color="auto"/>
        <w:bottom w:val="none" w:sz="0" w:space="0" w:color="auto"/>
        <w:right w:val="none" w:sz="0" w:space="0" w:color="auto"/>
      </w:divBdr>
      <w:divsChild>
        <w:div w:id="605888406">
          <w:marLeft w:val="0"/>
          <w:marRight w:val="0"/>
          <w:marTop w:val="0"/>
          <w:marBottom w:val="0"/>
          <w:divBdr>
            <w:top w:val="none" w:sz="0" w:space="0" w:color="auto"/>
            <w:left w:val="none" w:sz="0" w:space="0" w:color="auto"/>
            <w:bottom w:val="none" w:sz="0" w:space="0" w:color="auto"/>
            <w:right w:val="none" w:sz="0" w:space="0" w:color="auto"/>
          </w:divBdr>
        </w:div>
      </w:divsChild>
    </w:div>
    <w:div w:id="1099257302">
      <w:marLeft w:val="0"/>
      <w:marRight w:val="0"/>
      <w:marTop w:val="0"/>
      <w:marBottom w:val="0"/>
      <w:divBdr>
        <w:top w:val="none" w:sz="0" w:space="0" w:color="auto"/>
        <w:left w:val="none" w:sz="0" w:space="0" w:color="auto"/>
        <w:bottom w:val="none" w:sz="0" w:space="0" w:color="auto"/>
        <w:right w:val="none" w:sz="0" w:space="0" w:color="auto"/>
      </w:divBdr>
    </w:div>
    <w:div w:id="1105686670">
      <w:marLeft w:val="0"/>
      <w:marRight w:val="0"/>
      <w:marTop w:val="0"/>
      <w:marBottom w:val="0"/>
      <w:divBdr>
        <w:top w:val="none" w:sz="0" w:space="0" w:color="auto"/>
        <w:left w:val="none" w:sz="0" w:space="0" w:color="auto"/>
        <w:bottom w:val="none" w:sz="0" w:space="0" w:color="auto"/>
        <w:right w:val="none" w:sz="0" w:space="0" w:color="auto"/>
      </w:divBdr>
      <w:divsChild>
        <w:div w:id="192304489">
          <w:marLeft w:val="0"/>
          <w:marRight w:val="0"/>
          <w:marTop w:val="0"/>
          <w:marBottom w:val="0"/>
          <w:divBdr>
            <w:top w:val="none" w:sz="0" w:space="0" w:color="auto"/>
            <w:left w:val="none" w:sz="0" w:space="0" w:color="auto"/>
            <w:bottom w:val="none" w:sz="0" w:space="0" w:color="auto"/>
            <w:right w:val="none" w:sz="0" w:space="0" w:color="auto"/>
          </w:divBdr>
        </w:div>
      </w:divsChild>
    </w:div>
    <w:div w:id="1107845520">
      <w:marLeft w:val="0"/>
      <w:marRight w:val="0"/>
      <w:marTop w:val="0"/>
      <w:marBottom w:val="0"/>
      <w:divBdr>
        <w:top w:val="none" w:sz="0" w:space="0" w:color="auto"/>
        <w:left w:val="none" w:sz="0" w:space="0" w:color="auto"/>
        <w:bottom w:val="none" w:sz="0" w:space="0" w:color="auto"/>
        <w:right w:val="none" w:sz="0" w:space="0" w:color="auto"/>
      </w:divBdr>
    </w:div>
    <w:div w:id="1110129705">
      <w:marLeft w:val="0"/>
      <w:marRight w:val="0"/>
      <w:marTop w:val="0"/>
      <w:marBottom w:val="0"/>
      <w:divBdr>
        <w:top w:val="none" w:sz="0" w:space="0" w:color="auto"/>
        <w:left w:val="none" w:sz="0" w:space="0" w:color="auto"/>
        <w:bottom w:val="none" w:sz="0" w:space="0" w:color="auto"/>
        <w:right w:val="none" w:sz="0" w:space="0" w:color="auto"/>
      </w:divBdr>
      <w:divsChild>
        <w:div w:id="342051920">
          <w:marLeft w:val="0"/>
          <w:marRight w:val="0"/>
          <w:marTop w:val="0"/>
          <w:marBottom w:val="0"/>
          <w:divBdr>
            <w:top w:val="none" w:sz="0" w:space="0" w:color="auto"/>
            <w:left w:val="none" w:sz="0" w:space="0" w:color="auto"/>
            <w:bottom w:val="none" w:sz="0" w:space="0" w:color="auto"/>
            <w:right w:val="none" w:sz="0" w:space="0" w:color="auto"/>
          </w:divBdr>
        </w:div>
      </w:divsChild>
    </w:div>
    <w:div w:id="1110196749">
      <w:marLeft w:val="0"/>
      <w:marRight w:val="0"/>
      <w:marTop w:val="0"/>
      <w:marBottom w:val="0"/>
      <w:divBdr>
        <w:top w:val="none" w:sz="0" w:space="0" w:color="auto"/>
        <w:left w:val="none" w:sz="0" w:space="0" w:color="auto"/>
        <w:bottom w:val="none" w:sz="0" w:space="0" w:color="auto"/>
        <w:right w:val="none" w:sz="0" w:space="0" w:color="auto"/>
      </w:divBdr>
    </w:div>
    <w:div w:id="1118794203">
      <w:marLeft w:val="0"/>
      <w:marRight w:val="0"/>
      <w:marTop w:val="0"/>
      <w:marBottom w:val="0"/>
      <w:divBdr>
        <w:top w:val="none" w:sz="0" w:space="0" w:color="auto"/>
        <w:left w:val="none" w:sz="0" w:space="0" w:color="auto"/>
        <w:bottom w:val="none" w:sz="0" w:space="0" w:color="auto"/>
        <w:right w:val="none" w:sz="0" w:space="0" w:color="auto"/>
      </w:divBdr>
    </w:div>
    <w:div w:id="1121875254">
      <w:marLeft w:val="0"/>
      <w:marRight w:val="0"/>
      <w:marTop w:val="0"/>
      <w:marBottom w:val="0"/>
      <w:divBdr>
        <w:top w:val="none" w:sz="0" w:space="0" w:color="auto"/>
        <w:left w:val="none" w:sz="0" w:space="0" w:color="auto"/>
        <w:bottom w:val="none" w:sz="0" w:space="0" w:color="auto"/>
        <w:right w:val="none" w:sz="0" w:space="0" w:color="auto"/>
      </w:divBdr>
    </w:div>
    <w:div w:id="1125150683">
      <w:marLeft w:val="0"/>
      <w:marRight w:val="0"/>
      <w:marTop w:val="0"/>
      <w:marBottom w:val="0"/>
      <w:divBdr>
        <w:top w:val="none" w:sz="0" w:space="0" w:color="auto"/>
        <w:left w:val="none" w:sz="0" w:space="0" w:color="auto"/>
        <w:bottom w:val="none" w:sz="0" w:space="0" w:color="auto"/>
        <w:right w:val="none" w:sz="0" w:space="0" w:color="auto"/>
      </w:divBdr>
    </w:div>
    <w:div w:id="1126117852">
      <w:marLeft w:val="0"/>
      <w:marRight w:val="0"/>
      <w:marTop w:val="0"/>
      <w:marBottom w:val="0"/>
      <w:divBdr>
        <w:top w:val="none" w:sz="0" w:space="0" w:color="auto"/>
        <w:left w:val="none" w:sz="0" w:space="0" w:color="auto"/>
        <w:bottom w:val="none" w:sz="0" w:space="0" w:color="auto"/>
        <w:right w:val="none" w:sz="0" w:space="0" w:color="auto"/>
      </w:divBdr>
      <w:divsChild>
        <w:div w:id="1877498891">
          <w:marLeft w:val="0"/>
          <w:marRight w:val="0"/>
          <w:marTop w:val="0"/>
          <w:marBottom w:val="0"/>
          <w:divBdr>
            <w:top w:val="none" w:sz="0" w:space="0" w:color="auto"/>
            <w:left w:val="none" w:sz="0" w:space="0" w:color="auto"/>
            <w:bottom w:val="none" w:sz="0" w:space="0" w:color="auto"/>
            <w:right w:val="none" w:sz="0" w:space="0" w:color="auto"/>
          </w:divBdr>
        </w:div>
      </w:divsChild>
    </w:div>
    <w:div w:id="1128818224">
      <w:marLeft w:val="0"/>
      <w:marRight w:val="0"/>
      <w:marTop w:val="0"/>
      <w:marBottom w:val="0"/>
      <w:divBdr>
        <w:top w:val="none" w:sz="0" w:space="0" w:color="auto"/>
        <w:left w:val="none" w:sz="0" w:space="0" w:color="auto"/>
        <w:bottom w:val="none" w:sz="0" w:space="0" w:color="auto"/>
        <w:right w:val="none" w:sz="0" w:space="0" w:color="auto"/>
      </w:divBdr>
      <w:divsChild>
        <w:div w:id="1597865844">
          <w:marLeft w:val="0"/>
          <w:marRight w:val="0"/>
          <w:marTop w:val="0"/>
          <w:marBottom w:val="0"/>
          <w:divBdr>
            <w:top w:val="none" w:sz="0" w:space="0" w:color="auto"/>
            <w:left w:val="none" w:sz="0" w:space="0" w:color="auto"/>
            <w:bottom w:val="none" w:sz="0" w:space="0" w:color="auto"/>
            <w:right w:val="none" w:sz="0" w:space="0" w:color="auto"/>
          </w:divBdr>
        </w:div>
      </w:divsChild>
    </w:div>
    <w:div w:id="1129668144">
      <w:marLeft w:val="0"/>
      <w:marRight w:val="0"/>
      <w:marTop w:val="0"/>
      <w:marBottom w:val="0"/>
      <w:divBdr>
        <w:top w:val="none" w:sz="0" w:space="0" w:color="auto"/>
        <w:left w:val="none" w:sz="0" w:space="0" w:color="auto"/>
        <w:bottom w:val="none" w:sz="0" w:space="0" w:color="auto"/>
        <w:right w:val="none" w:sz="0" w:space="0" w:color="auto"/>
      </w:divBdr>
    </w:div>
    <w:div w:id="1131752645">
      <w:marLeft w:val="0"/>
      <w:marRight w:val="0"/>
      <w:marTop w:val="0"/>
      <w:marBottom w:val="0"/>
      <w:divBdr>
        <w:top w:val="none" w:sz="0" w:space="0" w:color="auto"/>
        <w:left w:val="none" w:sz="0" w:space="0" w:color="auto"/>
        <w:bottom w:val="none" w:sz="0" w:space="0" w:color="auto"/>
        <w:right w:val="none" w:sz="0" w:space="0" w:color="auto"/>
      </w:divBdr>
    </w:div>
    <w:div w:id="1135223780">
      <w:marLeft w:val="0"/>
      <w:marRight w:val="0"/>
      <w:marTop w:val="0"/>
      <w:marBottom w:val="0"/>
      <w:divBdr>
        <w:top w:val="none" w:sz="0" w:space="0" w:color="auto"/>
        <w:left w:val="none" w:sz="0" w:space="0" w:color="auto"/>
        <w:bottom w:val="none" w:sz="0" w:space="0" w:color="auto"/>
        <w:right w:val="none" w:sz="0" w:space="0" w:color="auto"/>
      </w:divBdr>
      <w:divsChild>
        <w:div w:id="1246458439">
          <w:marLeft w:val="0"/>
          <w:marRight w:val="0"/>
          <w:marTop w:val="0"/>
          <w:marBottom w:val="0"/>
          <w:divBdr>
            <w:top w:val="none" w:sz="0" w:space="0" w:color="auto"/>
            <w:left w:val="none" w:sz="0" w:space="0" w:color="auto"/>
            <w:bottom w:val="none" w:sz="0" w:space="0" w:color="auto"/>
            <w:right w:val="none" w:sz="0" w:space="0" w:color="auto"/>
          </w:divBdr>
        </w:div>
      </w:divsChild>
    </w:div>
    <w:div w:id="1148283127">
      <w:marLeft w:val="0"/>
      <w:marRight w:val="0"/>
      <w:marTop w:val="0"/>
      <w:marBottom w:val="0"/>
      <w:divBdr>
        <w:top w:val="none" w:sz="0" w:space="0" w:color="auto"/>
        <w:left w:val="none" w:sz="0" w:space="0" w:color="auto"/>
        <w:bottom w:val="none" w:sz="0" w:space="0" w:color="auto"/>
        <w:right w:val="none" w:sz="0" w:space="0" w:color="auto"/>
      </w:divBdr>
    </w:div>
    <w:div w:id="1152018226">
      <w:marLeft w:val="0"/>
      <w:marRight w:val="0"/>
      <w:marTop w:val="0"/>
      <w:marBottom w:val="0"/>
      <w:divBdr>
        <w:top w:val="none" w:sz="0" w:space="0" w:color="auto"/>
        <w:left w:val="none" w:sz="0" w:space="0" w:color="auto"/>
        <w:bottom w:val="none" w:sz="0" w:space="0" w:color="auto"/>
        <w:right w:val="none" w:sz="0" w:space="0" w:color="auto"/>
      </w:divBdr>
    </w:div>
    <w:div w:id="1153065906">
      <w:marLeft w:val="0"/>
      <w:marRight w:val="0"/>
      <w:marTop w:val="0"/>
      <w:marBottom w:val="0"/>
      <w:divBdr>
        <w:top w:val="none" w:sz="0" w:space="0" w:color="auto"/>
        <w:left w:val="none" w:sz="0" w:space="0" w:color="auto"/>
        <w:bottom w:val="none" w:sz="0" w:space="0" w:color="auto"/>
        <w:right w:val="none" w:sz="0" w:space="0" w:color="auto"/>
      </w:divBdr>
      <w:divsChild>
        <w:div w:id="792209923">
          <w:marLeft w:val="0"/>
          <w:marRight w:val="0"/>
          <w:marTop w:val="0"/>
          <w:marBottom w:val="0"/>
          <w:divBdr>
            <w:top w:val="none" w:sz="0" w:space="0" w:color="auto"/>
            <w:left w:val="none" w:sz="0" w:space="0" w:color="auto"/>
            <w:bottom w:val="none" w:sz="0" w:space="0" w:color="auto"/>
            <w:right w:val="none" w:sz="0" w:space="0" w:color="auto"/>
          </w:divBdr>
        </w:div>
      </w:divsChild>
    </w:div>
    <w:div w:id="1155149998">
      <w:marLeft w:val="0"/>
      <w:marRight w:val="0"/>
      <w:marTop w:val="0"/>
      <w:marBottom w:val="0"/>
      <w:divBdr>
        <w:top w:val="none" w:sz="0" w:space="0" w:color="auto"/>
        <w:left w:val="none" w:sz="0" w:space="0" w:color="auto"/>
        <w:bottom w:val="none" w:sz="0" w:space="0" w:color="auto"/>
        <w:right w:val="none" w:sz="0" w:space="0" w:color="auto"/>
      </w:divBdr>
      <w:divsChild>
        <w:div w:id="1613321360">
          <w:marLeft w:val="0"/>
          <w:marRight w:val="0"/>
          <w:marTop w:val="0"/>
          <w:marBottom w:val="0"/>
          <w:divBdr>
            <w:top w:val="none" w:sz="0" w:space="0" w:color="auto"/>
            <w:left w:val="none" w:sz="0" w:space="0" w:color="auto"/>
            <w:bottom w:val="none" w:sz="0" w:space="0" w:color="auto"/>
            <w:right w:val="none" w:sz="0" w:space="0" w:color="auto"/>
          </w:divBdr>
        </w:div>
      </w:divsChild>
    </w:div>
    <w:div w:id="1158963494">
      <w:marLeft w:val="0"/>
      <w:marRight w:val="0"/>
      <w:marTop w:val="0"/>
      <w:marBottom w:val="0"/>
      <w:divBdr>
        <w:top w:val="none" w:sz="0" w:space="0" w:color="auto"/>
        <w:left w:val="none" w:sz="0" w:space="0" w:color="auto"/>
        <w:bottom w:val="none" w:sz="0" w:space="0" w:color="auto"/>
        <w:right w:val="none" w:sz="0" w:space="0" w:color="auto"/>
      </w:divBdr>
      <w:divsChild>
        <w:div w:id="1021473348">
          <w:marLeft w:val="0"/>
          <w:marRight w:val="0"/>
          <w:marTop w:val="0"/>
          <w:marBottom w:val="0"/>
          <w:divBdr>
            <w:top w:val="none" w:sz="0" w:space="0" w:color="auto"/>
            <w:left w:val="none" w:sz="0" w:space="0" w:color="auto"/>
            <w:bottom w:val="none" w:sz="0" w:space="0" w:color="auto"/>
            <w:right w:val="none" w:sz="0" w:space="0" w:color="auto"/>
          </w:divBdr>
        </w:div>
      </w:divsChild>
    </w:div>
    <w:div w:id="1169252676">
      <w:marLeft w:val="0"/>
      <w:marRight w:val="0"/>
      <w:marTop w:val="0"/>
      <w:marBottom w:val="0"/>
      <w:divBdr>
        <w:top w:val="none" w:sz="0" w:space="0" w:color="auto"/>
        <w:left w:val="none" w:sz="0" w:space="0" w:color="auto"/>
        <w:bottom w:val="none" w:sz="0" w:space="0" w:color="auto"/>
        <w:right w:val="none" w:sz="0" w:space="0" w:color="auto"/>
      </w:divBdr>
      <w:divsChild>
        <w:div w:id="1765033790">
          <w:marLeft w:val="0"/>
          <w:marRight w:val="0"/>
          <w:marTop w:val="0"/>
          <w:marBottom w:val="0"/>
          <w:divBdr>
            <w:top w:val="none" w:sz="0" w:space="0" w:color="auto"/>
            <w:left w:val="none" w:sz="0" w:space="0" w:color="auto"/>
            <w:bottom w:val="none" w:sz="0" w:space="0" w:color="auto"/>
            <w:right w:val="none" w:sz="0" w:space="0" w:color="auto"/>
          </w:divBdr>
        </w:div>
      </w:divsChild>
    </w:div>
    <w:div w:id="1173954669">
      <w:marLeft w:val="0"/>
      <w:marRight w:val="0"/>
      <w:marTop w:val="0"/>
      <w:marBottom w:val="0"/>
      <w:divBdr>
        <w:top w:val="none" w:sz="0" w:space="0" w:color="auto"/>
        <w:left w:val="none" w:sz="0" w:space="0" w:color="auto"/>
        <w:bottom w:val="none" w:sz="0" w:space="0" w:color="auto"/>
        <w:right w:val="none" w:sz="0" w:space="0" w:color="auto"/>
      </w:divBdr>
      <w:divsChild>
        <w:div w:id="1216503446">
          <w:marLeft w:val="0"/>
          <w:marRight w:val="0"/>
          <w:marTop w:val="0"/>
          <w:marBottom w:val="0"/>
          <w:divBdr>
            <w:top w:val="none" w:sz="0" w:space="0" w:color="auto"/>
            <w:left w:val="none" w:sz="0" w:space="0" w:color="auto"/>
            <w:bottom w:val="none" w:sz="0" w:space="0" w:color="auto"/>
            <w:right w:val="none" w:sz="0" w:space="0" w:color="auto"/>
          </w:divBdr>
        </w:div>
      </w:divsChild>
    </w:div>
    <w:div w:id="1176923265">
      <w:marLeft w:val="0"/>
      <w:marRight w:val="0"/>
      <w:marTop w:val="0"/>
      <w:marBottom w:val="0"/>
      <w:divBdr>
        <w:top w:val="none" w:sz="0" w:space="0" w:color="auto"/>
        <w:left w:val="none" w:sz="0" w:space="0" w:color="auto"/>
        <w:bottom w:val="none" w:sz="0" w:space="0" w:color="auto"/>
        <w:right w:val="none" w:sz="0" w:space="0" w:color="auto"/>
      </w:divBdr>
    </w:div>
    <w:div w:id="1179008897">
      <w:marLeft w:val="0"/>
      <w:marRight w:val="0"/>
      <w:marTop w:val="0"/>
      <w:marBottom w:val="0"/>
      <w:divBdr>
        <w:top w:val="none" w:sz="0" w:space="0" w:color="auto"/>
        <w:left w:val="none" w:sz="0" w:space="0" w:color="auto"/>
        <w:bottom w:val="none" w:sz="0" w:space="0" w:color="auto"/>
        <w:right w:val="none" w:sz="0" w:space="0" w:color="auto"/>
      </w:divBdr>
      <w:divsChild>
        <w:div w:id="1970166959">
          <w:marLeft w:val="0"/>
          <w:marRight w:val="0"/>
          <w:marTop w:val="0"/>
          <w:marBottom w:val="0"/>
          <w:divBdr>
            <w:top w:val="none" w:sz="0" w:space="0" w:color="auto"/>
            <w:left w:val="none" w:sz="0" w:space="0" w:color="auto"/>
            <w:bottom w:val="none" w:sz="0" w:space="0" w:color="auto"/>
            <w:right w:val="none" w:sz="0" w:space="0" w:color="auto"/>
          </w:divBdr>
        </w:div>
      </w:divsChild>
    </w:div>
    <w:div w:id="1185751046">
      <w:marLeft w:val="0"/>
      <w:marRight w:val="0"/>
      <w:marTop w:val="0"/>
      <w:marBottom w:val="0"/>
      <w:divBdr>
        <w:top w:val="none" w:sz="0" w:space="0" w:color="auto"/>
        <w:left w:val="none" w:sz="0" w:space="0" w:color="auto"/>
        <w:bottom w:val="none" w:sz="0" w:space="0" w:color="auto"/>
        <w:right w:val="none" w:sz="0" w:space="0" w:color="auto"/>
      </w:divBdr>
    </w:div>
    <w:div w:id="1185751526">
      <w:marLeft w:val="0"/>
      <w:marRight w:val="0"/>
      <w:marTop w:val="0"/>
      <w:marBottom w:val="0"/>
      <w:divBdr>
        <w:top w:val="none" w:sz="0" w:space="0" w:color="auto"/>
        <w:left w:val="none" w:sz="0" w:space="0" w:color="auto"/>
        <w:bottom w:val="none" w:sz="0" w:space="0" w:color="auto"/>
        <w:right w:val="none" w:sz="0" w:space="0" w:color="auto"/>
      </w:divBdr>
      <w:divsChild>
        <w:div w:id="1774208357">
          <w:marLeft w:val="0"/>
          <w:marRight w:val="0"/>
          <w:marTop w:val="0"/>
          <w:marBottom w:val="0"/>
          <w:divBdr>
            <w:top w:val="none" w:sz="0" w:space="0" w:color="auto"/>
            <w:left w:val="none" w:sz="0" w:space="0" w:color="auto"/>
            <w:bottom w:val="none" w:sz="0" w:space="0" w:color="auto"/>
            <w:right w:val="none" w:sz="0" w:space="0" w:color="auto"/>
          </w:divBdr>
        </w:div>
      </w:divsChild>
    </w:div>
    <w:div w:id="1188639260">
      <w:marLeft w:val="0"/>
      <w:marRight w:val="0"/>
      <w:marTop w:val="0"/>
      <w:marBottom w:val="0"/>
      <w:divBdr>
        <w:top w:val="none" w:sz="0" w:space="0" w:color="auto"/>
        <w:left w:val="none" w:sz="0" w:space="0" w:color="auto"/>
        <w:bottom w:val="none" w:sz="0" w:space="0" w:color="auto"/>
        <w:right w:val="none" w:sz="0" w:space="0" w:color="auto"/>
      </w:divBdr>
    </w:div>
    <w:div w:id="1193034221">
      <w:marLeft w:val="0"/>
      <w:marRight w:val="0"/>
      <w:marTop w:val="0"/>
      <w:marBottom w:val="0"/>
      <w:divBdr>
        <w:top w:val="none" w:sz="0" w:space="0" w:color="auto"/>
        <w:left w:val="none" w:sz="0" w:space="0" w:color="auto"/>
        <w:bottom w:val="none" w:sz="0" w:space="0" w:color="auto"/>
        <w:right w:val="none" w:sz="0" w:space="0" w:color="auto"/>
      </w:divBdr>
    </w:div>
    <w:div w:id="1197887594">
      <w:marLeft w:val="0"/>
      <w:marRight w:val="0"/>
      <w:marTop w:val="0"/>
      <w:marBottom w:val="0"/>
      <w:divBdr>
        <w:top w:val="none" w:sz="0" w:space="0" w:color="auto"/>
        <w:left w:val="none" w:sz="0" w:space="0" w:color="auto"/>
        <w:bottom w:val="none" w:sz="0" w:space="0" w:color="auto"/>
        <w:right w:val="none" w:sz="0" w:space="0" w:color="auto"/>
      </w:divBdr>
    </w:div>
    <w:div w:id="1205562011">
      <w:marLeft w:val="0"/>
      <w:marRight w:val="0"/>
      <w:marTop w:val="0"/>
      <w:marBottom w:val="0"/>
      <w:divBdr>
        <w:top w:val="none" w:sz="0" w:space="0" w:color="auto"/>
        <w:left w:val="none" w:sz="0" w:space="0" w:color="auto"/>
        <w:bottom w:val="none" w:sz="0" w:space="0" w:color="auto"/>
        <w:right w:val="none" w:sz="0" w:space="0" w:color="auto"/>
      </w:divBdr>
    </w:div>
    <w:div w:id="1214736710">
      <w:marLeft w:val="0"/>
      <w:marRight w:val="0"/>
      <w:marTop w:val="0"/>
      <w:marBottom w:val="0"/>
      <w:divBdr>
        <w:top w:val="none" w:sz="0" w:space="0" w:color="auto"/>
        <w:left w:val="none" w:sz="0" w:space="0" w:color="auto"/>
        <w:bottom w:val="none" w:sz="0" w:space="0" w:color="auto"/>
        <w:right w:val="none" w:sz="0" w:space="0" w:color="auto"/>
      </w:divBdr>
    </w:div>
    <w:div w:id="1214846717">
      <w:marLeft w:val="0"/>
      <w:marRight w:val="0"/>
      <w:marTop w:val="0"/>
      <w:marBottom w:val="0"/>
      <w:divBdr>
        <w:top w:val="none" w:sz="0" w:space="0" w:color="auto"/>
        <w:left w:val="none" w:sz="0" w:space="0" w:color="auto"/>
        <w:bottom w:val="none" w:sz="0" w:space="0" w:color="auto"/>
        <w:right w:val="none" w:sz="0" w:space="0" w:color="auto"/>
      </w:divBdr>
    </w:div>
    <w:div w:id="1221670561">
      <w:marLeft w:val="0"/>
      <w:marRight w:val="0"/>
      <w:marTop w:val="0"/>
      <w:marBottom w:val="0"/>
      <w:divBdr>
        <w:top w:val="none" w:sz="0" w:space="0" w:color="auto"/>
        <w:left w:val="none" w:sz="0" w:space="0" w:color="auto"/>
        <w:bottom w:val="none" w:sz="0" w:space="0" w:color="auto"/>
        <w:right w:val="none" w:sz="0" w:space="0" w:color="auto"/>
      </w:divBdr>
    </w:div>
    <w:div w:id="1222524162">
      <w:marLeft w:val="0"/>
      <w:marRight w:val="0"/>
      <w:marTop w:val="0"/>
      <w:marBottom w:val="0"/>
      <w:divBdr>
        <w:top w:val="none" w:sz="0" w:space="0" w:color="auto"/>
        <w:left w:val="none" w:sz="0" w:space="0" w:color="auto"/>
        <w:bottom w:val="none" w:sz="0" w:space="0" w:color="auto"/>
        <w:right w:val="none" w:sz="0" w:space="0" w:color="auto"/>
      </w:divBdr>
      <w:divsChild>
        <w:div w:id="1425103386">
          <w:marLeft w:val="0"/>
          <w:marRight w:val="0"/>
          <w:marTop w:val="0"/>
          <w:marBottom w:val="0"/>
          <w:divBdr>
            <w:top w:val="none" w:sz="0" w:space="0" w:color="auto"/>
            <w:left w:val="none" w:sz="0" w:space="0" w:color="auto"/>
            <w:bottom w:val="none" w:sz="0" w:space="0" w:color="auto"/>
            <w:right w:val="none" w:sz="0" w:space="0" w:color="auto"/>
          </w:divBdr>
        </w:div>
      </w:divsChild>
    </w:div>
    <w:div w:id="1223174247">
      <w:marLeft w:val="0"/>
      <w:marRight w:val="0"/>
      <w:marTop w:val="0"/>
      <w:marBottom w:val="0"/>
      <w:divBdr>
        <w:top w:val="none" w:sz="0" w:space="0" w:color="auto"/>
        <w:left w:val="none" w:sz="0" w:space="0" w:color="auto"/>
        <w:bottom w:val="none" w:sz="0" w:space="0" w:color="auto"/>
        <w:right w:val="none" w:sz="0" w:space="0" w:color="auto"/>
      </w:divBdr>
      <w:divsChild>
        <w:div w:id="1716811469">
          <w:marLeft w:val="0"/>
          <w:marRight w:val="0"/>
          <w:marTop w:val="0"/>
          <w:marBottom w:val="0"/>
          <w:divBdr>
            <w:top w:val="none" w:sz="0" w:space="0" w:color="auto"/>
            <w:left w:val="none" w:sz="0" w:space="0" w:color="auto"/>
            <w:bottom w:val="none" w:sz="0" w:space="0" w:color="auto"/>
            <w:right w:val="none" w:sz="0" w:space="0" w:color="auto"/>
          </w:divBdr>
        </w:div>
      </w:divsChild>
    </w:div>
    <w:div w:id="1228416630">
      <w:marLeft w:val="0"/>
      <w:marRight w:val="0"/>
      <w:marTop w:val="0"/>
      <w:marBottom w:val="0"/>
      <w:divBdr>
        <w:top w:val="none" w:sz="0" w:space="0" w:color="auto"/>
        <w:left w:val="none" w:sz="0" w:space="0" w:color="auto"/>
        <w:bottom w:val="none" w:sz="0" w:space="0" w:color="auto"/>
        <w:right w:val="none" w:sz="0" w:space="0" w:color="auto"/>
      </w:divBdr>
    </w:div>
    <w:div w:id="1229000115">
      <w:marLeft w:val="0"/>
      <w:marRight w:val="0"/>
      <w:marTop w:val="0"/>
      <w:marBottom w:val="0"/>
      <w:divBdr>
        <w:top w:val="none" w:sz="0" w:space="0" w:color="auto"/>
        <w:left w:val="none" w:sz="0" w:space="0" w:color="auto"/>
        <w:bottom w:val="none" w:sz="0" w:space="0" w:color="auto"/>
        <w:right w:val="none" w:sz="0" w:space="0" w:color="auto"/>
      </w:divBdr>
    </w:div>
    <w:div w:id="1231188072">
      <w:marLeft w:val="0"/>
      <w:marRight w:val="0"/>
      <w:marTop w:val="0"/>
      <w:marBottom w:val="0"/>
      <w:divBdr>
        <w:top w:val="none" w:sz="0" w:space="0" w:color="auto"/>
        <w:left w:val="none" w:sz="0" w:space="0" w:color="auto"/>
        <w:bottom w:val="none" w:sz="0" w:space="0" w:color="auto"/>
        <w:right w:val="none" w:sz="0" w:space="0" w:color="auto"/>
      </w:divBdr>
    </w:div>
    <w:div w:id="1231691980">
      <w:marLeft w:val="0"/>
      <w:marRight w:val="0"/>
      <w:marTop w:val="0"/>
      <w:marBottom w:val="0"/>
      <w:divBdr>
        <w:top w:val="none" w:sz="0" w:space="0" w:color="auto"/>
        <w:left w:val="none" w:sz="0" w:space="0" w:color="auto"/>
        <w:bottom w:val="none" w:sz="0" w:space="0" w:color="auto"/>
        <w:right w:val="none" w:sz="0" w:space="0" w:color="auto"/>
      </w:divBdr>
    </w:div>
    <w:div w:id="1232696355">
      <w:marLeft w:val="0"/>
      <w:marRight w:val="0"/>
      <w:marTop w:val="0"/>
      <w:marBottom w:val="0"/>
      <w:divBdr>
        <w:top w:val="none" w:sz="0" w:space="0" w:color="auto"/>
        <w:left w:val="none" w:sz="0" w:space="0" w:color="auto"/>
        <w:bottom w:val="none" w:sz="0" w:space="0" w:color="auto"/>
        <w:right w:val="none" w:sz="0" w:space="0" w:color="auto"/>
      </w:divBdr>
    </w:div>
    <w:div w:id="1234974534">
      <w:marLeft w:val="0"/>
      <w:marRight w:val="0"/>
      <w:marTop w:val="0"/>
      <w:marBottom w:val="0"/>
      <w:divBdr>
        <w:top w:val="none" w:sz="0" w:space="0" w:color="auto"/>
        <w:left w:val="none" w:sz="0" w:space="0" w:color="auto"/>
        <w:bottom w:val="none" w:sz="0" w:space="0" w:color="auto"/>
        <w:right w:val="none" w:sz="0" w:space="0" w:color="auto"/>
      </w:divBdr>
    </w:div>
    <w:div w:id="1236086345">
      <w:marLeft w:val="0"/>
      <w:marRight w:val="0"/>
      <w:marTop w:val="0"/>
      <w:marBottom w:val="0"/>
      <w:divBdr>
        <w:top w:val="none" w:sz="0" w:space="0" w:color="auto"/>
        <w:left w:val="none" w:sz="0" w:space="0" w:color="auto"/>
        <w:bottom w:val="none" w:sz="0" w:space="0" w:color="auto"/>
        <w:right w:val="none" w:sz="0" w:space="0" w:color="auto"/>
      </w:divBdr>
    </w:div>
    <w:div w:id="1241409527">
      <w:marLeft w:val="0"/>
      <w:marRight w:val="0"/>
      <w:marTop w:val="0"/>
      <w:marBottom w:val="0"/>
      <w:divBdr>
        <w:top w:val="none" w:sz="0" w:space="0" w:color="auto"/>
        <w:left w:val="none" w:sz="0" w:space="0" w:color="auto"/>
        <w:bottom w:val="none" w:sz="0" w:space="0" w:color="auto"/>
        <w:right w:val="none" w:sz="0" w:space="0" w:color="auto"/>
      </w:divBdr>
    </w:div>
    <w:div w:id="1241794509">
      <w:marLeft w:val="0"/>
      <w:marRight w:val="0"/>
      <w:marTop w:val="0"/>
      <w:marBottom w:val="0"/>
      <w:divBdr>
        <w:top w:val="none" w:sz="0" w:space="0" w:color="auto"/>
        <w:left w:val="none" w:sz="0" w:space="0" w:color="auto"/>
        <w:bottom w:val="none" w:sz="0" w:space="0" w:color="auto"/>
        <w:right w:val="none" w:sz="0" w:space="0" w:color="auto"/>
      </w:divBdr>
    </w:div>
    <w:div w:id="1245261898">
      <w:marLeft w:val="0"/>
      <w:marRight w:val="0"/>
      <w:marTop w:val="0"/>
      <w:marBottom w:val="0"/>
      <w:divBdr>
        <w:top w:val="none" w:sz="0" w:space="0" w:color="auto"/>
        <w:left w:val="none" w:sz="0" w:space="0" w:color="auto"/>
        <w:bottom w:val="none" w:sz="0" w:space="0" w:color="auto"/>
        <w:right w:val="none" w:sz="0" w:space="0" w:color="auto"/>
      </w:divBdr>
    </w:div>
    <w:div w:id="1248149035">
      <w:marLeft w:val="0"/>
      <w:marRight w:val="0"/>
      <w:marTop w:val="0"/>
      <w:marBottom w:val="0"/>
      <w:divBdr>
        <w:top w:val="none" w:sz="0" w:space="0" w:color="auto"/>
        <w:left w:val="none" w:sz="0" w:space="0" w:color="auto"/>
        <w:bottom w:val="none" w:sz="0" w:space="0" w:color="auto"/>
        <w:right w:val="none" w:sz="0" w:space="0" w:color="auto"/>
      </w:divBdr>
    </w:div>
    <w:div w:id="1249340912">
      <w:marLeft w:val="0"/>
      <w:marRight w:val="0"/>
      <w:marTop w:val="0"/>
      <w:marBottom w:val="0"/>
      <w:divBdr>
        <w:top w:val="none" w:sz="0" w:space="0" w:color="auto"/>
        <w:left w:val="none" w:sz="0" w:space="0" w:color="auto"/>
        <w:bottom w:val="none" w:sz="0" w:space="0" w:color="auto"/>
        <w:right w:val="none" w:sz="0" w:space="0" w:color="auto"/>
      </w:divBdr>
    </w:div>
    <w:div w:id="1249343259">
      <w:marLeft w:val="0"/>
      <w:marRight w:val="0"/>
      <w:marTop w:val="0"/>
      <w:marBottom w:val="0"/>
      <w:divBdr>
        <w:top w:val="none" w:sz="0" w:space="0" w:color="auto"/>
        <w:left w:val="none" w:sz="0" w:space="0" w:color="auto"/>
        <w:bottom w:val="none" w:sz="0" w:space="0" w:color="auto"/>
        <w:right w:val="none" w:sz="0" w:space="0" w:color="auto"/>
      </w:divBdr>
      <w:divsChild>
        <w:div w:id="1902322912">
          <w:marLeft w:val="0"/>
          <w:marRight w:val="0"/>
          <w:marTop w:val="0"/>
          <w:marBottom w:val="0"/>
          <w:divBdr>
            <w:top w:val="none" w:sz="0" w:space="0" w:color="auto"/>
            <w:left w:val="none" w:sz="0" w:space="0" w:color="auto"/>
            <w:bottom w:val="none" w:sz="0" w:space="0" w:color="auto"/>
            <w:right w:val="none" w:sz="0" w:space="0" w:color="auto"/>
          </w:divBdr>
        </w:div>
      </w:divsChild>
    </w:div>
    <w:div w:id="1251695961">
      <w:marLeft w:val="0"/>
      <w:marRight w:val="0"/>
      <w:marTop w:val="0"/>
      <w:marBottom w:val="0"/>
      <w:divBdr>
        <w:top w:val="none" w:sz="0" w:space="0" w:color="auto"/>
        <w:left w:val="none" w:sz="0" w:space="0" w:color="auto"/>
        <w:bottom w:val="none" w:sz="0" w:space="0" w:color="auto"/>
        <w:right w:val="none" w:sz="0" w:space="0" w:color="auto"/>
      </w:divBdr>
    </w:div>
    <w:div w:id="1255044561">
      <w:marLeft w:val="0"/>
      <w:marRight w:val="0"/>
      <w:marTop w:val="0"/>
      <w:marBottom w:val="0"/>
      <w:divBdr>
        <w:top w:val="none" w:sz="0" w:space="0" w:color="auto"/>
        <w:left w:val="none" w:sz="0" w:space="0" w:color="auto"/>
        <w:bottom w:val="none" w:sz="0" w:space="0" w:color="auto"/>
        <w:right w:val="none" w:sz="0" w:space="0" w:color="auto"/>
      </w:divBdr>
    </w:div>
    <w:div w:id="1257136675">
      <w:marLeft w:val="0"/>
      <w:marRight w:val="0"/>
      <w:marTop w:val="0"/>
      <w:marBottom w:val="0"/>
      <w:divBdr>
        <w:top w:val="none" w:sz="0" w:space="0" w:color="auto"/>
        <w:left w:val="none" w:sz="0" w:space="0" w:color="auto"/>
        <w:bottom w:val="none" w:sz="0" w:space="0" w:color="auto"/>
        <w:right w:val="none" w:sz="0" w:space="0" w:color="auto"/>
      </w:divBdr>
      <w:divsChild>
        <w:div w:id="958485452">
          <w:marLeft w:val="0"/>
          <w:marRight w:val="0"/>
          <w:marTop w:val="0"/>
          <w:marBottom w:val="0"/>
          <w:divBdr>
            <w:top w:val="none" w:sz="0" w:space="0" w:color="auto"/>
            <w:left w:val="none" w:sz="0" w:space="0" w:color="auto"/>
            <w:bottom w:val="none" w:sz="0" w:space="0" w:color="auto"/>
            <w:right w:val="none" w:sz="0" w:space="0" w:color="auto"/>
          </w:divBdr>
        </w:div>
      </w:divsChild>
    </w:div>
    <w:div w:id="1267690373">
      <w:marLeft w:val="0"/>
      <w:marRight w:val="0"/>
      <w:marTop w:val="0"/>
      <w:marBottom w:val="0"/>
      <w:divBdr>
        <w:top w:val="none" w:sz="0" w:space="0" w:color="auto"/>
        <w:left w:val="none" w:sz="0" w:space="0" w:color="auto"/>
        <w:bottom w:val="none" w:sz="0" w:space="0" w:color="auto"/>
        <w:right w:val="none" w:sz="0" w:space="0" w:color="auto"/>
      </w:divBdr>
    </w:div>
    <w:div w:id="1272009941">
      <w:marLeft w:val="0"/>
      <w:marRight w:val="0"/>
      <w:marTop w:val="0"/>
      <w:marBottom w:val="0"/>
      <w:divBdr>
        <w:top w:val="none" w:sz="0" w:space="0" w:color="auto"/>
        <w:left w:val="none" w:sz="0" w:space="0" w:color="auto"/>
        <w:bottom w:val="none" w:sz="0" w:space="0" w:color="auto"/>
        <w:right w:val="none" w:sz="0" w:space="0" w:color="auto"/>
      </w:divBdr>
    </w:div>
    <w:div w:id="1273052861">
      <w:marLeft w:val="0"/>
      <w:marRight w:val="0"/>
      <w:marTop w:val="0"/>
      <w:marBottom w:val="0"/>
      <w:divBdr>
        <w:top w:val="none" w:sz="0" w:space="0" w:color="auto"/>
        <w:left w:val="none" w:sz="0" w:space="0" w:color="auto"/>
        <w:bottom w:val="none" w:sz="0" w:space="0" w:color="auto"/>
        <w:right w:val="none" w:sz="0" w:space="0" w:color="auto"/>
      </w:divBdr>
      <w:divsChild>
        <w:div w:id="1366641261">
          <w:marLeft w:val="0"/>
          <w:marRight w:val="0"/>
          <w:marTop w:val="0"/>
          <w:marBottom w:val="0"/>
          <w:divBdr>
            <w:top w:val="none" w:sz="0" w:space="0" w:color="auto"/>
            <w:left w:val="none" w:sz="0" w:space="0" w:color="auto"/>
            <w:bottom w:val="none" w:sz="0" w:space="0" w:color="auto"/>
            <w:right w:val="none" w:sz="0" w:space="0" w:color="auto"/>
          </w:divBdr>
        </w:div>
      </w:divsChild>
    </w:div>
    <w:div w:id="1278364965">
      <w:marLeft w:val="0"/>
      <w:marRight w:val="0"/>
      <w:marTop w:val="0"/>
      <w:marBottom w:val="0"/>
      <w:divBdr>
        <w:top w:val="none" w:sz="0" w:space="0" w:color="auto"/>
        <w:left w:val="none" w:sz="0" w:space="0" w:color="auto"/>
        <w:bottom w:val="none" w:sz="0" w:space="0" w:color="auto"/>
        <w:right w:val="none" w:sz="0" w:space="0" w:color="auto"/>
      </w:divBdr>
    </w:div>
    <w:div w:id="1284771949">
      <w:marLeft w:val="0"/>
      <w:marRight w:val="0"/>
      <w:marTop w:val="0"/>
      <w:marBottom w:val="0"/>
      <w:divBdr>
        <w:top w:val="none" w:sz="0" w:space="0" w:color="auto"/>
        <w:left w:val="none" w:sz="0" w:space="0" w:color="auto"/>
        <w:bottom w:val="none" w:sz="0" w:space="0" w:color="auto"/>
        <w:right w:val="none" w:sz="0" w:space="0" w:color="auto"/>
      </w:divBdr>
      <w:divsChild>
        <w:div w:id="246891703">
          <w:marLeft w:val="0"/>
          <w:marRight w:val="0"/>
          <w:marTop w:val="0"/>
          <w:marBottom w:val="0"/>
          <w:divBdr>
            <w:top w:val="none" w:sz="0" w:space="0" w:color="auto"/>
            <w:left w:val="none" w:sz="0" w:space="0" w:color="auto"/>
            <w:bottom w:val="none" w:sz="0" w:space="0" w:color="auto"/>
            <w:right w:val="none" w:sz="0" w:space="0" w:color="auto"/>
          </w:divBdr>
        </w:div>
      </w:divsChild>
    </w:div>
    <w:div w:id="1285035741">
      <w:marLeft w:val="0"/>
      <w:marRight w:val="0"/>
      <w:marTop w:val="0"/>
      <w:marBottom w:val="0"/>
      <w:divBdr>
        <w:top w:val="none" w:sz="0" w:space="0" w:color="auto"/>
        <w:left w:val="none" w:sz="0" w:space="0" w:color="auto"/>
        <w:bottom w:val="none" w:sz="0" w:space="0" w:color="auto"/>
        <w:right w:val="none" w:sz="0" w:space="0" w:color="auto"/>
      </w:divBdr>
    </w:div>
    <w:div w:id="1290010890">
      <w:marLeft w:val="0"/>
      <w:marRight w:val="0"/>
      <w:marTop w:val="0"/>
      <w:marBottom w:val="0"/>
      <w:divBdr>
        <w:top w:val="none" w:sz="0" w:space="0" w:color="auto"/>
        <w:left w:val="none" w:sz="0" w:space="0" w:color="auto"/>
        <w:bottom w:val="none" w:sz="0" w:space="0" w:color="auto"/>
        <w:right w:val="none" w:sz="0" w:space="0" w:color="auto"/>
      </w:divBdr>
    </w:div>
    <w:div w:id="1316757649">
      <w:marLeft w:val="0"/>
      <w:marRight w:val="0"/>
      <w:marTop w:val="0"/>
      <w:marBottom w:val="0"/>
      <w:divBdr>
        <w:top w:val="none" w:sz="0" w:space="0" w:color="auto"/>
        <w:left w:val="none" w:sz="0" w:space="0" w:color="auto"/>
        <w:bottom w:val="none" w:sz="0" w:space="0" w:color="auto"/>
        <w:right w:val="none" w:sz="0" w:space="0" w:color="auto"/>
      </w:divBdr>
    </w:div>
    <w:div w:id="1321614161">
      <w:marLeft w:val="0"/>
      <w:marRight w:val="0"/>
      <w:marTop w:val="0"/>
      <w:marBottom w:val="0"/>
      <w:divBdr>
        <w:top w:val="none" w:sz="0" w:space="0" w:color="auto"/>
        <w:left w:val="none" w:sz="0" w:space="0" w:color="auto"/>
        <w:bottom w:val="none" w:sz="0" w:space="0" w:color="auto"/>
        <w:right w:val="none" w:sz="0" w:space="0" w:color="auto"/>
      </w:divBdr>
    </w:div>
    <w:div w:id="1326935405">
      <w:marLeft w:val="0"/>
      <w:marRight w:val="0"/>
      <w:marTop w:val="0"/>
      <w:marBottom w:val="0"/>
      <w:divBdr>
        <w:top w:val="none" w:sz="0" w:space="0" w:color="auto"/>
        <w:left w:val="none" w:sz="0" w:space="0" w:color="auto"/>
        <w:bottom w:val="none" w:sz="0" w:space="0" w:color="auto"/>
        <w:right w:val="none" w:sz="0" w:space="0" w:color="auto"/>
      </w:divBdr>
    </w:div>
    <w:div w:id="1329409481">
      <w:marLeft w:val="0"/>
      <w:marRight w:val="0"/>
      <w:marTop w:val="0"/>
      <w:marBottom w:val="0"/>
      <w:divBdr>
        <w:top w:val="none" w:sz="0" w:space="0" w:color="auto"/>
        <w:left w:val="none" w:sz="0" w:space="0" w:color="auto"/>
        <w:bottom w:val="none" w:sz="0" w:space="0" w:color="auto"/>
        <w:right w:val="none" w:sz="0" w:space="0" w:color="auto"/>
      </w:divBdr>
    </w:div>
    <w:div w:id="1339888252">
      <w:marLeft w:val="0"/>
      <w:marRight w:val="0"/>
      <w:marTop w:val="0"/>
      <w:marBottom w:val="0"/>
      <w:divBdr>
        <w:top w:val="none" w:sz="0" w:space="0" w:color="auto"/>
        <w:left w:val="none" w:sz="0" w:space="0" w:color="auto"/>
        <w:bottom w:val="none" w:sz="0" w:space="0" w:color="auto"/>
        <w:right w:val="none" w:sz="0" w:space="0" w:color="auto"/>
      </w:divBdr>
    </w:div>
    <w:div w:id="1340504240">
      <w:marLeft w:val="0"/>
      <w:marRight w:val="0"/>
      <w:marTop w:val="0"/>
      <w:marBottom w:val="0"/>
      <w:divBdr>
        <w:top w:val="none" w:sz="0" w:space="0" w:color="auto"/>
        <w:left w:val="none" w:sz="0" w:space="0" w:color="auto"/>
        <w:bottom w:val="none" w:sz="0" w:space="0" w:color="auto"/>
        <w:right w:val="none" w:sz="0" w:space="0" w:color="auto"/>
      </w:divBdr>
    </w:div>
    <w:div w:id="1342122368">
      <w:marLeft w:val="0"/>
      <w:marRight w:val="0"/>
      <w:marTop w:val="0"/>
      <w:marBottom w:val="0"/>
      <w:divBdr>
        <w:top w:val="none" w:sz="0" w:space="0" w:color="auto"/>
        <w:left w:val="none" w:sz="0" w:space="0" w:color="auto"/>
        <w:bottom w:val="none" w:sz="0" w:space="0" w:color="auto"/>
        <w:right w:val="none" w:sz="0" w:space="0" w:color="auto"/>
      </w:divBdr>
    </w:div>
    <w:div w:id="1349402682">
      <w:marLeft w:val="0"/>
      <w:marRight w:val="0"/>
      <w:marTop w:val="0"/>
      <w:marBottom w:val="0"/>
      <w:divBdr>
        <w:top w:val="none" w:sz="0" w:space="0" w:color="auto"/>
        <w:left w:val="none" w:sz="0" w:space="0" w:color="auto"/>
        <w:bottom w:val="none" w:sz="0" w:space="0" w:color="auto"/>
        <w:right w:val="none" w:sz="0" w:space="0" w:color="auto"/>
      </w:divBdr>
    </w:div>
    <w:div w:id="1353609478">
      <w:marLeft w:val="0"/>
      <w:marRight w:val="0"/>
      <w:marTop w:val="0"/>
      <w:marBottom w:val="0"/>
      <w:divBdr>
        <w:top w:val="none" w:sz="0" w:space="0" w:color="auto"/>
        <w:left w:val="none" w:sz="0" w:space="0" w:color="auto"/>
        <w:bottom w:val="none" w:sz="0" w:space="0" w:color="auto"/>
        <w:right w:val="none" w:sz="0" w:space="0" w:color="auto"/>
      </w:divBdr>
      <w:divsChild>
        <w:div w:id="1053164666">
          <w:marLeft w:val="0"/>
          <w:marRight w:val="0"/>
          <w:marTop w:val="0"/>
          <w:marBottom w:val="0"/>
          <w:divBdr>
            <w:top w:val="none" w:sz="0" w:space="0" w:color="auto"/>
            <w:left w:val="none" w:sz="0" w:space="0" w:color="auto"/>
            <w:bottom w:val="none" w:sz="0" w:space="0" w:color="auto"/>
            <w:right w:val="none" w:sz="0" w:space="0" w:color="auto"/>
          </w:divBdr>
        </w:div>
      </w:divsChild>
    </w:div>
    <w:div w:id="1354915931">
      <w:marLeft w:val="0"/>
      <w:marRight w:val="0"/>
      <w:marTop w:val="0"/>
      <w:marBottom w:val="0"/>
      <w:divBdr>
        <w:top w:val="none" w:sz="0" w:space="0" w:color="auto"/>
        <w:left w:val="none" w:sz="0" w:space="0" w:color="auto"/>
        <w:bottom w:val="none" w:sz="0" w:space="0" w:color="auto"/>
        <w:right w:val="none" w:sz="0" w:space="0" w:color="auto"/>
      </w:divBdr>
    </w:div>
    <w:div w:id="1360666797">
      <w:marLeft w:val="0"/>
      <w:marRight w:val="0"/>
      <w:marTop w:val="0"/>
      <w:marBottom w:val="0"/>
      <w:divBdr>
        <w:top w:val="none" w:sz="0" w:space="0" w:color="auto"/>
        <w:left w:val="none" w:sz="0" w:space="0" w:color="auto"/>
        <w:bottom w:val="none" w:sz="0" w:space="0" w:color="auto"/>
        <w:right w:val="none" w:sz="0" w:space="0" w:color="auto"/>
      </w:divBdr>
      <w:divsChild>
        <w:div w:id="691567313">
          <w:marLeft w:val="0"/>
          <w:marRight w:val="0"/>
          <w:marTop w:val="0"/>
          <w:marBottom w:val="0"/>
          <w:divBdr>
            <w:top w:val="none" w:sz="0" w:space="0" w:color="auto"/>
            <w:left w:val="none" w:sz="0" w:space="0" w:color="auto"/>
            <w:bottom w:val="none" w:sz="0" w:space="0" w:color="auto"/>
            <w:right w:val="none" w:sz="0" w:space="0" w:color="auto"/>
          </w:divBdr>
        </w:div>
      </w:divsChild>
    </w:div>
    <w:div w:id="1367873268">
      <w:marLeft w:val="0"/>
      <w:marRight w:val="0"/>
      <w:marTop w:val="0"/>
      <w:marBottom w:val="0"/>
      <w:divBdr>
        <w:top w:val="none" w:sz="0" w:space="0" w:color="auto"/>
        <w:left w:val="none" w:sz="0" w:space="0" w:color="auto"/>
        <w:bottom w:val="none" w:sz="0" w:space="0" w:color="auto"/>
        <w:right w:val="none" w:sz="0" w:space="0" w:color="auto"/>
      </w:divBdr>
    </w:div>
    <w:div w:id="1372538492">
      <w:marLeft w:val="0"/>
      <w:marRight w:val="0"/>
      <w:marTop w:val="0"/>
      <w:marBottom w:val="0"/>
      <w:divBdr>
        <w:top w:val="none" w:sz="0" w:space="0" w:color="auto"/>
        <w:left w:val="none" w:sz="0" w:space="0" w:color="auto"/>
        <w:bottom w:val="none" w:sz="0" w:space="0" w:color="auto"/>
        <w:right w:val="none" w:sz="0" w:space="0" w:color="auto"/>
      </w:divBdr>
    </w:div>
    <w:div w:id="1375425813">
      <w:marLeft w:val="0"/>
      <w:marRight w:val="0"/>
      <w:marTop w:val="0"/>
      <w:marBottom w:val="0"/>
      <w:divBdr>
        <w:top w:val="none" w:sz="0" w:space="0" w:color="auto"/>
        <w:left w:val="none" w:sz="0" w:space="0" w:color="auto"/>
        <w:bottom w:val="none" w:sz="0" w:space="0" w:color="auto"/>
        <w:right w:val="none" w:sz="0" w:space="0" w:color="auto"/>
      </w:divBdr>
    </w:div>
    <w:div w:id="1382439524">
      <w:marLeft w:val="0"/>
      <w:marRight w:val="0"/>
      <w:marTop w:val="0"/>
      <w:marBottom w:val="0"/>
      <w:divBdr>
        <w:top w:val="none" w:sz="0" w:space="0" w:color="auto"/>
        <w:left w:val="none" w:sz="0" w:space="0" w:color="auto"/>
        <w:bottom w:val="none" w:sz="0" w:space="0" w:color="auto"/>
        <w:right w:val="none" w:sz="0" w:space="0" w:color="auto"/>
      </w:divBdr>
    </w:div>
    <w:div w:id="1386489883">
      <w:marLeft w:val="0"/>
      <w:marRight w:val="0"/>
      <w:marTop w:val="0"/>
      <w:marBottom w:val="0"/>
      <w:divBdr>
        <w:top w:val="none" w:sz="0" w:space="0" w:color="auto"/>
        <w:left w:val="none" w:sz="0" w:space="0" w:color="auto"/>
        <w:bottom w:val="none" w:sz="0" w:space="0" w:color="auto"/>
        <w:right w:val="none" w:sz="0" w:space="0" w:color="auto"/>
      </w:divBdr>
      <w:divsChild>
        <w:div w:id="2005280549">
          <w:marLeft w:val="0"/>
          <w:marRight w:val="0"/>
          <w:marTop w:val="0"/>
          <w:marBottom w:val="0"/>
          <w:divBdr>
            <w:top w:val="none" w:sz="0" w:space="0" w:color="auto"/>
            <w:left w:val="none" w:sz="0" w:space="0" w:color="auto"/>
            <w:bottom w:val="none" w:sz="0" w:space="0" w:color="auto"/>
            <w:right w:val="none" w:sz="0" w:space="0" w:color="auto"/>
          </w:divBdr>
        </w:div>
      </w:divsChild>
    </w:div>
    <w:div w:id="1390684437">
      <w:marLeft w:val="0"/>
      <w:marRight w:val="0"/>
      <w:marTop w:val="0"/>
      <w:marBottom w:val="0"/>
      <w:divBdr>
        <w:top w:val="none" w:sz="0" w:space="0" w:color="auto"/>
        <w:left w:val="none" w:sz="0" w:space="0" w:color="auto"/>
        <w:bottom w:val="none" w:sz="0" w:space="0" w:color="auto"/>
        <w:right w:val="none" w:sz="0" w:space="0" w:color="auto"/>
      </w:divBdr>
    </w:div>
    <w:div w:id="1392538150">
      <w:marLeft w:val="0"/>
      <w:marRight w:val="0"/>
      <w:marTop w:val="0"/>
      <w:marBottom w:val="0"/>
      <w:divBdr>
        <w:top w:val="none" w:sz="0" w:space="0" w:color="auto"/>
        <w:left w:val="none" w:sz="0" w:space="0" w:color="auto"/>
        <w:bottom w:val="none" w:sz="0" w:space="0" w:color="auto"/>
        <w:right w:val="none" w:sz="0" w:space="0" w:color="auto"/>
      </w:divBdr>
    </w:div>
    <w:div w:id="1399866167">
      <w:marLeft w:val="0"/>
      <w:marRight w:val="0"/>
      <w:marTop w:val="0"/>
      <w:marBottom w:val="0"/>
      <w:divBdr>
        <w:top w:val="none" w:sz="0" w:space="0" w:color="auto"/>
        <w:left w:val="none" w:sz="0" w:space="0" w:color="auto"/>
        <w:bottom w:val="none" w:sz="0" w:space="0" w:color="auto"/>
        <w:right w:val="none" w:sz="0" w:space="0" w:color="auto"/>
      </w:divBdr>
    </w:div>
    <w:div w:id="1407801531">
      <w:marLeft w:val="0"/>
      <w:marRight w:val="0"/>
      <w:marTop w:val="0"/>
      <w:marBottom w:val="0"/>
      <w:divBdr>
        <w:top w:val="none" w:sz="0" w:space="0" w:color="auto"/>
        <w:left w:val="none" w:sz="0" w:space="0" w:color="auto"/>
        <w:bottom w:val="none" w:sz="0" w:space="0" w:color="auto"/>
        <w:right w:val="none" w:sz="0" w:space="0" w:color="auto"/>
      </w:divBdr>
    </w:div>
    <w:div w:id="1408068665">
      <w:marLeft w:val="0"/>
      <w:marRight w:val="0"/>
      <w:marTop w:val="0"/>
      <w:marBottom w:val="0"/>
      <w:divBdr>
        <w:top w:val="none" w:sz="0" w:space="0" w:color="auto"/>
        <w:left w:val="none" w:sz="0" w:space="0" w:color="auto"/>
        <w:bottom w:val="none" w:sz="0" w:space="0" w:color="auto"/>
        <w:right w:val="none" w:sz="0" w:space="0" w:color="auto"/>
      </w:divBdr>
      <w:divsChild>
        <w:div w:id="1691253941">
          <w:marLeft w:val="0"/>
          <w:marRight w:val="0"/>
          <w:marTop w:val="0"/>
          <w:marBottom w:val="0"/>
          <w:divBdr>
            <w:top w:val="none" w:sz="0" w:space="0" w:color="auto"/>
            <w:left w:val="none" w:sz="0" w:space="0" w:color="auto"/>
            <w:bottom w:val="none" w:sz="0" w:space="0" w:color="auto"/>
            <w:right w:val="none" w:sz="0" w:space="0" w:color="auto"/>
          </w:divBdr>
        </w:div>
      </w:divsChild>
    </w:div>
    <w:div w:id="1412310474">
      <w:marLeft w:val="0"/>
      <w:marRight w:val="0"/>
      <w:marTop w:val="0"/>
      <w:marBottom w:val="0"/>
      <w:divBdr>
        <w:top w:val="none" w:sz="0" w:space="0" w:color="auto"/>
        <w:left w:val="none" w:sz="0" w:space="0" w:color="auto"/>
        <w:bottom w:val="none" w:sz="0" w:space="0" w:color="auto"/>
        <w:right w:val="none" w:sz="0" w:space="0" w:color="auto"/>
      </w:divBdr>
    </w:div>
    <w:div w:id="1412972128">
      <w:marLeft w:val="0"/>
      <w:marRight w:val="0"/>
      <w:marTop w:val="0"/>
      <w:marBottom w:val="0"/>
      <w:divBdr>
        <w:top w:val="none" w:sz="0" w:space="0" w:color="auto"/>
        <w:left w:val="none" w:sz="0" w:space="0" w:color="auto"/>
        <w:bottom w:val="none" w:sz="0" w:space="0" w:color="auto"/>
        <w:right w:val="none" w:sz="0" w:space="0" w:color="auto"/>
      </w:divBdr>
    </w:div>
    <w:div w:id="1420367627">
      <w:marLeft w:val="0"/>
      <w:marRight w:val="0"/>
      <w:marTop w:val="0"/>
      <w:marBottom w:val="0"/>
      <w:divBdr>
        <w:top w:val="none" w:sz="0" w:space="0" w:color="auto"/>
        <w:left w:val="none" w:sz="0" w:space="0" w:color="auto"/>
        <w:bottom w:val="none" w:sz="0" w:space="0" w:color="auto"/>
        <w:right w:val="none" w:sz="0" w:space="0" w:color="auto"/>
      </w:divBdr>
      <w:divsChild>
        <w:div w:id="4095040">
          <w:marLeft w:val="0"/>
          <w:marRight w:val="0"/>
          <w:marTop w:val="0"/>
          <w:marBottom w:val="0"/>
          <w:divBdr>
            <w:top w:val="none" w:sz="0" w:space="0" w:color="auto"/>
            <w:left w:val="none" w:sz="0" w:space="0" w:color="auto"/>
            <w:bottom w:val="none" w:sz="0" w:space="0" w:color="auto"/>
            <w:right w:val="none" w:sz="0" w:space="0" w:color="auto"/>
          </w:divBdr>
        </w:div>
      </w:divsChild>
    </w:div>
    <w:div w:id="1426456914">
      <w:marLeft w:val="0"/>
      <w:marRight w:val="0"/>
      <w:marTop w:val="0"/>
      <w:marBottom w:val="0"/>
      <w:divBdr>
        <w:top w:val="none" w:sz="0" w:space="0" w:color="auto"/>
        <w:left w:val="none" w:sz="0" w:space="0" w:color="auto"/>
        <w:bottom w:val="none" w:sz="0" w:space="0" w:color="auto"/>
        <w:right w:val="none" w:sz="0" w:space="0" w:color="auto"/>
      </w:divBdr>
      <w:divsChild>
        <w:div w:id="114256929">
          <w:marLeft w:val="0"/>
          <w:marRight w:val="0"/>
          <w:marTop w:val="0"/>
          <w:marBottom w:val="0"/>
          <w:divBdr>
            <w:top w:val="none" w:sz="0" w:space="0" w:color="auto"/>
            <w:left w:val="none" w:sz="0" w:space="0" w:color="auto"/>
            <w:bottom w:val="none" w:sz="0" w:space="0" w:color="auto"/>
            <w:right w:val="none" w:sz="0" w:space="0" w:color="auto"/>
          </w:divBdr>
        </w:div>
      </w:divsChild>
    </w:div>
    <w:div w:id="1432966933">
      <w:marLeft w:val="0"/>
      <w:marRight w:val="0"/>
      <w:marTop w:val="0"/>
      <w:marBottom w:val="0"/>
      <w:divBdr>
        <w:top w:val="none" w:sz="0" w:space="0" w:color="auto"/>
        <w:left w:val="none" w:sz="0" w:space="0" w:color="auto"/>
        <w:bottom w:val="none" w:sz="0" w:space="0" w:color="auto"/>
        <w:right w:val="none" w:sz="0" w:space="0" w:color="auto"/>
      </w:divBdr>
      <w:divsChild>
        <w:div w:id="1762531615">
          <w:marLeft w:val="0"/>
          <w:marRight w:val="0"/>
          <w:marTop w:val="0"/>
          <w:marBottom w:val="0"/>
          <w:divBdr>
            <w:top w:val="none" w:sz="0" w:space="0" w:color="auto"/>
            <w:left w:val="none" w:sz="0" w:space="0" w:color="auto"/>
            <w:bottom w:val="none" w:sz="0" w:space="0" w:color="auto"/>
            <w:right w:val="none" w:sz="0" w:space="0" w:color="auto"/>
          </w:divBdr>
        </w:div>
      </w:divsChild>
    </w:div>
    <w:div w:id="1433357923">
      <w:marLeft w:val="0"/>
      <w:marRight w:val="0"/>
      <w:marTop w:val="0"/>
      <w:marBottom w:val="0"/>
      <w:divBdr>
        <w:top w:val="none" w:sz="0" w:space="0" w:color="auto"/>
        <w:left w:val="none" w:sz="0" w:space="0" w:color="auto"/>
        <w:bottom w:val="none" w:sz="0" w:space="0" w:color="auto"/>
        <w:right w:val="none" w:sz="0" w:space="0" w:color="auto"/>
      </w:divBdr>
      <w:divsChild>
        <w:div w:id="933589592">
          <w:marLeft w:val="0"/>
          <w:marRight w:val="0"/>
          <w:marTop w:val="0"/>
          <w:marBottom w:val="0"/>
          <w:divBdr>
            <w:top w:val="none" w:sz="0" w:space="0" w:color="auto"/>
            <w:left w:val="none" w:sz="0" w:space="0" w:color="auto"/>
            <w:bottom w:val="none" w:sz="0" w:space="0" w:color="auto"/>
            <w:right w:val="none" w:sz="0" w:space="0" w:color="auto"/>
          </w:divBdr>
        </w:div>
      </w:divsChild>
    </w:div>
    <w:div w:id="1438712990">
      <w:marLeft w:val="0"/>
      <w:marRight w:val="0"/>
      <w:marTop w:val="0"/>
      <w:marBottom w:val="0"/>
      <w:divBdr>
        <w:top w:val="none" w:sz="0" w:space="0" w:color="auto"/>
        <w:left w:val="none" w:sz="0" w:space="0" w:color="auto"/>
        <w:bottom w:val="none" w:sz="0" w:space="0" w:color="auto"/>
        <w:right w:val="none" w:sz="0" w:space="0" w:color="auto"/>
      </w:divBdr>
    </w:div>
    <w:div w:id="1440416006">
      <w:marLeft w:val="0"/>
      <w:marRight w:val="0"/>
      <w:marTop w:val="0"/>
      <w:marBottom w:val="0"/>
      <w:divBdr>
        <w:top w:val="none" w:sz="0" w:space="0" w:color="auto"/>
        <w:left w:val="none" w:sz="0" w:space="0" w:color="auto"/>
        <w:bottom w:val="none" w:sz="0" w:space="0" w:color="auto"/>
        <w:right w:val="none" w:sz="0" w:space="0" w:color="auto"/>
      </w:divBdr>
      <w:divsChild>
        <w:div w:id="795565371">
          <w:marLeft w:val="0"/>
          <w:marRight w:val="0"/>
          <w:marTop w:val="0"/>
          <w:marBottom w:val="0"/>
          <w:divBdr>
            <w:top w:val="none" w:sz="0" w:space="0" w:color="auto"/>
            <w:left w:val="none" w:sz="0" w:space="0" w:color="auto"/>
            <w:bottom w:val="none" w:sz="0" w:space="0" w:color="auto"/>
            <w:right w:val="none" w:sz="0" w:space="0" w:color="auto"/>
          </w:divBdr>
        </w:div>
      </w:divsChild>
    </w:div>
    <w:div w:id="1445417486">
      <w:marLeft w:val="0"/>
      <w:marRight w:val="0"/>
      <w:marTop w:val="0"/>
      <w:marBottom w:val="0"/>
      <w:divBdr>
        <w:top w:val="none" w:sz="0" w:space="0" w:color="auto"/>
        <w:left w:val="none" w:sz="0" w:space="0" w:color="auto"/>
        <w:bottom w:val="none" w:sz="0" w:space="0" w:color="auto"/>
        <w:right w:val="none" w:sz="0" w:space="0" w:color="auto"/>
      </w:divBdr>
    </w:div>
    <w:div w:id="1445883959">
      <w:marLeft w:val="0"/>
      <w:marRight w:val="0"/>
      <w:marTop w:val="0"/>
      <w:marBottom w:val="0"/>
      <w:divBdr>
        <w:top w:val="none" w:sz="0" w:space="0" w:color="auto"/>
        <w:left w:val="none" w:sz="0" w:space="0" w:color="auto"/>
        <w:bottom w:val="none" w:sz="0" w:space="0" w:color="auto"/>
        <w:right w:val="none" w:sz="0" w:space="0" w:color="auto"/>
      </w:divBdr>
    </w:div>
    <w:div w:id="1447849534">
      <w:marLeft w:val="0"/>
      <w:marRight w:val="0"/>
      <w:marTop w:val="0"/>
      <w:marBottom w:val="0"/>
      <w:divBdr>
        <w:top w:val="none" w:sz="0" w:space="0" w:color="auto"/>
        <w:left w:val="none" w:sz="0" w:space="0" w:color="auto"/>
        <w:bottom w:val="none" w:sz="0" w:space="0" w:color="auto"/>
        <w:right w:val="none" w:sz="0" w:space="0" w:color="auto"/>
      </w:divBdr>
      <w:divsChild>
        <w:div w:id="1858497412">
          <w:marLeft w:val="0"/>
          <w:marRight w:val="0"/>
          <w:marTop w:val="0"/>
          <w:marBottom w:val="0"/>
          <w:divBdr>
            <w:top w:val="none" w:sz="0" w:space="0" w:color="auto"/>
            <w:left w:val="none" w:sz="0" w:space="0" w:color="auto"/>
            <w:bottom w:val="none" w:sz="0" w:space="0" w:color="auto"/>
            <w:right w:val="none" w:sz="0" w:space="0" w:color="auto"/>
          </w:divBdr>
        </w:div>
      </w:divsChild>
    </w:div>
    <w:div w:id="1451899635">
      <w:marLeft w:val="0"/>
      <w:marRight w:val="0"/>
      <w:marTop w:val="0"/>
      <w:marBottom w:val="0"/>
      <w:divBdr>
        <w:top w:val="none" w:sz="0" w:space="0" w:color="auto"/>
        <w:left w:val="none" w:sz="0" w:space="0" w:color="auto"/>
        <w:bottom w:val="none" w:sz="0" w:space="0" w:color="auto"/>
        <w:right w:val="none" w:sz="0" w:space="0" w:color="auto"/>
      </w:divBdr>
      <w:divsChild>
        <w:div w:id="1002662311">
          <w:marLeft w:val="0"/>
          <w:marRight w:val="0"/>
          <w:marTop w:val="0"/>
          <w:marBottom w:val="0"/>
          <w:divBdr>
            <w:top w:val="none" w:sz="0" w:space="0" w:color="auto"/>
            <w:left w:val="none" w:sz="0" w:space="0" w:color="auto"/>
            <w:bottom w:val="none" w:sz="0" w:space="0" w:color="auto"/>
            <w:right w:val="none" w:sz="0" w:space="0" w:color="auto"/>
          </w:divBdr>
        </w:div>
      </w:divsChild>
    </w:div>
    <w:div w:id="1453744214">
      <w:marLeft w:val="0"/>
      <w:marRight w:val="0"/>
      <w:marTop w:val="0"/>
      <w:marBottom w:val="0"/>
      <w:divBdr>
        <w:top w:val="none" w:sz="0" w:space="0" w:color="auto"/>
        <w:left w:val="none" w:sz="0" w:space="0" w:color="auto"/>
        <w:bottom w:val="none" w:sz="0" w:space="0" w:color="auto"/>
        <w:right w:val="none" w:sz="0" w:space="0" w:color="auto"/>
      </w:divBdr>
    </w:div>
    <w:div w:id="1456635521">
      <w:marLeft w:val="0"/>
      <w:marRight w:val="0"/>
      <w:marTop w:val="0"/>
      <w:marBottom w:val="0"/>
      <w:divBdr>
        <w:top w:val="none" w:sz="0" w:space="0" w:color="auto"/>
        <w:left w:val="none" w:sz="0" w:space="0" w:color="auto"/>
        <w:bottom w:val="none" w:sz="0" w:space="0" w:color="auto"/>
        <w:right w:val="none" w:sz="0" w:space="0" w:color="auto"/>
      </w:divBdr>
    </w:div>
    <w:div w:id="1459034717">
      <w:marLeft w:val="0"/>
      <w:marRight w:val="0"/>
      <w:marTop w:val="0"/>
      <w:marBottom w:val="0"/>
      <w:divBdr>
        <w:top w:val="none" w:sz="0" w:space="0" w:color="auto"/>
        <w:left w:val="none" w:sz="0" w:space="0" w:color="auto"/>
        <w:bottom w:val="none" w:sz="0" w:space="0" w:color="auto"/>
        <w:right w:val="none" w:sz="0" w:space="0" w:color="auto"/>
      </w:divBdr>
    </w:div>
    <w:div w:id="1460881919">
      <w:marLeft w:val="0"/>
      <w:marRight w:val="0"/>
      <w:marTop w:val="0"/>
      <w:marBottom w:val="0"/>
      <w:divBdr>
        <w:top w:val="none" w:sz="0" w:space="0" w:color="auto"/>
        <w:left w:val="none" w:sz="0" w:space="0" w:color="auto"/>
        <w:bottom w:val="none" w:sz="0" w:space="0" w:color="auto"/>
        <w:right w:val="none" w:sz="0" w:space="0" w:color="auto"/>
      </w:divBdr>
    </w:div>
    <w:div w:id="1461265459">
      <w:marLeft w:val="0"/>
      <w:marRight w:val="0"/>
      <w:marTop w:val="0"/>
      <w:marBottom w:val="0"/>
      <w:divBdr>
        <w:top w:val="none" w:sz="0" w:space="0" w:color="auto"/>
        <w:left w:val="none" w:sz="0" w:space="0" w:color="auto"/>
        <w:bottom w:val="none" w:sz="0" w:space="0" w:color="auto"/>
        <w:right w:val="none" w:sz="0" w:space="0" w:color="auto"/>
      </w:divBdr>
      <w:divsChild>
        <w:div w:id="2059476539">
          <w:marLeft w:val="0"/>
          <w:marRight w:val="0"/>
          <w:marTop w:val="0"/>
          <w:marBottom w:val="0"/>
          <w:divBdr>
            <w:top w:val="none" w:sz="0" w:space="0" w:color="auto"/>
            <w:left w:val="none" w:sz="0" w:space="0" w:color="auto"/>
            <w:bottom w:val="none" w:sz="0" w:space="0" w:color="auto"/>
            <w:right w:val="none" w:sz="0" w:space="0" w:color="auto"/>
          </w:divBdr>
        </w:div>
      </w:divsChild>
    </w:div>
    <w:div w:id="1465001777">
      <w:marLeft w:val="0"/>
      <w:marRight w:val="0"/>
      <w:marTop w:val="0"/>
      <w:marBottom w:val="0"/>
      <w:divBdr>
        <w:top w:val="none" w:sz="0" w:space="0" w:color="auto"/>
        <w:left w:val="none" w:sz="0" w:space="0" w:color="auto"/>
        <w:bottom w:val="none" w:sz="0" w:space="0" w:color="auto"/>
        <w:right w:val="none" w:sz="0" w:space="0" w:color="auto"/>
      </w:divBdr>
    </w:div>
    <w:div w:id="1471242439">
      <w:marLeft w:val="0"/>
      <w:marRight w:val="0"/>
      <w:marTop w:val="0"/>
      <w:marBottom w:val="0"/>
      <w:divBdr>
        <w:top w:val="none" w:sz="0" w:space="0" w:color="auto"/>
        <w:left w:val="none" w:sz="0" w:space="0" w:color="auto"/>
        <w:bottom w:val="none" w:sz="0" w:space="0" w:color="auto"/>
        <w:right w:val="none" w:sz="0" w:space="0" w:color="auto"/>
      </w:divBdr>
    </w:div>
    <w:div w:id="1477839935">
      <w:marLeft w:val="0"/>
      <w:marRight w:val="0"/>
      <w:marTop w:val="0"/>
      <w:marBottom w:val="0"/>
      <w:divBdr>
        <w:top w:val="none" w:sz="0" w:space="0" w:color="auto"/>
        <w:left w:val="none" w:sz="0" w:space="0" w:color="auto"/>
        <w:bottom w:val="none" w:sz="0" w:space="0" w:color="auto"/>
        <w:right w:val="none" w:sz="0" w:space="0" w:color="auto"/>
      </w:divBdr>
    </w:div>
    <w:div w:id="1478524540">
      <w:marLeft w:val="0"/>
      <w:marRight w:val="0"/>
      <w:marTop w:val="0"/>
      <w:marBottom w:val="0"/>
      <w:divBdr>
        <w:top w:val="none" w:sz="0" w:space="0" w:color="auto"/>
        <w:left w:val="none" w:sz="0" w:space="0" w:color="auto"/>
        <w:bottom w:val="none" w:sz="0" w:space="0" w:color="auto"/>
        <w:right w:val="none" w:sz="0" w:space="0" w:color="auto"/>
      </w:divBdr>
    </w:div>
    <w:div w:id="1483428886">
      <w:marLeft w:val="0"/>
      <w:marRight w:val="0"/>
      <w:marTop w:val="0"/>
      <w:marBottom w:val="0"/>
      <w:divBdr>
        <w:top w:val="none" w:sz="0" w:space="0" w:color="auto"/>
        <w:left w:val="none" w:sz="0" w:space="0" w:color="auto"/>
        <w:bottom w:val="none" w:sz="0" w:space="0" w:color="auto"/>
        <w:right w:val="none" w:sz="0" w:space="0" w:color="auto"/>
      </w:divBdr>
    </w:div>
    <w:div w:id="1486897890">
      <w:marLeft w:val="0"/>
      <w:marRight w:val="0"/>
      <w:marTop w:val="0"/>
      <w:marBottom w:val="0"/>
      <w:divBdr>
        <w:top w:val="none" w:sz="0" w:space="0" w:color="auto"/>
        <w:left w:val="none" w:sz="0" w:space="0" w:color="auto"/>
        <w:bottom w:val="none" w:sz="0" w:space="0" w:color="auto"/>
        <w:right w:val="none" w:sz="0" w:space="0" w:color="auto"/>
      </w:divBdr>
    </w:div>
    <w:div w:id="1497723904">
      <w:marLeft w:val="0"/>
      <w:marRight w:val="0"/>
      <w:marTop w:val="0"/>
      <w:marBottom w:val="0"/>
      <w:divBdr>
        <w:top w:val="none" w:sz="0" w:space="0" w:color="auto"/>
        <w:left w:val="none" w:sz="0" w:space="0" w:color="auto"/>
        <w:bottom w:val="none" w:sz="0" w:space="0" w:color="auto"/>
        <w:right w:val="none" w:sz="0" w:space="0" w:color="auto"/>
      </w:divBdr>
    </w:div>
    <w:div w:id="1499033114">
      <w:marLeft w:val="0"/>
      <w:marRight w:val="0"/>
      <w:marTop w:val="0"/>
      <w:marBottom w:val="0"/>
      <w:divBdr>
        <w:top w:val="none" w:sz="0" w:space="0" w:color="auto"/>
        <w:left w:val="none" w:sz="0" w:space="0" w:color="auto"/>
        <w:bottom w:val="none" w:sz="0" w:space="0" w:color="auto"/>
        <w:right w:val="none" w:sz="0" w:space="0" w:color="auto"/>
      </w:divBdr>
    </w:div>
    <w:div w:id="1506046886">
      <w:marLeft w:val="0"/>
      <w:marRight w:val="0"/>
      <w:marTop w:val="0"/>
      <w:marBottom w:val="0"/>
      <w:divBdr>
        <w:top w:val="none" w:sz="0" w:space="0" w:color="auto"/>
        <w:left w:val="none" w:sz="0" w:space="0" w:color="auto"/>
        <w:bottom w:val="none" w:sz="0" w:space="0" w:color="auto"/>
        <w:right w:val="none" w:sz="0" w:space="0" w:color="auto"/>
      </w:divBdr>
      <w:divsChild>
        <w:div w:id="441270425">
          <w:marLeft w:val="0"/>
          <w:marRight w:val="0"/>
          <w:marTop w:val="0"/>
          <w:marBottom w:val="0"/>
          <w:divBdr>
            <w:top w:val="none" w:sz="0" w:space="0" w:color="auto"/>
            <w:left w:val="none" w:sz="0" w:space="0" w:color="auto"/>
            <w:bottom w:val="none" w:sz="0" w:space="0" w:color="auto"/>
            <w:right w:val="none" w:sz="0" w:space="0" w:color="auto"/>
          </w:divBdr>
        </w:div>
      </w:divsChild>
    </w:div>
    <w:div w:id="1507286200">
      <w:marLeft w:val="0"/>
      <w:marRight w:val="0"/>
      <w:marTop w:val="0"/>
      <w:marBottom w:val="0"/>
      <w:divBdr>
        <w:top w:val="none" w:sz="0" w:space="0" w:color="auto"/>
        <w:left w:val="none" w:sz="0" w:space="0" w:color="auto"/>
        <w:bottom w:val="none" w:sz="0" w:space="0" w:color="auto"/>
        <w:right w:val="none" w:sz="0" w:space="0" w:color="auto"/>
      </w:divBdr>
    </w:div>
    <w:div w:id="1518735831">
      <w:marLeft w:val="0"/>
      <w:marRight w:val="0"/>
      <w:marTop w:val="0"/>
      <w:marBottom w:val="0"/>
      <w:divBdr>
        <w:top w:val="none" w:sz="0" w:space="0" w:color="auto"/>
        <w:left w:val="none" w:sz="0" w:space="0" w:color="auto"/>
        <w:bottom w:val="none" w:sz="0" w:space="0" w:color="auto"/>
        <w:right w:val="none" w:sz="0" w:space="0" w:color="auto"/>
      </w:divBdr>
    </w:div>
    <w:div w:id="1521508915">
      <w:marLeft w:val="0"/>
      <w:marRight w:val="0"/>
      <w:marTop w:val="0"/>
      <w:marBottom w:val="0"/>
      <w:divBdr>
        <w:top w:val="none" w:sz="0" w:space="0" w:color="auto"/>
        <w:left w:val="none" w:sz="0" w:space="0" w:color="auto"/>
        <w:bottom w:val="none" w:sz="0" w:space="0" w:color="auto"/>
        <w:right w:val="none" w:sz="0" w:space="0" w:color="auto"/>
      </w:divBdr>
      <w:divsChild>
        <w:div w:id="1494832687">
          <w:marLeft w:val="0"/>
          <w:marRight w:val="0"/>
          <w:marTop w:val="0"/>
          <w:marBottom w:val="0"/>
          <w:divBdr>
            <w:top w:val="none" w:sz="0" w:space="0" w:color="auto"/>
            <w:left w:val="none" w:sz="0" w:space="0" w:color="auto"/>
            <w:bottom w:val="none" w:sz="0" w:space="0" w:color="auto"/>
            <w:right w:val="none" w:sz="0" w:space="0" w:color="auto"/>
          </w:divBdr>
        </w:div>
      </w:divsChild>
    </w:div>
    <w:div w:id="1530873001">
      <w:marLeft w:val="0"/>
      <w:marRight w:val="0"/>
      <w:marTop w:val="120"/>
      <w:marBottom w:val="0"/>
      <w:divBdr>
        <w:top w:val="none" w:sz="0" w:space="0" w:color="auto"/>
        <w:left w:val="none" w:sz="0" w:space="0" w:color="auto"/>
        <w:bottom w:val="none" w:sz="0" w:space="0" w:color="auto"/>
        <w:right w:val="none" w:sz="0" w:space="0" w:color="auto"/>
      </w:divBdr>
    </w:div>
    <w:div w:id="1532959779">
      <w:marLeft w:val="0"/>
      <w:marRight w:val="0"/>
      <w:marTop w:val="0"/>
      <w:marBottom w:val="0"/>
      <w:divBdr>
        <w:top w:val="none" w:sz="0" w:space="0" w:color="auto"/>
        <w:left w:val="none" w:sz="0" w:space="0" w:color="auto"/>
        <w:bottom w:val="none" w:sz="0" w:space="0" w:color="auto"/>
        <w:right w:val="none" w:sz="0" w:space="0" w:color="auto"/>
      </w:divBdr>
      <w:divsChild>
        <w:div w:id="1283459855">
          <w:marLeft w:val="0"/>
          <w:marRight w:val="0"/>
          <w:marTop w:val="0"/>
          <w:marBottom w:val="0"/>
          <w:divBdr>
            <w:top w:val="none" w:sz="0" w:space="0" w:color="auto"/>
            <w:left w:val="none" w:sz="0" w:space="0" w:color="auto"/>
            <w:bottom w:val="none" w:sz="0" w:space="0" w:color="auto"/>
            <w:right w:val="none" w:sz="0" w:space="0" w:color="auto"/>
          </w:divBdr>
        </w:div>
      </w:divsChild>
    </w:div>
    <w:div w:id="1537965729">
      <w:marLeft w:val="0"/>
      <w:marRight w:val="0"/>
      <w:marTop w:val="0"/>
      <w:marBottom w:val="0"/>
      <w:divBdr>
        <w:top w:val="none" w:sz="0" w:space="0" w:color="auto"/>
        <w:left w:val="none" w:sz="0" w:space="0" w:color="auto"/>
        <w:bottom w:val="none" w:sz="0" w:space="0" w:color="auto"/>
        <w:right w:val="none" w:sz="0" w:space="0" w:color="auto"/>
      </w:divBdr>
      <w:divsChild>
        <w:div w:id="1025835881">
          <w:marLeft w:val="0"/>
          <w:marRight w:val="0"/>
          <w:marTop w:val="0"/>
          <w:marBottom w:val="0"/>
          <w:divBdr>
            <w:top w:val="none" w:sz="0" w:space="0" w:color="auto"/>
            <w:left w:val="none" w:sz="0" w:space="0" w:color="auto"/>
            <w:bottom w:val="none" w:sz="0" w:space="0" w:color="auto"/>
            <w:right w:val="none" w:sz="0" w:space="0" w:color="auto"/>
          </w:divBdr>
        </w:div>
      </w:divsChild>
    </w:div>
    <w:div w:id="1541015030">
      <w:marLeft w:val="0"/>
      <w:marRight w:val="0"/>
      <w:marTop w:val="0"/>
      <w:marBottom w:val="0"/>
      <w:divBdr>
        <w:top w:val="none" w:sz="0" w:space="0" w:color="auto"/>
        <w:left w:val="none" w:sz="0" w:space="0" w:color="auto"/>
        <w:bottom w:val="none" w:sz="0" w:space="0" w:color="auto"/>
        <w:right w:val="none" w:sz="0" w:space="0" w:color="auto"/>
      </w:divBdr>
    </w:div>
    <w:div w:id="1545025052">
      <w:marLeft w:val="0"/>
      <w:marRight w:val="0"/>
      <w:marTop w:val="0"/>
      <w:marBottom w:val="0"/>
      <w:divBdr>
        <w:top w:val="none" w:sz="0" w:space="0" w:color="auto"/>
        <w:left w:val="none" w:sz="0" w:space="0" w:color="auto"/>
        <w:bottom w:val="none" w:sz="0" w:space="0" w:color="auto"/>
        <w:right w:val="none" w:sz="0" w:space="0" w:color="auto"/>
      </w:divBdr>
    </w:div>
    <w:div w:id="1545866830">
      <w:marLeft w:val="0"/>
      <w:marRight w:val="0"/>
      <w:marTop w:val="0"/>
      <w:marBottom w:val="0"/>
      <w:divBdr>
        <w:top w:val="none" w:sz="0" w:space="0" w:color="auto"/>
        <w:left w:val="none" w:sz="0" w:space="0" w:color="auto"/>
        <w:bottom w:val="none" w:sz="0" w:space="0" w:color="auto"/>
        <w:right w:val="none" w:sz="0" w:space="0" w:color="auto"/>
      </w:divBdr>
    </w:div>
    <w:div w:id="1546865406">
      <w:marLeft w:val="0"/>
      <w:marRight w:val="0"/>
      <w:marTop w:val="0"/>
      <w:marBottom w:val="0"/>
      <w:divBdr>
        <w:top w:val="none" w:sz="0" w:space="0" w:color="auto"/>
        <w:left w:val="none" w:sz="0" w:space="0" w:color="auto"/>
        <w:bottom w:val="none" w:sz="0" w:space="0" w:color="auto"/>
        <w:right w:val="none" w:sz="0" w:space="0" w:color="auto"/>
      </w:divBdr>
      <w:divsChild>
        <w:div w:id="476338451">
          <w:marLeft w:val="0"/>
          <w:marRight w:val="0"/>
          <w:marTop w:val="0"/>
          <w:marBottom w:val="0"/>
          <w:divBdr>
            <w:top w:val="none" w:sz="0" w:space="0" w:color="auto"/>
            <w:left w:val="none" w:sz="0" w:space="0" w:color="auto"/>
            <w:bottom w:val="none" w:sz="0" w:space="0" w:color="auto"/>
            <w:right w:val="none" w:sz="0" w:space="0" w:color="auto"/>
          </w:divBdr>
        </w:div>
      </w:divsChild>
    </w:div>
    <w:div w:id="1548763970">
      <w:marLeft w:val="0"/>
      <w:marRight w:val="0"/>
      <w:marTop w:val="0"/>
      <w:marBottom w:val="0"/>
      <w:divBdr>
        <w:top w:val="none" w:sz="0" w:space="0" w:color="auto"/>
        <w:left w:val="none" w:sz="0" w:space="0" w:color="auto"/>
        <w:bottom w:val="none" w:sz="0" w:space="0" w:color="auto"/>
        <w:right w:val="none" w:sz="0" w:space="0" w:color="auto"/>
      </w:divBdr>
      <w:divsChild>
        <w:div w:id="1423836062">
          <w:marLeft w:val="0"/>
          <w:marRight w:val="0"/>
          <w:marTop w:val="0"/>
          <w:marBottom w:val="0"/>
          <w:divBdr>
            <w:top w:val="none" w:sz="0" w:space="0" w:color="auto"/>
            <w:left w:val="none" w:sz="0" w:space="0" w:color="auto"/>
            <w:bottom w:val="none" w:sz="0" w:space="0" w:color="auto"/>
            <w:right w:val="none" w:sz="0" w:space="0" w:color="auto"/>
          </w:divBdr>
        </w:div>
      </w:divsChild>
    </w:div>
    <w:div w:id="1551114729">
      <w:marLeft w:val="0"/>
      <w:marRight w:val="0"/>
      <w:marTop w:val="0"/>
      <w:marBottom w:val="0"/>
      <w:divBdr>
        <w:top w:val="none" w:sz="0" w:space="0" w:color="auto"/>
        <w:left w:val="none" w:sz="0" w:space="0" w:color="auto"/>
        <w:bottom w:val="none" w:sz="0" w:space="0" w:color="auto"/>
        <w:right w:val="none" w:sz="0" w:space="0" w:color="auto"/>
      </w:divBdr>
    </w:div>
    <w:div w:id="1555505808">
      <w:marLeft w:val="0"/>
      <w:marRight w:val="0"/>
      <w:marTop w:val="0"/>
      <w:marBottom w:val="0"/>
      <w:divBdr>
        <w:top w:val="none" w:sz="0" w:space="0" w:color="auto"/>
        <w:left w:val="none" w:sz="0" w:space="0" w:color="auto"/>
        <w:bottom w:val="none" w:sz="0" w:space="0" w:color="auto"/>
        <w:right w:val="none" w:sz="0" w:space="0" w:color="auto"/>
      </w:divBdr>
      <w:divsChild>
        <w:div w:id="1557089781">
          <w:marLeft w:val="0"/>
          <w:marRight w:val="0"/>
          <w:marTop w:val="0"/>
          <w:marBottom w:val="0"/>
          <w:divBdr>
            <w:top w:val="none" w:sz="0" w:space="0" w:color="auto"/>
            <w:left w:val="none" w:sz="0" w:space="0" w:color="auto"/>
            <w:bottom w:val="none" w:sz="0" w:space="0" w:color="auto"/>
            <w:right w:val="none" w:sz="0" w:space="0" w:color="auto"/>
          </w:divBdr>
        </w:div>
      </w:divsChild>
    </w:div>
    <w:div w:id="1556966301">
      <w:marLeft w:val="0"/>
      <w:marRight w:val="0"/>
      <w:marTop w:val="0"/>
      <w:marBottom w:val="0"/>
      <w:divBdr>
        <w:top w:val="none" w:sz="0" w:space="0" w:color="auto"/>
        <w:left w:val="none" w:sz="0" w:space="0" w:color="auto"/>
        <w:bottom w:val="none" w:sz="0" w:space="0" w:color="auto"/>
        <w:right w:val="none" w:sz="0" w:space="0" w:color="auto"/>
      </w:divBdr>
    </w:div>
    <w:div w:id="1565947088">
      <w:marLeft w:val="0"/>
      <w:marRight w:val="0"/>
      <w:marTop w:val="0"/>
      <w:marBottom w:val="0"/>
      <w:divBdr>
        <w:top w:val="none" w:sz="0" w:space="0" w:color="auto"/>
        <w:left w:val="none" w:sz="0" w:space="0" w:color="auto"/>
        <w:bottom w:val="none" w:sz="0" w:space="0" w:color="auto"/>
        <w:right w:val="none" w:sz="0" w:space="0" w:color="auto"/>
      </w:divBdr>
      <w:divsChild>
        <w:div w:id="1272473159">
          <w:marLeft w:val="0"/>
          <w:marRight w:val="0"/>
          <w:marTop w:val="0"/>
          <w:marBottom w:val="0"/>
          <w:divBdr>
            <w:top w:val="none" w:sz="0" w:space="0" w:color="auto"/>
            <w:left w:val="none" w:sz="0" w:space="0" w:color="auto"/>
            <w:bottom w:val="none" w:sz="0" w:space="0" w:color="auto"/>
            <w:right w:val="none" w:sz="0" w:space="0" w:color="auto"/>
          </w:divBdr>
        </w:div>
      </w:divsChild>
    </w:div>
    <w:div w:id="1567035786">
      <w:marLeft w:val="0"/>
      <w:marRight w:val="0"/>
      <w:marTop w:val="0"/>
      <w:marBottom w:val="0"/>
      <w:divBdr>
        <w:top w:val="none" w:sz="0" w:space="0" w:color="auto"/>
        <w:left w:val="none" w:sz="0" w:space="0" w:color="auto"/>
        <w:bottom w:val="none" w:sz="0" w:space="0" w:color="auto"/>
        <w:right w:val="none" w:sz="0" w:space="0" w:color="auto"/>
      </w:divBdr>
    </w:div>
    <w:div w:id="1579903545">
      <w:marLeft w:val="0"/>
      <w:marRight w:val="0"/>
      <w:marTop w:val="0"/>
      <w:marBottom w:val="0"/>
      <w:divBdr>
        <w:top w:val="none" w:sz="0" w:space="0" w:color="auto"/>
        <w:left w:val="none" w:sz="0" w:space="0" w:color="auto"/>
        <w:bottom w:val="none" w:sz="0" w:space="0" w:color="auto"/>
        <w:right w:val="none" w:sz="0" w:space="0" w:color="auto"/>
      </w:divBdr>
    </w:div>
    <w:div w:id="1581135538">
      <w:marLeft w:val="0"/>
      <w:marRight w:val="0"/>
      <w:marTop w:val="0"/>
      <w:marBottom w:val="0"/>
      <w:divBdr>
        <w:top w:val="none" w:sz="0" w:space="0" w:color="auto"/>
        <w:left w:val="none" w:sz="0" w:space="0" w:color="auto"/>
        <w:bottom w:val="none" w:sz="0" w:space="0" w:color="auto"/>
        <w:right w:val="none" w:sz="0" w:space="0" w:color="auto"/>
      </w:divBdr>
    </w:div>
    <w:div w:id="1583369896">
      <w:marLeft w:val="0"/>
      <w:marRight w:val="0"/>
      <w:marTop w:val="0"/>
      <w:marBottom w:val="0"/>
      <w:divBdr>
        <w:top w:val="none" w:sz="0" w:space="0" w:color="auto"/>
        <w:left w:val="none" w:sz="0" w:space="0" w:color="auto"/>
        <w:bottom w:val="none" w:sz="0" w:space="0" w:color="auto"/>
        <w:right w:val="none" w:sz="0" w:space="0" w:color="auto"/>
      </w:divBdr>
    </w:div>
    <w:div w:id="1585914735">
      <w:marLeft w:val="0"/>
      <w:marRight w:val="0"/>
      <w:marTop w:val="0"/>
      <w:marBottom w:val="0"/>
      <w:divBdr>
        <w:top w:val="none" w:sz="0" w:space="0" w:color="auto"/>
        <w:left w:val="none" w:sz="0" w:space="0" w:color="auto"/>
        <w:bottom w:val="none" w:sz="0" w:space="0" w:color="auto"/>
        <w:right w:val="none" w:sz="0" w:space="0" w:color="auto"/>
      </w:divBdr>
    </w:div>
    <w:div w:id="1588540397">
      <w:marLeft w:val="0"/>
      <w:marRight w:val="0"/>
      <w:marTop w:val="0"/>
      <w:marBottom w:val="0"/>
      <w:divBdr>
        <w:top w:val="none" w:sz="0" w:space="0" w:color="auto"/>
        <w:left w:val="none" w:sz="0" w:space="0" w:color="auto"/>
        <w:bottom w:val="none" w:sz="0" w:space="0" w:color="auto"/>
        <w:right w:val="none" w:sz="0" w:space="0" w:color="auto"/>
      </w:divBdr>
    </w:div>
    <w:div w:id="1600092242">
      <w:marLeft w:val="0"/>
      <w:marRight w:val="0"/>
      <w:marTop w:val="0"/>
      <w:marBottom w:val="0"/>
      <w:divBdr>
        <w:top w:val="none" w:sz="0" w:space="0" w:color="auto"/>
        <w:left w:val="none" w:sz="0" w:space="0" w:color="auto"/>
        <w:bottom w:val="none" w:sz="0" w:space="0" w:color="auto"/>
        <w:right w:val="none" w:sz="0" w:space="0" w:color="auto"/>
      </w:divBdr>
    </w:div>
    <w:div w:id="1607156608">
      <w:marLeft w:val="0"/>
      <w:marRight w:val="0"/>
      <w:marTop w:val="0"/>
      <w:marBottom w:val="0"/>
      <w:divBdr>
        <w:top w:val="none" w:sz="0" w:space="0" w:color="auto"/>
        <w:left w:val="none" w:sz="0" w:space="0" w:color="auto"/>
        <w:bottom w:val="none" w:sz="0" w:space="0" w:color="auto"/>
        <w:right w:val="none" w:sz="0" w:space="0" w:color="auto"/>
      </w:divBdr>
    </w:div>
    <w:div w:id="1613710200">
      <w:marLeft w:val="0"/>
      <w:marRight w:val="0"/>
      <w:marTop w:val="0"/>
      <w:marBottom w:val="0"/>
      <w:divBdr>
        <w:top w:val="none" w:sz="0" w:space="0" w:color="auto"/>
        <w:left w:val="none" w:sz="0" w:space="0" w:color="auto"/>
        <w:bottom w:val="none" w:sz="0" w:space="0" w:color="auto"/>
        <w:right w:val="none" w:sz="0" w:space="0" w:color="auto"/>
      </w:divBdr>
    </w:div>
    <w:div w:id="1616785220">
      <w:marLeft w:val="0"/>
      <w:marRight w:val="0"/>
      <w:marTop w:val="0"/>
      <w:marBottom w:val="0"/>
      <w:divBdr>
        <w:top w:val="none" w:sz="0" w:space="0" w:color="auto"/>
        <w:left w:val="none" w:sz="0" w:space="0" w:color="auto"/>
        <w:bottom w:val="none" w:sz="0" w:space="0" w:color="auto"/>
        <w:right w:val="none" w:sz="0" w:space="0" w:color="auto"/>
      </w:divBdr>
      <w:divsChild>
        <w:div w:id="1077363609">
          <w:marLeft w:val="0"/>
          <w:marRight w:val="0"/>
          <w:marTop w:val="0"/>
          <w:marBottom w:val="0"/>
          <w:divBdr>
            <w:top w:val="none" w:sz="0" w:space="0" w:color="auto"/>
            <w:left w:val="none" w:sz="0" w:space="0" w:color="auto"/>
            <w:bottom w:val="none" w:sz="0" w:space="0" w:color="auto"/>
            <w:right w:val="none" w:sz="0" w:space="0" w:color="auto"/>
          </w:divBdr>
        </w:div>
      </w:divsChild>
    </w:div>
    <w:div w:id="1620796473">
      <w:marLeft w:val="0"/>
      <w:marRight w:val="0"/>
      <w:marTop w:val="0"/>
      <w:marBottom w:val="0"/>
      <w:divBdr>
        <w:top w:val="none" w:sz="0" w:space="0" w:color="auto"/>
        <w:left w:val="none" w:sz="0" w:space="0" w:color="auto"/>
        <w:bottom w:val="none" w:sz="0" w:space="0" w:color="auto"/>
        <w:right w:val="none" w:sz="0" w:space="0" w:color="auto"/>
      </w:divBdr>
    </w:div>
    <w:div w:id="1621372107">
      <w:marLeft w:val="0"/>
      <w:marRight w:val="0"/>
      <w:marTop w:val="0"/>
      <w:marBottom w:val="0"/>
      <w:divBdr>
        <w:top w:val="none" w:sz="0" w:space="0" w:color="auto"/>
        <w:left w:val="none" w:sz="0" w:space="0" w:color="auto"/>
        <w:bottom w:val="none" w:sz="0" w:space="0" w:color="auto"/>
        <w:right w:val="none" w:sz="0" w:space="0" w:color="auto"/>
      </w:divBdr>
    </w:div>
    <w:div w:id="1629434065">
      <w:marLeft w:val="0"/>
      <w:marRight w:val="0"/>
      <w:marTop w:val="0"/>
      <w:marBottom w:val="0"/>
      <w:divBdr>
        <w:top w:val="none" w:sz="0" w:space="0" w:color="auto"/>
        <w:left w:val="none" w:sz="0" w:space="0" w:color="auto"/>
        <w:bottom w:val="none" w:sz="0" w:space="0" w:color="auto"/>
        <w:right w:val="none" w:sz="0" w:space="0" w:color="auto"/>
      </w:divBdr>
      <w:divsChild>
        <w:div w:id="1029529205">
          <w:marLeft w:val="0"/>
          <w:marRight w:val="0"/>
          <w:marTop w:val="0"/>
          <w:marBottom w:val="0"/>
          <w:divBdr>
            <w:top w:val="none" w:sz="0" w:space="0" w:color="auto"/>
            <w:left w:val="none" w:sz="0" w:space="0" w:color="auto"/>
            <w:bottom w:val="none" w:sz="0" w:space="0" w:color="auto"/>
            <w:right w:val="none" w:sz="0" w:space="0" w:color="auto"/>
          </w:divBdr>
        </w:div>
      </w:divsChild>
    </w:div>
    <w:div w:id="1635673897">
      <w:marLeft w:val="0"/>
      <w:marRight w:val="0"/>
      <w:marTop w:val="0"/>
      <w:marBottom w:val="0"/>
      <w:divBdr>
        <w:top w:val="none" w:sz="0" w:space="0" w:color="auto"/>
        <w:left w:val="none" w:sz="0" w:space="0" w:color="auto"/>
        <w:bottom w:val="none" w:sz="0" w:space="0" w:color="auto"/>
        <w:right w:val="none" w:sz="0" w:space="0" w:color="auto"/>
      </w:divBdr>
    </w:div>
    <w:div w:id="1643853848">
      <w:marLeft w:val="0"/>
      <w:marRight w:val="0"/>
      <w:marTop w:val="0"/>
      <w:marBottom w:val="0"/>
      <w:divBdr>
        <w:top w:val="none" w:sz="0" w:space="0" w:color="auto"/>
        <w:left w:val="none" w:sz="0" w:space="0" w:color="auto"/>
        <w:bottom w:val="none" w:sz="0" w:space="0" w:color="auto"/>
        <w:right w:val="none" w:sz="0" w:space="0" w:color="auto"/>
      </w:divBdr>
    </w:div>
    <w:div w:id="1660112534">
      <w:marLeft w:val="0"/>
      <w:marRight w:val="0"/>
      <w:marTop w:val="0"/>
      <w:marBottom w:val="0"/>
      <w:divBdr>
        <w:top w:val="none" w:sz="0" w:space="0" w:color="auto"/>
        <w:left w:val="none" w:sz="0" w:space="0" w:color="auto"/>
        <w:bottom w:val="none" w:sz="0" w:space="0" w:color="auto"/>
        <w:right w:val="none" w:sz="0" w:space="0" w:color="auto"/>
      </w:divBdr>
    </w:div>
    <w:div w:id="1661689188">
      <w:marLeft w:val="0"/>
      <w:marRight w:val="0"/>
      <w:marTop w:val="0"/>
      <w:marBottom w:val="0"/>
      <w:divBdr>
        <w:top w:val="none" w:sz="0" w:space="0" w:color="auto"/>
        <w:left w:val="none" w:sz="0" w:space="0" w:color="auto"/>
        <w:bottom w:val="none" w:sz="0" w:space="0" w:color="auto"/>
        <w:right w:val="none" w:sz="0" w:space="0" w:color="auto"/>
      </w:divBdr>
    </w:div>
    <w:div w:id="1662657510">
      <w:marLeft w:val="0"/>
      <w:marRight w:val="0"/>
      <w:marTop w:val="0"/>
      <w:marBottom w:val="0"/>
      <w:divBdr>
        <w:top w:val="none" w:sz="0" w:space="0" w:color="auto"/>
        <w:left w:val="none" w:sz="0" w:space="0" w:color="auto"/>
        <w:bottom w:val="none" w:sz="0" w:space="0" w:color="auto"/>
        <w:right w:val="none" w:sz="0" w:space="0" w:color="auto"/>
      </w:divBdr>
      <w:divsChild>
        <w:div w:id="229463335">
          <w:marLeft w:val="0"/>
          <w:marRight w:val="0"/>
          <w:marTop w:val="0"/>
          <w:marBottom w:val="0"/>
          <w:divBdr>
            <w:top w:val="none" w:sz="0" w:space="0" w:color="auto"/>
            <w:left w:val="none" w:sz="0" w:space="0" w:color="auto"/>
            <w:bottom w:val="none" w:sz="0" w:space="0" w:color="auto"/>
            <w:right w:val="none" w:sz="0" w:space="0" w:color="auto"/>
          </w:divBdr>
        </w:div>
      </w:divsChild>
    </w:div>
    <w:div w:id="1662660044">
      <w:marLeft w:val="0"/>
      <w:marRight w:val="0"/>
      <w:marTop w:val="0"/>
      <w:marBottom w:val="0"/>
      <w:divBdr>
        <w:top w:val="none" w:sz="0" w:space="0" w:color="auto"/>
        <w:left w:val="none" w:sz="0" w:space="0" w:color="auto"/>
        <w:bottom w:val="none" w:sz="0" w:space="0" w:color="auto"/>
        <w:right w:val="none" w:sz="0" w:space="0" w:color="auto"/>
      </w:divBdr>
      <w:divsChild>
        <w:div w:id="577058445">
          <w:marLeft w:val="0"/>
          <w:marRight w:val="0"/>
          <w:marTop w:val="0"/>
          <w:marBottom w:val="0"/>
          <w:divBdr>
            <w:top w:val="none" w:sz="0" w:space="0" w:color="auto"/>
            <w:left w:val="none" w:sz="0" w:space="0" w:color="auto"/>
            <w:bottom w:val="none" w:sz="0" w:space="0" w:color="auto"/>
            <w:right w:val="none" w:sz="0" w:space="0" w:color="auto"/>
          </w:divBdr>
        </w:div>
      </w:divsChild>
    </w:div>
    <w:div w:id="1676036359">
      <w:marLeft w:val="0"/>
      <w:marRight w:val="0"/>
      <w:marTop w:val="0"/>
      <w:marBottom w:val="0"/>
      <w:divBdr>
        <w:top w:val="none" w:sz="0" w:space="0" w:color="auto"/>
        <w:left w:val="none" w:sz="0" w:space="0" w:color="auto"/>
        <w:bottom w:val="none" w:sz="0" w:space="0" w:color="auto"/>
        <w:right w:val="none" w:sz="0" w:space="0" w:color="auto"/>
      </w:divBdr>
    </w:div>
    <w:div w:id="1682120720">
      <w:marLeft w:val="0"/>
      <w:marRight w:val="0"/>
      <w:marTop w:val="0"/>
      <w:marBottom w:val="0"/>
      <w:divBdr>
        <w:top w:val="none" w:sz="0" w:space="0" w:color="auto"/>
        <w:left w:val="none" w:sz="0" w:space="0" w:color="auto"/>
        <w:bottom w:val="none" w:sz="0" w:space="0" w:color="auto"/>
        <w:right w:val="none" w:sz="0" w:space="0" w:color="auto"/>
      </w:divBdr>
    </w:div>
    <w:div w:id="1688293253">
      <w:marLeft w:val="0"/>
      <w:marRight w:val="0"/>
      <w:marTop w:val="0"/>
      <w:marBottom w:val="0"/>
      <w:divBdr>
        <w:top w:val="none" w:sz="0" w:space="0" w:color="auto"/>
        <w:left w:val="none" w:sz="0" w:space="0" w:color="auto"/>
        <w:bottom w:val="none" w:sz="0" w:space="0" w:color="auto"/>
        <w:right w:val="none" w:sz="0" w:space="0" w:color="auto"/>
      </w:divBdr>
    </w:div>
    <w:div w:id="1700813856">
      <w:marLeft w:val="0"/>
      <w:marRight w:val="0"/>
      <w:marTop w:val="0"/>
      <w:marBottom w:val="0"/>
      <w:divBdr>
        <w:top w:val="none" w:sz="0" w:space="0" w:color="auto"/>
        <w:left w:val="none" w:sz="0" w:space="0" w:color="auto"/>
        <w:bottom w:val="none" w:sz="0" w:space="0" w:color="auto"/>
        <w:right w:val="none" w:sz="0" w:space="0" w:color="auto"/>
      </w:divBdr>
    </w:div>
    <w:div w:id="1704088310">
      <w:marLeft w:val="0"/>
      <w:marRight w:val="0"/>
      <w:marTop w:val="0"/>
      <w:marBottom w:val="0"/>
      <w:divBdr>
        <w:top w:val="none" w:sz="0" w:space="0" w:color="auto"/>
        <w:left w:val="none" w:sz="0" w:space="0" w:color="auto"/>
        <w:bottom w:val="none" w:sz="0" w:space="0" w:color="auto"/>
        <w:right w:val="none" w:sz="0" w:space="0" w:color="auto"/>
      </w:divBdr>
    </w:div>
    <w:div w:id="1707945843">
      <w:marLeft w:val="0"/>
      <w:marRight w:val="0"/>
      <w:marTop w:val="0"/>
      <w:marBottom w:val="0"/>
      <w:divBdr>
        <w:top w:val="none" w:sz="0" w:space="0" w:color="auto"/>
        <w:left w:val="none" w:sz="0" w:space="0" w:color="auto"/>
        <w:bottom w:val="none" w:sz="0" w:space="0" w:color="auto"/>
        <w:right w:val="none" w:sz="0" w:space="0" w:color="auto"/>
      </w:divBdr>
    </w:div>
    <w:div w:id="1708263085">
      <w:marLeft w:val="0"/>
      <w:marRight w:val="0"/>
      <w:marTop w:val="0"/>
      <w:marBottom w:val="0"/>
      <w:divBdr>
        <w:top w:val="none" w:sz="0" w:space="0" w:color="auto"/>
        <w:left w:val="none" w:sz="0" w:space="0" w:color="auto"/>
        <w:bottom w:val="none" w:sz="0" w:space="0" w:color="auto"/>
        <w:right w:val="none" w:sz="0" w:space="0" w:color="auto"/>
      </w:divBdr>
      <w:divsChild>
        <w:div w:id="1012486626">
          <w:marLeft w:val="0"/>
          <w:marRight w:val="0"/>
          <w:marTop w:val="0"/>
          <w:marBottom w:val="0"/>
          <w:divBdr>
            <w:top w:val="none" w:sz="0" w:space="0" w:color="auto"/>
            <w:left w:val="none" w:sz="0" w:space="0" w:color="auto"/>
            <w:bottom w:val="none" w:sz="0" w:space="0" w:color="auto"/>
            <w:right w:val="none" w:sz="0" w:space="0" w:color="auto"/>
          </w:divBdr>
        </w:div>
      </w:divsChild>
    </w:div>
    <w:div w:id="1709791903">
      <w:marLeft w:val="0"/>
      <w:marRight w:val="0"/>
      <w:marTop w:val="0"/>
      <w:marBottom w:val="0"/>
      <w:divBdr>
        <w:top w:val="none" w:sz="0" w:space="0" w:color="auto"/>
        <w:left w:val="none" w:sz="0" w:space="0" w:color="auto"/>
        <w:bottom w:val="none" w:sz="0" w:space="0" w:color="auto"/>
        <w:right w:val="none" w:sz="0" w:space="0" w:color="auto"/>
      </w:divBdr>
    </w:div>
    <w:div w:id="1733429033">
      <w:marLeft w:val="0"/>
      <w:marRight w:val="0"/>
      <w:marTop w:val="0"/>
      <w:marBottom w:val="0"/>
      <w:divBdr>
        <w:top w:val="none" w:sz="0" w:space="0" w:color="auto"/>
        <w:left w:val="none" w:sz="0" w:space="0" w:color="auto"/>
        <w:bottom w:val="none" w:sz="0" w:space="0" w:color="auto"/>
        <w:right w:val="none" w:sz="0" w:space="0" w:color="auto"/>
      </w:divBdr>
      <w:divsChild>
        <w:div w:id="1403940968">
          <w:marLeft w:val="0"/>
          <w:marRight w:val="0"/>
          <w:marTop w:val="0"/>
          <w:marBottom w:val="0"/>
          <w:divBdr>
            <w:top w:val="none" w:sz="0" w:space="0" w:color="auto"/>
            <w:left w:val="none" w:sz="0" w:space="0" w:color="auto"/>
            <w:bottom w:val="none" w:sz="0" w:space="0" w:color="auto"/>
            <w:right w:val="none" w:sz="0" w:space="0" w:color="auto"/>
          </w:divBdr>
        </w:div>
      </w:divsChild>
    </w:div>
    <w:div w:id="1745182389">
      <w:marLeft w:val="0"/>
      <w:marRight w:val="0"/>
      <w:marTop w:val="0"/>
      <w:marBottom w:val="0"/>
      <w:divBdr>
        <w:top w:val="none" w:sz="0" w:space="0" w:color="auto"/>
        <w:left w:val="none" w:sz="0" w:space="0" w:color="auto"/>
        <w:bottom w:val="none" w:sz="0" w:space="0" w:color="auto"/>
        <w:right w:val="none" w:sz="0" w:space="0" w:color="auto"/>
      </w:divBdr>
      <w:divsChild>
        <w:div w:id="1317996580">
          <w:marLeft w:val="0"/>
          <w:marRight w:val="0"/>
          <w:marTop w:val="0"/>
          <w:marBottom w:val="0"/>
          <w:divBdr>
            <w:top w:val="none" w:sz="0" w:space="0" w:color="auto"/>
            <w:left w:val="none" w:sz="0" w:space="0" w:color="auto"/>
            <w:bottom w:val="none" w:sz="0" w:space="0" w:color="auto"/>
            <w:right w:val="none" w:sz="0" w:space="0" w:color="auto"/>
          </w:divBdr>
        </w:div>
      </w:divsChild>
    </w:div>
    <w:div w:id="1747341242">
      <w:marLeft w:val="0"/>
      <w:marRight w:val="0"/>
      <w:marTop w:val="0"/>
      <w:marBottom w:val="0"/>
      <w:divBdr>
        <w:top w:val="none" w:sz="0" w:space="0" w:color="auto"/>
        <w:left w:val="none" w:sz="0" w:space="0" w:color="auto"/>
        <w:bottom w:val="none" w:sz="0" w:space="0" w:color="auto"/>
        <w:right w:val="none" w:sz="0" w:space="0" w:color="auto"/>
      </w:divBdr>
    </w:div>
    <w:div w:id="1748502196">
      <w:marLeft w:val="0"/>
      <w:marRight w:val="0"/>
      <w:marTop w:val="0"/>
      <w:marBottom w:val="0"/>
      <w:divBdr>
        <w:top w:val="none" w:sz="0" w:space="0" w:color="auto"/>
        <w:left w:val="none" w:sz="0" w:space="0" w:color="auto"/>
        <w:bottom w:val="none" w:sz="0" w:space="0" w:color="auto"/>
        <w:right w:val="none" w:sz="0" w:space="0" w:color="auto"/>
      </w:divBdr>
      <w:divsChild>
        <w:div w:id="1709378010">
          <w:marLeft w:val="0"/>
          <w:marRight w:val="0"/>
          <w:marTop w:val="0"/>
          <w:marBottom w:val="0"/>
          <w:divBdr>
            <w:top w:val="none" w:sz="0" w:space="0" w:color="auto"/>
            <w:left w:val="none" w:sz="0" w:space="0" w:color="auto"/>
            <w:bottom w:val="none" w:sz="0" w:space="0" w:color="auto"/>
            <w:right w:val="none" w:sz="0" w:space="0" w:color="auto"/>
          </w:divBdr>
        </w:div>
      </w:divsChild>
    </w:div>
    <w:div w:id="1749763059">
      <w:marLeft w:val="0"/>
      <w:marRight w:val="0"/>
      <w:marTop w:val="0"/>
      <w:marBottom w:val="0"/>
      <w:divBdr>
        <w:top w:val="none" w:sz="0" w:space="0" w:color="auto"/>
        <w:left w:val="none" w:sz="0" w:space="0" w:color="auto"/>
        <w:bottom w:val="none" w:sz="0" w:space="0" w:color="auto"/>
        <w:right w:val="none" w:sz="0" w:space="0" w:color="auto"/>
      </w:divBdr>
      <w:divsChild>
        <w:div w:id="782380141">
          <w:marLeft w:val="0"/>
          <w:marRight w:val="0"/>
          <w:marTop w:val="0"/>
          <w:marBottom w:val="0"/>
          <w:divBdr>
            <w:top w:val="none" w:sz="0" w:space="0" w:color="auto"/>
            <w:left w:val="none" w:sz="0" w:space="0" w:color="auto"/>
            <w:bottom w:val="none" w:sz="0" w:space="0" w:color="auto"/>
            <w:right w:val="none" w:sz="0" w:space="0" w:color="auto"/>
          </w:divBdr>
        </w:div>
      </w:divsChild>
    </w:div>
    <w:div w:id="1755929116">
      <w:marLeft w:val="0"/>
      <w:marRight w:val="0"/>
      <w:marTop w:val="0"/>
      <w:marBottom w:val="0"/>
      <w:divBdr>
        <w:top w:val="none" w:sz="0" w:space="0" w:color="auto"/>
        <w:left w:val="none" w:sz="0" w:space="0" w:color="auto"/>
        <w:bottom w:val="none" w:sz="0" w:space="0" w:color="auto"/>
        <w:right w:val="none" w:sz="0" w:space="0" w:color="auto"/>
      </w:divBdr>
    </w:div>
    <w:div w:id="1756778901">
      <w:marLeft w:val="0"/>
      <w:marRight w:val="0"/>
      <w:marTop w:val="0"/>
      <w:marBottom w:val="0"/>
      <w:divBdr>
        <w:top w:val="none" w:sz="0" w:space="0" w:color="auto"/>
        <w:left w:val="none" w:sz="0" w:space="0" w:color="auto"/>
        <w:bottom w:val="none" w:sz="0" w:space="0" w:color="auto"/>
        <w:right w:val="none" w:sz="0" w:space="0" w:color="auto"/>
      </w:divBdr>
      <w:divsChild>
        <w:div w:id="792402171">
          <w:marLeft w:val="0"/>
          <w:marRight w:val="0"/>
          <w:marTop w:val="0"/>
          <w:marBottom w:val="0"/>
          <w:divBdr>
            <w:top w:val="none" w:sz="0" w:space="0" w:color="auto"/>
            <w:left w:val="none" w:sz="0" w:space="0" w:color="auto"/>
            <w:bottom w:val="none" w:sz="0" w:space="0" w:color="auto"/>
            <w:right w:val="none" w:sz="0" w:space="0" w:color="auto"/>
          </w:divBdr>
        </w:div>
      </w:divsChild>
    </w:div>
    <w:div w:id="1756975399">
      <w:marLeft w:val="0"/>
      <w:marRight w:val="0"/>
      <w:marTop w:val="0"/>
      <w:marBottom w:val="0"/>
      <w:divBdr>
        <w:top w:val="none" w:sz="0" w:space="0" w:color="auto"/>
        <w:left w:val="none" w:sz="0" w:space="0" w:color="auto"/>
        <w:bottom w:val="none" w:sz="0" w:space="0" w:color="auto"/>
        <w:right w:val="none" w:sz="0" w:space="0" w:color="auto"/>
      </w:divBdr>
      <w:divsChild>
        <w:div w:id="1944873520">
          <w:marLeft w:val="0"/>
          <w:marRight w:val="0"/>
          <w:marTop w:val="0"/>
          <w:marBottom w:val="0"/>
          <w:divBdr>
            <w:top w:val="none" w:sz="0" w:space="0" w:color="auto"/>
            <w:left w:val="none" w:sz="0" w:space="0" w:color="auto"/>
            <w:bottom w:val="none" w:sz="0" w:space="0" w:color="auto"/>
            <w:right w:val="none" w:sz="0" w:space="0" w:color="auto"/>
          </w:divBdr>
        </w:div>
      </w:divsChild>
    </w:div>
    <w:div w:id="1762869529">
      <w:marLeft w:val="0"/>
      <w:marRight w:val="0"/>
      <w:marTop w:val="0"/>
      <w:marBottom w:val="0"/>
      <w:divBdr>
        <w:top w:val="none" w:sz="0" w:space="0" w:color="auto"/>
        <w:left w:val="none" w:sz="0" w:space="0" w:color="auto"/>
        <w:bottom w:val="none" w:sz="0" w:space="0" w:color="auto"/>
        <w:right w:val="none" w:sz="0" w:space="0" w:color="auto"/>
      </w:divBdr>
      <w:divsChild>
        <w:div w:id="1906530369">
          <w:marLeft w:val="0"/>
          <w:marRight w:val="0"/>
          <w:marTop w:val="0"/>
          <w:marBottom w:val="0"/>
          <w:divBdr>
            <w:top w:val="none" w:sz="0" w:space="0" w:color="auto"/>
            <w:left w:val="none" w:sz="0" w:space="0" w:color="auto"/>
            <w:bottom w:val="none" w:sz="0" w:space="0" w:color="auto"/>
            <w:right w:val="none" w:sz="0" w:space="0" w:color="auto"/>
          </w:divBdr>
        </w:div>
      </w:divsChild>
    </w:div>
    <w:div w:id="1775393733">
      <w:marLeft w:val="0"/>
      <w:marRight w:val="0"/>
      <w:marTop w:val="0"/>
      <w:marBottom w:val="0"/>
      <w:divBdr>
        <w:top w:val="none" w:sz="0" w:space="0" w:color="auto"/>
        <w:left w:val="none" w:sz="0" w:space="0" w:color="auto"/>
        <w:bottom w:val="none" w:sz="0" w:space="0" w:color="auto"/>
        <w:right w:val="none" w:sz="0" w:space="0" w:color="auto"/>
      </w:divBdr>
      <w:divsChild>
        <w:div w:id="1378046311">
          <w:marLeft w:val="0"/>
          <w:marRight w:val="0"/>
          <w:marTop w:val="0"/>
          <w:marBottom w:val="0"/>
          <w:divBdr>
            <w:top w:val="none" w:sz="0" w:space="0" w:color="auto"/>
            <w:left w:val="none" w:sz="0" w:space="0" w:color="auto"/>
            <w:bottom w:val="none" w:sz="0" w:space="0" w:color="auto"/>
            <w:right w:val="none" w:sz="0" w:space="0" w:color="auto"/>
          </w:divBdr>
        </w:div>
      </w:divsChild>
    </w:div>
    <w:div w:id="1778065537">
      <w:marLeft w:val="0"/>
      <w:marRight w:val="0"/>
      <w:marTop w:val="0"/>
      <w:marBottom w:val="0"/>
      <w:divBdr>
        <w:top w:val="none" w:sz="0" w:space="0" w:color="auto"/>
        <w:left w:val="none" w:sz="0" w:space="0" w:color="auto"/>
        <w:bottom w:val="none" w:sz="0" w:space="0" w:color="auto"/>
        <w:right w:val="none" w:sz="0" w:space="0" w:color="auto"/>
      </w:divBdr>
    </w:div>
    <w:div w:id="1784614538">
      <w:marLeft w:val="0"/>
      <w:marRight w:val="0"/>
      <w:marTop w:val="0"/>
      <w:marBottom w:val="0"/>
      <w:divBdr>
        <w:top w:val="none" w:sz="0" w:space="0" w:color="auto"/>
        <w:left w:val="none" w:sz="0" w:space="0" w:color="auto"/>
        <w:bottom w:val="none" w:sz="0" w:space="0" w:color="auto"/>
        <w:right w:val="none" w:sz="0" w:space="0" w:color="auto"/>
      </w:divBdr>
    </w:div>
    <w:div w:id="1785297183">
      <w:marLeft w:val="0"/>
      <w:marRight w:val="0"/>
      <w:marTop w:val="0"/>
      <w:marBottom w:val="0"/>
      <w:divBdr>
        <w:top w:val="none" w:sz="0" w:space="0" w:color="auto"/>
        <w:left w:val="none" w:sz="0" w:space="0" w:color="auto"/>
        <w:bottom w:val="none" w:sz="0" w:space="0" w:color="auto"/>
        <w:right w:val="none" w:sz="0" w:space="0" w:color="auto"/>
      </w:divBdr>
      <w:divsChild>
        <w:div w:id="1192501400">
          <w:marLeft w:val="0"/>
          <w:marRight w:val="0"/>
          <w:marTop w:val="0"/>
          <w:marBottom w:val="0"/>
          <w:divBdr>
            <w:top w:val="none" w:sz="0" w:space="0" w:color="auto"/>
            <w:left w:val="none" w:sz="0" w:space="0" w:color="auto"/>
            <w:bottom w:val="none" w:sz="0" w:space="0" w:color="auto"/>
            <w:right w:val="none" w:sz="0" w:space="0" w:color="auto"/>
          </w:divBdr>
        </w:div>
      </w:divsChild>
    </w:div>
    <w:div w:id="1789397849">
      <w:marLeft w:val="0"/>
      <w:marRight w:val="0"/>
      <w:marTop w:val="0"/>
      <w:marBottom w:val="0"/>
      <w:divBdr>
        <w:top w:val="none" w:sz="0" w:space="0" w:color="auto"/>
        <w:left w:val="none" w:sz="0" w:space="0" w:color="auto"/>
        <w:bottom w:val="none" w:sz="0" w:space="0" w:color="auto"/>
        <w:right w:val="none" w:sz="0" w:space="0" w:color="auto"/>
      </w:divBdr>
    </w:div>
    <w:div w:id="1789741489">
      <w:marLeft w:val="0"/>
      <w:marRight w:val="0"/>
      <w:marTop w:val="0"/>
      <w:marBottom w:val="0"/>
      <w:divBdr>
        <w:top w:val="none" w:sz="0" w:space="0" w:color="auto"/>
        <w:left w:val="none" w:sz="0" w:space="0" w:color="auto"/>
        <w:bottom w:val="none" w:sz="0" w:space="0" w:color="auto"/>
        <w:right w:val="none" w:sz="0" w:space="0" w:color="auto"/>
      </w:divBdr>
    </w:div>
    <w:div w:id="1793327297">
      <w:marLeft w:val="0"/>
      <w:marRight w:val="0"/>
      <w:marTop w:val="0"/>
      <w:marBottom w:val="0"/>
      <w:divBdr>
        <w:top w:val="none" w:sz="0" w:space="0" w:color="auto"/>
        <w:left w:val="none" w:sz="0" w:space="0" w:color="auto"/>
        <w:bottom w:val="none" w:sz="0" w:space="0" w:color="auto"/>
        <w:right w:val="none" w:sz="0" w:space="0" w:color="auto"/>
      </w:divBdr>
    </w:div>
    <w:div w:id="1800100757">
      <w:marLeft w:val="0"/>
      <w:marRight w:val="0"/>
      <w:marTop w:val="0"/>
      <w:marBottom w:val="0"/>
      <w:divBdr>
        <w:top w:val="none" w:sz="0" w:space="0" w:color="auto"/>
        <w:left w:val="none" w:sz="0" w:space="0" w:color="auto"/>
        <w:bottom w:val="none" w:sz="0" w:space="0" w:color="auto"/>
        <w:right w:val="none" w:sz="0" w:space="0" w:color="auto"/>
      </w:divBdr>
    </w:div>
    <w:div w:id="1800107483">
      <w:marLeft w:val="0"/>
      <w:marRight w:val="0"/>
      <w:marTop w:val="0"/>
      <w:marBottom w:val="0"/>
      <w:divBdr>
        <w:top w:val="none" w:sz="0" w:space="0" w:color="auto"/>
        <w:left w:val="none" w:sz="0" w:space="0" w:color="auto"/>
        <w:bottom w:val="none" w:sz="0" w:space="0" w:color="auto"/>
        <w:right w:val="none" w:sz="0" w:space="0" w:color="auto"/>
      </w:divBdr>
    </w:div>
    <w:div w:id="1807579470">
      <w:marLeft w:val="0"/>
      <w:marRight w:val="0"/>
      <w:marTop w:val="0"/>
      <w:marBottom w:val="0"/>
      <w:divBdr>
        <w:top w:val="none" w:sz="0" w:space="0" w:color="auto"/>
        <w:left w:val="none" w:sz="0" w:space="0" w:color="auto"/>
        <w:bottom w:val="none" w:sz="0" w:space="0" w:color="auto"/>
        <w:right w:val="none" w:sz="0" w:space="0" w:color="auto"/>
      </w:divBdr>
    </w:div>
    <w:div w:id="1818106209">
      <w:marLeft w:val="0"/>
      <w:marRight w:val="0"/>
      <w:marTop w:val="0"/>
      <w:marBottom w:val="0"/>
      <w:divBdr>
        <w:top w:val="none" w:sz="0" w:space="0" w:color="auto"/>
        <w:left w:val="none" w:sz="0" w:space="0" w:color="auto"/>
        <w:bottom w:val="none" w:sz="0" w:space="0" w:color="auto"/>
        <w:right w:val="none" w:sz="0" w:space="0" w:color="auto"/>
      </w:divBdr>
      <w:divsChild>
        <w:div w:id="1750082320">
          <w:marLeft w:val="0"/>
          <w:marRight w:val="0"/>
          <w:marTop w:val="0"/>
          <w:marBottom w:val="0"/>
          <w:divBdr>
            <w:top w:val="none" w:sz="0" w:space="0" w:color="auto"/>
            <w:left w:val="none" w:sz="0" w:space="0" w:color="auto"/>
            <w:bottom w:val="none" w:sz="0" w:space="0" w:color="auto"/>
            <w:right w:val="none" w:sz="0" w:space="0" w:color="auto"/>
          </w:divBdr>
        </w:div>
        <w:div w:id="1102454333">
          <w:marLeft w:val="0"/>
          <w:marRight w:val="0"/>
          <w:marTop w:val="0"/>
          <w:marBottom w:val="0"/>
          <w:divBdr>
            <w:top w:val="none" w:sz="0" w:space="0" w:color="auto"/>
            <w:left w:val="none" w:sz="0" w:space="0" w:color="auto"/>
            <w:bottom w:val="none" w:sz="0" w:space="0" w:color="auto"/>
            <w:right w:val="none" w:sz="0" w:space="0" w:color="auto"/>
          </w:divBdr>
        </w:div>
        <w:div w:id="663431028">
          <w:marLeft w:val="0"/>
          <w:marRight w:val="0"/>
          <w:marTop w:val="0"/>
          <w:marBottom w:val="0"/>
          <w:divBdr>
            <w:top w:val="none" w:sz="0" w:space="0" w:color="auto"/>
            <w:left w:val="none" w:sz="0" w:space="0" w:color="auto"/>
            <w:bottom w:val="none" w:sz="0" w:space="0" w:color="auto"/>
            <w:right w:val="none" w:sz="0" w:space="0" w:color="auto"/>
          </w:divBdr>
        </w:div>
        <w:div w:id="344792900">
          <w:marLeft w:val="0"/>
          <w:marRight w:val="0"/>
          <w:marTop w:val="0"/>
          <w:marBottom w:val="0"/>
          <w:divBdr>
            <w:top w:val="none" w:sz="0" w:space="0" w:color="auto"/>
            <w:left w:val="none" w:sz="0" w:space="0" w:color="auto"/>
            <w:bottom w:val="none" w:sz="0" w:space="0" w:color="auto"/>
            <w:right w:val="none" w:sz="0" w:space="0" w:color="auto"/>
          </w:divBdr>
        </w:div>
        <w:div w:id="342711639">
          <w:marLeft w:val="0"/>
          <w:marRight w:val="0"/>
          <w:marTop w:val="0"/>
          <w:marBottom w:val="0"/>
          <w:divBdr>
            <w:top w:val="none" w:sz="0" w:space="0" w:color="auto"/>
            <w:left w:val="none" w:sz="0" w:space="0" w:color="auto"/>
            <w:bottom w:val="none" w:sz="0" w:space="0" w:color="auto"/>
            <w:right w:val="none" w:sz="0" w:space="0" w:color="auto"/>
          </w:divBdr>
        </w:div>
        <w:div w:id="1847359717">
          <w:marLeft w:val="0"/>
          <w:marRight w:val="0"/>
          <w:marTop w:val="0"/>
          <w:marBottom w:val="0"/>
          <w:divBdr>
            <w:top w:val="none" w:sz="0" w:space="0" w:color="auto"/>
            <w:left w:val="none" w:sz="0" w:space="0" w:color="auto"/>
            <w:bottom w:val="none" w:sz="0" w:space="0" w:color="auto"/>
            <w:right w:val="none" w:sz="0" w:space="0" w:color="auto"/>
          </w:divBdr>
        </w:div>
        <w:div w:id="140464847">
          <w:marLeft w:val="0"/>
          <w:marRight w:val="0"/>
          <w:marTop w:val="0"/>
          <w:marBottom w:val="0"/>
          <w:divBdr>
            <w:top w:val="none" w:sz="0" w:space="0" w:color="auto"/>
            <w:left w:val="none" w:sz="0" w:space="0" w:color="auto"/>
            <w:bottom w:val="none" w:sz="0" w:space="0" w:color="auto"/>
            <w:right w:val="none" w:sz="0" w:space="0" w:color="auto"/>
          </w:divBdr>
        </w:div>
        <w:div w:id="1859855085">
          <w:marLeft w:val="0"/>
          <w:marRight w:val="0"/>
          <w:marTop w:val="0"/>
          <w:marBottom w:val="0"/>
          <w:divBdr>
            <w:top w:val="none" w:sz="0" w:space="0" w:color="auto"/>
            <w:left w:val="none" w:sz="0" w:space="0" w:color="auto"/>
            <w:bottom w:val="none" w:sz="0" w:space="0" w:color="auto"/>
            <w:right w:val="none" w:sz="0" w:space="0" w:color="auto"/>
          </w:divBdr>
        </w:div>
        <w:div w:id="1804469069">
          <w:marLeft w:val="0"/>
          <w:marRight w:val="0"/>
          <w:marTop w:val="0"/>
          <w:marBottom w:val="0"/>
          <w:divBdr>
            <w:top w:val="none" w:sz="0" w:space="0" w:color="auto"/>
            <w:left w:val="none" w:sz="0" w:space="0" w:color="auto"/>
            <w:bottom w:val="none" w:sz="0" w:space="0" w:color="auto"/>
            <w:right w:val="none" w:sz="0" w:space="0" w:color="auto"/>
          </w:divBdr>
        </w:div>
        <w:div w:id="763956099">
          <w:marLeft w:val="0"/>
          <w:marRight w:val="0"/>
          <w:marTop w:val="0"/>
          <w:marBottom w:val="0"/>
          <w:divBdr>
            <w:top w:val="none" w:sz="0" w:space="0" w:color="auto"/>
            <w:left w:val="none" w:sz="0" w:space="0" w:color="auto"/>
            <w:bottom w:val="none" w:sz="0" w:space="0" w:color="auto"/>
            <w:right w:val="none" w:sz="0" w:space="0" w:color="auto"/>
          </w:divBdr>
        </w:div>
        <w:div w:id="758329773">
          <w:marLeft w:val="0"/>
          <w:marRight w:val="0"/>
          <w:marTop w:val="0"/>
          <w:marBottom w:val="0"/>
          <w:divBdr>
            <w:top w:val="none" w:sz="0" w:space="0" w:color="auto"/>
            <w:left w:val="none" w:sz="0" w:space="0" w:color="auto"/>
            <w:bottom w:val="none" w:sz="0" w:space="0" w:color="auto"/>
            <w:right w:val="none" w:sz="0" w:space="0" w:color="auto"/>
          </w:divBdr>
        </w:div>
        <w:div w:id="1336416992">
          <w:marLeft w:val="0"/>
          <w:marRight w:val="0"/>
          <w:marTop w:val="0"/>
          <w:marBottom w:val="0"/>
          <w:divBdr>
            <w:top w:val="none" w:sz="0" w:space="0" w:color="auto"/>
            <w:left w:val="none" w:sz="0" w:space="0" w:color="auto"/>
            <w:bottom w:val="none" w:sz="0" w:space="0" w:color="auto"/>
            <w:right w:val="none" w:sz="0" w:space="0" w:color="auto"/>
          </w:divBdr>
        </w:div>
        <w:div w:id="248660934">
          <w:marLeft w:val="0"/>
          <w:marRight w:val="0"/>
          <w:marTop w:val="0"/>
          <w:marBottom w:val="0"/>
          <w:divBdr>
            <w:top w:val="none" w:sz="0" w:space="0" w:color="auto"/>
            <w:left w:val="none" w:sz="0" w:space="0" w:color="auto"/>
            <w:bottom w:val="none" w:sz="0" w:space="0" w:color="auto"/>
            <w:right w:val="none" w:sz="0" w:space="0" w:color="auto"/>
          </w:divBdr>
        </w:div>
        <w:div w:id="277683169">
          <w:marLeft w:val="0"/>
          <w:marRight w:val="0"/>
          <w:marTop w:val="0"/>
          <w:marBottom w:val="0"/>
          <w:divBdr>
            <w:top w:val="none" w:sz="0" w:space="0" w:color="auto"/>
            <w:left w:val="none" w:sz="0" w:space="0" w:color="auto"/>
            <w:bottom w:val="none" w:sz="0" w:space="0" w:color="auto"/>
            <w:right w:val="none" w:sz="0" w:space="0" w:color="auto"/>
          </w:divBdr>
        </w:div>
        <w:div w:id="250048513">
          <w:marLeft w:val="0"/>
          <w:marRight w:val="0"/>
          <w:marTop w:val="0"/>
          <w:marBottom w:val="0"/>
          <w:divBdr>
            <w:top w:val="none" w:sz="0" w:space="0" w:color="auto"/>
            <w:left w:val="none" w:sz="0" w:space="0" w:color="auto"/>
            <w:bottom w:val="none" w:sz="0" w:space="0" w:color="auto"/>
            <w:right w:val="none" w:sz="0" w:space="0" w:color="auto"/>
          </w:divBdr>
        </w:div>
        <w:div w:id="198662431">
          <w:marLeft w:val="0"/>
          <w:marRight w:val="0"/>
          <w:marTop w:val="0"/>
          <w:marBottom w:val="0"/>
          <w:divBdr>
            <w:top w:val="none" w:sz="0" w:space="0" w:color="auto"/>
            <w:left w:val="none" w:sz="0" w:space="0" w:color="auto"/>
            <w:bottom w:val="none" w:sz="0" w:space="0" w:color="auto"/>
            <w:right w:val="none" w:sz="0" w:space="0" w:color="auto"/>
          </w:divBdr>
        </w:div>
        <w:div w:id="400492868">
          <w:marLeft w:val="0"/>
          <w:marRight w:val="0"/>
          <w:marTop w:val="0"/>
          <w:marBottom w:val="0"/>
          <w:divBdr>
            <w:top w:val="none" w:sz="0" w:space="0" w:color="auto"/>
            <w:left w:val="none" w:sz="0" w:space="0" w:color="auto"/>
            <w:bottom w:val="none" w:sz="0" w:space="0" w:color="auto"/>
            <w:right w:val="none" w:sz="0" w:space="0" w:color="auto"/>
          </w:divBdr>
        </w:div>
        <w:div w:id="218131098">
          <w:marLeft w:val="0"/>
          <w:marRight w:val="0"/>
          <w:marTop w:val="0"/>
          <w:marBottom w:val="0"/>
          <w:divBdr>
            <w:top w:val="none" w:sz="0" w:space="0" w:color="auto"/>
            <w:left w:val="none" w:sz="0" w:space="0" w:color="auto"/>
            <w:bottom w:val="none" w:sz="0" w:space="0" w:color="auto"/>
            <w:right w:val="none" w:sz="0" w:space="0" w:color="auto"/>
          </w:divBdr>
        </w:div>
        <w:div w:id="1243369055">
          <w:marLeft w:val="0"/>
          <w:marRight w:val="0"/>
          <w:marTop w:val="0"/>
          <w:marBottom w:val="0"/>
          <w:divBdr>
            <w:top w:val="none" w:sz="0" w:space="0" w:color="auto"/>
            <w:left w:val="none" w:sz="0" w:space="0" w:color="auto"/>
            <w:bottom w:val="none" w:sz="0" w:space="0" w:color="auto"/>
            <w:right w:val="none" w:sz="0" w:space="0" w:color="auto"/>
          </w:divBdr>
        </w:div>
        <w:div w:id="708145630">
          <w:marLeft w:val="0"/>
          <w:marRight w:val="0"/>
          <w:marTop w:val="0"/>
          <w:marBottom w:val="0"/>
          <w:divBdr>
            <w:top w:val="none" w:sz="0" w:space="0" w:color="auto"/>
            <w:left w:val="none" w:sz="0" w:space="0" w:color="auto"/>
            <w:bottom w:val="none" w:sz="0" w:space="0" w:color="auto"/>
            <w:right w:val="none" w:sz="0" w:space="0" w:color="auto"/>
          </w:divBdr>
        </w:div>
        <w:div w:id="9451841">
          <w:marLeft w:val="0"/>
          <w:marRight w:val="0"/>
          <w:marTop w:val="0"/>
          <w:marBottom w:val="0"/>
          <w:divBdr>
            <w:top w:val="none" w:sz="0" w:space="0" w:color="auto"/>
            <w:left w:val="none" w:sz="0" w:space="0" w:color="auto"/>
            <w:bottom w:val="none" w:sz="0" w:space="0" w:color="auto"/>
            <w:right w:val="none" w:sz="0" w:space="0" w:color="auto"/>
          </w:divBdr>
        </w:div>
        <w:div w:id="298268029">
          <w:marLeft w:val="0"/>
          <w:marRight w:val="0"/>
          <w:marTop w:val="0"/>
          <w:marBottom w:val="0"/>
          <w:divBdr>
            <w:top w:val="none" w:sz="0" w:space="0" w:color="auto"/>
            <w:left w:val="none" w:sz="0" w:space="0" w:color="auto"/>
            <w:bottom w:val="none" w:sz="0" w:space="0" w:color="auto"/>
            <w:right w:val="none" w:sz="0" w:space="0" w:color="auto"/>
          </w:divBdr>
        </w:div>
        <w:div w:id="450439830">
          <w:marLeft w:val="0"/>
          <w:marRight w:val="0"/>
          <w:marTop w:val="0"/>
          <w:marBottom w:val="0"/>
          <w:divBdr>
            <w:top w:val="none" w:sz="0" w:space="0" w:color="auto"/>
            <w:left w:val="none" w:sz="0" w:space="0" w:color="auto"/>
            <w:bottom w:val="none" w:sz="0" w:space="0" w:color="auto"/>
            <w:right w:val="none" w:sz="0" w:space="0" w:color="auto"/>
          </w:divBdr>
        </w:div>
        <w:div w:id="1670408599">
          <w:marLeft w:val="0"/>
          <w:marRight w:val="0"/>
          <w:marTop w:val="0"/>
          <w:marBottom w:val="0"/>
          <w:divBdr>
            <w:top w:val="none" w:sz="0" w:space="0" w:color="auto"/>
            <w:left w:val="none" w:sz="0" w:space="0" w:color="auto"/>
            <w:bottom w:val="none" w:sz="0" w:space="0" w:color="auto"/>
            <w:right w:val="none" w:sz="0" w:space="0" w:color="auto"/>
          </w:divBdr>
        </w:div>
        <w:div w:id="2076662685">
          <w:marLeft w:val="0"/>
          <w:marRight w:val="0"/>
          <w:marTop w:val="0"/>
          <w:marBottom w:val="0"/>
          <w:divBdr>
            <w:top w:val="none" w:sz="0" w:space="0" w:color="auto"/>
            <w:left w:val="none" w:sz="0" w:space="0" w:color="auto"/>
            <w:bottom w:val="none" w:sz="0" w:space="0" w:color="auto"/>
            <w:right w:val="none" w:sz="0" w:space="0" w:color="auto"/>
          </w:divBdr>
        </w:div>
        <w:div w:id="1077366077">
          <w:marLeft w:val="0"/>
          <w:marRight w:val="0"/>
          <w:marTop w:val="0"/>
          <w:marBottom w:val="0"/>
          <w:divBdr>
            <w:top w:val="none" w:sz="0" w:space="0" w:color="auto"/>
            <w:left w:val="none" w:sz="0" w:space="0" w:color="auto"/>
            <w:bottom w:val="none" w:sz="0" w:space="0" w:color="auto"/>
            <w:right w:val="none" w:sz="0" w:space="0" w:color="auto"/>
          </w:divBdr>
        </w:div>
        <w:div w:id="932858403">
          <w:marLeft w:val="0"/>
          <w:marRight w:val="0"/>
          <w:marTop w:val="0"/>
          <w:marBottom w:val="0"/>
          <w:divBdr>
            <w:top w:val="none" w:sz="0" w:space="0" w:color="auto"/>
            <w:left w:val="none" w:sz="0" w:space="0" w:color="auto"/>
            <w:bottom w:val="none" w:sz="0" w:space="0" w:color="auto"/>
            <w:right w:val="none" w:sz="0" w:space="0" w:color="auto"/>
          </w:divBdr>
        </w:div>
        <w:div w:id="791704866">
          <w:marLeft w:val="0"/>
          <w:marRight w:val="0"/>
          <w:marTop w:val="0"/>
          <w:marBottom w:val="0"/>
          <w:divBdr>
            <w:top w:val="none" w:sz="0" w:space="0" w:color="auto"/>
            <w:left w:val="none" w:sz="0" w:space="0" w:color="auto"/>
            <w:bottom w:val="none" w:sz="0" w:space="0" w:color="auto"/>
            <w:right w:val="none" w:sz="0" w:space="0" w:color="auto"/>
          </w:divBdr>
        </w:div>
        <w:div w:id="1100489205">
          <w:marLeft w:val="0"/>
          <w:marRight w:val="0"/>
          <w:marTop w:val="0"/>
          <w:marBottom w:val="0"/>
          <w:divBdr>
            <w:top w:val="none" w:sz="0" w:space="0" w:color="auto"/>
            <w:left w:val="none" w:sz="0" w:space="0" w:color="auto"/>
            <w:bottom w:val="none" w:sz="0" w:space="0" w:color="auto"/>
            <w:right w:val="none" w:sz="0" w:space="0" w:color="auto"/>
          </w:divBdr>
        </w:div>
        <w:div w:id="1401170330">
          <w:marLeft w:val="0"/>
          <w:marRight w:val="0"/>
          <w:marTop w:val="0"/>
          <w:marBottom w:val="0"/>
          <w:divBdr>
            <w:top w:val="none" w:sz="0" w:space="0" w:color="auto"/>
            <w:left w:val="none" w:sz="0" w:space="0" w:color="auto"/>
            <w:bottom w:val="none" w:sz="0" w:space="0" w:color="auto"/>
            <w:right w:val="none" w:sz="0" w:space="0" w:color="auto"/>
          </w:divBdr>
        </w:div>
        <w:div w:id="322323146">
          <w:marLeft w:val="0"/>
          <w:marRight w:val="0"/>
          <w:marTop w:val="0"/>
          <w:marBottom w:val="0"/>
          <w:divBdr>
            <w:top w:val="none" w:sz="0" w:space="0" w:color="auto"/>
            <w:left w:val="none" w:sz="0" w:space="0" w:color="auto"/>
            <w:bottom w:val="none" w:sz="0" w:space="0" w:color="auto"/>
            <w:right w:val="none" w:sz="0" w:space="0" w:color="auto"/>
          </w:divBdr>
        </w:div>
      </w:divsChild>
    </w:div>
    <w:div w:id="1820070311">
      <w:marLeft w:val="0"/>
      <w:marRight w:val="0"/>
      <w:marTop w:val="0"/>
      <w:marBottom w:val="0"/>
      <w:divBdr>
        <w:top w:val="none" w:sz="0" w:space="0" w:color="auto"/>
        <w:left w:val="none" w:sz="0" w:space="0" w:color="auto"/>
        <w:bottom w:val="none" w:sz="0" w:space="0" w:color="auto"/>
        <w:right w:val="none" w:sz="0" w:space="0" w:color="auto"/>
      </w:divBdr>
    </w:div>
    <w:div w:id="1834643995">
      <w:marLeft w:val="0"/>
      <w:marRight w:val="0"/>
      <w:marTop w:val="0"/>
      <w:marBottom w:val="0"/>
      <w:divBdr>
        <w:top w:val="none" w:sz="0" w:space="0" w:color="auto"/>
        <w:left w:val="none" w:sz="0" w:space="0" w:color="auto"/>
        <w:bottom w:val="none" w:sz="0" w:space="0" w:color="auto"/>
        <w:right w:val="none" w:sz="0" w:space="0" w:color="auto"/>
      </w:divBdr>
      <w:divsChild>
        <w:div w:id="825319313">
          <w:marLeft w:val="0"/>
          <w:marRight w:val="0"/>
          <w:marTop w:val="0"/>
          <w:marBottom w:val="0"/>
          <w:divBdr>
            <w:top w:val="none" w:sz="0" w:space="0" w:color="auto"/>
            <w:left w:val="none" w:sz="0" w:space="0" w:color="auto"/>
            <w:bottom w:val="none" w:sz="0" w:space="0" w:color="auto"/>
            <w:right w:val="none" w:sz="0" w:space="0" w:color="auto"/>
          </w:divBdr>
        </w:div>
      </w:divsChild>
    </w:div>
    <w:div w:id="1842812053">
      <w:marLeft w:val="0"/>
      <w:marRight w:val="0"/>
      <w:marTop w:val="0"/>
      <w:marBottom w:val="0"/>
      <w:divBdr>
        <w:top w:val="none" w:sz="0" w:space="0" w:color="auto"/>
        <w:left w:val="none" w:sz="0" w:space="0" w:color="auto"/>
        <w:bottom w:val="none" w:sz="0" w:space="0" w:color="auto"/>
        <w:right w:val="none" w:sz="0" w:space="0" w:color="auto"/>
      </w:divBdr>
      <w:divsChild>
        <w:div w:id="1753039819">
          <w:marLeft w:val="0"/>
          <w:marRight w:val="0"/>
          <w:marTop w:val="0"/>
          <w:marBottom w:val="0"/>
          <w:divBdr>
            <w:top w:val="none" w:sz="0" w:space="0" w:color="auto"/>
            <w:left w:val="none" w:sz="0" w:space="0" w:color="auto"/>
            <w:bottom w:val="none" w:sz="0" w:space="0" w:color="auto"/>
            <w:right w:val="none" w:sz="0" w:space="0" w:color="auto"/>
          </w:divBdr>
        </w:div>
      </w:divsChild>
    </w:div>
    <w:div w:id="1849296498">
      <w:marLeft w:val="0"/>
      <w:marRight w:val="0"/>
      <w:marTop w:val="0"/>
      <w:marBottom w:val="0"/>
      <w:divBdr>
        <w:top w:val="none" w:sz="0" w:space="0" w:color="auto"/>
        <w:left w:val="none" w:sz="0" w:space="0" w:color="auto"/>
        <w:bottom w:val="none" w:sz="0" w:space="0" w:color="auto"/>
        <w:right w:val="none" w:sz="0" w:space="0" w:color="auto"/>
      </w:divBdr>
      <w:divsChild>
        <w:div w:id="2025589997">
          <w:marLeft w:val="0"/>
          <w:marRight w:val="0"/>
          <w:marTop w:val="0"/>
          <w:marBottom w:val="0"/>
          <w:divBdr>
            <w:top w:val="none" w:sz="0" w:space="0" w:color="auto"/>
            <w:left w:val="none" w:sz="0" w:space="0" w:color="auto"/>
            <w:bottom w:val="none" w:sz="0" w:space="0" w:color="auto"/>
            <w:right w:val="none" w:sz="0" w:space="0" w:color="auto"/>
          </w:divBdr>
        </w:div>
      </w:divsChild>
    </w:div>
    <w:div w:id="1849440235">
      <w:marLeft w:val="0"/>
      <w:marRight w:val="0"/>
      <w:marTop w:val="0"/>
      <w:marBottom w:val="0"/>
      <w:divBdr>
        <w:top w:val="none" w:sz="0" w:space="0" w:color="auto"/>
        <w:left w:val="none" w:sz="0" w:space="0" w:color="auto"/>
        <w:bottom w:val="none" w:sz="0" w:space="0" w:color="auto"/>
        <w:right w:val="none" w:sz="0" w:space="0" w:color="auto"/>
      </w:divBdr>
    </w:div>
    <w:div w:id="1850213829">
      <w:marLeft w:val="0"/>
      <w:marRight w:val="0"/>
      <w:marTop w:val="0"/>
      <w:marBottom w:val="0"/>
      <w:divBdr>
        <w:top w:val="none" w:sz="0" w:space="0" w:color="auto"/>
        <w:left w:val="none" w:sz="0" w:space="0" w:color="auto"/>
        <w:bottom w:val="none" w:sz="0" w:space="0" w:color="auto"/>
        <w:right w:val="none" w:sz="0" w:space="0" w:color="auto"/>
      </w:divBdr>
      <w:divsChild>
        <w:div w:id="1867668226">
          <w:marLeft w:val="0"/>
          <w:marRight w:val="0"/>
          <w:marTop w:val="0"/>
          <w:marBottom w:val="0"/>
          <w:divBdr>
            <w:top w:val="none" w:sz="0" w:space="0" w:color="auto"/>
            <w:left w:val="none" w:sz="0" w:space="0" w:color="auto"/>
            <w:bottom w:val="none" w:sz="0" w:space="0" w:color="auto"/>
            <w:right w:val="none" w:sz="0" w:space="0" w:color="auto"/>
          </w:divBdr>
        </w:div>
      </w:divsChild>
    </w:div>
    <w:div w:id="1854370402">
      <w:marLeft w:val="0"/>
      <w:marRight w:val="0"/>
      <w:marTop w:val="0"/>
      <w:marBottom w:val="0"/>
      <w:divBdr>
        <w:top w:val="none" w:sz="0" w:space="0" w:color="auto"/>
        <w:left w:val="none" w:sz="0" w:space="0" w:color="auto"/>
        <w:bottom w:val="none" w:sz="0" w:space="0" w:color="auto"/>
        <w:right w:val="none" w:sz="0" w:space="0" w:color="auto"/>
      </w:divBdr>
    </w:div>
    <w:div w:id="1855920557">
      <w:marLeft w:val="0"/>
      <w:marRight w:val="0"/>
      <w:marTop w:val="0"/>
      <w:marBottom w:val="0"/>
      <w:divBdr>
        <w:top w:val="none" w:sz="0" w:space="0" w:color="auto"/>
        <w:left w:val="none" w:sz="0" w:space="0" w:color="auto"/>
        <w:bottom w:val="none" w:sz="0" w:space="0" w:color="auto"/>
        <w:right w:val="none" w:sz="0" w:space="0" w:color="auto"/>
      </w:divBdr>
    </w:div>
    <w:div w:id="1864830145">
      <w:marLeft w:val="0"/>
      <w:marRight w:val="0"/>
      <w:marTop w:val="0"/>
      <w:marBottom w:val="0"/>
      <w:divBdr>
        <w:top w:val="none" w:sz="0" w:space="0" w:color="auto"/>
        <w:left w:val="none" w:sz="0" w:space="0" w:color="auto"/>
        <w:bottom w:val="none" w:sz="0" w:space="0" w:color="auto"/>
        <w:right w:val="none" w:sz="0" w:space="0" w:color="auto"/>
      </w:divBdr>
    </w:div>
    <w:div w:id="1870873710">
      <w:marLeft w:val="0"/>
      <w:marRight w:val="0"/>
      <w:marTop w:val="0"/>
      <w:marBottom w:val="0"/>
      <w:divBdr>
        <w:top w:val="none" w:sz="0" w:space="0" w:color="auto"/>
        <w:left w:val="none" w:sz="0" w:space="0" w:color="auto"/>
        <w:bottom w:val="none" w:sz="0" w:space="0" w:color="auto"/>
        <w:right w:val="none" w:sz="0" w:space="0" w:color="auto"/>
      </w:divBdr>
    </w:div>
    <w:div w:id="1873613896">
      <w:marLeft w:val="0"/>
      <w:marRight w:val="0"/>
      <w:marTop w:val="0"/>
      <w:marBottom w:val="0"/>
      <w:divBdr>
        <w:top w:val="none" w:sz="0" w:space="0" w:color="auto"/>
        <w:left w:val="none" w:sz="0" w:space="0" w:color="auto"/>
        <w:bottom w:val="none" w:sz="0" w:space="0" w:color="auto"/>
        <w:right w:val="none" w:sz="0" w:space="0" w:color="auto"/>
      </w:divBdr>
    </w:div>
    <w:div w:id="1875658579">
      <w:marLeft w:val="0"/>
      <w:marRight w:val="0"/>
      <w:marTop w:val="0"/>
      <w:marBottom w:val="0"/>
      <w:divBdr>
        <w:top w:val="none" w:sz="0" w:space="0" w:color="auto"/>
        <w:left w:val="none" w:sz="0" w:space="0" w:color="auto"/>
        <w:bottom w:val="none" w:sz="0" w:space="0" w:color="auto"/>
        <w:right w:val="none" w:sz="0" w:space="0" w:color="auto"/>
      </w:divBdr>
    </w:div>
    <w:div w:id="1877229801">
      <w:marLeft w:val="0"/>
      <w:marRight w:val="0"/>
      <w:marTop w:val="0"/>
      <w:marBottom w:val="0"/>
      <w:divBdr>
        <w:top w:val="none" w:sz="0" w:space="0" w:color="auto"/>
        <w:left w:val="none" w:sz="0" w:space="0" w:color="auto"/>
        <w:bottom w:val="none" w:sz="0" w:space="0" w:color="auto"/>
        <w:right w:val="none" w:sz="0" w:space="0" w:color="auto"/>
      </w:divBdr>
    </w:div>
    <w:div w:id="1877547324">
      <w:marLeft w:val="0"/>
      <w:marRight w:val="0"/>
      <w:marTop w:val="0"/>
      <w:marBottom w:val="0"/>
      <w:divBdr>
        <w:top w:val="none" w:sz="0" w:space="0" w:color="auto"/>
        <w:left w:val="none" w:sz="0" w:space="0" w:color="auto"/>
        <w:bottom w:val="none" w:sz="0" w:space="0" w:color="auto"/>
        <w:right w:val="none" w:sz="0" w:space="0" w:color="auto"/>
      </w:divBdr>
    </w:div>
    <w:div w:id="1880510688">
      <w:marLeft w:val="0"/>
      <w:marRight w:val="0"/>
      <w:marTop w:val="0"/>
      <w:marBottom w:val="0"/>
      <w:divBdr>
        <w:top w:val="none" w:sz="0" w:space="0" w:color="auto"/>
        <w:left w:val="none" w:sz="0" w:space="0" w:color="auto"/>
        <w:bottom w:val="none" w:sz="0" w:space="0" w:color="auto"/>
        <w:right w:val="none" w:sz="0" w:space="0" w:color="auto"/>
      </w:divBdr>
    </w:div>
    <w:div w:id="1882208971">
      <w:marLeft w:val="0"/>
      <w:marRight w:val="0"/>
      <w:marTop w:val="0"/>
      <w:marBottom w:val="0"/>
      <w:divBdr>
        <w:top w:val="none" w:sz="0" w:space="0" w:color="auto"/>
        <w:left w:val="none" w:sz="0" w:space="0" w:color="auto"/>
        <w:bottom w:val="none" w:sz="0" w:space="0" w:color="auto"/>
        <w:right w:val="none" w:sz="0" w:space="0" w:color="auto"/>
      </w:divBdr>
    </w:div>
    <w:div w:id="1884293937">
      <w:marLeft w:val="0"/>
      <w:marRight w:val="0"/>
      <w:marTop w:val="0"/>
      <w:marBottom w:val="0"/>
      <w:divBdr>
        <w:top w:val="none" w:sz="0" w:space="0" w:color="auto"/>
        <w:left w:val="none" w:sz="0" w:space="0" w:color="auto"/>
        <w:bottom w:val="none" w:sz="0" w:space="0" w:color="auto"/>
        <w:right w:val="none" w:sz="0" w:space="0" w:color="auto"/>
      </w:divBdr>
    </w:div>
    <w:div w:id="1885871739">
      <w:marLeft w:val="0"/>
      <w:marRight w:val="0"/>
      <w:marTop w:val="0"/>
      <w:marBottom w:val="0"/>
      <w:divBdr>
        <w:top w:val="none" w:sz="0" w:space="0" w:color="auto"/>
        <w:left w:val="none" w:sz="0" w:space="0" w:color="auto"/>
        <w:bottom w:val="none" w:sz="0" w:space="0" w:color="auto"/>
        <w:right w:val="none" w:sz="0" w:space="0" w:color="auto"/>
      </w:divBdr>
      <w:divsChild>
        <w:div w:id="82532625">
          <w:marLeft w:val="0"/>
          <w:marRight w:val="0"/>
          <w:marTop w:val="0"/>
          <w:marBottom w:val="0"/>
          <w:divBdr>
            <w:top w:val="none" w:sz="0" w:space="0" w:color="auto"/>
            <w:left w:val="none" w:sz="0" w:space="0" w:color="auto"/>
            <w:bottom w:val="none" w:sz="0" w:space="0" w:color="auto"/>
            <w:right w:val="none" w:sz="0" w:space="0" w:color="auto"/>
          </w:divBdr>
        </w:div>
        <w:div w:id="1925912229">
          <w:marLeft w:val="0"/>
          <w:marRight w:val="0"/>
          <w:marTop w:val="0"/>
          <w:marBottom w:val="0"/>
          <w:divBdr>
            <w:top w:val="none" w:sz="0" w:space="0" w:color="auto"/>
            <w:left w:val="none" w:sz="0" w:space="0" w:color="auto"/>
            <w:bottom w:val="none" w:sz="0" w:space="0" w:color="auto"/>
            <w:right w:val="none" w:sz="0" w:space="0" w:color="auto"/>
          </w:divBdr>
        </w:div>
        <w:div w:id="1031152722">
          <w:marLeft w:val="0"/>
          <w:marRight w:val="0"/>
          <w:marTop w:val="0"/>
          <w:marBottom w:val="0"/>
          <w:divBdr>
            <w:top w:val="none" w:sz="0" w:space="0" w:color="auto"/>
            <w:left w:val="none" w:sz="0" w:space="0" w:color="auto"/>
            <w:bottom w:val="none" w:sz="0" w:space="0" w:color="auto"/>
            <w:right w:val="none" w:sz="0" w:space="0" w:color="auto"/>
          </w:divBdr>
        </w:div>
        <w:div w:id="2076467359">
          <w:marLeft w:val="0"/>
          <w:marRight w:val="0"/>
          <w:marTop w:val="0"/>
          <w:marBottom w:val="0"/>
          <w:divBdr>
            <w:top w:val="none" w:sz="0" w:space="0" w:color="auto"/>
            <w:left w:val="none" w:sz="0" w:space="0" w:color="auto"/>
            <w:bottom w:val="none" w:sz="0" w:space="0" w:color="auto"/>
            <w:right w:val="none" w:sz="0" w:space="0" w:color="auto"/>
          </w:divBdr>
        </w:div>
        <w:div w:id="1387416930">
          <w:marLeft w:val="0"/>
          <w:marRight w:val="0"/>
          <w:marTop w:val="0"/>
          <w:marBottom w:val="0"/>
          <w:divBdr>
            <w:top w:val="none" w:sz="0" w:space="0" w:color="auto"/>
            <w:left w:val="none" w:sz="0" w:space="0" w:color="auto"/>
            <w:bottom w:val="none" w:sz="0" w:space="0" w:color="auto"/>
            <w:right w:val="none" w:sz="0" w:space="0" w:color="auto"/>
          </w:divBdr>
        </w:div>
        <w:div w:id="999230486">
          <w:marLeft w:val="0"/>
          <w:marRight w:val="0"/>
          <w:marTop w:val="0"/>
          <w:marBottom w:val="0"/>
          <w:divBdr>
            <w:top w:val="none" w:sz="0" w:space="0" w:color="auto"/>
            <w:left w:val="none" w:sz="0" w:space="0" w:color="auto"/>
            <w:bottom w:val="none" w:sz="0" w:space="0" w:color="auto"/>
            <w:right w:val="none" w:sz="0" w:space="0" w:color="auto"/>
          </w:divBdr>
        </w:div>
        <w:div w:id="623775245">
          <w:marLeft w:val="0"/>
          <w:marRight w:val="0"/>
          <w:marTop w:val="0"/>
          <w:marBottom w:val="0"/>
          <w:divBdr>
            <w:top w:val="none" w:sz="0" w:space="0" w:color="auto"/>
            <w:left w:val="none" w:sz="0" w:space="0" w:color="auto"/>
            <w:bottom w:val="none" w:sz="0" w:space="0" w:color="auto"/>
            <w:right w:val="none" w:sz="0" w:space="0" w:color="auto"/>
          </w:divBdr>
        </w:div>
        <w:div w:id="297299841">
          <w:marLeft w:val="0"/>
          <w:marRight w:val="0"/>
          <w:marTop w:val="0"/>
          <w:marBottom w:val="0"/>
          <w:divBdr>
            <w:top w:val="none" w:sz="0" w:space="0" w:color="auto"/>
            <w:left w:val="none" w:sz="0" w:space="0" w:color="auto"/>
            <w:bottom w:val="none" w:sz="0" w:space="0" w:color="auto"/>
            <w:right w:val="none" w:sz="0" w:space="0" w:color="auto"/>
          </w:divBdr>
        </w:div>
        <w:div w:id="1113592135">
          <w:marLeft w:val="0"/>
          <w:marRight w:val="0"/>
          <w:marTop w:val="0"/>
          <w:marBottom w:val="0"/>
          <w:divBdr>
            <w:top w:val="none" w:sz="0" w:space="0" w:color="auto"/>
            <w:left w:val="none" w:sz="0" w:space="0" w:color="auto"/>
            <w:bottom w:val="none" w:sz="0" w:space="0" w:color="auto"/>
            <w:right w:val="none" w:sz="0" w:space="0" w:color="auto"/>
          </w:divBdr>
        </w:div>
        <w:div w:id="1268661082">
          <w:marLeft w:val="0"/>
          <w:marRight w:val="0"/>
          <w:marTop w:val="0"/>
          <w:marBottom w:val="0"/>
          <w:divBdr>
            <w:top w:val="none" w:sz="0" w:space="0" w:color="auto"/>
            <w:left w:val="none" w:sz="0" w:space="0" w:color="auto"/>
            <w:bottom w:val="none" w:sz="0" w:space="0" w:color="auto"/>
            <w:right w:val="none" w:sz="0" w:space="0" w:color="auto"/>
          </w:divBdr>
        </w:div>
        <w:div w:id="347485657">
          <w:marLeft w:val="0"/>
          <w:marRight w:val="0"/>
          <w:marTop w:val="0"/>
          <w:marBottom w:val="0"/>
          <w:divBdr>
            <w:top w:val="none" w:sz="0" w:space="0" w:color="auto"/>
            <w:left w:val="none" w:sz="0" w:space="0" w:color="auto"/>
            <w:bottom w:val="none" w:sz="0" w:space="0" w:color="auto"/>
            <w:right w:val="none" w:sz="0" w:space="0" w:color="auto"/>
          </w:divBdr>
        </w:div>
        <w:div w:id="1499348443">
          <w:marLeft w:val="0"/>
          <w:marRight w:val="0"/>
          <w:marTop w:val="0"/>
          <w:marBottom w:val="0"/>
          <w:divBdr>
            <w:top w:val="none" w:sz="0" w:space="0" w:color="auto"/>
            <w:left w:val="none" w:sz="0" w:space="0" w:color="auto"/>
            <w:bottom w:val="none" w:sz="0" w:space="0" w:color="auto"/>
            <w:right w:val="none" w:sz="0" w:space="0" w:color="auto"/>
          </w:divBdr>
        </w:div>
        <w:div w:id="393937747">
          <w:marLeft w:val="0"/>
          <w:marRight w:val="0"/>
          <w:marTop w:val="0"/>
          <w:marBottom w:val="0"/>
          <w:divBdr>
            <w:top w:val="none" w:sz="0" w:space="0" w:color="auto"/>
            <w:left w:val="none" w:sz="0" w:space="0" w:color="auto"/>
            <w:bottom w:val="none" w:sz="0" w:space="0" w:color="auto"/>
            <w:right w:val="none" w:sz="0" w:space="0" w:color="auto"/>
          </w:divBdr>
        </w:div>
        <w:div w:id="161894797">
          <w:marLeft w:val="0"/>
          <w:marRight w:val="0"/>
          <w:marTop w:val="0"/>
          <w:marBottom w:val="0"/>
          <w:divBdr>
            <w:top w:val="none" w:sz="0" w:space="0" w:color="auto"/>
            <w:left w:val="none" w:sz="0" w:space="0" w:color="auto"/>
            <w:bottom w:val="none" w:sz="0" w:space="0" w:color="auto"/>
            <w:right w:val="none" w:sz="0" w:space="0" w:color="auto"/>
          </w:divBdr>
        </w:div>
        <w:div w:id="738015004">
          <w:marLeft w:val="0"/>
          <w:marRight w:val="0"/>
          <w:marTop w:val="0"/>
          <w:marBottom w:val="0"/>
          <w:divBdr>
            <w:top w:val="none" w:sz="0" w:space="0" w:color="auto"/>
            <w:left w:val="none" w:sz="0" w:space="0" w:color="auto"/>
            <w:bottom w:val="none" w:sz="0" w:space="0" w:color="auto"/>
            <w:right w:val="none" w:sz="0" w:space="0" w:color="auto"/>
          </w:divBdr>
        </w:div>
        <w:div w:id="1099106325">
          <w:marLeft w:val="0"/>
          <w:marRight w:val="0"/>
          <w:marTop w:val="0"/>
          <w:marBottom w:val="0"/>
          <w:divBdr>
            <w:top w:val="none" w:sz="0" w:space="0" w:color="auto"/>
            <w:left w:val="none" w:sz="0" w:space="0" w:color="auto"/>
            <w:bottom w:val="none" w:sz="0" w:space="0" w:color="auto"/>
            <w:right w:val="none" w:sz="0" w:space="0" w:color="auto"/>
          </w:divBdr>
        </w:div>
        <w:div w:id="703946797">
          <w:marLeft w:val="0"/>
          <w:marRight w:val="0"/>
          <w:marTop w:val="0"/>
          <w:marBottom w:val="0"/>
          <w:divBdr>
            <w:top w:val="none" w:sz="0" w:space="0" w:color="auto"/>
            <w:left w:val="none" w:sz="0" w:space="0" w:color="auto"/>
            <w:bottom w:val="none" w:sz="0" w:space="0" w:color="auto"/>
            <w:right w:val="none" w:sz="0" w:space="0" w:color="auto"/>
          </w:divBdr>
        </w:div>
        <w:div w:id="1196116981">
          <w:marLeft w:val="0"/>
          <w:marRight w:val="0"/>
          <w:marTop w:val="0"/>
          <w:marBottom w:val="0"/>
          <w:divBdr>
            <w:top w:val="none" w:sz="0" w:space="0" w:color="auto"/>
            <w:left w:val="none" w:sz="0" w:space="0" w:color="auto"/>
            <w:bottom w:val="none" w:sz="0" w:space="0" w:color="auto"/>
            <w:right w:val="none" w:sz="0" w:space="0" w:color="auto"/>
          </w:divBdr>
        </w:div>
        <w:div w:id="394357268">
          <w:marLeft w:val="0"/>
          <w:marRight w:val="0"/>
          <w:marTop w:val="0"/>
          <w:marBottom w:val="0"/>
          <w:divBdr>
            <w:top w:val="none" w:sz="0" w:space="0" w:color="auto"/>
            <w:left w:val="none" w:sz="0" w:space="0" w:color="auto"/>
            <w:bottom w:val="none" w:sz="0" w:space="0" w:color="auto"/>
            <w:right w:val="none" w:sz="0" w:space="0" w:color="auto"/>
          </w:divBdr>
        </w:div>
        <w:div w:id="534581985">
          <w:marLeft w:val="0"/>
          <w:marRight w:val="0"/>
          <w:marTop w:val="0"/>
          <w:marBottom w:val="0"/>
          <w:divBdr>
            <w:top w:val="none" w:sz="0" w:space="0" w:color="auto"/>
            <w:left w:val="none" w:sz="0" w:space="0" w:color="auto"/>
            <w:bottom w:val="none" w:sz="0" w:space="0" w:color="auto"/>
            <w:right w:val="none" w:sz="0" w:space="0" w:color="auto"/>
          </w:divBdr>
        </w:div>
        <w:div w:id="1328172624">
          <w:marLeft w:val="0"/>
          <w:marRight w:val="0"/>
          <w:marTop w:val="0"/>
          <w:marBottom w:val="0"/>
          <w:divBdr>
            <w:top w:val="none" w:sz="0" w:space="0" w:color="auto"/>
            <w:left w:val="none" w:sz="0" w:space="0" w:color="auto"/>
            <w:bottom w:val="none" w:sz="0" w:space="0" w:color="auto"/>
            <w:right w:val="none" w:sz="0" w:space="0" w:color="auto"/>
          </w:divBdr>
        </w:div>
        <w:div w:id="21591500">
          <w:marLeft w:val="0"/>
          <w:marRight w:val="0"/>
          <w:marTop w:val="0"/>
          <w:marBottom w:val="0"/>
          <w:divBdr>
            <w:top w:val="none" w:sz="0" w:space="0" w:color="auto"/>
            <w:left w:val="none" w:sz="0" w:space="0" w:color="auto"/>
            <w:bottom w:val="none" w:sz="0" w:space="0" w:color="auto"/>
            <w:right w:val="none" w:sz="0" w:space="0" w:color="auto"/>
          </w:divBdr>
        </w:div>
        <w:div w:id="1149439456">
          <w:marLeft w:val="0"/>
          <w:marRight w:val="0"/>
          <w:marTop w:val="0"/>
          <w:marBottom w:val="0"/>
          <w:divBdr>
            <w:top w:val="none" w:sz="0" w:space="0" w:color="auto"/>
            <w:left w:val="none" w:sz="0" w:space="0" w:color="auto"/>
            <w:bottom w:val="none" w:sz="0" w:space="0" w:color="auto"/>
            <w:right w:val="none" w:sz="0" w:space="0" w:color="auto"/>
          </w:divBdr>
        </w:div>
        <w:div w:id="1507094520">
          <w:marLeft w:val="0"/>
          <w:marRight w:val="0"/>
          <w:marTop w:val="0"/>
          <w:marBottom w:val="0"/>
          <w:divBdr>
            <w:top w:val="none" w:sz="0" w:space="0" w:color="auto"/>
            <w:left w:val="none" w:sz="0" w:space="0" w:color="auto"/>
            <w:bottom w:val="none" w:sz="0" w:space="0" w:color="auto"/>
            <w:right w:val="none" w:sz="0" w:space="0" w:color="auto"/>
          </w:divBdr>
        </w:div>
        <w:div w:id="931360266">
          <w:marLeft w:val="0"/>
          <w:marRight w:val="0"/>
          <w:marTop w:val="0"/>
          <w:marBottom w:val="0"/>
          <w:divBdr>
            <w:top w:val="none" w:sz="0" w:space="0" w:color="auto"/>
            <w:left w:val="none" w:sz="0" w:space="0" w:color="auto"/>
            <w:bottom w:val="none" w:sz="0" w:space="0" w:color="auto"/>
            <w:right w:val="none" w:sz="0" w:space="0" w:color="auto"/>
          </w:divBdr>
        </w:div>
        <w:div w:id="632978710">
          <w:marLeft w:val="0"/>
          <w:marRight w:val="0"/>
          <w:marTop w:val="0"/>
          <w:marBottom w:val="0"/>
          <w:divBdr>
            <w:top w:val="none" w:sz="0" w:space="0" w:color="auto"/>
            <w:left w:val="none" w:sz="0" w:space="0" w:color="auto"/>
            <w:bottom w:val="none" w:sz="0" w:space="0" w:color="auto"/>
            <w:right w:val="none" w:sz="0" w:space="0" w:color="auto"/>
          </w:divBdr>
        </w:div>
        <w:div w:id="1674840280">
          <w:marLeft w:val="0"/>
          <w:marRight w:val="0"/>
          <w:marTop w:val="0"/>
          <w:marBottom w:val="0"/>
          <w:divBdr>
            <w:top w:val="none" w:sz="0" w:space="0" w:color="auto"/>
            <w:left w:val="none" w:sz="0" w:space="0" w:color="auto"/>
            <w:bottom w:val="none" w:sz="0" w:space="0" w:color="auto"/>
            <w:right w:val="none" w:sz="0" w:space="0" w:color="auto"/>
          </w:divBdr>
        </w:div>
        <w:div w:id="1206604638">
          <w:marLeft w:val="0"/>
          <w:marRight w:val="0"/>
          <w:marTop w:val="0"/>
          <w:marBottom w:val="0"/>
          <w:divBdr>
            <w:top w:val="none" w:sz="0" w:space="0" w:color="auto"/>
            <w:left w:val="none" w:sz="0" w:space="0" w:color="auto"/>
            <w:bottom w:val="none" w:sz="0" w:space="0" w:color="auto"/>
            <w:right w:val="none" w:sz="0" w:space="0" w:color="auto"/>
          </w:divBdr>
        </w:div>
        <w:div w:id="1469474318">
          <w:marLeft w:val="0"/>
          <w:marRight w:val="0"/>
          <w:marTop w:val="0"/>
          <w:marBottom w:val="0"/>
          <w:divBdr>
            <w:top w:val="none" w:sz="0" w:space="0" w:color="auto"/>
            <w:left w:val="none" w:sz="0" w:space="0" w:color="auto"/>
            <w:bottom w:val="none" w:sz="0" w:space="0" w:color="auto"/>
            <w:right w:val="none" w:sz="0" w:space="0" w:color="auto"/>
          </w:divBdr>
        </w:div>
        <w:div w:id="1470971661">
          <w:marLeft w:val="0"/>
          <w:marRight w:val="0"/>
          <w:marTop w:val="0"/>
          <w:marBottom w:val="0"/>
          <w:divBdr>
            <w:top w:val="none" w:sz="0" w:space="0" w:color="auto"/>
            <w:left w:val="none" w:sz="0" w:space="0" w:color="auto"/>
            <w:bottom w:val="none" w:sz="0" w:space="0" w:color="auto"/>
            <w:right w:val="none" w:sz="0" w:space="0" w:color="auto"/>
          </w:divBdr>
        </w:div>
        <w:div w:id="2106336973">
          <w:marLeft w:val="0"/>
          <w:marRight w:val="0"/>
          <w:marTop w:val="0"/>
          <w:marBottom w:val="0"/>
          <w:divBdr>
            <w:top w:val="none" w:sz="0" w:space="0" w:color="auto"/>
            <w:left w:val="none" w:sz="0" w:space="0" w:color="auto"/>
            <w:bottom w:val="none" w:sz="0" w:space="0" w:color="auto"/>
            <w:right w:val="none" w:sz="0" w:space="0" w:color="auto"/>
          </w:divBdr>
        </w:div>
        <w:div w:id="361975410">
          <w:marLeft w:val="0"/>
          <w:marRight w:val="0"/>
          <w:marTop w:val="0"/>
          <w:marBottom w:val="0"/>
          <w:divBdr>
            <w:top w:val="none" w:sz="0" w:space="0" w:color="auto"/>
            <w:left w:val="none" w:sz="0" w:space="0" w:color="auto"/>
            <w:bottom w:val="none" w:sz="0" w:space="0" w:color="auto"/>
            <w:right w:val="none" w:sz="0" w:space="0" w:color="auto"/>
          </w:divBdr>
        </w:div>
        <w:div w:id="390277107">
          <w:marLeft w:val="0"/>
          <w:marRight w:val="0"/>
          <w:marTop w:val="0"/>
          <w:marBottom w:val="0"/>
          <w:divBdr>
            <w:top w:val="none" w:sz="0" w:space="0" w:color="auto"/>
            <w:left w:val="none" w:sz="0" w:space="0" w:color="auto"/>
            <w:bottom w:val="none" w:sz="0" w:space="0" w:color="auto"/>
            <w:right w:val="none" w:sz="0" w:space="0" w:color="auto"/>
          </w:divBdr>
        </w:div>
        <w:div w:id="1005936673">
          <w:marLeft w:val="0"/>
          <w:marRight w:val="0"/>
          <w:marTop w:val="0"/>
          <w:marBottom w:val="0"/>
          <w:divBdr>
            <w:top w:val="none" w:sz="0" w:space="0" w:color="auto"/>
            <w:left w:val="none" w:sz="0" w:space="0" w:color="auto"/>
            <w:bottom w:val="none" w:sz="0" w:space="0" w:color="auto"/>
            <w:right w:val="none" w:sz="0" w:space="0" w:color="auto"/>
          </w:divBdr>
        </w:div>
        <w:div w:id="1782216506">
          <w:marLeft w:val="0"/>
          <w:marRight w:val="0"/>
          <w:marTop w:val="0"/>
          <w:marBottom w:val="0"/>
          <w:divBdr>
            <w:top w:val="none" w:sz="0" w:space="0" w:color="auto"/>
            <w:left w:val="none" w:sz="0" w:space="0" w:color="auto"/>
            <w:bottom w:val="none" w:sz="0" w:space="0" w:color="auto"/>
            <w:right w:val="none" w:sz="0" w:space="0" w:color="auto"/>
          </w:divBdr>
        </w:div>
        <w:div w:id="267548186">
          <w:marLeft w:val="0"/>
          <w:marRight w:val="0"/>
          <w:marTop w:val="0"/>
          <w:marBottom w:val="0"/>
          <w:divBdr>
            <w:top w:val="none" w:sz="0" w:space="0" w:color="auto"/>
            <w:left w:val="none" w:sz="0" w:space="0" w:color="auto"/>
            <w:bottom w:val="none" w:sz="0" w:space="0" w:color="auto"/>
            <w:right w:val="none" w:sz="0" w:space="0" w:color="auto"/>
          </w:divBdr>
        </w:div>
        <w:div w:id="1883863574">
          <w:marLeft w:val="0"/>
          <w:marRight w:val="0"/>
          <w:marTop w:val="0"/>
          <w:marBottom w:val="0"/>
          <w:divBdr>
            <w:top w:val="none" w:sz="0" w:space="0" w:color="auto"/>
            <w:left w:val="none" w:sz="0" w:space="0" w:color="auto"/>
            <w:bottom w:val="none" w:sz="0" w:space="0" w:color="auto"/>
            <w:right w:val="none" w:sz="0" w:space="0" w:color="auto"/>
          </w:divBdr>
        </w:div>
        <w:div w:id="1113476189">
          <w:marLeft w:val="0"/>
          <w:marRight w:val="0"/>
          <w:marTop w:val="0"/>
          <w:marBottom w:val="0"/>
          <w:divBdr>
            <w:top w:val="none" w:sz="0" w:space="0" w:color="auto"/>
            <w:left w:val="none" w:sz="0" w:space="0" w:color="auto"/>
            <w:bottom w:val="none" w:sz="0" w:space="0" w:color="auto"/>
            <w:right w:val="none" w:sz="0" w:space="0" w:color="auto"/>
          </w:divBdr>
        </w:div>
        <w:div w:id="761073346">
          <w:marLeft w:val="0"/>
          <w:marRight w:val="0"/>
          <w:marTop w:val="0"/>
          <w:marBottom w:val="0"/>
          <w:divBdr>
            <w:top w:val="none" w:sz="0" w:space="0" w:color="auto"/>
            <w:left w:val="none" w:sz="0" w:space="0" w:color="auto"/>
            <w:bottom w:val="none" w:sz="0" w:space="0" w:color="auto"/>
            <w:right w:val="none" w:sz="0" w:space="0" w:color="auto"/>
          </w:divBdr>
        </w:div>
        <w:div w:id="919605909">
          <w:marLeft w:val="0"/>
          <w:marRight w:val="0"/>
          <w:marTop w:val="0"/>
          <w:marBottom w:val="0"/>
          <w:divBdr>
            <w:top w:val="none" w:sz="0" w:space="0" w:color="auto"/>
            <w:left w:val="none" w:sz="0" w:space="0" w:color="auto"/>
            <w:bottom w:val="none" w:sz="0" w:space="0" w:color="auto"/>
            <w:right w:val="none" w:sz="0" w:space="0" w:color="auto"/>
          </w:divBdr>
        </w:div>
        <w:div w:id="1733456511">
          <w:marLeft w:val="0"/>
          <w:marRight w:val="0"/>
          <w:marTop w:val="0"/>
          <w:marBottom w:val="0"/>
          <w:divBdr>
            <w:top w:val="none" w:sz="0" w:space="0" w:color="auto"/>
            <w:left w:val="none" w:sz="0" w:space="0" w:color="auto"/>
            <w:bottom w:val="none" w:sz="0" w:space="0" w:color="auto"/>
            <w:right w:val="none" w:sz="0" w:space="0" w:color="auto"/>
          </w:divBdr>
        </w:div>
        <w:div w:id="175730801">
          <w:marLeft w:val="0"/>
          <w:marRight w:val="0"/>
          <w:marTop w:val="0"/>
          <w:marBottom w:val="0"/>
          <w:divBdr>
            <w:top w:val="none" w:sz="0" w:space="0" w:color="auto"/>
            <w:left w:val="none" w:sz="0" w:space="0" w:color="auto"/>
            <w:bottom w:val="none" w:sz="0" w:space="0" w:color="auto"/>
            <w:right w:val="none" w:sz="0" w:space="0" w:color="auto"/>
          </w:divBdr>
        </w:div>
        <w:div w:id="1470368144">
          <w:marLeft w:val="0"/>
          <w:marRight w:val="0"/>
          <w:marTop w:val="0"/>
          <w:marBottom w:val="0"/>
          <w:divBdr>
            <w:top w:val="none" w:sz="0" w:space="0" w:color="auto"/>
            <w:left w:val="none" w:sz="0" w:space="0" w:color="auto"/>
            <w:bottom w:val="none" w:sz="0" w:space="0" w:color="auto"/>
            <w:right w:val="none" w:sz="0" w:space="0" w:color="auto"/>
          </w:divBdr>
        </w:div>
        <w:div w:id="1878468921">
          <w:marLeft w:val="0"/>
          <w:marRight w:val="0"/>
          <w:marTop w:val="0"/>
          <w:marBottom w:val="0"/>
          <w:divBdr>
            <w:top w:val="none" w:sz="0" w:space="0" w:color="auto"/>
            <w:left w:val="none" w:sz="0" w:space="0" w:color="auto"/>
            <w:bottom w:val="none" w:sz="0" w:space="0" w:color="auto"/>
            <w:right w:val="none" w:sz="0" w:space="0" w:color="auto"/>
          </w:divBdr>
        </w:div>
        <w:div w:id="318314917">
          <w:marLeft w:val="0"/>
          <w:marRight w:val="0"/>
          <w:marTop w:val="0"/>
          <w:marBottom w:val="0"/>
          <w:divBdr>
            <w:top w:val="none" w:sz="0" w:space="0" w:color="auto"/>
            <w:left w:val="none" w:sz="0" w:space="0" w:color="auto"/>
            <w:bottom w:val="none" w:sz="0" w:space="0" w:color="auto"/>
            <w:right w:val="none" w:sz="0" w:space="0" w:color="auto"/>
          </w:divBdr>
        </w:div>
        <w:div w:id="1436440657">
          <w:marLeft w:val="0"/>
          <w:marRight w:val="0"/>
          <w:marTop w:val="0"/>
          <w:marBottom w:val="0"/>
          <w:divBdr>
            <w:top w:val="none" w:sz="0" w:space="0" w:color="auto"/>
            <w:left w:val="none" w:sz="0" w:space="0" w:color="auto"/>
            <w:bottom w:val="none" w:sz="0" w:space="0" w:color="auto"/>
            <w:right w:val="none" w:sz="0" w:space="0" w:color="auto"/>
          </w:divBdr>
        </w:div>
        <w:div w:id="1104306109">
          <w:marLeft w:val="0"/>
          <w:marRight w:val="0"/>
          <w:marTop w:val="0"/>
          <w:marBottom w:val="0"/>
          <w:divBdr>
            <w:top w:val="none" w:sz="0" w:space="0" w:color="auto"/>
            <w:left w:val="none" w:sz="0" w:space="0" w:color="auto"/>
            <w:bottom w:val="none" w:sz="0" w:space="0" w:color="auto"/>
            <w:right w:val="none" w:sz="0" w:space="0" w:color="auto"/>
          </w:divBdr>
        </w:div>
        <w:div w:id="1852327933">
          <w:marLeft w:val="0"/>
          <w:marRight w:val="0"/>
          <w:marTop w:val="0"/>
          <w:marBottom w:val="0"/>
          <w:divBdr>
            <w:top w:val="none" w:sz="0" w:space="0" w:color="auto"/>
            <w:left w:val="none" w:sz="0" w:space="0" w:color="auto"/>
            <w:bottom w:val="none" w:sz="0" w:space="0" w:color="auto"/>
            <w:right w:val="none" w:sz="0" w:space="0" w:color="auto"/>
          </w:divBdr>
        </w:div>
      </w:divsChild>
    </w:div>
    <w:div w:id="1890532900">
      <w:marLeft w:val="0"/>
      <w:marRight w:val="0"/>
      <w:marTop w:val="0"/>
      <w:marBottom w:val="0"/>
      <w:divBdr>
        <w:top w:val="none" w:sz="0" w:space="0" w:color="auto"/>
        <w:left w:val="none" w:sz="0" w:space="0" w:color="auto"/>
        <w:bottom w:val="none" w:sz="0" w:space="0" w:color="auto"/>
        <w:right w:val="none" w:sz="0" w:space="0" w:color="auto"/>
      </w:divBdr>
    </w:div>
    <w:div w:id="1890722871">
      <w:marLeft w:val="0"/>
      <w:marRight w:val="0"/>
      <w:marTop w:val="0"/>
      <w:marBottom w:val="0"/>
      <w:divBdr>
        <w:top w:val="none" w:sz="0" w:space="0" w:color="auto"/>
        <w:left w:val="none" w:sz="0" w:space="0" w:color="auto"/>
        <w:bottom w:val="none" w:sz="0" w:space="0" w:color="auto"/>
        <w:right w:val="none" w:sz="0" w:space="0" w:color="auto"/>
      </w:divBdr>
    </w:div>
    <w:div w:id="1892112958">
      <w:marLeft w:val="0"/>
      <w:marRight w:val="0"/>
      <w:marTop w:val="0"/>
      <w:marBottom w:val="0"/>
      <w:divBdr>
        <w:top w:val="none" w:sz="0" w:space="0" w:color="auto"/>
        <w:left w:val="none" w:sz="0" w:space="0" w:color="auto"/>
        <w:bottom w:val="none" w:sz="0" w:space="0" w:color="auto"/>
        <w:right w:val="none" w:sz="0" w:space="0" w:color="auto"/>
      </w:divBdr>
    </w:div>
    <w:div w:id="1892574702">
      <w:marLeft w:val="0"/>
      <w:marRight w:val="0"/>
      <w:marTop w:val="0"/>
      <w:marBottom w:val="0"/>
      <w:divBdr>
        <w:top w:val="none" w:sz="0" w:space="0" w:color="auto"/>
        <w:left w:val="none" w:sz="0" w:space="0" w:color="auto"/>
        <w:bottom w:val="none" w:sz="0" w:space="0" w:color="auto"/>
        <w:right w:val="none" w:sz="0" w:space="0" w:color="auto"/>
      </w:divBdr>
      <w:divsChild>
        <w:div w:id="394471410">
          <w:marLeft w:val="0"/>
          <w:marRight w:val="0"/>
          <w:marTop w:val="0"/>
          <w:marBottom w:val="0"/>
          <w:divBdr>
            <w:top w:val="none" w:sz="0" w:space="0" w:color="auto"/>
            <w:left w:val="none" w:sz="0" w:space="0" w:color="auto"/>
            <w:bottom w:val="none" w:sz="0" w:space="0" w:color="auto"/>
            <w:right w:val="none" w:sz="0" w:space="0" w:color="auto"/>
          </w:divBdr>
        </w:div>
      </w:divsChild>
    </w:div>
    <w:div w:id="1898666797">
      <w:marLeft w:val="0"/>
      <w:marRight w:val="0"/>
      <w:marTop w:val="0"/>
      <w:marBottom w:val="0"/>
      <w:divBdr>
        <w:top w:val="none" w:sz="0" w:space="0" w:color="auto"/>
        <w:left w:val="none" w:sz="0" w:space="0" w:color="auto"/>
        <w:bottom w:val="none" w:sz="0" w:space="0" w:color="auto"/>
        <w:right w:val="none" w:sz="0" w:space="0" w:color="auto"/>
      </w:divBdr>
      <w:divsChild>
        <w:div w:id="1798916588">
          <w:marLeft w:val="0"/>
          <w:marRight w:val="0"/>
          <w:marTop w:val="0"/>
          <w:marBottom w:val="0"/>
          <w:divBdr>
            <w:top w:val="none" w:sz="0" w:space="0" w:color="auto"/>
            <w:left w:val="none" w:sz="0" w:space="0" w:color="auto"/>
            <w:bottom w:val="none" w:sz="0" w:space="0" w:color="auto"/>
            <w:right w:val="none" w:sz="0" w:space="0" w:color="auto"/>
          </w:divBdr>
        </w:div>
      </w:divsChild>
    </w:div>
    <w:div w:id="1901671309">
      <w:marLeft w:val="0"/>
      <w:marRight w:val="0"/>
      <w:marTop w:val="0"/>
      <w:marBottom w:val="0"/>
      <w:divBdr>
        <w:top w:val="none" w:sz="0" w:space="0" w:color="auto"/>
        <w:left w:val="none" w:sz="0" w:space="0" w:color="auto"/>
        <w:bottom w:val="none" w:sz="0" w:space="0" w:color="auto"/>
        <w:right w:val="none" w:sz="0" w:space="0" w:color="auto"/>
      </w:divBdr>
    </w:div>
    <w:div w:id="1907884251">
      <w:marLeft w:val="0"/>
      <w:marRight w:val="0"/>
      <w:marTop w:val="0"/>
      <w:marBottom w:val="0"/>
      <w:divBdr>
        <w:top w:val="none" w:sz="0" w:space="0" w:color="auto"/>
        <w:left w:val="none" w:sz="0" w:space="0" w:color="auto"/>
        <w:bottom w:val="none" w:sz="0" w:space="0" w:color="auto"/>
        <w:right w:val="none" w:sz="0" w:space="0" w:color="auto"/>
      </w:divBdr>
    </w:div>
    <w:div w:id="1908759540">
      <w:marLeft w:val="0"/>
      <w:marRight w:val="0"/>
      <w:marTop w:val="0"/>
      <w:marBottom w:val="0"/>
      <w:divBdr>
        <w:top w:val="none" w:sz="0" w:space="0" w:color="auto"/>
        <w:left w:val="none" w:sz="0" w:space="0" w:color="auto"/>
        <w:bottom w:val="none" w:sz="0" w:space="0" w:color="auto"/>
        <w:right w:val="none" w:sz="0" w:space="0" w:color="auto"/>
      </w:divBdr>
      <w:divsChild>
        <w:div w:id="48114704">
          <w:marLeft w:val="0"/>
          <w:marRight w:val="0"/>
          <w:marTop w:val="0"/>
          <w:marBottom w:val="0"/>
          <w:divBdr>
            <w:top w:val="none" w:sz="0" w:space="0" w:color="auto"/>
            <w:left w:val="none" w:sz="0" w:space="0" w:color="auto"/>
            <w:bottom w:val="none" w:sz="0" w:space="0" w:color="auto"/>
            <w:right w:val="none" w:sz="0" w:space="0" w:color="auto"/>
          </w:divBdr>
        </w:div>
      </w:divsChild>
    </w:div>
    <w:div w:id="1909077225">
      <w:marLeft w:val="0"/>
      <w:marRight w:val="0"/>
      <w:marTop w:val="0"/>
      <w:marBottom w:val="0"/>
      <w:divBdr>
        <w:top w:val="none" w:sz="0" w:space="0" w:color="auto"/>
        <w:left w:val="none" w:sz="0" w:space="0" w:color="auto"/>
        <w:bottom w:val="none" w:sz="0" w:space="0" w:color="auto"/>
        <w:right w:val="none" w:sz="0" w:space="0" w:color="auto"/>
      </w:divBdr>
    </w:div>
    <w:div w:id="1911427448">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23448346">
      <w:marLeft w:val="0"/>
      <w:marRight w:val="0"/>
      <w:marTop w:val="0"/>
      <w:marBottom w:val="0"/>
      <w:divBdr>
        <w:top w:val="none" w:sz="0" w:space="0" w:color="auto"/>
        <w:left w:val="none" w:sz="0" w:space="0" w:color="auto"/>
        <w:bottom w:val="none" w:sz="0" w:space="0" w:color="auto"/>
        <w:right w:val="none" w:sz="0" w:space="0" w:color="auto"/>
      </w:divBdr>
      <w:divsChild>
        <w:div w:id="301468125">
          <w:marLeft w:val="0"/>
          <w:marRight w:val="0"/>
          <w:marTop w:val="0"/>
          <w:marBottom w:val="0"/>
          <w:divBdr>
            <w:top w:val="none" w:sz="0" w:space="0" w:color="auto"/>
            <w:left w:val="none" w:sz="0" w:space="0" w:color="auto"/>
            <w:bottom w:val="none" w:sz="0" w:space="0" w:color="auto"/>
            <w:right w:val="none" w:sz="0" w:space="0" w:color="auto"/>
          </w:divBdr>
        </w:div>
      </w:divsChild>
    </w:div>
    <w:div w:id="1924949762">
      <w:marLeft w:val="0"/>
      <w:marRight w:val="0"/>
      <w:marTop w:val="0"/>
      <w:marBottom w:val="0"/>
      <w:divBdr>
        <w:top w:val="none" w:sz="0" w:space="0" w:color="auto"/>
        <w:left w:val="none" w:sz="0" w:space="0" w:color="auto"/>
        <w:bottom w:val="none" w:sz="0" w:space="0" w:color="auto"/>
        <w:right w:val="none" w:sz="0" w:space="0" w:color="auto"/>
      </w:divBdr>
    </w:div>
    <w:div w:id="1936208565">
      <w:marLeft w:val="0"/>
      <w:marRight w:val="0"/>
      <w:marTop w:val="0"/>
      <w:marBottom w:val="0"/>
      <w:divBdr>
        <w:top w:val="none" w:sz="0" w:space="0" w:color="auto"/>
        <w:left w:val="none" w:sz="0" w:space="0" w:color="auto"/>
        <w:bottom w:val="none" w:sz="0" w:space="0" w:color="auto"/>
        <w:right w:val="none" w:sz="0" w:space="0" w:color="auto"/>
      </w:divBdr>
    </w:div>
    <w:div w:id="1938906120">
      <w:marLeft w:val="0"/>
      <w:marRight w:val="0"/>
      <w:marTop w:val="0"/>
      <w:marBottom w:val="0"/>
      <w:divBdr>
        <w:top w:val="none" w:sz="0" w:space="0" w:color="auto"/>
        <w:left w:val="none" w:sz="0" w:space="0" w:color="auto"/>
        <w:bottom w:val="none" w:sz="0" w:space="0" w:color="auto"/>
        <w:right w:val="none" w:sz="0" w:space="0" w:color="auto"/>
      </w:divBdr>
    </w:div>
    <w:div w:id="1943226508">
      <w:marLeft w:val="0"/>
      <w:marRight w:val="0"/>
      <w:marTop w:val="0"/>
      <w:marBottom w:val="0"/>
      <w:divBdr>
        <w:top w:val="none" w:sz="0" w:space="0" w:color="auto"/>
        <w:left w:val="none" w:sz="0" w:space="0" w:color="auto"/>
        <w:bottom w:val="none" w:sz="0" w:space="0" w:color="auto"/>
        <w:right w:val="none" w:sz="0" w:space="0" w:color="auto"/>
      </w:divBdr>
    </w:div>
    <w:div w:id="1951008600">
      <w:marLeft w:val="0"/>
      <w:marRight w:val="0"/>
      <w:marTop w:val="0"/>
      <w:marBottom w:val="0"/>
      <w:divBdr>
        <w:top w:val="none" w:sz="0" w:space="0" w:color="auto"/>
        <w:left w:val="none" w:sz="0" w:space="0" w:color="auto"/>
        <w:bottom w:val="none" w:sz="0" w:space="0" w:color="auto"/>
        <w:right w:val="none" w:sz="0" w:space="0" w:color="auto"/>
      </w:divBdr>
      <w:divsChild>
        <w:div w:id="863902808">
          <w:marLeft w:val="0"/>
          <w:marRight w:val="0"/>
          <w:marTop w:val="0"/>
          <w:marBottom w:val="0"/>
          <w:divBdr>
            <w:top w:val="none" w:sz="0" w:space="0" w:color="auto"/>
            <w:left w:val="none" w:sz="0" w:space="0" w:color="auto"/>
            <w:bottom w:val="none" w:sz="0" w:space="0" w:color="auto"/>
            <w:right w:val="none" w:sz="0" w:space="0" w:color="auto"/>
          </w:divBdr>
        </w:div>
      </w:divsChild>
    </w:div>
    <w:div w:id="1951155944">
      <w:marLeft w:val="0"/>
      <w:marRight w:val="0"/>
      <w:marTop w:val="0"/>
      <w:marBottom w:val="0"/>
      <w:divBdr>
        <w:top w:val="none" w:sz="0" w:space="0" w:color="auto"/>
        <w:left w:val="none" w:sz="0" w:space="0" w:color="auto"/>
        <w:bottom w:val="none" w:sz="0" w:space="0" w:color="auto"/>
        <w:right w:val="none" w:sz="0" w:space="0" w:color="auto"/>
      </w:divBdr>
      <w:divsChild>
        <w:div w:id="1765374948">
          <w:marLeft w:val="0"/>
          <w:marRight w:val="0"/>
          <w:marTop w:val="0"/>
          <w:marBottom w:val="0"/>
          <w:divBdr>
            <w:top w:val="none" w:sz="0" w:space="0" w:color="auto"/>
            <w:left w:val="none" w:sz="0" w:space="0" w:color="auto"/>
            <w:bottom w:val="none" w:sz="0" w:space="0" w:color="auto"/>
            <w:right w:val="none" w:sz="0" w:space="0" w:color="auto"/>
          </w:divBdr>
        </w:div>
      </w:divsChild>
    </w:div>
    <w:div w:id="1954164375">
      <w:marLeft w:val="0"/>
      <w:marRight w:val="0"/>
      <w:marTop w:val="0"/>
      <w:marBottom w:val="0"/>
      <w:divBdr>
        <w:top w:val="none" w:sz="0" w:space="0" w:color="auto"/>
        <w:left w:val="none" w:sz="0" w:space="0" w:color="auto"/>
        <w:bottom w:val="none" w:sz="0" w:space="0" w:color="auto"/>
        <w:right w:val="none" w:sz="0" w:space="0" w:color="auto"/>
      </w:divBdr>
    </w:div>
    <w:div w:id="1956327388">
      <w:marLeft w:val="0"/>
      <w:marRight w:val="0"/>
      <w:marTop w:val="0"/>
      <w:marBottom w:val="0"/>
      <w:divBdr>
        <w:top w:val="none" w:sz="0" w:space="0" w:color="auto"/>
        <w:left w:val="none" w:sz="0" w:space="0" w:color="auto"/>
        <w:bottom w:val="none" w:sz="0" w:space="0" w:color="auto"/>
        <w:right w:val="none" w:sz="0" w:space="0" w:color="auto"/>
      </w:divBdr>
    </w:div>
    <w:div w:id="1956400543">
      <w:marLeft w:val="0"/>
      <w:marRight w:val="0"/>
      <w:marTop w:val="0"/>
      <w:marBottom w:val="0"/>
      <w:divBdr>
        <w:top w:val="none" w:sz="0" w:space="0" w:color="auto"/>
        <w:left w:val="none" w:sz="0" w:space="0" w:color="auto"/>
        <w:bottom w:val="none" w:sz="0" w:space="0" w:color="auto"/>
        <w:right w:val="none" w:sz="0" w:space="0" w:color="auto"/>
      </w:divBdr>
    </w:div>
    <w:div w:id="1966425907">
      <w:marLeft w:val="0"/>
      <w:marRight w:val="0"/>
      <w:marTop w:val="0"/>
      <w:marBottom w:val="0"/>
      <w:divBdr>
        <w:top w:val="none" w:sz="0" w:space="0" w:color="auto"/>
        <w:left w:val="none" w:sz="0" w:space="0" w:color="auto"/>
        <w:bottom w:val="none" w:sz="0" w:space="0" w:color="auto"/>
        <w:right w:val="none" w:sz="0" w:space="0" w:color="auto"/>
      </w:divBdr>
    </w:div>
    <w:div w:id="1968777033">
      <w:marLeft w:val="0"/>
      <w:marRight w:val="0"/>
      <w:marTop w:val="0"/>
      <w:marBottom w:val="0"/>
      <w:divBdr>
        <w:top w:val="none" w:sz="0" w:space="0" w:color="auto"/>
        <w:left w:val="none" w:sz="0" w:space="0" w:color="auto"/>
        <w:bottom w:val="none" w:sz="0" w:space="0" w:color="auto"/>
        <w:right w:val="none" w:sz="0" w:space="0" w:color="auto"/>
      </w:divBdr>
      <w:divsChild>
        <w:div w:id="831533302">
          <w:marLeft w:val="0"/>
          <w:marRight w:val="0"/>
          <w:marTop w:val="0"/>
          <w:marBottom w:val="0"/>
          <w:divBdr>
            <w:top w:val="none" w:sz="0" w:space="0" w:color="auto"/>
            <w:left w:val="none" w:sz="0" w:space="0" w:color="auto"/>
            <w:bottom w:val="none" w:sz="0" w:space="0" w:color="auto"/>
            <w:right w:val="none" w:sz="0" w:space="0" w:color="auto"/>
          </w:divBdr>
        </w:div>
      </w:divsChild>
    </w:div>
    <w:div w:id="1969318728">
      <w:marLeft w:val="0"/>
      <w:marRight w:val="0"/>
      <w:marTop w:val="0"/>
      <w:marBottom w:val="0"/>
      <w:divBdr>
        <w:top w:val="none" w:sz="0" w:space="0" w:color="auto"/>
        <w:left w:val="none" w:sz="0" w:space="0" w:color="auto"/>
        <w:bottom w:val="none" w:sz="0" w:space="0" w:color="auto"/>
        <w:right w:val="none" w:sz="0" w:space="0" w:color="auto"/>
      </w:divBdr>
      <w:divsChild>
        <w:div w:id="1589804497">
          <w:marLeft w:val="0"/>
          <w:marRight w:val="0"/>
          <w:marTop w:val="0"/>
          <w:marBottom w:val="0"/>
          <w:divBdr>
            <w:top w:val="none" w:sz="0" w:space="0" w:color="auto"/>
            <w:left w:val="none" w:sz="0" w:space="0" w:color="auto"/>
            <w:bottom w:val="none" w:sz="0" w:space="0" w:color="auto"/>
            <w:right w:val="none" w:sz="0" w:space="0" w:color="auto"/>
          </w:divBdr>
        </w:div>
      </w:divsChild>
    </w:div>
    <w:div w:id="1982267637">
      <w:marLeft w:val="0"/>
      <w:marRight w:val="0"/>
      <w:marTop w:val="0"/>
      <w:marBottom w:val="0"/>
      <w:divBdr>
        <w:top w:val="none" w:sz="0" w:space="0" w:color="auto"/>
        <w:left w:val="none" w:sz="0" w:space="0" w:color="auto"/>
        <w:bottom w:val="none" w:sz="0" w:space="0" w:color="auto"/>
        <w:right w:val="none" w:sz="0" w:space="0" w:color="auto"/>
      </w:divBdr>
    </w:div>
    <w:div w:id="1985348153">
      <w:marLeft w:val="0"/>
      <w:marRight w:val="0"/>
      <w:marTop w:val="0"/>
      <w:marBottom w:val="0"/>
      <w:divBdr>
        <w:top w:val="none" w:sz="0" w:space="0" w:color="auto"/>
        <w:left w:val="none" w:sz="0" w:space="0" w:color="auto"/>
        <w:bottom w:val="none" w:sz="0" w:space="0" w:color="auto"/>
        <w:right w:val="none" w:sz="0" w:space="0" w:color="auto"/>
      </w:divBdr>
      <w:divsChild>
        <w:div w:id="180557171">
          <w:marLeft w:val="0"/>
          <w:marRight w:val="0"/>
          <w:marTop w:val="0"/>
          <w:marBottom w:val="0"/>
          <w:divBdr>
            <w:top w:val="none" w:sz="0" w:space="0" w:color="auto"/>
            <w:left w:val="none" w:sz="0" w:space="0" w:color="auto"/>
            <w:bottom w:val="none" w:sz="0" w:space="0" w:color="auto"/>
            <w:right w:val="none" w:sz="0" w:space="0" w:color="auto"/>
          </w:divBdr>
        </w:div>
      </w:divsChild>
    </w:div>
    <w:div w:id="1989938302">
      <w:marLeft w:val="0"/>
      <w:marRight w:val="0"/>
      <w:marTop w:val="0"/>
      <w:marBottom w:val="200"/>
      <w:divBdr>
        <w:top w:val="none" w:sz="0" w:space="0" w:color="auto"/>
        <w:left w:val="none" w:sz="0" w:space="0" w:color="auto"/>
        <w:bottom w:val="none" w:sz="0" w:space="0" w:color="auto"/>
        <w:right w:val="none" w:sz="0" w:space="0" w:color="auto"/>
      </w:divBdr>
    </w:div>
    <w:div w:id="1990595740">
      <w:marLeft w:val="0"/>
      <w:marRight w:val="0"/>
      <w:marTop w:val="0"/>
      <w:marBottom w:val="0"/>
      <w:divBdr>
        <w:top w:val="none" w:sz="0" w:space="0" w:color="auto"/>
        <w:left w:val="none" w:sz="0" w:space="0" w:color="auto"/>
        <w:bottom w:val="none" w:sz="0" w:space="0" w:color="auto"/>
        <w:right w:val="none" w:sz="0" w:space="0" w:color="auto"/>
      </w:divBdr>
      <w:divsChild>
        <w:div w:id="1134719097">
          <w:marLeft w:val="0"/>
          <w:marRight w:val="0"/>
          <w:marTop w:val="0"/>
          <w:marBottom w:val="0"/>
          <w:divBdr>
            <w:top w:val="none" w:sz="0" w:space="0" w:color="auto"/>
            <w:left w:val="none" w:sz="0" w:space="0" w:color="auto"/>
            <w:bottom w:val="none" w:sz="0" w:space="0" w:color="auto"/>
            <w:right w:val="none" w:sz="0" w:space="0" w:color="auto"/>
          </w:divBdr>
        </w:div>
      </w:divsChild>
    </w:div>
    <w:div w:id="1991404989">
      <w:marLeft w:val="0"/>
      <w:marRight w:val="0"/>
      <w:marTop w:val="0"/>
      <w:marBottom w:val="0"/>
      <w:divBdr>
        <w:top w:val="none" w:sz="0" w:space="0" w:color="auto"/>
        <w:left w:val="none" w:sz="0" w:space="0" w:color="auto"/>
        <w:bottom w:val="none" w:sz="0" w:space="0" w:color="auto"/>
        <w:right w:val="none" w:sz="0" w:space="0" w:color="auto"/>
      </w:divBdr>
    </w:div>
    <w:div w:id="1991784906">
      <w:marLeft w:val="0"/>
      <w:marRight w:val="0"/>
      <w:marTop w:val="0"/>
      <w:marBottom w:val="0"/>
      <w:divBdr>
        <w:top w:val="none" w:sz="0" w:space="0" w:color="auto"/>
        <w:left w:val="none" w:sz="0" w:space="0" w:color="auto"/>
        <w:bottom w:val="none" w:sz="0" w:space="0" w:color="auto"/>
        <w:right w:val="none" w:sz="0" w:space="0" w:color="auto"/>
      </w:divBdr>
    </w:div>
    <w:div w:id="2000621196">
      <w:marLeft w:val="0"/>
      <w:marRight w:val="0"/>
      <w:marTop w:val="0"/>
      <w:marBottom w:val="0"/>
      <w:divBdr>
        <w:top w:val="none" w:sz="0" w:space="0" w:color="auto"/>
        <w:left w:val="none" w:sz="0" w:space="0" w:color="auto"/>
        <w:bottom w:val="none" w:sz="0" w:space="0" w:color="auto"/>
        <w:right w:val="none" w:sz="0" w:space="0" w:color="auto"/>
      </w:divBdr>
      <w:divsChild>
        <w:div w:id="944531700">
          <w:marLeft w:val="0"/>
          <w:marRight w:val="0"/>
          <w:marTop w:val="0"/>
          <w:marBottom w:val="0"/>
          <w:divBdr>
            <w:top w:val="none" w:sz="0" w:space="0" w:color="auto"/>
            <w:left w:val="none" w:sz="0" w:space="0" w:color="auto"/>
            <w:bottom w:val="none" w:sz="0" w:space="0" w:color="auto"/>
            <w:right w:val="none" w:sz="0" w:space="0" w:color="auto"/>
          </w:divBdr>
        </w:div>
      </w:divsChild>
    </w:div>
    <w:div w:id="2001157286">
      <w:marLeft w:val="0"/>
      <w:marRight w:val="0"/>
      <w:marTop w:val="0"/>
      <w:marBottom w:val="0"/>
      <w:divBdr>
        <w:top w:val="none" w:sz="0" w:space="0" w:color="auto"/>
        <w:left w:val="none" w:sz="0" w:space="0" w:color="auto"/>
        <w:bottom w:val="none" w:sz="0" w:space="0" w:color="auto"/>
        <w:right w:val="none" w:sz="0" w:space="0" w:color="auto"/>
      </w:divBdr>
    </w:div>
    <w:div w:id="2004549979">
      <w:marLeft w:val="0"/>
      <w:marRight w:val="0"/>
      <w:marTop w:val="0"/>
      <w:marBottom w:val="0"/>
      <w:divBdr>
        <w:top w:val="none" w:sz="0" w:space="0" w:color="auto"/>
        <w:left w:val="none" w:sz="0" w:space="0" w:color="auto"/>
        <w:bottom w:val="none" w:sz="0" w:space="0" w:color="auto"/>
        <w:right w:val="none" w:sz="0" w:space="0" w:color="auto"/>
      </w:divBdr>
    </w:div>
    <w:div w:id="2005666341">
      <w:marLeft w:val="0"/>
      <w:marRight w:val="0"/>
      <w:marTop w:val="0"/>
      <w:marBottom w:val="0"/>
      <w:divBdr>
        <w:top w:val="none" w:sz="0" w:space="0" w:color="auto"/>
        <w:left w:val="none" w:sz="0" w:space="0" w:color="auto"/>
        <w:bottom w:val="none" w:sz="0" w:space="0" w:color="auto"/>
        <w:right w:val="none" w:sz="0" w:space="0" w:color="auto"/>
      </w:divBdr>
    </w:div>
    <w:div w:id="2015839950">
      <w:marLeft w:val="0"/>
      <w:marRight w:val="0"/>
      <w:marTop w:val="0"/>
      <w:marBottom w:val="0"/>
      <w:divBdr>
        <w:top w:val="none" w:sz="0" w:space="0" w:color="auto"/>
        <w:left w:val="none" w:sz="0" w:space="0" w:color="auto"/>
        <w:bottom w:val="none" w:sz="0" w:space="0" w:color="auto"/>
        <w:right w:val="none" w:sz="0" w:space="0" w:color="auto"/>
      </w:divBdr>
      <w:divsChild>
        <w:div w:id="32121841">
          <w:marLeft w:val="0"/>
          <w:marRight w:val="0"/>
          <w:marTop w:val="0"/>
          <w:marBottom w:val="0"/>
          <w:divBdr>
            <w:top w:val="none" w:sz="0" w:space="0" w:color="auto"/>
            <w:left w:val="none" w:sz="0" w:space="0" w:color="auto"/>
            <w:bottom w:val="none" w:sz="0" w:space="0" w:color="auto"/>
            <w:right w:val="none" w:sz="0" w:space="0" w:color="auto"/>
          </w:divBdr>
        </w:div>
      </w:divsChild>
    </w:div>
    <w:div w:id="2017689390">
      <w:marLeft w:val="0"/>
      <w:marRight w:val="0"/>
      <w:marTop w:val="0"/>
      <w:marBottom w:val="0"/>
      <w:divBdr>
        <w:top w:val="none" w:sz="0" w:space="0" w:color="auto"/>
        <w:left w:val="none" w:sz="0" w:space="0" w:color="auto"/>
        <w:bottom w:val="none" w:sz="0" w:space="0" w:color="auto"/>
        <w:right w:val="none" w:sz="0" w:space="0" w:color="auto"/>
      </w:divBdr>
      <w:divsChild>
        <w:div w:id="2145735839">
          <w:marLeft w:val="0"/>
          <w:marRight w:val="0"/>
          <w:marTop w:val="0"/>
          <w:marBottom w:val="0"/>
          <w:divBdr>
            <w:top w:val="none" w:sz="0" w:space="0" w:color="auto"/>
            <w:left w:val="none" w:sz="0" w:space="0" w:color="auto"/>
            <w:bottom w:val="none" w:sz="0" w:space="0" w:color="auto"/>
            <w:right w:val="none" w:sz="0" w:space="0" w:color="auto"/>
          </w:divBdr>
        </w:div>
      </w:divsChild>
    </w:div>
    <w:div w:id="2017879485">
      <w:marLeft w:val="0"/>
      <w:marRight w:val="0"/>
      <w:marTop w:val="0"/>
      <w:marBottom w:val="0"/>
      <w:divBdr>
        <w:top w:val="none" w:sz="0" w:space="0" w:color="auto"/>
        <w:left w:val="none" w:sz="0" w:space="0" w:color="auto"/>
        <w:bottom w:val="none" w:sz="0" w:space="0" w:color="auto"/>
        <w:right w:val="none" w:sz="0" w:space="0" w:color="auto"/>
      </w:divBdr>
    </w:div>
    <w:div w:id="2020111096">
      <w:marLeft w:val="0"/>
      <w:marRight w:val="0"/>
      <w:marTop w:val="0"/>
      <w:marBottom w:val="0"/>
      <w:divBdr>
        <w:top w:val="none" w:sz="0" w:space="0" w:color="auto"/>
        <w:left w:val="none" w:sz="0" w:space="0" w:color="auto"/>
        <w:bottom w:val="none" w:sz="0" w:space="0" w:color="auto"/>
        <w:right w:val="none" w:sz="0" w:space="0" w:color="auto"/>
      </w:divBdr>
    </w:div>
    <w:div w:id="2022312766">
      <w:marLeft w:val="0"/>
      <w:marRight w:val="0"/>
      <w:marTop w:val="0"/>
      <w:marBottom w:val="0"/>
      <w:divBdr>
        <w:top w:val="none" w:sz="0" w:space="0" w:color="auto"/>
        <w:left w:val="none" w:sz="0" w:space="0" w:color="auto"/>
        <w:bottom w:val="none" w:sz="0" w:space="0" w:color="auto"/>
        <w:right w:val="none" w:sz="0" w:space="0" w:color="auto"/>
      </w:divBdr>
    </w:div>
    <w:div w:id="2026982226">
      <w:marLeft w:val="0"/>
      <w:marRight w:val="0"/>
      <w:marTop w:val="0"/>
      <w:marBottom w:val="0"/>
      <w:divBdr>
        <w:top w:val="none" w:sz="0" w:space="0" w:color="auto"/>
        <w:left w:val="none" w:sz="0" w:space="0" w:color="auto"/>
        <w:bottom w:val="none" w:sz="0" w:space="0" w:color="auto"/>
        <w:right w:val="none" w:sz="0" w:space="0" w:color="auto"/>
      </w:divBdr>
    </w:div>
    <w:div w:id="2028365143">
      <w:marLeft w:val="0"/>
      <w:marRight w:val="0"/>
      <w:marTop w:val="0"/>
      <w:marBottom w:val="0"/>
      <w:divBdr>
        <w:top w:val="none" w:sz="0" w:space="0" w:color="auto"/>
        <w:left w:val="none" w:sz="0" w:space="0" w:color="auto"/>
        <w:bottom w:val="none" w:sz="0" w:space="0" w:color="auto"/>
        <w:right w:val="none" w:sz="0" w:space="0" w:color="auto"/>
      </w:divBdr>
      <w:divsChild>
        <w:div w:id="33235213">
          <w:marLeft w:val="0"/>
          <w:marRight w:val="0"/>
          <w:marTop w:val="0"/>
          <w:marBottom w:val="0"/>
          <w:divBdr>
            <w:top w:val="none" w:sz="0" w:space="0" w:color="auto"/>
            <w:left w:val="none" w:sz="0" w:space="0" w:color="auto"/>
            <w:bottom w:val="none" w:sz="0" w:space="0" w:color="auto"/>
            <w:right w:val="none" w:sz="0" w:space="0" w:color="auto"/>
          </w:divBdr>
        </w:div>
      </w:divsChild>
    </w:div>
    <w:div w:id="2039351091">
      <w:marLeft w:val="0"/>
      <w:marRight w:val="0"/>
      <w:marTop w:val="0"/>
      <w:marBottom w:val="0"/>
      <w:divBdr>
        <w:top w:val="none" w:sz="0" w:space="0" w:color="auto"/>
        <w:left w:val="none" w:sz="0" w:space="0" w:color="auto"/>
        <w:bottom w:val="none" w:sz="0" w:space="0" w:color="auto"/>
        <w:right w:val="none" w:sz="0" w:space="0" w:color="auto"/>
      </w:divBdr>
      <w:divsChild>
        <w:div w:id="590818237">
          <w:marLeft w:val="0"/>
          <w:marRight w:val="0"/>
          <w:marTop w:val="0"/>
          <w:marBottom w:val="0"/>
          <w:divBdr>
            <w:top w:val="none" w:sz="0" w:space="0" w:color="auto"/>
            <w:left w:val="none" w:sz="0" w:space="0" w:color="auto"/>
            <w:bottom w:val="none" w:sz="0" w:space="0" w:color="auto"/>
            <w:right w:val="none" w:sz="0" w:space="0" w:color="auto"/>
          </w:divBdr>
        </w:div>
      </w:divsChild>
    </w:div>
    <w:div w:id="2040278227">
      <w:marLeft w:val="0"/>
      <w:marRight w:val="0"/>
      <w:marTop w:val="0"/>
      <w:marBottom w:val="0"/>
      <w:divBdr>
        <w:top w:val="none" w:sz="0" w:space="0" w:color="auto"/>
        <w:left w:val="none" w:sz="0" w:space="0" w:color="auto"/>
        <w:bottom w:val="none" w:sz="0" w:space="0" w:color="auto"/>
        <w:right w:val="none" w:sz="0" w:space="0" w:color="auto"/>
      </w:divBdr>
    </w:div>
    <w:div w:id="2051029710">
      <w:marLeft w:val="0"/>
      <w:marRight w:val="0"/>
      <w:marTop w:val="0"/>
      <w:marBottom w:val="0"/>
      <w:divBdr>
        <w:top w:val="none" w:sz="0" w:space="0" w:color="auto"/>
        <w:left w:val="none" w:sz="0" w:space="0" w:color="auto"/>
        <w:bottom w:val="none" w:sz="0" w:space="0" w:color="auto"/>
        <w:right w:val="none" w:sz="0" w:space="0" w:color="auto"/>
      </w:divBdr>
      <w:divsChild>
        <w:div w:id="445730901">
          <w:marLeft w:val="0"/>
          <w:marRight w:val="0"/>
          <w:marTop w:val="0"/>
          <w:marBottom w:val="0"/>
          <w:divBdr>
            <w:top w:val="none" w:sz="0" w:space="0" w:color="auto"/>
            <w:left w:val="none" w:sz="0" w:space="0" w:color="auto"/>
            <w:bottom w:val="none" w:sz="0" w:space="0" w:color="auto"/>
            <w:right w:val="none" w:sz="0" w:space="0" w:color="auto"/>
          </w:divBdr>
        </w:div>
      </w:divsChild>
    </w:div>
    <w:div w:id="2066561565">
      <w:marLeft w:val="0"/>
      <w:marRight w:val="0"/>
      <w:marTop w:val="0"/>
      <w:marBottom w:val="0"/>
      <w:divBdr>
        <w:top w:val="none" w:sz="0" w:space="0" w:color="auto"/>
        <w:left w:val="none" w:sz="0" w:space="0" w:color="auto"/>
        <w:bottom w:val="none" w:sz="0" w:space="0" w:color="auto"/>
        <w:right w:val="none" w:sz="0" w:space="0" w:color="auto"/>
      </w:divBdr>
    </w:div>
    <w:div w:id="2068651760">
      <w:marLeft w:val="0"/>
      <w:marRight w:val="0"/>
      <w:marTop w:val="0"/>
      <w:marBottom w:val="0"/>
      <w:divBdr>
        <w:top w:val="none" w:sz="0" w:space="0" w:color="auto"/>
        <w:left w:val="none" w:sz="0" w:space="0" w:color="auto"/>
        <w:bottom w:val="none" w:sz="0" w:space="0" w:color="auto"/>
        <w:right w:val="none" w:sz="0" w:space="0" w:color="auto"/>
      </w:divBdr>
    </w:div>
    <w:div w:id="2081782554">
      <w:marLeft w:val="0"/>
      <w:marRight w:val="0"/>
      <w:marTop w:val="0"/>
      <w:marBottom w:val="0"/>
      <w:divBdr>
        <w:top w:val="none" w:sz="0" w:space="0" w:color="auto"/>
        <w:left w:val="none" w:sz="0" w:space="0" w:color="auto"/>
        <w:bottom w:val="none" w:sz="0" w:space="0" w:color="auto"/>
        <w:right w:val="none" w:sz="0" w:space="0" w:color="auto"/>
      </w:divBdr>
    </w:div>
    <w:div w:id="2083988548">
      <w:marLeft w:val="0"/>
      <w:marRight w:val="0"/>
      <w:marTop w:val="0"/>
      <w:marBottom w:val="0"/>
      <w:divBdr>
        <w:top w:val="none" w:sz="0" w:space="0" w:color="auto"/>
        <w:left w:val="none" w:sz="0" w:space="0" w:color="auto"/>
        <w:bottom w:val="none" w:sz="0" w:space="0" w:color="auto"/>
        <w:right w:val="none" w:sz="0" w:space="0" w:color="auto"/>
      </w:divBdr>
    </w:div>
    <w:div w:id="2084451189">
      <w:marLeft w:val="0"/>
      <w:marRight w:val="0"/>
      <w:marTop w:val="0"/>
      <w:marBottom w:val="0"/>
      <w:divBdr>
        <w:top w:val="none" w:sz="0" w:space="0" w:color="auto"/>
        <w:left w:val="none" w:sz="0" w:space="0" w:color="auto"/>
        <w:bottom w:val="none" w:sz="0" w:space="0" w:color="auto"/>
        <w:right w:val="none" w:sz="0" w:space="0" w:color="auto"/>
      </w:divBdr>
    </w:div>
    <w:div w:id="2088455531">
      <w:marLeft w:val="0"/>
      <w:marRight w:val="0"/>
      <w:marTop w:val="0"/>
      <w:marBottom w:val="0"/>
      <w:divBdr>
        <w:top w:val="none" w:sz="0" w:space="0" w:color="auto"/>
        <w:left w:val="none" w:sz="0" w:space="0" w:color="auto"/>
        <w:bottom w:val="none" w:sz="0" w:space="0" w:color="auto"/>
        <w:right w:val="none" w:sz="0" w:space="0" w:color="auto"/>
      </w:divBdr>
      <w:divsChild>
        <w:div w:id="262107798">
          <w:marLeft w:val="0"/>
          <w:marRight w:val="0"/>
          <w:marTop w:val="0"/>
          <w:marBottom w:val="0"/>
          <w:divBdr>
            <w:top w:val="none" w:sz="0" w:space="0" w:color="auto"/>
            <w:left w:val="none" w:sz="0" w:space="0" w:color="auto"/>
            <w:bottom w:val="none" w:sz="0" w:space="0" w:color="auto"/>
            <w:right w:val="none" w:sz="0" w:space="0" w:color="auto"/>
          </w:divBdr>
        </w:div>
      </w:divsChild>
    </w:div>
    <w:div w:id="2090077710">
      <w:marLeft w:val="0"/>
      <w:marRight w:val="0"/>
      <w:marTop w:val="0"/>
      <w:marBottom w:val="0"/>
      <w:divBdr>
        <w:top w:val="none" w:sz="0" w:space="0" w:color="auto"/>
        <w:left w:val="none" w:sz="0" w:space="0" w:color="auto"/>
        <w:bottom w:val="none" w:sz="0" w:space="0" w:color="auto"/>
        <w:right w:val="none" w:sz="0" w:space="0" w:color="auto"/>
      </w:divBdr>
    </w:div>
    <w:div w:id="2097508283">
      <w:marLeft w:val="0"/>
      <w:marRight w:val="0"/>
      <w:marTop w:val="0"/>
      <w:marBottom w:val="0"/>
      <w:divBdr>
        <w:top w:val="none" w:sz="0" w:space="0" w:color="auto"/>
        <w:left w:val="none" w:sz="0" w:space="0" w:color="auto"/>
        <w:bottom w:val="none" w:sz="0" w:space="0" w:color="auto"/>
        <w:right w:val="none" w:sz="0" w:space="0" w:color="auto"/>
      </w:divBdr>
    </w:div>
    <w:div w:id="2100910242">
      <w:marLeft w:val="0"/>
      <w:marRight w:val="0"/>
      <w:marTop w:val="0"/>
      <w:marBottom w:val="0"/>
      <w:divBdr>
        <w:top w:val="none" w:sz="0" w:space="0" w:color="auto"/>
        <w:left w:val="none" w:sz="0" w:space="0" w:color="auto"/>
        <w:bottom w:val="none" w:sz="0" w:space="0" w:color="auto"/>
        <w:right w:val="none" w:sz="0" w:space="0" w:color="auto"/>
      </w:divBdr>
    </w:div>
    <w:div w:id="2104034776">
      <w:marLeft w:val="0"/>
      <w:marRight w:val="0"/>
      <w:marTop w:val="0"/>
      <w:marBottom w:val="0"/>
      <w:divBdr>
        <w:top w:val="none" w:sz="0" w:space="0" w:color="auto"/>
        <w:left w:val="none" w:sz="0" w:space="0" w:color="auto"/>
        <w:bottom w:val="none" w:sz="0" w:space="0" w:color="auto"/>
        <w:right w:val="none" w:sz="0" w:space="0" w:color="auto"/>
      </w:divBdr>
    </w:div>
    <w:div w:id="2107335758">
      <w:marLeft w:val="0"/>
      <w:marRight w:val="0"/>
      <w:marTop w:val="0"/>
      <w:marBottom w:val="0"/>
      <w:divBdr>
        <w:top w:val="none" w:sz="0" w:space="0" w:color="auto"/>
        <w:left w:val="none" w:sz="0" w:space="0" w:color="auto"/>
        <w:bottom w:val="none" w:sz="0" w:space="0" w:color="auto"/>
        <w:right w:val="none" w:sz="0" w:space="0" w:color="auto"/>
      </w:divBdr>
    </w:div>
    <w:div w:id="2107340383">
      <w:marLeft w:val="0"/>
      <w:marRight w:val="0"/>
      <w:marTop w:val="0"/>
      <w:marBottom w:val="0"/>
      <w:divBdr>
        <w:top w:val="none" w:sz="0" w:space="0" w:color="auto"/>
        <w:left w:val="none" w:sz="0" w:space="0" w:color="auto"/>
        <w:bottom w:val="none" w:sz="0" w:space="0" w:color="auto"/>
        <w:right w:val="none" w:sz="0" w:space="0" w:color="auto"/>
      </w:divBdr>
    </w:div>
    <w:div w:id="2109618449">
      <w:marLeft w:val="0"/>
      <w:marRight w:val="0"/>
      <w:marTop w:val="0"/>
      <w:marBottom w:val="0"/>
      <w:divBdr>
        <w:top w:val="none" w:sz="0" w:space="0" w:color="auto"/>
        <w:left w:val="none" w:sz="0" w:space="0" w:color="auto"/>
        <w:bottom w:val="none" w:sz="0" w:space="0" w:color="auto"/>
        <w:right w:val="none" w:sz="0" w:space="0" w:color="auto"/>
      </w:divBdr>
    </w:div>
    <w:div w:id="2119174903">
      <w:marLeft w:val="0"/>
      <w:marRight w:val="0"/>
      <w:marTop w:val="0"/>
      <w:marBottom w:val="0"/>
      <w:divBdr>
        <w:top w:val="none" w:sz="0" w:space="0" w:color="auto"/>
        <w:left w:val="none" w:sz="0" w:space="0" w:color="auto"/>
        <w:bottom w:val="none" w:sz="0" w:space="0" w:color="auto"/>
        <w:right w:val="none" w:sz="0" w:space="0" w:color="auto"/>
      </w:divBdr>
      <w:divsChild>
        <w:div w:id="1031221154">
          <w:marLeft w:val="0"/>
          <w:marRight w:val="0"/>
          <w:marTop w:val="0"/>
          <w:marBottom w:val="0"/>
          <w:divBdr>
            <w:top w:val="none" w:sz="0" w:space="0" w:color="auto"/>
            <w:left w:val="none" w:sz="0" w:space="0" w:color="auto"/>
            <w:bottom w:val="none" w:sz="0" w:space="0" w:color="auto"/>
            <w:right w:val="none" w:sz="0" w:space="0" w:color="auto"/>
          </w:divBdr>
        </w:div>
      </w:divsChild>
    </w:div>
    <w:div w:id="2120029674">
      <w:marLeft w:val="0"/>
      <w:marRight w:val="0"/>
      <w:marTop w:val="0"/>
      <w:marBottom w:val="0"/>
      <w:divBdr>
        <w:top w:val="none" w:sz="0" w:space="0" w:color="auto"/>
        <w:left w:val="none" w:sz="0" w:space="0" w:color="auto"/>
        <w:bottom w:val="none" w:sz="0" w:space="0" w:color="auto"/>
        <w:right w:val="none" w:sz="0" w:space="0" w:color="auto"/>
      </w:divBdr>
      <w:divsChild>
        <w:div w:id="119958939">
          <w:marLeft w:val="0"/>
          <w:marRight w:val="0"/>
          <w:marTop w:val="0"/>
          <w:marBottom w:val="0"/>
          <w:divBdr>
            <w:top w:val="none" w:sz="0" w:space="0" w:color="auto"/>
            <w:left w:val="none" w:sz="0" w:space="0" w:color="auto"/>
            <w:bottom w:val="none" w:sz="0" w:space="0" w:color="auto"/>
            <w:right w:val="none" w:sz="0" w:space="0" w:color="auto"/>
          </w:divBdr>
        </w:div>
      </w:divsChild>
    </w:div>
    <w:div w:id="2128812621">
      <w:marLeft w:val="0"/>
      <w:marRight w:val="0"/>
      <w:marTop w:val="0"/>
      <w:marBottom w:val="0"/>
      <w:divBdr>
        <w:top w:val="none" w:sz="0" w:space="0" w:color="auto"/>
        <w:left w:val="none" w:sz="0" w:space="0" w:color="auto"/>
        <w:bottom w:val="none" w:sz="0" w:space="0" w:color="auto"/>
        <w:right w:val="none" w:sz="0" w:space="0" w:color="auto"/>
      </w:divBdr>
      <w:divsChild>
        <w:div w:id="1173297514">
          <w:marLeft w:val="0"/>
          <w:marRight w:val="0"/>
          <w:marTop w:val="0"/>
          <w:marBottom w:val="0"/>
          <w:divBdr>
            <w:top w:val="none" w:sz="0" w:space="0" w:color="auto"/>
            <w:left w:val="none" w:sz="0" w:space="0" w:color="auto"/>
            <w:bottom w:val="none" w:sz="0" w:space="0" w:color="auto"/>
            <w:right w:val="none" w:sz="0" w:space="0" w:color="auto"/>
          </w:divBdr>
        </w:div>
      </w:divsChild>
    </w:div>
    <w:div w:id="2132628571">
      <w:marLeft w:val="0"/>
      <w:marRight w:val="0"/>
      <w:marTop w:val="0"/>
      <w:marBottom w:val="0"/>
      <w:divBdr>
        <w:top w:val="none" w:sz="0" w:space="0" w:color="auto"/>
        <w:left w:val="none" w:sz="0" w:space="0" w:color="auto"/>
        <w:bottom w:val="none" w:sz="0" w:space="0" w:color="auto"/>
        <w:right w:val="none" w:sz="0" w:space="0" w:color="auto"/>
      </w:divBdr>
    </w:div>
    <w:div w:id="2133016573">
      <w:marLeft w:val="0"/>
      <w:marRight w:val="0"/>
      <w:marTop w:val="0"/>
      <w:marBottom w:val="0"/>
      <w:divBdr>
        <w:top w:val="none" w:sz="0" w:space="0" w:color="auto"/>
        <w:left w:val="none" w:sz="0" w:space="0" w:color="auto"/>
        <w:bottom w:val="none" w:sz="0" w:space="0" w:color="auto"/>
        <w:right w:val="none" w:sz="0" w:space="0" w:color="auto"/>
      </w:divBdr>
      <w:divsChild>
        <w:div w:id="1493449572">
          <w:marLeft w:val="0"/>
          <w:marRight w:val="0"/>
          <w:marTop w:val="0"/>
          <w:marBottom w:val="0"/>
          <w:divBdr>
            <w:top w:val="none" w:sz="0" w:space="0" w:color="auto"/>
            <w:left w:val="none" w:sz="0" w:space="0" w:color="auto"/>
            <w:bottom w:val="none" w:sz="0" w:space="0" w:color="auto"/>
            <w:right w:val="none" w:sz="0" w:space="0" w:color="auto"/>
          </w:divBdr>
          <w:divsChild>
            <w:div w:id="6702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29521">
      <w:marLeft w:val="0"/>
      <w:marRight w:val="0"/>
      <w:marTop w:val="0"/>
      <w:marBottom w:val="0"/>
      <w:divBdr>
        <w:top w:val="none" w:sz="0" w:space="0" w:color="auto"/>
        <w:left w:val="none" w:sz="0" w:space="0" w:color="auto"/>
        <w:bottom w:val="none" w:sz="0" w:space="0" w:color="auto"/>
        <w:right w:val="none" w:sz="0" w:space="0" w:color="auto"/>
      </w:divBdr>
    </w:div>
    <w:div w:id="2142569589">
      <w:marLeft w:val="0"/>
      <w:marRight w:val="0"/>
      <w:marTop w:val="0"/>
      <w:marBottom w:val="0"/>
      <w:divBdr>
        <w:top w:val="none" w:sz="0" w:space="0" w:color="auto"/>
        <w:left w:val="none" w:sz="0" w:space="0" w:color="auto"/>
        <w:bottom w:val="none" w:sz="0" w:space="0" w:color="auto"/>
        <w:right w:val="none" w:sz="0" w:space="0" w:color="auto"/>
      </w:divBdr>
    </w:div>
    <w:div w:id="2147165377">
      <w:marLeft w:val="0"/>
      <w:marRight w:val="0"/>
      <w:marTop w:val="0"/>
      <w:marBottom w:val="0"/>
      <w:divBdr>
        <w:top w:val="none" w:sz="0" w:space="0" w:color="auto"/>
        <w:left w:val="none" w:sz="0" w:space="0" w:color="auto"/>
        <w:bottom w:val="none" w:sz="0" w:space="0" w:color="auto"/>
        <w:right w:val="none" w:sz="0" w:space="0" w:color="auto"/>
      </w:divBdr>
      <w:divsChild>
        <w:div w:id="21181359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916365/000091636521000062/a2021ceochangeincontrolagr.htm" TargetMode="External"/><Relationship Id="rId21" Type="http://schemas.openxmlformats.org/officeDocument/2006/relationships/hyperlink" Target="http://www.sec.gov/Archives/edgar/data/916365/0000950144-96-005860.txt" TargetMode="External"/><Relationship Id="rId42" Type="http://schemas.openxmlformats.org/officeDocument/2006/relationships/hyperlink" Target="http://www.sec.gov/Archives/edgar/data/916365/000095012309029586/c88667exv10w44.htm" TargetMode="External"/><Relationship Id="rId63" Type="http://schemas.openxmlformats.org/officeDocument/2006/relationships/hyperlink" Target="http://www.sec.gov/Archives/edgar/data/916365/000091636518000031/a201710-kex1034performance.htm" TargetMode="External"/><Relationship Id="rId84" Type="http://schemas.openxmlformats.org/officeDocument/2006/relationships/hyperlink" Target="http://www.sec.gov/Archives/edgar/data/916365/000091636519000035/a201810-kex1039formofperfo.htm" TargetMode="External"/><Relationship Id="rId138" Type="http://schemas.openxmlformats.org/officeDocument/2006/relationships/hyperlink" Target="https://www.sec.gov/Archives/edgar/data/916365/000091636521000052/ex1061nonqualifiedstockopt.htm" TargetMode="External"/><Relationship Id="rId159" Type="http://schemas.openxmlformats.org/officeDocument/2006/relationships/hyperlink" Target="http://www.sec.gov/Archives/edgar/data/916365/000091636520000200/secondamendment.htm" TargetMode="External"/><Relationship Id="rId170" Type="http://schemas.openxmlformats.org/officeDocument/2006/relationships/hyperlink" Target="ex1048-nonqualifiedstockop.htm" TargetMode="External"/><Relationship Id="rId107" Type="http://schemas.openxmlformats.org/officeDocument/2006/relationships/hyperlink" Target="https://www.sec.gov/Archives/edgar/data/916365/000091636521000062/a2021ceochangeincontrolagr.htm" TargetMode="External"/><Relationship Id="rId11" Type="http://schemas.openxmlformats.org/officeDocument/2006/relationships/hyperlink" Target="http://www.sec.gov/Archives/edgar/data/916365/000091636520000107/ex31-fifthamendedandre.htm" TargetMode="External"/><Relationship Id="rId32" Type="http://schemas.openxmlformats.org/officeDocument/2006/relationships/hyperlink" Target="http://www.sec.gov/Archives/edgar/data/916365/000136231008001146/c72557exv10w45.htm" TargetMode="External"/><Relationship Id="rId53" Type="http://schemas.openxmlformats.org/officeDocument/2006/relationships/hyperlink" Target="http://www.sec.gov/Archives/edgar/data/916365/000095012309056222/c91703exv10w50.htm" TargetMode="External"/><Relationship Id="rId74" Type="http://schemas.openxmlformats.org/officeDocument/2006/relationships/hyperlink" Target="http://www.sec.gov/Archives/edgar/data/916365/000091636518000119/a11142018tsco-ex101.htm" TargetMode="External"/><Relationship Id="rId128" Type="http://schemas.openxmlformats.org/officeDocument/2006/relationships/hyperlink" Target="https://www.sec.gov/Archives/edgar/data/916365/000091636521000052/ex1059performanceshareunit.htm" TargetMode="External"/><Relationship Id="rId149" Type="http://schemas.openxmlformats.org/officeDocument/2006/relationships/hyperlink" Target="http://www.sec.gov/Archives/edgar/data/916365/000091636520000170/exhibit101transitionag.htm" TargetMode="External"/><Relationship Id="rId5" Type="http://schemas.openxmlformats.org/officeDocument/2006/relationships/image" Target="file:///E:\projects\LLMs\new_data_collection\data_new\htm\TRACTOR%20SUPPLY%20CO\tsco-20211225_g2.jpg" TargetMode="External"/><Relationship Id="rId95" Type="http://schemas.openxmlformats.org/officeDocument/2006/relationships/hyperlink" Target="https://www.sec.gov/Archives/edgar/data/916365/000091636521000062/a2021formofchangeincontrol.htm" TargetMode="External"/><Relationship Id="rId160" Type="http://schemas.openxmlformats.org/officeDocument/2006/relationships/hyperlink" Target="https://www.sec.gov/Archives/edgar/data/916365/000091636521000091/q1202110qex103.htm" TargetMode="External"/><Relationship Id="rId181" Type="http://schemas.openxmlformats.org/officeDocument/2006/relationships/hyperlink" Target="ex311-ceocertification.htm" TargetMode="External"/><Relationship Id="rId22" Type="http://schemas.openxmlformats.org/officeDocument/2006/relationships/hyperlink" Target="http://www.sec.gov/Archives/edgar/data/916365/0000950123-97-007736.txt" TargetMode="External"/><Relationship Id="rId43" Type="http://schemas.openxmlformats.org/officeDocument/2006/relationships/hyperlink" Target="http://www.sec.gov/Archives/edgar/data/916365/000095012309029586/c88667exv10w44.htm" TargetMode="External"/><Relationship Id="rId64" Type="http://schemas.openxmlformats.org/officeDocument/2006/relationships/hyperlink" Target="http://www.sec.gov/Archives/edgar/data/916365/000091636518000036/a2018proxy-def14a.htm" TargetMode="External"/><Relationship Id="rId118" Type="http://schemas.openxmlformats.org/officeDocument/2006/relationships/hyperlink" Target="https://www.sec.gov/Archives/edgar/data/916365/000091636521000062/a2021ceochangeincontrolagr.htm" TargetMode="External"/><Relationship Id="rId139" Type="http://schemas.openxmlformats.org/officeDocument/2006/relationships/hyperlink" Target="https://www.sec.gov/Archives/edgar/data/916365/000091636521000052/ex1061nonqualifiedstockopt.htm" TargetMode="External"/><Relationship Id="rId85" Type="http://schemas.openxmlformats.org/officeDocument/2006/relationships/hyperlink" Target="http://www.sec.gov/Archives/edgar/data/916365/000091636519000035/a201810-kex1039formofperfo.htm" TargetMode="External"/><Relationship Id="rId150" Type="http://schemas.openxmlformats.org/officeDocument/2006/relationships/hyperlink" Target="http://www.sec.gov/Archives/edgar/data/916365/000091636520000170/exhibit101transitionag.htm" TargetMode="External"/><Relationship Id="rId171" Type="http://schemas.openxmlformats.org/officeDocument/2006/relationships/hyperlink" Target="ex1049-restrictedshareunit.htm" TargetMode="External"/><Relationship Id="rId12" Type="http://schemas.openxmlformats.org/officeDocument/2006/relationships/hyperlink" Target="http://www.sec.gov/Archives/edgar/data/916365/000091636520000188/ex43-formofsubordinate.htm" TargetMode="External"/><Relationship Id="rId33" Type="http://schemas.openxmlformats.org/officeDocument/2006/relationships/hyperlink" Target="http://www.sec.gov/Archives/edgar/data/916365/000136231008001146/c72557exv10w45.htm" TargetMode="External"/><Relationship Id="rId108" Type="http://schemas.openxmlformats.org/officeDocument/2006/relationships/hyperlink" Target="https://www.sec.gov/Archives/edgar/data/916365/000091636521000062/a2021ceochangeincontrolagr.htm" TargetMode="External"/><Relationship Id="rId129" Type="http://schemas.openxmlformats.org/officeDocument/2006/relationships/hyperlink" Target="https://www.sec.gov/Archives/edgar/data/916365/000091636521000052/ex1059performanceshareunit.htm" TargetMode="External"/><Relationship Id="rId54" Type="http://schemas.openxmlformats.org/officeDocument/2006/relationships/hyperlink" Target="http://www.sec.gov/Archives/edgar/data/916365/000091636511000030/ex10_42.htm" TargetMode="External"/><Relationship Id="rId75" Type="http://schemas.openxmlformats.org/officeDocument/2006/relationships/hyperlink" Target="http://www.sec.gov/Archives/edgar/data/916365/000091636519000035/a201810-kex1039formofperfo.htm" TargetMode="External"/><Relationship Id="rId96" Type="http://schemas.openxmlformats.org/officeDocument/2006/relationships/hyperlink" Target="https://www.sec.gov/Archives/edgar/data/916365/000091636521000062/a2021formofchangeincontrol.htm" TargetMode="External"/><Relationship Id="rId140" Type="http://schemas.openxmlformats.org/officeDocument/2006/relationships/hyperlink" Target="https://www.sec.gov/Archives/edgar/data/916365/000091636521000052/ex1061nonqualifiedstockopt.htm" TargetMode="External"/><Relationship Id="rId161" Type="http://schemas.openxmlformats.org/officeDocument/2006/relationships/hyperlink" Target="ex1045-restrictedshareunit.htm" TargetMode="External"/><Relationship Id="rId182" Type="http://schemas.openxmlformats.org/officeDocument/2006/relationships/hyperlink" Target="ex312-cfocertification.htm" TargetMode="External"/><Relationship Id="rId6" Type="http://schemas.openxmlformats.org/officeDocument/2006/relationships/hyperlink" Target="http://www.sec.gov/Archives/edgar/data/916365/000119312520279209/d29870dex11.htm" TargetMode="External"/><Relationship Id="rId23" Type="http://schemas.openxmlformats.org/officeDocument/2006/relationships/hyperlink" Target="http://www.sec.gov/Archives/edgar/data/916365/000118811204000294/tex10_53-1784b.txt" TargetMode="External"/><Relationship Id="rId119" Type="http://schemas.openxmlformats.org/officeDocument/2006/relationships/hyperlink" Target="https://www.sec.gov/Archives/edgar/data/916365/000091636521000062/a2021ceochangeincontrolagr.htm" TargetMode="External"/><Relationship Id="rId44" Type="http://schemas.openxmlformats.org/officeDocument/2006/relationships/hyperlink" Target="http://www.sec.gov/Archives/edgar/data/916365/000095012309029586/c88667exv10w45.htm" TargetMode="External"/><Relationship Id="rId65" Type="http://schemas.openxmlformats.org/officeDocument/2006/relationships/hyperlink" Target="http://www.sec.gov/Archives/edgar/data/916365/000091636518000036/a2018proxy-def14a.htm" TargetMode="External"/><Relationship Id="rId86" Type="http://schemas.openxmlformats.org/officeDocument/2006/relationships/hyperlink" Target="http://www.sec.gov/Archives/edgar/data/916365/000091636519000035/a201810-kex1039formofperfo.htm" TargetMode="External"/><Relationship Id="rId130" Type="http://schemas.openxmlformats.org/officeDocument/2006/relationships/hyperlink" Target="https://www.sec.gov/Archives/edgar/data/916365/000091636521000052/ex1059performanceshareunit.htm" TargetMode="External"/><Relationship Id="rId151" Type="http://schemas.openxmlformats.org/officeDocument/2006/relationships/hyperlink" Target="http://www.sec.gov/Archives/edgar/data/916365/000091636520000170/exhibit101transitionag.htm" TargetMode="External"/><Relationship Id="rId172" Type="http://schemas.openxmlformats.org/officeDocument/2006/relationships/hyperlink" Target="ex1050-performanceshareuni.htm" TargetMode="External"/><Relationship Id="rId13" Type="http://schemas.openxmlformats.org/officeDocument/2006/relationships/hyperlink" Target="http://www.sec.gov/Archives/edgar/data/916365/000119312520282282/d63980dex41.htm" TargetMode="External"/><Relationship Id="rId18" Type="http://schemas.openxmlformats.org/officeDocument/2006/relationships/hyperlink" Target="http://www.sec.gov/Archives/edgar/data/916365/000119312520282282/d63980dex42.htm" TargetMode="External"/><Relationship Id="rId39" Type="http://schemas.openxmlformats.org/officeDocument/2006/relationships/hyperlink" Target="http://www.sec.gov/Archives/edgar/data/916365/000136231009002757/c81596exv10w41.htm" TargetMode="External"/><Relationship Id="rId109" Type="http://schemas.openxmlformats.org/officeDocument/2006/relationships/hyperlink" Target="https://www.sec.gov/Archives/edgar/data/916365/000091636521000062/a2021ceochangeincontrolagr.htm" TargetMode="External"/><Relationship Id="rId34" Type="http://schemas.openxmlformats.org/officeDocument/2006/relationships/hyperlink" Target="http://www.sec.gov/Archives/edgar/data/916365/000129993306002914/exhibit1.htm" TargetMode="External"/><Relationship Id="rId50" Type="http://schemas.openxmlformats.org/officeDocument/2006/relationships/hyperlink" Target="http://www.sec.gov/Archives/edgar/data/916365/000095012309056222/c91703exv10w49.htm" TargetMode="External"/><Relationship Id="rId55" Type="http://schemas.openxmlformats.org/officeDocument/2006/relationships/hyperlink" Target="http://www.sec.gov/Archives/edgar/data/916365/000091636511000030/ex10_42.htm" TargetMode="External"/><Relationship Id="rId76" Type="http://schemas.openxmlformats.org/officeDocument/2006/relationships/hyperlink" Target="http://www.sec.gov/Archives/edgar/data/916365/000091636519000035/a201810-kex1039formofperfo.htm" TargetMode="External"/><Relationship Id="rId97" Type="http://schemas.openxmlformats.org/officeDocument/2006/relationships/hyperlink" Target="https://www.sec.gov/Archives/edgar/data/916365/000091636521000062/a2021formofchangeincontrol.htm" TargetMode="External"/><Relationship Id="rId104" Type="http://schemas.openxmlformats.org/officeDocument/2006/relationships/hyperlink" Target="http://www.sec.gov/Archives/edgar/data/916365/000091636519000164/a101-employmentagreeme.htm" TargetMode="External"/><Relationship Id="rId120" Type="http://schemas.openxmlformats.org/officeDocument/2006/relationships/hyperlink" Target="https://www.sec.gov/Archives/edgar/data/916365/000091636521000062/a2021ceochangeincontrolagr.htm" TargetMode="External"/><Relationship Id="rId125" Type="http://schemas.openxmlformats.org/officeDocument/2006/relationships/hyperlink" Target="https://www.sec.gov/Archives/edgar/data/916365/000091636521000052/ex1059performanceshareunit.htm" TargetMode="External"/><Relationship Id="rId141" Type="http://schemas.openxmlformats.org/officeDocument/2006/relationships/hyperlink" Target="https://www.sec.gov/Archives/edgar/data/916365/000091636521000052/ex1061nonqualifiedstockopt.htm" TargetMode="External"/><Relationship Id="rId146" Type="http://schemas.openxmlformats.org/officeDocument/2006/relationships/hyperlink" Target="https://www.sec.gov/Archives/edgar/data/916365/000091636521000052/ex1061nonqualifiedstockopt.htm" TargetMode="External"/><Relationship Id="rId167" Type="http://schemas.openxmlformats.org/officeDocument/2006/relationships/hyperlink" Target="ex1048-nonqualifiedstockop.htm" TargetMode="External"/><Relationship Id="rId7" Type="http://schemas.openxmlformats.org/officeDocument/2006/relationships/hyperlink" Target="http://www.sec.gov/Archives/edgar/data/916365/000119312520279209/d29870dex11.htm" TargetMode="External"/><Relationship Id="rId71" Type="http://schemas.openxmlformats.org/officeDocument/2006/relationships/hyperlink" Target="http://www.sec.gov/Archives/edgar/data/916365/000091636518000093/q2201810qex104formofperfor.htm" TargetMode="External"/><Relationship Id="rId92" Type="http://schemas.openxmlformats.org/officeDocument/2006/relationships/hyperlink" Target="http://www.sec.gov/Archives/edgar/data/916365/000091636519000035/a201810-kex1039formofperfo.htm" TargetMode="External"/><Relationship Id="rId162" Type="http://schemas.openxmlformats.org/officeDocument/2006/relationships/hyperlink" Target="ex1045-restrictedshareunit.htm" TargetMode="External"/><Relationship Id="rId183" Type="http://schemas.openxmlformats.org/officeDocument/2006/relationships/hyperlink" Target="ex32-ceocfocertificationso.htm" TargetMode="External"/><Relationship Id="rId2" Type="http://schemas.openxmlformats.org/officeDocument/2006/relationships/settings" Target="settings.xml"/><Relationship Id="rId29" Type="http://schemas.openxmlformats.org/officeDocument/2006/relationships/hyperlink" Target="http://www.sec.gov/Archives/edgar/data/916365/000095014402005220/g76225ex10-58.txt" TargetMode="External"/><Relationship Id="rId24" Type="http://schemas.openxmlformats.org/officeDocument/2006/relationships/hyperlink" Target="http://www.sec.gov/Archives/edgar/data/916365/000118811204000294/tex10_53-1784b.txt" TargetMode="External"/><Relationship Id="rId40" Type="http://schemas.openxmlformats.org/officeDocument/2006/relationships/hyperlink" Target="http://www.sec.gov/Archives/edgar/data/916365/000095014409003170/g18571exv99w1.htm" TargetMode="External"/><Relationship Id="rId45" Type="http://schemas.openxmlformats.org/officeDocument/2006/relationships/hyperlink" Target="http://www.sec.gov/Archives/edgar/data/916365/000095012309029586/c88667exv10w45.htm" TargetMode="External"/><Relationship Id="rId66" Type="http://schemas.openxmlformats.org/officeDocument/2006/relationships/hyperlink" Target="http://www.sec.gov/Archives/edgar/data/916365/000091636518000093/q2201810qex102formofnonqua.htm" TargetMode="External"/><Relationship Id="rId87" Type="http://schemas.openxmlformats.org/officeDocument/2006/relationships/hyperlink" Target="http://www.sec.gov/Archives/edgar/data/916365/000091636519000035/a201810-kex1041formofrestr.htm" TargetMode="External"/><Relationship Id="rId110" Type="http://schemas.openxmlformats.org/officeDocument/2006/relationships/hyperlink" Target="https://www.sec.gov/Archives/edgar/data/916365/000091636521000062/a2021ceochangeincontrolagr.htm" TargetMode="External"/><Relationship Id="rId115" Type="http://schemas.openxmlformats.org/officeDocument/2006/relationships/hyperlink" Target="https://www.sec.gov/Archives/edgar/data/916365/000091636521000062/a2021ceochangeincontrolagr.htm" TargetMode="External"/><Relationship Id="rId131" Type="http://schemas.openxmlformats.org/officeDocument/2006/relationships/hyperlink" Target="https://www.sec.gov/Archives/edgar/data/916365/000091636521000052/ex1059performanceshareunit.htm" TargetMode="External"/><Relationship Id="rId136" Type="http://schemas.openxmlformats.org/officeDocument/2006/relationships/hyperlink" Target="https://www.sec.gov/Archives/edgar/data/916365/000091636521000052/ex1060restrictedshareunita.htm" TargetMode="External"/><Relationship Id="rId157" Type="http://schemas.openxmlformats.org/officeDocument/2006/relationships/hyperlink" Target="http://www.sec.gov/Archives/edgar/data/916365/000091636520000200/amendedandrestatedcred.htm" TargetMode="External"/><Relationship Id="rId178" Type="http://schemas.openxmlformats.org/officeDocument/2006/relationships/hyperlink" Target="ex1051-nonqualifiedstockop.htm" TargetMode="External"/><Relationship Id="rId61" Type="http://schemas.openxmlformats.org/officeDocument/2006/relationships/hyperlink" Target="http://www.sec.gov/Archives/edgar/data/916365/000091636518000031/a201710-kex1033performance.htm" TargetMode="External"/><Relationship Id="rId82" Type="http://schemas.openxmlformats.org/officeDocument/2006/relationships/hyperlink" Target="http://www.sec.gov/Archives/edgar/data/916365/000091636519000035/a201810-kex1039formofperfo.htm" TargetMode="External"/><Relationship Id="rId152" Type="http://schemas.openxmlformats.org/officeDocument/2006/relationships/hyperlink" Target="http://www.sec.gov/Archives/edgar/data/916365/000091636520000184/firstamendmenttonotepu.htm" TargetMode="External"/><Relationship Id="rId173" Type="http://schemas.openxmlformats.org/officeDocument/2006/relationships/hyperlink" Target="ex1050-performanceshareuni.htm" TargetMode="External"/><Relationship Id="rId19" Type="http://schemas.openxmlformats.org/officeDocument/2006/relationships/hyperlink" Target="ex46-descriptionofsecuriti.htm" TargetMode="External"/><Relationship Id="rId14" Type="http://schemas.openxmlformats.org/officeDocument/2006/relationships/hyperlink" Target="http://www.sec.gov/Archives/edgar/data/916365/000119312520282282/d63980dex41.htm" TargetMode="External"/><Relationship Id="rId30" Type="http://schemas.openxmlformats.org/officeDocument/2006/relationships/hyperlink" Target="http://www.sec.gov/Archives/edgar/data/916365/000118811207000534/ex10-39.txt" TargetMode="External"/><Relationship Id="rId35" Type="http://schemas.openxmlformats.org/officeDocument/2006/relationships/hyperlink" Target="http://www.sec.gov/Archives/edgar/data/916365/000129993306002914/exhibit1.htm" TargetMode="External"/><Relationship Id="rId56" Type="http://schemas.openxmlformats.org/officeDocument/2006/relationships/hyperlink" Target="http://www.sec.gov/Archives/edgar/data/916365/000091636515000042/a201410-kex1034.htm" TargetMode="External"/><Relationship Id="rId77" Type="http://schemas.openxmlformats.org/officeDocument/2006/relationships/hyperlink" Target="http://www.sec.gov/Archives/edgar/data/916365/000091636519000035/a201810-kex1039formofperfo.htm" TargetMode="External"/><Relationship Id="rId100" Type="http://schemas.openxmlformats.org/officeDocument/2006/relationships/hyperlink" Target="https://www.sec.gov/Archives/edgar/data/916365/000091636521000062/a2021formofchangeincontrol.htm" TargetMode="External"/><Relationship Id="rId105" Type="http://schemas.openxmlformats.org/officeDocument/2006/relationships/hyperlink" Target="https://www.sec.gov/Archives/edgar/data/916365/000091636521000062/a2021ceochangeincontrolagr.htm" TargetMode="External"/><Relationship Id="rId126" Type="http://schemas.openxmlformats.org/officeDocument/2006/relationships/hyperlink" Target="https://www.sec.gov/Archives/edgar/data/916365/000091636521000052/ex1059performanceshareunit.htm" TargetMode="External"/><Relationship Id="rId147" Type="http://schemas.openxmlformats.org/officeDocument/2006/relationships/hyperlink" Target="https://www.sec.gov/Archives/edgar/data/916365/000091636521000052/ex1061nonqualifiedstockopt.htm" TargetMode="External"/><Relationship Id="rId168" Type="http://schemas.openxmlformats.org/officeDocument/2006/relationships/hyperlink" Target="ex1048-nonqualifiedstockop.htm" TargetMode="External"/><Relationship Id="rId8" Type="http://schemas.openxmlformats.org/officeDocument/2006/relationships/hyperlink" Target="http://www.sec.gov/Archives/edgar/data/916365/000091636520000184/restatedcertificateofi.htm" TargetMode="External"/><Relationship Id="rId51" Type="http://schemas.openxmlformats.org/officeDocument/2006/relationships/hyperlink" Target="http://www.sec.gov/Archives/edgar/data/916365/000095012309056222/c91703exv10w49.htm" TargetMode="External"/><Relationship Id="rId72" Type="http://schemas.openxmlformats.org/officeDocument/2006/relationships/hyperlink" Target="http://www.sec.gov/Archives/edgar/data/916365/000091636518000119/a11142018tsco-ex101.htm" TargetMode="External"/><Relationship Id="rId93" Type="http://schemas.openxmlformats.org/officeDocument/2006/relationships/hyperlink" Target="http://www.sec.gov/Archives/edgar/data/916365/000091636519000035/a201810-kex1039formofperfo.htm" TargetMode="External"/><Relationship Id="rId98" Type="http://schemas.openxmlformats.org/officeDocument/2006/relationships/hyperlink" Target="https://www.sec.gov/Archives/edgar/data/916365/000091636521000062/a2021formofchangeincontrol.htm" TargetMode="External"/><Relationship Id="rId121" Type="http://schemas.openxmlformats.org/officeDocument/2006/relationships/hyperlink" Target="http://www.sec.gov/Archives/edgar/data/916365/000091636520000050/a201910-kex1048.htm" TargetMode="External"/><Relationship Id="rId142" Type="http://schemas.openxmlformats.org/officeDocument/2006/relationships/hyperlink" Target="https://www.sec.gov/Archives/edgar/data/916365/000091636521000052/ex1061nonqualifiedstockopt.htm" TargetMode="External"/><Relationship Id="rId163" Type="http://schemas.openxmlformats.org/officeDocument/2006/relationships/hyperlink" Target="ex1046-restrictedshareunit.htm" TargetMode="Externa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sec.gov/Archives/edgar/data/916365/000095014401003865/g67748ex10-57.txt" TargetMode="External"/><Relationship Id="rId46" Type="http://schemas.openxmlformats.org/officeDocument/2006/relationships/hyperlink" Target="http://www.sec.gov/Archives/edgar/data/916365/000095012309029586/c88667exv10w46.htm" TargetMode="External"/><Relationship Id="rId67" Type="http://schemas.openxmlformats.org/officeDocument/2006/relationships/hyperlink" Target="http://www.sec.gov/Archives/edgar/data/916365/000091636518000093/q2201810qex102formofnonqua.htm" TargetMode="External"/><Relationship Id="rId116" Type="http://schemas.openxmlformats.org/officeDocument/2006/relationships/hyperlink" Target="https://www.sec.gov/Archives/edgar/data/916365/000091636521000062/a2021ceochangeincontrolagr.htm" TargetMode="External"/><Relationship Id="rId137" Type="http://schemas.openxmlformats.org/officeDocument/2006/relationships/hyperlink" Target="https://www.sec.gov/Archives/edgar/data/916365/000091636521000052/ex1061nonqualifiedstockopt.htm" TargetMode="External"/><Relationship Id="rId158" Type="http://schemas.openxmlformats.org/officeDocument/2006/relationships/hyperlink" Target="http://www.sec.gov/Archives/edgar/data/916365/000091636520000200/secondamendment.htm" TargetMode="External"/><Relationship Id="rId20" Type="http://schemas.openxmlformats.org/officeDocument/2006/relationships/hyperlink" Target="ex46-descriptionofsecuriti.htm" TargetMode="External"/><Relationship Id="rId41" Type="http://schemas.openxmlformats.org/officeDocument/2006/relationships/hyperlink" Target="http://www.sec.gov/Archives/edgar/data/916365/000095014409003170/g18571exv99w1.htm" TargetMode="External"/><Relationship Id="rId62" Type="http://schemas.openxmlformats.org/officeDocument/2006/relationships/hyperlink" Target="http://www.sec.gov/Archives/edgar/data/916365/000091636518000031/a201710-kex1034performance.htm" TargetMode="External"/><Relationship Id="rId83" Type="http://schemas.openxmlformats.org/officeDocument/2006/relationships/hyperlink" Target="http://www.sec.gov/Archives/edgar/data/916365/000091636519000035/a201810-kex1040formofperfo.htm" TargetMode="External"/><Relationship Id="rId88" Type="http://schemas.openxmlformats.org/officeDocument/2006/relationships/hyperlink" Target="http://www.sec.gov/Archives/edgar/data/916365/000091636519000035/a201810-kex1039formofperfo.htm" TargetMode="External"/><Relationship Id="rId111" Type="http://schemas.openxmlformats.org/officeDocument/2006/relationships/hyperlink" Target="https://www.sec.gov/Archives/edgar/data/916365/000091636521000062/a2021ceochangeincontrolagr.htm" TargetMode="External"/><Relationship Id="rId132" Type="http://schemas.openxmlformats.org/officeDocument/2006/relationships/hyperlink" Target="https://www.sec.gov/Archives/edgar/data/916365/000091636521000052/ex1060restrictedshareunita.htm" TargetMode="External"/><Relationship Id="rId153" Type="http://schemas.openxmlformats.org/officeDocument/2006/relationships/hyperlink" Target="http://www.sec.gov/Archives/edgar/data/916365/000091636520000184/firstamendmenttonotepu.htm" TargetMode="External"/><Relationship Id="rId174" Type="http://schemas.openxmlformats.org/officeDocument/2006/relationships/hyperlink" Target="ex1050-performanceshareuni.htm" TargetMode="External"/><Relationship Id="rId179" Type="http://schemas.openxmlformats.org/officeDocument/2006/relationships/hyperlink" Target="ex21-listofsubsidiaries.htm" TargetMode="External"/><Relationship Id="rId15" Type="http://schemas.openxmlformats.org/officeDocument/2006/relationships/hyperlink" Target="http://www.sec.gov/Archives/edgar/data/916365/000119312520282282/d63980dex42.htm" TargetMode="External"/><Relationship Id="rId36" Type="http://schemas.openxmlformats.org/officeDocument/2006/relationships/hyperlink" Target="http://www.sec.gov/Archives/edgar/data/916365/000118811207000534/ex10-38.txt" TargetMode="External"/><Relationship Id="rId57" Type="http://schemas.openxmlformats.org/officeDocument/2006/relationships/hyperlink" Target="http://www.sec.gov/Archives/edgar/data/916365/000091636515000042/a201410-kex1034.htm" TargetMode="External"/><Relationship Id="rId106" Type="http://schemas.openxmlformats.org/officeDocument/2006/relationships/hyperlink" Target="https://www.sec.gov/Archives/edgar/data/916365/000091636521000062/a2021ceochangeincontrolagr.htm" TargetMode="External"/><Relationship Id="rId127" Type="http://schemas.openxmlformats.org/officeDocument/2006/relationships/hyperlink" Target="https://www.sec.gov/Archives/edgar/data/916365/000091636521000052/ex1059performanceshareunit.htm" TargetMode="External"/><Relationship Id="rId10" Type="http://schemas.openxmlformats.org/officeDocument/2006/relationships/hyperlink" Target="http://www.sec.gov/Archives/edgar/data/916365/000091636520000107/ex31-fifthamendedandre.htm" TargetMode="External"/><Relationship Id="rId31" Type="http://schemas.openxmlformats.org/officeDocument/2006/relationships/hyperlink" Target="http://www.sec.gov/Archives/edgar/data/916365/000118811207000534/ex10-39.txt" TargetMode="External"/><Relationship Id="rId52" Type="http://schemas.openxmlformats.org/officeDocument/2006/relationships/hyperlink" Target="http://www.sec.gov/Archives/edgar/data/916365/000095012309056222/c91703exv10w50.htm" TargetMode="External"/><Relationship Id="rId73" Type="http://schemas.openxmlformats.org/officeDocument/2006/relationships/hyperlink" Target="http://www.sec.gov/Archives/edgar/data/916365/000091636518000119/a11142018tsco-ex101.htm" TargetMode="External"/><Relationship Id="rId78" Type="http://schemas.openxmlformats.org/officeDocument/2006/relationships/hyperlink" Target="http://www.sec.gov/Archives/edgar/data/916365/000091636519000035/a201810-kex1039formofperfo.htm" TargetMode="External"/><Relationship Id="rId94" Type="http://schemas.openxmlformats.org/officeDocument/2006/relationships/hyperlink" Target="http://www.sec.gov/Archives/edgar/data/916365/000091636519000035/a201810-kex1039formofperfo.htm" TargetMode="External"/><Relationship Id="rId99" Type="http://schemas.openxmlformats.org/officeDocument/2006/relationships/hyperlink" Target="https://www.sec.gov/Archives/edgar/data/916365/000091636521000062/a2021formofchangeincontrol.htm" TargetMode="External"/><Relationship Id="rId101" Type="http://schemas.openxmlformats.org/officeDocument/2006/relationships/hyperlink" Target="https://www.sec.gov/Archives/edgar/data/916365/000091636521000062/a2021formofchangeincontrol.htm" TargetMode="External"/><Relationship Id="rId122" Type="http://schemas.openxmlformats.org/officeDocument/2006/relationships/hyperlink" Target="http://www.sec.gov/Archives/edgar/data/916365/000091636520000050/a201910-kex1048.htm" TargetMode="External"/><Relationship Id="rId143" Type="http://schemas.openxmlformats.org/officeDocument/2006/relationships/hyperlink" Target="https://www.sec.gov/Archives/edgar/data/916365/000091636521000052/ex1061nonqualifiedstockopt.htm" TargetMode="External"/><Relationship Id="rId148" Type="http://schemas.openxmlformats.org/officeDocument/2006/relationships/hyperlink" Target="http://www.sec.gov/Archives/edgar/data/916365/000091636520000170/exhibit101transitionag.htm" TargetMode="External"/><Relationship Id="rId164" Type="http://schemas.openxmlformats.org/officeDocument/2006/relationships/hyperlink" Target="ex1046-restrictedshareunit.htm" TargetMode="External"/><Relationship Id="rId169" Type="http://schemas.openxmlformats.org/officeDocument/2006/relationships/hyperlink" Target="ex1048-nonqualifiedstockop.htm" TargetMode="External"/><Relationship Id="rId185" Type="http://schemas.openxmlformats.org/officeDocument/2006/relationships/theme" Target="theme/theme1.xml"/><Relationship Id="rId4" Type="http://schemas.openxmlformats.org/officeDocument/2006/relationships/image" Target="file:///E:\projects\LLMs\new_data_collection\data_new\htm\TRACTOR%20SUPPLY%20CO\tsco-20211225_g1.jpg" TargetMode="External"/><Relationship Id="rId9" Type="http://schemas.openxmlformats.org/officeDocument/2006/relationships/hyperlink" Target="http://www.sec.gov/Archives/edgar/data/916365/000091636520000184/restatedcertificateofi.htm" TargetMode="External"/><Relationship Id="rId180" Type="http://schemas.openxmlformats.org/officeDocument/2006/relationships/hyperlink" Target="ex23-consentofernstyoung.htm" TargetMode="External"/><Relationship Id="rId26" Type="http://schemas.openxmlformats.org/officeDocument/2006/relationships/hyperlink" Target="http://www.sec.gov/Archives/edgar/data/916365/000095014401003865/g67748ex10-57.txt" TargetMode="External"/><Relationship Id="rId47" Type="http://schemas.openxmlformats.org/officeDocument/2006/relationships/hyperlink" Target="http://www.sec.gov/Archives/edgar/data/916365/000095012309029586/c88667exv10w46.htm" TargetMode="External"/><Relationship Id="rId68" Type="http://schemas.openxmlformats.org/officeDocument/2006/relationships/hyperlink" Target="http://www.sec.gov/Archives/edgar/data/916365/000091636518000093/q2201810qex103formofrestri.htm" TargetMode="External"/><Relationship Id="rId89" Type="http://schemas.openxmlformats.org/officeDocument/2006/relationships/hyperlink" Target="http://www.sec.gov/Archives/edgar/data/916365/000091636519000035/a201810-kex1039formofperfo.htm" TargetMode="External"/><Relationship Id="rId112" Type="http://schemas.openxmlformats.org/officeDocument/2006/relationships/hyperlink" Target="https://www.sec.gov/Archives/edgar/data/916365/000091636521000062/a2021ceochangeincontrolagr.htm" TargetMode="External"/><Relationship Id="rId133" Type="http://schemas.openxmlformats.org/officeDocument/2006/relationships/hyperlink" Target="https://www.sec.gov/Archives/edgar/data/916365/000091636521000052/ex1060restrictedshareunita.htm" TargetMode="External"/><Relationship Id="rId154" Type="http://schemas.openxmlformats.org/officeDocument/2006/relationships/hyperlink" Target="http://www.sec.gov/Archives/edgar/data/916365/000091636520000200/amendedandrestatedcred.htm" TargetMode="External"/><Relationship Id="rId175" Type="http://schemas.openxmlformats.org/officeDocument/2006/relationships/hyperlink" Target="ex1051-nonqualifiedstockop.htm" TargetMode="External"/><Relationship Id="rId16" Type="http://schemas.openxmlformats.org/officeDocument/2006/relationships/hyperlink" Target="http://www.sec.gov/Archives/edgar/data/916365/000119312520282282/d63980dex42.htm" TargetMode="External"/><Relationship Id="rId37" Type="http://schemas.openxmlformats.org/officeDocument/2006/relationships/hyperlink" Target="http://www.sec.gov/Archives/edgar/data/916365/000118811207000534/ex10-38.txt" TargetMode="External"/><Relationship Id="rId58" Type="http://schemas.openxmlformats.org/officeDocument/2006/relationships/hyperlink" Target="http://www.sec.gov/Archives/edgar/data/916365/000091636517000094/exhibit101notepurchaseandp.htm" TargetMode="External"/><Relationship Id="rId79" Type="http://schemas.openxmlformats.org/officeDocument/2006/relationships/hyperlink" Target="http://www.sec.gov/Archives/edgar/data/916365/000091636519000035/a201810-kex1039formofperfo.htm" TargetMode="External"/><Relationship Id="rId102" Type="http://schemas.openxmlformats.org/officeDocument/2006/relationships/hyperlink" Target="https://www.sec.gov/Archives/edgar/data/916365/000091636521000062/a2021formofchangeincontrol.htm" TargetMode="External"/><Relationship Id="rId123" Type="http://schemas.openxmlformats.org/officeDocument/2006/relationships/hyperlink" Target="http://www.sec.gov/Archives/edgar/data/916365/000091636520000050/a201910-kex1049.htm" TargetMode="External"/><Relationship Id="rId144" Type="http://schemas.openxmlformats.org/officeDocument/2006/relationships/hyperlink" Target="https://www.sec.gov/Archives/edgar/data/916365/000091636521000052/ex1061nonqualifiedstockopt.htm" TargetMode="External"/><Relationship Id="rId90" Type="http://schemas.openxmlformats.org/officeDocument/2006/relationships/hyperlink" Target="http://www.sec.gov/Archives/edgar/data/916365/000091636519000035/a201810-kex1039formofperfo.htm" TargetMode="External"/><Relationship Id="rId165" Type="http://schemas.openxmlformats.org/officeDocument/2006/relationships/hyperlink" Target="ex1046-restrictedshareunit.htm" TargetMode="External"/><Relationship Id="rId27" Type="http://schemas.openxmlformats.org/officeDocument/2006/relationships/hyperlink" Target="http://www.sec.gov/Archives/edgar/data/916365/0000950123-97-007736.txt" TargetMode="External"/><Relationship Id="rId48" Type="http://schemas.openxmlformats.org/officeDocument/2006/relationships/hyperlink" Target="http://www.sec.gov/Archives/edgar/data/916365/000095012309056222/c91703exv10w48.htm" TargetMode="External"/><Relationship Id="rId69" Type="http://schemas.openxmlformats.org/officeDocument/2006/relationships/hyperlink" Target="http://www.sec.gov/Archives/edgar/data/916365/000091636518000093/q2201810qex103formofrestri.htm" TargetMode="External"/><Relationship Id="rId113" Type="http://schemas.openxmlformats.org/officeDocument/2006/relationships/hyperlink" Target="https://www.sec.gov/Archives/edgar/data/916365/000091636521000062/a2021ceochangeincontrolagr.htm" TargetMode="External"/><Relationship Id="rId134" Type="http://schemas.openxmlformats.org/officeDocument/2006/relationships/hyperlink" Target="https://www.sec.gov/Archives/edgar/data/916365/000091636521000052/ex1060restrictedshareunita.htm" TargetMode="External"/><Relationship Id="rId80" Type="http://schemas.openxmlformats.org/officeDocument/2006/relationships/hyperlink" Target="http://www.sec.gov/Archives/edgar/data/916365/000091636519000035/a201810-kex1039formofperfo.htm" TargetMode="External"/><Relationship Id="rId155" Type="http://schemas.openxmlformats.org/officeDocument/2006/relationships/hyperlink" Target="http://www.sec.gov/Archives/edgar/data/916365/000091636520000200/amendedandrestatedcred.htm" TargetMode="External"/><Relationship Id="rId176" Type="http://schemas.openxmlformats.org/officeDocument/2006/relationships/hyperlink" Target="ex1051-nonqualifiedstockop.htm" TargetMode="External"/><Relationship Id="rId17" Type="http://schemas.openxmlformats.org/officeDocument/2006/relationships/hyperlink" Target="http://www.sec.gov/Archives/edgar/data/916365/000119312520282282/d63980dex42.htm" TargetMode="External"/><Relationship Id="rId38" Type="http://schemas.openxmlformats.org/officeDocument/2006/relationships/hyperlink" Target="http://www.sec.gov/Archives/edgar/data/916365/000136231009002757/c81596exv10w41.htm" TargetMode="External"/><Relationship Id="rId59" Type="http://schemas.openxmlformats.org/officeDocument/2006/relationships/hyperlink" Target="http://www.sec.gov/Archives/edgar/data/916365/000091636517000094/exhibit101notepurchaseandp.htm" TargetMode="External"/><Relationship Id="rId103" Type="http://schemas.openxmlformats.org/officeDocument/2006/relationships/hyperlink" Target="http://www.sec.gov/Archives/edgar/data/916365/000091636519000164/a101-employmentagreeme.htm" TargetMode="External"/><Relationship Id="rId124" Type="http://schemas.openxmlformats.org/officeDocument/2006/relationships/hyperlink" Target="http://www.sec.gov/Archives/edgar/data/916365/000091636520000050/a201910-kex1049.htm" TargetMode="External"/><Relationship Id="rId70" Type="http://schemas.openxmlformats.org/officeDocument/2006/relationships/hyperlink" Target="http://www.sec.gov/Archives/edgar/data/916365/000091636518000093/q2201810qex104formofperfor.htm" TargetMode="External"/><Relationship Id="rId91" Type="http://schemas.openxmlformats.org/officeDocument/2006/relationships/hyperlink" Target="http://www.sec.gov/Archives/edgar/data/916365/000091636519000035/a201810-kex1042formofnonqu.htm" TargetMode="External"/><Relationship Id="rId145" Type="http://schemas.openxmlformats.org/officeDocument/2006/relationships/hyperlink" Target="https://www.sec.gov/Archives/edgar/data/916365/000091636521000052/ex1061nonqualifiedstockopt.htm" TargetMode="External"/><Relationship Id="rId166" Type="http://schemas.openxmlformats.org/officeDocument/2006/relationships/hyperlink" Target="ex1047-performanceshareuni.htm" TargetMode="External"/><Relationship Id="rId1" Type="http://schemas.openxmlformats.org/officeDocument/2006/relationships/styles" Target="styles.xml"/><Relationship Id="rId28" Type="http://schemas.openxmlformats.org/officeDocument/2006/relationships/hyperlink" Target="http://www.sec.gov/Archives/edgar/data/916365/000095014402005220/g76225ex10-58.txt" TargetMode="External"/><Relationship Id="rId49" Type="http://schemas.openxmlformats.org/officeDocument/2006/relationships/hyperlink" Target="http://www.sec.gov/Archives/edgar/data/916365/000095012309056222/c91703exv10w48.htm" TargetMode="External"/><Relationship Id="rId114" Type="http://schemas.openxmlformats.org/officeDocument/2006/relationships/hyperlink" Target="https://www.sec.gov/Archives/edgar/data/916365/000091636521000062/a2021ceochangeincontrolagr.htm" TargetMode="External"/><Relationship Id="rId60" Type="http://schemas.openxmlformats.org/officeDocument/2006/relationships/hyperlink" Target="http://www.sec.gov/Archives/edgar/data/916365/000091636518000031/a201710-kex1033performance.htm" TargetMode="External"/><Relationship Id="rId81" Type="http://schemas.openxmlformats.org/officeDocument/2006/relationships/hyperlink" Target="http://www.sec.gov/Archives/edgar/data/916365/000091636519000035/a201810-kex1039formofperfo.htm" TargetMode="External"/><Relationship Id="rId135" Type="http://schemas.openxmlformats.org/officeDocument/2006/relationships/hyperlink" Target="https://www.sec.gov/Archives/edgar/data/916365/000091636521000052/ex1060restrictedshareunita.htm" TargetMode="External"/><Relationship Id="rId156" Type="http://schemas.openxmlformats.org/officeDocument/2006/relationships/hyperlink" Target="http://www.sec.gov/Archives/edgar/data/916365/000091636520000200/amendedandrestatedcred.htm" TargetMode="External"/><Relationship Id="rId177" Type="http://schemas.openxmlformats.org/officeDocument/2006/relationships/hyperlink" Target="ex1051-nonqualifiedstocko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53852</Words>
  <Characters>306962</Characters>
  <Application>Microsoft Office Word</Application>
  <DocSecurity>0</DocSecurity>
  <Lines>2558</Lines>
  <Paragraphs>720</Paragraphs>
  <ScaleCrop>false</ScaleCrop>
  <Company/>
  <LinksUpToDate>false</LinksUpToDate>
  <CharactersWithSpaces>360094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tsco-20211225</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