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04B64">
      <w:pPr>
        <w:divId w:val="1944065676"/>
        <w:rPr>
          <w:rFonts w:eastAsia="Times New Roman"/>
          <w:vanish/>
        </w:rPr>
      </w:pPr>
      <w:r>
        <w:rPr>
          <w:rFonts w:eastAsia="Times New Roman"/>
          <w:vanish/>
        </w:rPr>
        <w:t>TRACTOR SUPPLY CO /DE/000091636512-31False2022Q1FALSE00009163652021-12-262022-03-2600009163652022-04-23xbrli:shares00009163652022-03-26iso4217:USD00009163652021-12-2500009163652021-03-27iso4217:USDxbrli:shares00009163652020-12-272021-03-27</w:t>
      </w:r>
      <w:r>
        <w:rPr>
          <w:rFonts w:eastAsia="Times New Roman"/>
          <w:vanish/>
        </w:rPr>
        <w:t>0000916365us-gaap:CommonStockMember2021-12-250000916365us-gaap:AdditionalPaidInCapitalMember2021-12-250000916365us-gaap:TreasuryStockMember2021-12-250000916365us-gaap:AccumulatedOtherComprehensiveIncomeMember2021-12-250000916365us-gaap:RetainedEarningsMemb</w:t>
      </w:r>
      <w:r>
        <w:rPr>
          <w:rFonts w:eastAsia="Times New Roman"/>
          <w:vanish/>
        </w:rPr>
        <w:t>er2021-12-250000916365us-gaap:CommonStockMember2021-12-262022-03-260000916365us-gaap:AdditionalPaidInCapitalMember2021-12-262022-03-260000916365us-gaap:TreasuryStockMember2021-12-262022-03-260000916365us-gaap:RetainedEarningsMember2021-12-262022-03-2600009</w:t>
      </w:r>
      <w:r>
        <w:rPr>
          <w:rFonts w:eastAsia="Times New Roman"/>
          <w:vanish/>
        </w:rPr>
        <w:t>16365us-gaap:AccumulatedOtherComprehensiveIncomeMember2021-12-262022-03-260000916365us-gaap:CommonStockMember2022-03-260000916365us-gaap:AdditionalPaidInCapitalMember2022-03-260000916365us-gaap:TreasuryStockMember2022-03-260000916365us-gaap:AccumulatedOthe</w:t>
      </w:r>
      <w:r>
        <w:rPr>
          <w:rFonts w:eastAsia="Times New Roman"/>
          <w:vanish/>
        </w:rPr>
        <w:t>rComprehensiveIncomeMember2022-03-260000916365us-gaap:RetainedEarningsMember2022-03-260000916365us-gaap:CommonStockMember2020-12-260000916365us-gaap:AdditionalPaidInCapitalMember2020-12-260000916365us-gaap:TreasuryStockMember2020-12-260000916365us-gaap:Acc</w:t>
      </w:r>
      <w:r>
        <w:rPr>
          <w:rFonts w:eastAsia="Times New Roman"/>
          <w:vanish/>
        </w:rPr>
        <w:t>umulatedOtherComprehensiveIncomeMember2020-12-260000916365us-gaap:RetainedEarningsMember2020-12-2600009163652020-12-260000916365us-gaap:CommonStockMember2020-12-272021-03-270000916365us-gaap:AdditionalPaidInCapitalMember2020-12-272021-03-270000916365us-gaa</w:t>
      </w:r>
      <w:r>
        <w:rPr>
          <w:rFonts w:eastAsia="Times New Roman"/>
          <w:vanish/>
        </w:rPr>
        <w:t>p:TreasuryStockMember2020-12-272021-03-270000916365us-gaap:RetainedEarningsMember2020-12-272021-03-270000916365us-gaap:AccumulatedOtherComprehensiveIncomeMember2020-12-272021-03-270000916365us-gaap:CommonStockMember2021-03-270000916365us-gaap:AdditionalPai</w:t>
      </w:r>
      <w:r>
        <w:rPr>
          <w:rFonts w:eastAsia="Times New Roman"/>
          <w:vanish/>
        </w:rPr>
        <w:t>dInCapitalMember2021-03-270000916365us-gaap:TreasuryStockMember2021-03-270000916365us-gaap:AccumulatedOtherComprehensiveIncomeMember2021-03-270000916365us-gaap:RetainedEarningsMember2021-03-270000916365srt:ParentCompanyMember2022-03-26tsco:storetsco:state0</w:t>
      </w:r>
      <w:r>
        <w:rPr>
          <w:rFonts w:eastAsia="Times New Roman"/>
          <w:vanish/>
        </w:rPr>
        <w:t>000916365tsco:TSCOStoresMember2022-03-260000916365tsco:PetsenseStoresMember2022-03-260000916365tsco:OrschelnFarmAndHomeLLCMember2021-02-170000916365tsco:OrschelnFarmAndHomeLLCMember2021-02-172021-02-17xbrli:pure0000916365us-gaap:EmployeeStockOptionMember20</w:t>
      </w:r>
      <w:r>
        <w:rPr>
          <w:rFonts w:eastAsia="Times New Roman"/>
          <w:vanish/>
        </w:rPr>
        <w:t>21-12-262022-03-260000916365us-gaap:EmployeeStockOptionMember2022-03-260000916365us-gaap:RestrictedStockUnitsRSUMember2021-12-262022-03-260000916365tsco:RestrictedStockUnitsMember2021-12-262022-03-260000916365us-gaap:PerformanceSharesMember2021-12-262022-0</w:t>
      </w:r>
      <w:r>
        <w:rPr>
          <w:rFonts w:eastAsia="Times New Roman"/>
          <w:vanish/>
        </w:rPr>
        <w:t>3-260000916365tsco:PerformanceBasedRestrictedShareUnitsMember2021-12-262022-03-260000916365tsco:RestrictedStockUnitsandPerformanceBasedRestrictedShareUnitsMember2022-03-260000916365tsco:RestrictedStockUnitsandPerformanceBasedRestrictedShareUnitsMember2021-</w:t>
      </w:r>
      <w:r>
        <w:rPr>
          <w:rFonts w:eastAsia="Times New Roman"/>
          <w:vanish/>
        </w:rPr>
        <w:t>12-262022-03-260000916365us-gaap:BondsMember2022-03-260000916365us-gaap:BondsMember2021-12-250000916365us-gaap:BondsMember2021-03-270000916365us-gaap:NotesPayableToBanksMember2022-03-260000916365us-gaap:NotesPayableToBanksMember2021-12-250000916365us-gaap:</w:t>
      </w:r>
      <w:r>
        <w:rPr>
          <w:rFonts w:eastAsia="Times New Roman"/>
          <w:vanish/>
        </w:rPr>
        <w:t>NotesPayableToBanksMember2021-03-270000916365tsco:November2020TermLoanMember2022-03-260000916365tsco:November2020TermLoanMember2021-12-250000916365tsco:November2020TermLoanMember2021-03-270000916365tsco:A2016SeniorCreditFacilityMember2021-12-262022-03-2600</w:t>
      </w:r>
      <w:r>
        <w:rPr>
          <w:rFonts w:eastAsia="Times New Roman"/>
          <w:vanish/>
        </w:rPr>
        <w:t>00916365tsco:A2016SeniorCreditFacilityMember2020-12-272021-06-260000916365tsco:A2016SeniorCreditFacilityMember2020-12-272021-03-2700009163652016-02-190000916365tsco:November2020TermLoanMember2020-11-042020-11-040000916365us-gaap:BaseRateMember2022-03-26000</w:t>
      </w:r>
      <w:r>
        <w:rPr>
          <w:rFonts w:eastAsia="Times New Roman"/>
          <w:vanish/>
        </w:rPr>
        <w:t>0916365srt:MinimumMember2021-12-262022-03-260000916365srt:MaximumMember2021-12-262022-03-260000916365us-gaap:LondonInterbankOfferedRateLIBORMember2022-03-260000916365tsco:NumberofFinancialCovenantsMember2021-12-262022-03-260000916365tsco:FixedChargeCoverag</w:t>
      </w:r>
      <w:r>
        <w:rPr>
          <w:rFonts w:eastAsia="Times New Roman"/>
          <w:vanish/>
        </w:rPr>
        <w:t>eRatioMinimumRequirementMember2021-12-262022-03-260000916365tsco:LeverageRatioMaximumRequirementMember2021-12-262022-03-2600009163652022-01-262022-01-2600009163652021-01-272021-01-270000916365tsco:RepurchaseProgramIncreaseMember2022-01-2600009163652020-12-</w:t>
      </w:r>
      <w:r>
        <w:rPr>
          <w:rFonts w:eastAsia="Times New Roman"/>
          <w:vanish/>
        </w:rPr>
        <w:t>272021-09-250000916365tsco:NavarreOHDCMember2022-03-260000916365tsco:MaumelleARDCMember2022-03-26tsco:segment0000916365tsco:LivestockAndPetMember2021-12-262022-03-260000916365tsco:LivestockAndPetMember2020-12-272021-03-270000916365tsco:HardwareToolsAndTruc</w:t>
      </w:r>
      <w:r>
        <w:rPr>
          <w:rFonts w:eastAsia="Times New Roman"/>
          <w:vanish/>
        </w:rPr>
        <w:t>kMember2021-12-262022-03-260000916365tsco:HardwareToolsAndTruckMember2020-12-272021-03-270000916365tsco:SeasonalGiftAndToyProductsMember2021-12-262022-03-260000916365tsco:SeasonalGiftAndToyProductsMember2020-12-272021-03-270000916365tsco:ClothingAndFootwar</w:t>
      </w:r>
      <w:r>
        <w:rPr>
          <w:rFonts w:eastAsia="Times New Roman"/>
          <w:vanish/>
        </w:rPr>
        <w:t>eMember2021-12-262022-03-260000916365tsco:ClothingAndFootwareMember2020-12-272021-03-270000916365tsco:AgricultureMember2021-12-262022-03-260000916365tsco:AgricultureMember2020-12-272021-03-270000916365tsco:TotalMember2021-12-262022-03-260000916365tsco:Tota</w:t>
      </w:r>
      <w:r>
        <w:rPr>
          <w:rFonts w:eastAsia="Times New Roman"/>
          <w:vanish/>
        </w:rPr>
        <w:t>lMember2020-12-272021-03-27</w:t>
      </w:r>
    </w:p>
    <w:p w:rsidR="00000000" w:rsidRDefault="00F04B64">
      <w:pPr>
        <w:divId w:val="205144434"/>
        <w:rPr>
          <w:rFonts w:eastAsia="Times New Roman"/>
        </w:rPr>
      </w:pPr>
    </w:p>
    <w:p w:rsidR="00000000" w:rsidRDefault="00F04B64">
      <w:pPr>
        <w:jc w:val="center"/>
        <w:rPr>
          <w:rFonts w:eastAsia="Times New Roman"/>
        </w:rPr>
      </w:pPr>
      <w:r>
        <w:rPr>
          <w:rFonts w:eastAsia="Times New Roman"/>
          <w:b/>
          <w:bCs/>
          <w:color w:val="000000"/>
          <w:sz w:val="20"/>
          <w:szCs w:val="20"/>
        </w:rPr>
        <w:t>UNITED STATES</w:t>
      </w:r>
    </w:p>
    <w:p w:rsidR="00000000" w:rsidRDefault="00F04B64">
      <w:pPr>
        <w:jc w:val="center"/>
        <w:rPr>
          <w:rFonts w:eastAsia="Times New Roman"/>
        </w:rPr>
      </w:pPr>
      <w:r>
        <w:rPr>
          <w:rFonts w:eastAsia="Times New Roman"/>
          <w:b/>
          <w:bCs/>
          <w:color w:val="000000"/>
          <w:sz w:val="20"/>
          <w:szCs w:val="20"/>
        </w:rPr>
        <w:t>SECURITIES AND EXCHANGE COMMISSION</w:t>
      </w:r>
    </w:p>
    <w:p w:rsidR="00000000" w:rsidRDefault="00F04B64">
      <w:pPr>
        <w:jc w:val="center"/>
        <w:rPr>
          <w:rFonts w:eastAsia="Times New Roman"/>
        </w:rPr>
      </w:pPr>
      <w:r>
        <w:rPr>
          <w:rFonts w:eastAsia="Times New Roman"/>
          <w:b/>
          <w:bCs/>
          <w:color w:val="000000"/>
          <w:sz w:val="20"/>
          <w:szCs w:val="20"/>
        </w:rPr>
        <w:t>Washington, D.C.  20549</w:t>
      </w:r>
    </w:p>
    <w:p w:rsidR="00000000" w:rsidRDefault="00F04B64">
      <w:pPr>
        <w:jc w:val="center"/>
        <w:rPr>
          <w:rFonts w:eastAsia="Times New Roman"/>
        </w:rPr>
      </w:pPr>
      <w:r>
        <w:rPr>
          <w:rFonts w:eastAsia="Times New Roman"/>
          <w:b/>
          <w:bCs/>
          <w:color w:val="000000"/>
          <w:sz w:val="20"/>
          <w:szCs w:val="20"/>
        </w:rPr>
        <w:t xml:space="preserve">FORM 10-Q </w:t>
      </w:r>
    </w:p>
    <w:p w:rsidR="00000000" w:rsidRDefault="00F04B64">
      <w:pPr>
        <w:divId w:val="742070031"/>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trPr>
          <w:divId w:val="742070031"/>
        </w:trPr>
        <w:tc>
          <w:tcPr>
            <w:tcW w:w="50" w:type="pct"/>
            <w:vAlign w:val="center"/>
            <w:hideMark/>
          </w:tcPr>
          <w:p w:rsidR="00000000" w:rsidRDefault="00F04B64">
            <w:pPr>
              <w:rPr>
                <w:rFonts w:eastAsia="Times New Roman"/>
              </w:rPr>
            </w:pPr>
          </w:p>
        </w:tc>
        <w:tc>
          <w:tcPr>
            <w:tcW w:w="21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67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divId w:val="742070031"/>
        </w:trPr>
        <w:tc>
          <w:tcPr>
            <w:tcW w:w="0" w:type="auto"/>
            <w:gridSpan w:val="3"/>
            <w:tcMar>
              <w:top w:w="30" w:type="dxa"/>
              <w:left w:w="20" w:type="dxa"/>
              <w:bottom w:w="30" w:type="dxa"/>
              <w:right w:w="20" w:type="dxa"/>
            </w:tcMar>
            <w:hideMark/>
          </w:tcPr>
          <w:p w:rsidR="00000000" w:rsidRDefault="00F04B64">
            <w:pPr>
              <w:spacing w:after="100"/>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QUARTERLY REPORT PURSUANT TO SECTION 13 OR 15(d) OF THE SECURITIES EXCHANGE ACT OF 1934</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tc>
          <w:tcPr>
            <w:tcW w:w="50" w:type="pct"/>
            <w:vAlign w:val="center"/>
            <w:hideMark/>
          </w:tcPr>
          <w:p w:rsidR="00000000" w:rsidRDefault="00F04B64">
            <w:pPr>
              <w:rPr>
                <w:rFonts w:eastAsia="Times New Roman"/>
              </w:rPr>
            </w:pPr>
          </w:p>
        </w:tc>
        <w:tc>
          <w:tcPr>
            <w:tcW w:w="131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57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For the quarterly period ended</w:t>
            </w:r>
          </w:p>
        </w:tc>
        <w:tc>
          <w:tcPr>
            <w:tcW w:w="0" w:type="auto"/>
            <w:gridSpan w:val="3"/>
            <w:tcBorders>
              <w:bottom w:val="single" w:sz="18" w:space="0" w:color="000000"/>
            </w:tcBorders>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rPr>
              <w:t>March 26, 2022</w:t>
            </w:r>
          </w:p>
        </w:tc>
      </w:tr>
    </w:tbl>
    <w:p w:rsidR="00000000" w:rsidRDefault="00F04B64">
      <w:pPr>
        <w:jc w:val="center"/>
        <w:rPr>
          <w:rFonts w:eastAsia="Times New Roman"/>
        </w:rPr>
      </w:pPr>
      <w:r>
        <w:rPr>
          <w:rFonts w:eastAsia="Times New Roman"/>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trPr>
          <w:jc w:val="center"/>
        </w:trPr>
        <w:tc>
          <w:tcPr>
            <w:tcW w:w="50" w:type="pct"/>
            <w:vAlign w:val="center"/>
            <w:hideMark/>
          </w:tcPr>
          <w:p w:rsidR="00000000" w:rsidRDefault="00F04B64">
            <w:pPr>
              <w:jc w:val="center"/>
              <w:rPr>
                <w:rFonts w:eastAsia="Times New Roman"/>
              </w:rPr>
            </w:pPr>
          </w:p>
        </w:tc>
        <w:tc>
          <w:tcPr>
            <w:tcW w:w="21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67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04B64">
            <w:pPr>
              <w:spacing w:after="100"/>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TRANSITION REPORT PURSUANT TO SECTION 13 OR 15(d) OF THE SECURITIES EXCHANGE ACT OF 1934</w:t>
            </w:r>
          </w:p>
        </w:tc>
      </w:tr>
    </w:tbl>
    <w:p w:rsidR="00000000" w:rsidRDefault="00F04B64">
      <w:pPr>
        <w:divId w:val="125084522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trPr>
          <w:divId w:val="1250845220"/>
        </w:trPr>
        <w:tc>
          <w:tcPr>
            <w:tcW w:w="50" w:type="pct"/>
            <w:vAlign w:val="center"/>
            <w:hideMark/>
          </w:tcPr>
          <w:p w:rsidR="00000000" w:rsidRDefault="00F04B64">
            <w:pPr>
              <w:jc w:val="center"/>
              <w:rPr>
                <w:rFonts w:eastAsia="Times New Roman"/>
              </w:rPr>
            </w:pPr>
          </w:p>
        </w:tc>
        <w:tc>
          <w:tcPr>
            <w:tcW w:w="131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5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7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92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divId w:val="1250845220"/>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For the transition period from</w:t>
            </w:r>
          </w:p>
        </w:tc>
        <w:tc>
          <w:tcPr>
            <w:tcW w:w="0" w:type="auto"/>
            <w:gridSpan w:val="3"/>
            <w:tcBorders>
              <w:bottom w:val="single" w:sz="18" w:space="0" w:color="000000"/>
            </w:tcBorders>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rPr>
              <w:t>to</w:t>
            </w:r>
          </w:p>
        </w:tc>
        <w:tc>
          <w:tcPr>
            <w:tcW w:w="0" w:type="auto"/>
            <w:gridSpan w:val="3"/>
            <w:tcBorders>
              <w:bottom w:val="single" w:sz="18" w:space="0" w:color="000000"/>
            </w:tcBorders>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r>
    </w:tbl>
    <w:p w:rsidR="00000000" w:rsidRDefault="00F04B64">
      <w:pPr>
        <w:jc w:val="center"/>
        <w:rPr>
          <w:rFonts w:eastAsia="Times New Roman"/>
        </w:rPr>
      </w:pPr>
      <w:r>
        <w:rPr>
          <w:rFonts w:eastAsia="Times New Roman"/>
          <w:color w:val="000000"/>
          <w:sz w:val="20"/>
          <w:szCs w:val="20"/>
        </w:rPr>
        <w:t>Commission file number   </w:t>
      </w:r>
      <w:r>
        <w:rPr>
          <w:rFonts w:eastAsia="Times New Roman"/>
          <w:color w:val="000000"/>
          <w:sz w:val="20"/>
          <w:szCs w:val="20"/>
          <w:u w:val="single"/>
        </w:rPr>
        <w:t>000-23314</w:t>
      </w:r>
      <w:r>
        <w:rPr>
          <w:rFonts w:eastAsia="Times New Roman"/>
          <w:color w:val="000000"/>
          <w:sz w:val="20"/>
          <w:szCs w:val="20"/>
        </w:rPr>
        <w:t xml:space="preserve"> </w:t>
      </w:r>
    </w:p>
    <w:p w:rsidR="00000000" w:rsidRDefault="00F04B64">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04B64">
      <w:pPr>
        <w:jc w:val="center"/>
        <w:rPr>
          <w:rFonts w:eastAsia="Times New Roman"/>
        </w:rPr>
      </w:pPr>
      <w:r>
        <w:rPr>
          <w:rFonts w:eastAsia="Times New Roman"/>
          <w:b/>
          <w:bCs/>
          <w:color w:val="000000"/>
        </w:rPr>
        <w:t>TRACTOR SUPPLY COMPANY</w:t>
      </w:r>
    </w:p>
    <w:p w:rsidR="00000000" w:rsidRDefault="00F04B64">
      <w:pPr>
        <w:jc w:val="center"/>
        <w:rPr>
          <w:rFonts w:eastAsia="Times New Roman"/>
        </w:rPr>
      </w:pPr>
      <w:r>
        <w:rPr>
          <w:rFonts w:eastAsia="Times New Roman"/>
          <w:color w:val="000000"/>
          <w:sz w:val="20"/>
          <w:szCs w:val="20"/>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1896"/>
        <w:gridCol w:w="38"/>
        <w:gridCol w:w="65"/>
        <w:gridCol w:w="701"/>
        <w:gridCol w:w="36"/>
        <w:gridCol w:w="65"/>
        <w:gridCol w:w="1515"/>
        <w:gridCol w:w="36"/>
        <w:gridCol w:w="36"/>
        <w:gridCol w:w="36"/>
        <w:gridCol w:w="36"/>
        <w:gridCol w:w="53"/>
        <w:gridCol w:w="1215"/>
        <w:gridCol w:w="37"/>
        <w:gridCol w:w="65"/>
        <w:gridCol w:w="2375"/>
        <w:gridCol w:w="36"/>
      </w:tblGrid>
      <w:tr w:rsidR="00000000">
        <w:trPr>
          <w:jc w:val="center"/>
        </w:trPr>
        <w:tc>
          <w:tcPr>
            <w:tcW w:w="50" w:type="pct"/>
            <w:vAlign w:val="center"/>
            <w:hideMark/>
          </w:tcPr>
          <w:p w:rsidR="00000000" w:rsidRDefault="00F04B64">
            <w:pPr>
              <w:jc w:val="center"/>
              <w:rPr>
                <w:rFonts w:eastAsia="Times New Roman"/>
              </w:rPr>
            </w:pPr>
          </w:p>
        </w:tc>
        <w:tc>
          <w:tcPr>
            <w:tcW w:w="115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3"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92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4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u w:val="single"/>
              </w:rPr>
              <w:t>Delaware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u w:val="single"/>
              </w:rPr>
              <w:t>13-3139732</w:t>
            </w:r>
          </w:p>
        </w:tc>
      </w:tr>
      <w:tr w:rsidR="00000000">
        <w:trPr>
          <w:jc w:val="center"/>
        </w:trPr>
        <w:tc>
          <w:tcPr>
            <w:tcW w:w="0" w:type="auto"/>
            <w:gridSpan w:val="9"/>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6"/>
            <w:tcMar>
              <w:top w:w="30" w:type="dxa"/>
              <w:left w:w="20" w:type="dxa"/>
              <w:bottom w:w="30" w:type="dxa"/>
              <w:right w:w="20" w:type="dxa"/>
            </w:tcMar>
            <w:hideMark/>
          </w:tcPr>
          <w:p w:rsidR="00000000" w:rsidRDefault="00F04B64">
            <w:pPr>
              <w:spacing w:after="100"/>
              <w:jc w:val="center"/>
              <w:rPr>
                <w:rFonts w:eastAsia="Times New Roman"/>
              </w:rPr>
            </w:pPr>
            <w:r>
              <w:rPr>
                <w:rFonts w:eastAsia="Times New Roman"/>
                <w:color w:val="000000"/>
                <w:sz w:val="20"/>
                <w:szCs w:val="20"/>
              </w:rPr>
              <w:t>(I.R.S. Employer Identification No.)</w:t>
            </w:r>
          </w:p>
        </w:tc>
      </w:tr>
      <w:tr w:rsidR="00000000">
        <w:trPr>
          <w:jc w:val="center"/>
        </w:trPr>
        <w:tc>
          <w:tcPr>
            <w:tcW w:w="0" w:type="auto"/>
            <w:gridSpan w:val="3"/>
            <w:vAlign w:val="center"/>
            <w:hideMark/>
          </w:tcPr>
          <w:p w:rsidR="00000000" w:rsidRDefault="00F04B64">
            <w:pPr>
              <w:spacing w:after="100"/>
              <w:jc w:val="center"/>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r>
        <w:rPr>
          <w:rFonts w:eastAsia="Times New Roman"/>
          <w:color w:val="000000"/>
          <w:sz w:val="20"/>
          <w:szCs w:val="20"/>
          <w:u w:val="single"/>
        </w:rPr>
        <w:t>5401 Virginia Way, Brentwood, Tennessee 37027</w:t>
      </w:r>
      <w:r>
        <w:rPr>
          <w:rFonts w:eastAsia="Times New Roman"/>
          <w:color w:val="000000"/>
          <w:sz w:val="20"/>
          <w:szCs w:val="20"/>
        </w:rPr>
        <w:t xml:space="preserve"> </w:t>
      </w:r>
    </w:p>
    <w:p w:rsidR="00000000" w:rsidRDefault="00F04B64">
      <w:pPr>
        <w:jc w:val="center"/>
        <w:rPr>
          <w:rFonts w:eastAsia="Times New Roman"/>
        </w:rPr>
      </w:pPr>
      <w:r>
        <w:rPr>
          <w:rFonts w:eastAsia="Times New Roman"/>
          <w:color w:val="000000"/>
          <w:sz w:val="20"/>
          <w:szCs w:val="20"/>
        </w:rPr>
        <w:t>(Address of Principal Executive Offices and Zip Code)</w:t>
      </w:r>
    </w:p>
    <w:p w:rsidR="00000000" w:rsidRDefault="00F04B64">
      <w:pPr>
        <w:jc w:val="center"/>
        <w:rPr>
          <w:rFonts w:eastAsia="Times New Roman"/>
        </w:rPr>
      </w:pPr>
      <w:r>
        <w:rPr>
          <w:rFonts w:eastAsia="Times New Roman"/>
          <w:color w:val="000000"/>
          <w:sz w:val="20"/>
          <w:szCs w:val="20"/>
          <w:u w:val="single"/>
        </w:rPr>
        <w:t>(615) 440-4000</w:t>
      </w:r>
      <w:r>
        <w:rPr>
          <w:rFonts w:eastAsia="Times New Roman"/>
          <w:color w:val="000000"/>
          <w:sz w:val="20"/>
          <w:szCs w:val="20"/>
        </w:rPr>
        <w:t xml:space="preserve"> </w:t>
      </w:r>
    </w:p>
    <w:p w:rsidR="00000000" w:rsidRDefault="00F04B64">
      <w:pPr>
        <w:jc w:val="center"/>
        <w:rPr>
          <w:rFonts w:eastAsia="Times New Roman"/>
        </w:rPr>
      </w:pPr>
      <w:r>
        <w:rPr>
          <w:rFonts w:eastAsia="Times New Roman"/>
          <w:color w:val="000000"/>
          <w:sz w:val="20"/>
          <w:szCs w:val="20"/>
        </w:rPr>
        <w:t>(Registrant’s Telephone Number, Including Area Code)</w:t>
      </w:r>
    </w:p>
    <w:p w:rsidR="00000000" w:rsidRDefault="00F04B64">
      <w:pPr>
        <w:jc w:val="center"/>
        <w:rPr>
          <w:rFonts w:eastAsia="Times New Roman"/>
        </w:rPr>
      </w:pPr>
      <w:r>
        <w:rPr>
          <w:rFonts w:eastAsia="Times New Roman"/>
          <w:color w:val="000000"/>
          <w:sz w:val="20"/>
          <w:szCs w:val="20"/>
          <w:u w:val="single"/>
        </w:rPr>
        <w:t>Not Applicable</w:t>
      </w:r>
    </w:p>
    <w:p w:rsidR="00000000" w:rsidRDefault="00F04B64">
      <w:pPr>
        <w:jc w:val="center"/>
        <w:rPr>
          <w:rFonts w:eastAsia="Times New Roman"/>
        </w:rPr>
      </w:pPr>
      <w:r>
        <w:rPr>
          <w:rFonts w:eastAsia="Times New Roman"/>
          <w:color w:val="000000"/>
          <w:sz w:val="20"/>
          <w:szCs w:val="20"/>
        </w:rPr>
        <w:t xml:space="preserve">(Former name, former address, and former fiscal year, if changed since last report) </w:t>
      </w:r>
    </w:p>
    <w:p w:rsidR="00000000" w:rsidRDefault="00F04B64">
      <w:pPr>
        <w:jc w:val="center"/>
        <w:rPr>
          <w:rFonts w:eastAsia="Times New Roman"/>
        </w:rPr>
      </w:pPr>
    </w:p>
    <w:p w:rsidR="00000000" w:rsidRDefault="00F04B64">
      <w:pPr>
        <w:divId w:val="19598567"/>
        <w:rPr>
          <w:rFonts w:eastAsia="Times New Roman"/>
        </w:rPr>
      </w:pPr>
      <w:r>
        <w:rPr>
          <w:rFonts w:eastAsia="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58"/>
        <w:gridCol w:w="2975"/>
        <w:gridCol w:w="37"/>
        <w:gridCol w:w="36"/>
        <w:gridCol w:w="36"/>
        <w:gridCol w:w="36"/>
        <w:gridCol w:w="41"/>
        <w:gridCol w:w="1890"/>
        <w:gridCol w:w="36"/>
        <w:gridCol w:w="36"/>
        <w:gridCol w:w="36"/>
        <w:gridCol w:w="36"/>
        <w:gridCol w:w="41"/>
        <w:gridCol w:w="2976"/>
        <w:gridCol w:w="36"/>
      </w:tblGrid>
      <w:tr w:rsidR="00000000">
        <w:trPr>
          <w:divId w:val="19598567"/>
        </w:trPr>
        <w:tc>
          <w:tcPr>
            <w:tcW w:w="50" w:type="pct"/>
            <w:vAlign w:val="center"/>
            <w:hideMark/>
          </w:tcPr>
          <w:p w:rsidR="00000000" w:rsidRDefault="00F04B64">
            <w:pPr>
              <w:rPr>
                <w:rFonts w:eastAsia="Times New Roman"/>
              </w:rPr>
            </w:pPr>
          </w:p>
        </w:tc>
        <w:tc>
          <w:tcPr>
            <w:tcW w:w="180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5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80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divId w:val="19598567"/>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u w:val="single"/>
              </w:rPr>
              <w:t>Title of each class</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u w:val="single"/>
              </w:rPr>
              <w:t>Name of each exchange on which registered</w:t>
            </w:r>
          </w:p>
        </w:tc>
      </w:tr>
      <w:tr w:rsidR="00000000">
        <w:trPr>
          <w:divId w:val="19598567"/>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TSCO</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NASDAQ Global Select Market</w:t>
            </w:r>
          </w:p>
        </w:tc>
      </w:tr>
    </w:tbl>
    <w:p w:rsidR="00000000" w:rsidRDefault="00F04B64">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p>
    <w:p w:rsidR="00000000" w:rsidRDefault="00F04B64">
      <w:pPr>
        <w:jc w:val="center"/>
        <w:divId w:val="403381853"/>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F04B64">
      <w:pPr>
        <w:jc w:val="both"/>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F04B64">
      <w:pPr>
        <w:jc w:val="center"/>
        <w:divId w:val="1568419167"/>
        <w:rPr>
          <w:rFonts w:eastAsia="Times New Roman"/>
        </w:rPr>
      </w:pPr>
      <w:r>
        <w:rPr>
          <w:rFonts w:eastAsia="Times New Roman"/>
          <w:color w:val="000000"/>
          <w:sz w:val="20"/>
          <w:szCs w:val="20"/>
        </w:rPr>
        <w:t>Yes </w:t>
      </w:r>
      <w:r>
        <w:rPr>
          <w:rFonts w:ascii="Segoe UI Emoji" w:eastAsia="Times New Roman" w:hAnsi="Segoe UI Emoji" w:cs="Segoe UI Emoji"/>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F04B64">
      <w:pPr>
        <w:jc w:val="both"/>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w:t>
      </w:r>
      <w:r>
        <w:rPr>
          <w:rFonts w:eastAsia="Times New Roman"/>
          <w:color w:val="000000"/>
          <w:sz w:val="20"/>
          <w:szCs w:val="20"/>
        </w:rPr>
        <w:t>he definitions of “large accelerated filer,” “accelerated filer,” “smaller reporting company,” and “emerging growth company” in Rule 12b-2 of the Exchange Act.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tc>
          <w:tcPr>
            <w:tcW w:w="50" w:type="pct"/>
            <w:vAlign w:val="center"/>
            <w:hideMark/>
          </w:tcPr>
          <w:p w:rsidR="00000000" w:rsidRDefault="00F04B64">
            <w:pPr>
              <w:jc w:val="both"/>
              <w:rPr>
                <w:rFonts w:eastAsia="Times New Roman"/>
              </w:rPr>
            </w:pPr>
          </w:p>
        </w:tc>
        <w:tc>
          <w:tcPr>
            <w:tcW w:w="14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063"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202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253"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23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F04B64">
            <w:pPr>
              <w:spacing w:after="100"/>
              <w:jc w:val="both"/>
              <w:divId w:val="511842263"/>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F04B64">
            <w:pPr>
              <w:spacing w:after="100"/>
              <w:jc w:val="both"/>
              <w:divId w:val="322706110"/>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F04B64">
            <w:pPr>
              <w:spacing w:after="100"/>
              <w:jc w:val="both"/>
              <w:divId w:val="158272346"/>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F04B64">
            <w:pPr>
              <w:spacing w:after="100"/>
              <w:jc w:val="both"/>
              <w:divId w:val="206573745"/>
              <w:rPr>
                <w:rFonts w:eastAsia="Times New Roman"/>
              </w:rPr>
            </w:pPr>
            <w:r>
              <w:rPr>
                <w:rFonts w:ascii="Segoe UI Symbol" w:eastAsia="Times New Roman" w:hAnsi="Segoe UI Symbol" w:cs="Segoe UI Symbol"/>
                <w:color w:val="000000"/>
                <w:sz w:val="20"/>
                <w:szCs w:val="20"/>
              </w:rPr>
              <w:t>☐</w:t>
            </w:r>
          </w:p>
        </w:tc>
      </w:tr>
      <w:tr w:rsidR="00000000">
        <w:tc>
          <w:tcPr>
            <w:tcW w:w="0" w:type="auto"/>
            <w:gridSpan w:val="3"/>
            <w:tcMar>
              <w:top w:w="0" w:type="dxa"/>
              <w:left w:w="20" w:type="dxa"/>
              <w:bottom w:w="0" w:type="dxa"/>
              <w:right w:w="20" w:type="dxa"/>
            </w:tcMar>
            <w:vAlign w:val="center"/>
            <w:hideMark/>
          </w:tcPr>
          <w:p w:rsidR="00000000" w:rsidRDefault="00F04B6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04B64">
            <w:pPr>
              <w:spacing w:after="100"/>
              <w:jc w:val="both"/>
              <w:divId w:val="1956718048"/>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F04B64">
            <w:pPr>
              <w:spacing w:after="100"/>
              <w:jc w:val="both"/>
              <w:divId w:val="309210601"/>
              <w:rPr>
                <w:rFonts w:eastAsia="Times New Roman"/>
              </w:rPr>
            </w:pPr>
            <w:r>
              <w:rPr>
                <w:rFonts w:ascii="Segoe UI Symbol" w:eastAsia="Times New Roman" w:hAnsi="Segoe UI Symbol" w:cs="Segoe UI Symbol"/>
                <w:color w:val="000000"/>
                <w:sz w:val="20"/>
                <w:szCs w:val="20"/>
              </w:rPr>
              <w:t>☐</w:t>
            </w:r>
          </w:p>
        </w:tc>
      </w:tr>
    </w:tbl>
    <w:p w:rsidR="00000000" w:rsidRDefault="00F04B64">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p>
    <w:p w:rsidR="00000000" w:rsidRDefault="00F04B64">
      <w:pPr>
        <w:jc w:val="center"/>
        <w:divId w:val="1986467850"/>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Emoji" w:eastAsia="Times New Roman" w:hAnsi="Segoe UI Emoji" w:cs="Segoe UI Emoji"/>
          <w:color w:val="000000"/>
          <w:sz w:val="20"/>
          <w:szCs w:val="20"/>
        </w:rPr>
        <w:t>☑</w:t>
      </w:r>
    </w:p>
    <w:p w:rsidR="00000000" w:rsidRDefault="00F04B64">
      <w:pPr>
        <w:divId w:val="1415203634"/>
        <w:rPr>
          <w:rFonts w:eastAsia="Times New Roman"/>
        </w:rPr>
      </w:pPr>
      <w:r>
        <w:rPr>
          <w:rFonts w:eastAsia="Times New Roman"/>
          <w:color w:val="000000"/>
          <w:sz w:val="20"/>
          <w:szCs w:val="20"/>
        </w:rPr>
        <w:t>Indicate the number of shares outstanding of each of the issuer’s classes of common stock as of the latest practicable date.</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trPr>
          <w:divId w:val="1415203634"/>
        </w:trPr>
        <w:tc>
          <w:tcPr>
            <w:tcW w:w="50" w:type="pct"/>
            <w:vAlign w:val="center"/>
            <w:hideMark/>
          </w:tcPr>
          <w:p w:rsidR="00000000" w:rsidRDefault="00F04B64">
            <w:pPr>
              <w:rPr>
                <w:rFonts w:eastAsia="Times New Roman"/>
              </w:rPr>
            </w:pPr>
          </w:p>
        </w:tc>
        <w:tc>
          <w:tcPr>
            <w:tcW w:w="292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933"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divId w:val="1415203634"/>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Class</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Outstanding at April 23, 2022</w:t>
            </w:r>
          </w:p>
        </w:tc>
      </w:tr>
      <w:tr w:rsidR="00000000">
        <w:trPr>
          <w:divId w:val="1415203634"/>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Common Stock, $0.008 par value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111,881,628</w:t>
            </w:r>
          </w:p>
        </w:tc>
      </w:tr>
    </w:tbl>
    <w:p w:rsidR="00000000" w:rsidRDefault="00F04B64">
      <w:pPr>
        <w:jc w:val="both"/>
        <w:rPr>
          <w:rFonts w:eastAsia="Times New Roman"/>
        </w:rPr>
      </w:pPr>
    </w:p>
    <w:p w:rsidR="00000000" w:rsidRDefault="00F04B64">
      <w:pPr>
        <w:divId w:val="1327975380"/>
        <w:rPr>
          <w:rFonts w:eastAsia="Times New Roman"/>
        </w:rPr>
      </w:pPr>
    </w:p>
    <w:p w:rsidR="00000000" w:rsidRDefault="00F04B64">
      <w:pPr>
        <w:rPr>
          <w:rFonts w:eastAsia="Times New Roman"/>
        </w:rPr>
      </w:pPr>
      <w:r>
        <w:rPr>
          <w:rFonts w:eastAsia="Times New Roman"/>
        </w:rPr>
        <w:pict>
          <v:rect id="_x0000_i1026" style="width:0;height:1.5pt" o:hralign="center" o:hrstd="t" o:hr="t" fillcolor="#a0a0a0" stroked="f"/>
        </w:pict>
      </w:r>
    </w:p>
    <w:p w:rsidR="00000000" w:rsidRDefault="00F04B64">
      <w:pPr>
        <w:divId w:val="636834166"/>
        <w:rPr>
          <w:rFonts w:eastAsia="Times New Roman"/>
        </w:rPr>
      </w:pPr>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p>
    <w:p w:rsidR="00000000" w:rsidRDefault="00F04B64">
      <w:pPr>
        <w:jc w:val="center"/>
        <w:rPr>
          <w:rFonts w:eastAsia="Times New Roman"/>
        </w:rPr>
      </w:pPr>
      <w:r>
        <w:rPr>
          <w:rFonts w:eastAsia="Times New Roman"/>
          <w:b/>
          <w:bCs/>
          <w:color w:val="000000"/>
          <w:sz w:val="20"/>
          <w:szCs w:val="20"/>
        </w:rPr>
        <w:t>INDEX</w:t>
      </w:r>
    </w:p>
    <w:p w:rsidR="00000000" w:rsidRDefault="00F04B64">
      <w:pPr>
        <w:divId w:val="1700816738"/>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trPr>
          <w:jc w:val="center"/>
        </w:trPr>
        <w:tc>
          <w:tcPr>
            <w:tcW w:w="50" w:type="pct"/>
            <w:vAlign w:val="center"/>
            <w:hideMark/>
          </w:tcPr>
          <w:p w:rsidR="00000000" w:rsidRDefault="00F04B64">
            <w:pPr>
              <w:rPr>
                <w:rFonts w:eastAsia="Times New Roman"/>
              </w:rPr>
            </w:pPr>
          </w:p>
        </w:tc>
        <w:tc>
          <w:tcPr>
            <w:tcW w:w="73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73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6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04B6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F04B64">
            <w:pPr>
              <w:spacing w:after="100"/>
              <w:jc w:val="center"/>
              <w:rPr>
                <w:rFonts w:eastAsia="Times New Roman"/>
              </w:rPr>
            </w:pPr>
            <w:r>
              <w:rPr>
                <w:rFonts w:eastAsia="Times New Roman"/>
                <w:b/>
                <w:bCs/>
                <w:color w:val="000000"/>
                <w:sz w:val="20"/>
                <w:szCs w:val="20"/>
              </w:rPr>
              <w:t>Page No.</w:t>
            </w:r>
          </w:p>
        </w:tc>
      </w:tr>
      <w:tr w:rsidR="00000000">
        <w:trPr>
          <w:jc w:val="center"/>
        </w:trPr>
        <w:tc>
          <w:tcPr>
            <w:tcW w:w="0" w:type="auto"/>
            <w:gridSpan w:val="3"/>
            <w:vAlign w:val="center"/>
            <w:hideMark/>
          </w:tcPr>
          <w:p w:rsidR="00000000" w:rsidRDefault="00F04B64">
            <w:pPr>
              <w:spacing w:after="100"/>
              <w:jc w:val="center"/>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1098410288"/>
              <w:rPr>
                <w:rFonts w:eastAsia="Times New Roman"/>
              </w:rPr>
            </w:pPr>
            <w:hyperlink w:anchor="i6ab5f063bb0d49af8f180f04f663b228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2108653479"/>
              <w:rPr>
                <w:rFonts w:eastAsia="Times New Roman"/>
              </w:rPr>
            </w:pPr>
            <w:hyperlink w:anchor="i6ab5f063bb0d49af8f180f04f663b228_10" w:history="1">
              <w:r>
                <w:rPr>
                  <w:rStyle w:val="a3"/>
                  <w:rFonts w:eastAsia="Times New Roman"/>
                  <w:b/>
                  <w:bCs/>
                  <w:sz w:val="20"/>
                  <w:szCs w:val="20"/>
                </w:rPr>
                <w:t>Financial Information</w:t>
              </w:r>
            </w:hyperlink>
          </w:p>
        </w:tc>
        <w:tc>
          <w:tcPr>
            <w:tcW w:w="0" w:type="auto"/>
            <w:gridSpan w:val="3"/>
            <w:tcBorders>
              <w:top w:val="single" w:sz="18" w:space="0" w:color="000000"/>
            </w:tcBorders>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0" w:history="1">
              <w:r>
                <w:rPr>
                  <w:rStyle w:val="a3"/>
                  <w:rFonts w:eastAsia="Times New Roman"/>
                  <w:sz w:val="20"/>
                  <w:szCs w:val="20"/>
                </w:rPr>
                <w:t>3</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1207520579"/>
              <w:rPr>
                <w:rFonts w:eastAsia="Times New Roman"/>
              </w:rPr>
            </w:pPr>
            <w:hyperlink w:anchor="i6ab5f063bb0d49af8f180f04f663b228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725646320"/>
              <w:rPr>
                <w:rFonts w:eastAsia="Times New Roman"/>
              </w:rPr>
            </w:pPr>
            <w:hyperlink w:anchor="i6ab5f063bb0d49af8f180f04f663b228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3" w:history="1">
              <w:r>
                <w:rPr>
                  <w:rStyle w:val="a3"/>
                  <w:rFonts w:eastAsia="Times New Roman"/>
                  <w:sz w:val="20"/>
                  <w:szCs w:val="20"/>
                </w:rPr>
                <w:t>3</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F04B64">
            <w:pPr>
              <w:spacing w:after="100"/>
              <w:divId w:val="1315186727"/>
              <w:rPr>
                <w:rFonts w:eastAsia="Times New Roman"/>
              </w:rPr>
            </w:pPr>
            <w:hyperlink w:anchor="i6ab5f063bb0d49af8f180f04f663b228_16" w:history="1">
              <w:r>
                <w:rPr>
                  <w:rStyle w:val="a3"/>
                  <w:rFonts w:eastAsia="Times New Roman"/>
                  <w:sz w:val="20"/>
                  <w:szCs w:val="20"/>
                </w:rPr>
                <w:t>Condensed Consolidated Balance Sheets (unaudited) – March 26, 2022, December 25, 2021</w:t>
              </w:r>
            </w:hyperlink>
            <w:hyperlink w:anchor="i6ab5f063bb0d49af8f180f04f663b228_16" w:history="1">
              <w:r>
                <w:rPr>
                  <w:rStyle w:val="a3"/>
                  <w:rFonts w:eastAsia="Times New Roman"/>
                  <w:sz w:val="20"/>
                  <w:szCs w:val="20"/>
                </w:rPr>
                <w:t xml:space="preserve"> and March 27, 2021</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6" w:history="1">
              <w:r>
                <w:rPr>
                  <w:rStyle w:val="a3"/>
                  <w:rFonts w:eastAsia="Times New Roman"/>
                  <w:sz w:val="20"/>
                  <w:szCs w:val="20"/>
                </w:rPr>
                <w:t>3</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04B64">
            <w:pPr>
              <w:spacing w:after="100"/>
              <w:divId w:val="2013995798"/>
              <w:rPr>
                <w:rFonts w:eastAsia="Times New Roman"/>
              </w:rPr>
            </w:pPr>
            <w:hyperlink w:anchor="i6ab5f063bb0d49af8f180f04f663b228_19" w:history="1">
              <w:r>
                <w:rPr>
                  <w:rStyle w:val="a3"/>
                  <w:rFonts w:eastAsia="Times New Roman"/>
                  <w:sz w:val="20"/>
                  <w:szCs w:val="20"/>
                </w:rPr>
                <w:t>Condensed Consolidated Statements of Income (unaudited) – For the Fiscal Three Months Ended March 26, 2022 and March 27, 2021</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9" w:history="1">
              <w:r>
                <w:rPr>
                  <w:rStyle w:val="a3"/>
                  <w:rFonts w:eastAsia="Times New Roman"/>
                  <w:sz w:val="20"/>
                  <w:szCs w:val="20"/>
                </w:rPr>
                <w:t>4</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F04B64">
            <w:pPr>
              <w:spacing w:after="100"/>
              <w:divId w:val="272983867"/>
              <w:rPr>
                <w:rFonts w:eastAsia="Times New Roman"/>
              </w:rPr>
            </w:pPr>
            <w:hyperlink w:anchor="i6ab5f063bb0d49af8f180f04f663b228_22" w:history="1">
              <w:r>
                <w:rPr>
                  <w:rStyle w:val="a3"/>
                  <w:rFonts w:eastAsia="Times New Roman"/>
                  <w:sz w:val="20"/>
                  <w:szCs w:val="20"/>
                </w:rPr>
                <w:t>Condensed Consolidated Statements of Comprehensive Income (unaudited) – For the Fiscal Three Months Ended March 26, 2022 and March 27, 2021</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22" w:history="1">
              <w:r>
                <w:rPr>
                  <w:rStyle w:val="a3"/>
                  <w:rFonts w:eastAsia="Times New Roman"/>
                  <w:sz w:val="20"/>
                  <w:szCs w:val="20"/>
                </w:rPr>
                <w:t>5</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04B64">
            <w:pPr>
              <w:spacing w:after="100"/>
              <w:divId w:val="1923950027"/>
              <w:rPr>
                <w:rFonts w:eastAsia="Times New Roman"/>
              </w:rPr>
            </w:pPr>
            <w:hyperlink w:anchor="i6ab5f063bb0d49af8f180f04f663b228_25" w:history="1">
              <w:r>
                <w:rPr>
                  <w:rStyle w:val="a3"/>
                  <w:rFonts w:eastAsia="Times New Roman"/>
                  <w:sz w:val="20"/>
                  <w:szCs w:val="20"/>
                </w:rPr>
                <w:t>Condensed Consolidated Statements of Stockholders’ Equity (unaudited) – For the Fiscal Three Months Ended March 26, 2022 and March</w:t>
              </w:r>
              <w:r>
                <w:rPr>
                  <w:rStyle w:val="a3"/>
                  <w:rFonts w:eastAsia="Times New Roman"/>
                  <w:sz w:val="20"/>
                  <w:szCs w:val="20"/>
                </w:rPr>
                <w:t> 27, 2021</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25" w:history="1">
              <w:r>
                <w:rPr>
                  <w:rStyle w:val="a3"/>
                  <w:rFonts w:eastAsia="Times New Roman"/>
                  <w:sz w:val="20"/>
                  <w:szCs w:val="20"/>
                </w:rPr>
                <w:t>6</w:t>
              </w:r>
            </w:hyperlink>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F04B64">
            <w:pPr>
              <w:spacing w:after="100"/>
              <w:divId w:val="25524160"/>
              <w:rPr>
                <w:rFonts w:eastAsia="Times New Roman"/>
              </w:rPr>
            </w:pPr>
            <w:hyperlink w:anchor="i6ab5f063bb0d49af8f180f04f663b228_28" w:history="1">
              <w:r>
                <w:rPr>
                  <w:rStyle w:val="a3"/>
                  <w:rFonts w:eastAsia="Times New Roman"/>
                  <w:sz w:val="20"/>
                  <w:szCs w:val="20"/>
                </w:rPr>
                <w:t>Condensed Consolidated Statements of Cash Flows (unaudited) – For the Fiscal Three Months Ended March 26, 2022 and Mar</w:t>
              </w:r>
              <w:r>
                <w:rPr>
                  <w:rStyle w:val="a3"/>
                  <w:rFonts w:eastAsia="Times New Roman"/>
                  <w:sz w:val="20"/>
                  <w:szCs w:val="20"/>
                </w:rPr>
                <w:t>ch 27, 2021</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28" w:history="1">
              <w:r>
                <w:rPr>
                  <w:rStyle w:val="a3"/>
                  <w:rFonts w:eastAsia="Times New Roman"/>
                  <w:sz w:val="20"/>
                  <w:szCs w:val="20"/>
                </w:rPr>
                <w:t>7</w:t>
              </w:r>
            </w:hyperlink>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04B64">
            <w:pPr>
              <w:spacing w:after="100"/>
              <w:divId w:val="999505092"/>
              <w:rPr>
                <w:rFonts w:eastAsia="Times New Roman"/>
              </w:rPr>
            </w:pPr>
            <w:hyperlink w:anchor="i6ab5f063bb0d49af8f180f04f663b228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31" w:history="1">
              <w:r>
                <w:rPr>
                  <w:rStyle w:val="a3"/>
                  <w:rFonts w:eastAsia="Times New Roman"/>
                  <w:sz w:val="20"/>
                  <w:szCs w:val="20"/>
                </w:rPr>
                <w:t>8</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1316109435"/>
              <w:rPr>
                <w:rFonts w:eastAsia="Times New Roman"/>
              </w:rPr>
            </w:pPr>
            <w:hyperlink w:anchor="i6ab5f063bb0d49af8f180f04f663b228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1692804261"/>
              <w:rPr>
                <w:rFonts w:eastAsia="Times New Roman"/>
              </w:rPr>
            </w:pPr>
            <w:hyperlink w:anchor="i6ab5f063bb0d49af8f180f04f663b228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70" w:history="1">
              <w:r>
                <w:rPr>
                  <w:rStyle w:val="a3"/>
                  <w:rFonts w:eastAsia="Times New Roman"/>
                  <w:sz w:val="20"/>
                  <w:szCs w:val="20"/>
                </w:rPr>
                <w:t>14</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1686052801"/>
              <w:rPr>
                <w:rFonts w:eastAsia="Times New Roman"/>
              </w:rPr>
            </w:pPr>
            <w:hyperlink w:anchor="i6ab5f063bb0d49af8f180f04f663b228_103"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943926192"/>
              <w:rPr>
                <w:rFonts w:eastAsia="Times New Roman"/>
              </w:rPr>
            </w:pPr>
            <w:hyperlink w:anchor="i6ab5f063bb0d49af8f180f04f663b228_103"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03" w:history="1">
              <w:r>
                <w:rPr>
                  <w:rStyle w:val="a3"/>
                  <w:rFonts w:eastAsia="Times New Roman"/>
                  <w:sz w:val="20"/>
                  <w:szCs w:val="20"/>
                </w:rPr>
                <w:t>23</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205263117"/>
              <w:rPr>
                <w:rFonts w:eastAsia="Times New Roman"/>
              </w:rPr>
            </w:pPr>
            <w:hyperlink w:anchor="i6ab5f063bb0d49af8f180f04f663b228_106"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470252608"/>
              <w:rPr>
                <w:rFonts w:eastAsia="Times New Roman"/>
              </w:rPr>
            </w:pPr>
            <w:hyperlink w:anchor="i6ab5f063bb0d49af8f180f04f663b228_106"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06" w:history="1">
              <w:r>
                <w:rPr>
                  <w:rStyle w:val="a3"/>
                  <w:rFonts w:eastAsia="Times New Roman"/>
                  <w:sz w:val="20"/>
                  <w:szCs w:val="20"/>
                </w:rPr>
                <w:t>23</w:t>
              </w:r>
            </w:hyperlink>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1346249101"/>
              <w:rPr>
                <w:rFonts w:eastAsia="Times New Roman"/>
              </w:rPr>
            </w:pPr>
            <w:hyperlink w:anchor="i6ab5f063bb0d49af8f180f04f663b228_109"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486898684"/>
              <w:rPr>
                <w:rFonts w:eastAsia="Times New Roman"/>
              </w:rPr>
            </w:pPr>
            <w:hyperlink w:anchor="i6ab5f063bb0d49af8f180f04f663b228_109"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09" w:history="1">
              <w:r>
                <w:rPr>
                  <w:rStyle w:val="a3"/>
                  <w:rFonts w:eastAsia="Times New Roman"/>
                  <w:sz w:val="20"/>
                  <w:szCs w:val="20"/>
                </w:rPr>
                <w:t>24</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406343174"/>
              <w:rPr>
                <w:rFonts w:eastAsia="Times New Roman"/>
              </w:rPr>
            </w:pPr>
            <w:hyperlink w:anchor="i6ab5f063bb0d49af8f180f04f663b228_112"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1456025442"/>
              <w:rPr>
                <w:rFonts w:eastAsia="Times New Roman"/>
              </w:rPr>
            </w:pPr>
            <w:hyperlink w:anchor="i6ab5f063bb0d49af8f180f04f663b228_112"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12" w:history="1">
              <w:r>
                <w:rPr>
                  <w:rStyle w:val="a3"/>
                  <w:rFonts w:eastAsia="Times New Roman"/>
                  <w:sz w:val="20"/>
                  <w:szCs w:val="20"/>
                </w:rPr>
                <w:t>24</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1579434698"/>
              <w:rPr>
                <w:rFonts w:eastAsia="Times New Roman"/>
              </w:rPr>
            </w:pPr>
            <w:hyperlink w:anchor="i6ab5f063bb0d49af8f180f04f663b228_115"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1806118695"/>
              <w:rPr>
                <w:rFonts w:eastAsia="Times New Roman"/>
              </w:rPr>
            </w:pPr>
            <w:hyperlink w:anchor="i6ab5f063bb0d49af8f180f04f663b228_115"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15" w:history="1">
              <w:r>
                <w:rPr>
                  <w:rStyle w:val="a3"/>
                  <w:rFonts w:eastAsia="Times New Roman"/>
                  <w:sz w:val="20"/>
                  <w:szCs w:val="20"/>
                </w:rPr>
                <w:t>24</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79525322"/>
              <w:rPr>
                <w:rFonts w:eastAsia="Times New Roman"/>
              </w:rPr>
            </w:pPr>
            <w:hyperlink w:anchor="i6ab5f063bb0d49af8f180f04f663b228_118"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1706522866"/>
              <w:rPr>
                <w:rFonts w:eastAsia="Times New Roman"/>
              </w:rPr>
            </w:pPr>
            <w:hyperlink w:anchor="i6ab5f063bb0d49af8f180f04f663b228_118"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18" w:history="1">
              <w:r>
                <w:rPr>
                  <w:rStyle w:val="a3"/>
                  <w:rFonts w:eastAsia="Times New Roman"/>
                  <w:sz w:val="20"/>
                  <w:szCs w:val="20"/>
                </w:rPr>
                <w:t>24</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2011444967"/>
              <w:rPr>
                <w:rFonts w:eastAsia="Times New Roman"/>
              </w:rPr>
            </w:pPr>
            <w:hyperlink w:anchor="i6ab5f063bb0d49af8f180f04f663b228_121"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1617953759"/>
              <w:rPr>
                <w:rFonts w:eastAsia="Times New Roman"/>
              </w:rPr>
            </w:pPr>
            <w:hyperlink w:anchor="i6ab5f063bb0d49af8f180f04f663b228_121"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21" w:history="1">
              <w:r>
                <w:rPr>
                  <w:rStyle w:val="a3"/>
                  <w:rFonts w:eastAsia="Times New Roman"/>
                  <w:sz w:val="20"/>
                  <w:szCs w:val="20"/>
                </w:rPr>
                <w:t>24</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111019041"/>
              <w:rPr>
                <w:rFonts w:eastAsia="Times New Roman"/>
              </w:rPr>
            </w:pPr>
            <w:hyperlink w:anchor="i6ab5f063bb0d49af8f180f04f663b228_124"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2046786356"/>
              <w:rPr>
                <w:rFonts w:eastAsia="Times New Roman"/>
              </w:rPr>
            </w:pPr>
            <w:hyperlink w:anchor="i6ab5f063bb0d49af8f180f04f663b228_12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24" w:history="1">
              <w:r>
                <w:rPr>
                  <w:rStyle w:val="a3"/>
                  <w:rFonts w:eastAsia="Times New Roman"/>
                  <w:sz w:val="20"/>
                  <w:szCs w:val="20"/>
                </w:rPr>
                <w:t>24</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492720226"/>
              <w:rPr>
                <w:rFonts w:eastAsia="Times New Roman"/>
              </w:rPr>
            </w:pPr>
            <w:hyperlink w:anchor="i6ab5f063bb0d49af8f180f04f663b228_127"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divId w:val="1612977999"/>
              <w:rPr>
                <w:rFonts w:eastAsia="Times New Roman"/>
              </w:rPr>
            </w:pPr>
            <w:hyperlink w:anchor="i6ab5f063bb0d49af8f180f04f663b228_127"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27" w:history="1">
              <w:r>
                <w:rPr>
                  <w:rStyle w:val="a3"/>
                  <w:rFonts w:eastAsia="Times New Roman"/>
                  <w:sz w:val="20"/>
                  <w:szCs w:val="20"/>
                </w:rPr>
                <w:t>25</w:t>
              </w:r>
            </w:hyperlink>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divId w:val="1115060794"/>
              <w:rPr>
                <w:rFonts w:eastAsia="Times New Roman"/>
              </w:rPr>
            </w:pPr>
            <w:hyperlink w:anchor="i6ab5f063bb0d49af8f180f04f663b228_130"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divId w:val="1030496512"/>
              <w:rPr>
                <w:rFonts w:eastAsia="Times New Roman"/>
              </w:rPr>
            </w:pPr>
            <w:hyperlink w:anchor="i6ab5f063bb0d49af8f180f04f663b228_130"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30" w:history="1">
              <w:r>
                <w:rPr>
                  <w:rStyle w:val="a3"/>
                  <w:rFonts w:eastAsia="Times New Roman"/>
                  <w:sz w:val="20"/>
                  <w:szCs w:val="20"/>
                </w:rPr>
                <w:t>26</w:t>
              </w:r>
            </w:hyperlink>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divId w:val="2088380946"/>
              <w:rPr>
                <w:rFonts w:eastAsia="Times New Roman"/>
              </w:rPr>
            </w:pPr>
            <w:hyperlink w:anchor="i6ab5f063bb0d49af8f180f04f663b228_133" w:history="1">
              <w:r>
                <w:rPr>
                  <w:rStyle w:val="a3"/>
                  <w:rFonts w:eastAsia="Times New Roman"/>
                  <w:sz w:val="20"/>
                  <w:szCs w:val="20"/>
                </w:rPr>
                <w:t>Signature</w:t>
              </w:r>
            </w:hyperlink>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F04B64">
            <w:pPr>
              <w:spacing w:after="100"/>
              <w:jc w:val="right"/>
              <w:rPr>
                <w:rFonts w:eastAsia="Times New Roman"/>
              </w:rPr>
            </w:pPr>
            <w:hyperlink w:anchor="i6ab5f063bb0d49af8f180f04f663b228_133" w:history="1">
              <w:r>
                <w:rPr>
                  <w:rStyle w:val="a3"/>
                  <w:rFonts w:eastAsia="Times New Roman"/>
                  <w:sz w:val="20"/>
                  <w:szCs w:val="20"/>
                </w:rPr>
                <w:t>27</w:t>
              </w:r>
            </w:hyperlink>
          </w:p>
        </w:tc>
      </w:tr>
    </w:tbl>
    <w:p w:rsidR="00000000" w:rsidRDefault="00F04B64">
      <w:pPr>
        <w:divId w:val="362874327"/>
        <w:rPr>
          <w:rFonts w:eastAsia="Times New Roman"/>
        </w:rPr>
      </w:pPr>
    </w:p>
    <w:p w:rsidR="00000000" w:rsidRDefault="00F04B64">
      <w:pPr>
        <w:divId w:val="553662204"/>
        <w:rPr>
          <w:rFonts w:eastAsia="Times New Roman"/>
        </w:rPr>
      </w:pPr>
    </w:p>
    <w:p w:rsidR="00000000" w:rsidRDefault="00F04B64">
      <w:pPr>
        <w:jc w:val="center"/>
        <w:rPr>
          <w:rFonts w:eastAsia="Times New Roman"/>
        </w:rPr>
      </w:pPr>
    </w:p>
    <w:p w:rsidR="00000000" w:rsidRDefault="00F04B64">
      <w:pPr>
        <w:jc w:val="center"/>
        <w:divId w:val="1736659950"/>
        <w:rPr>
          <w:rFonts w:eastAsia="Times New Roman"/>
        </w:rPr>
      </w:pPr>
      <w:r>
        <w:rPr>
          <w:rFonts w:eastAsia="Times New Roman"/>
          <w:color w:val="000000"/>
          <w:sz w:val="20"/>
          <w:szCs w:val="20"/>
        </w:rPr>
        <w:t>Page 2</w:t>
      </w:r>
    </w:p>
    <w:p w:rsidR="00000000" w:rsidRDefault="00F04B64">
      <w:pPr>
        <w:rPr>
          <w:rFonts w:eastAsia="Times New Roman"/>
        </w:rPr>
      </w:pPr>
      <w:r>
        <w:rPr>
          <w:rFonts w:eastAsia="Times New Roman"/>
        </w:rPr>
        <w:pict>
          <v:rect id="_x0000_i1027" style="width:0;height:1.5pt" o:hralign="center" o:hrstd="t" o:hr="t" fillcolor="#a0a0a0" stroked="f"/>
        </w:pict>
      </w:r>
    </w:p>
    <w:p w:rsidR="00000000" w:rsidRDefault="00F04B64">
      <w:pPr>
        <w:divId w:val="2144885243"/>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u w:val="single"/>
        </w:rPr>
        <w:t>PART I.  FINANCIAL INFORMATION</w:t>
      </w:r>
    </w:p>
    <w:p w:rsidR="00000000" w:rsidRDefault="00F04B64">
      <w:pPr>
        <w:divId w:val="876435415"/>
        <w:rPr>
          <w:rFonts w:eastAsia="Times New Roman"/>
        </w:rPr>
      </w:pPr>
      <w:r>
        <w:rPr>
          <w:rFonts w:eastAsia="Times New Roman"/>
          <w:b/>
          <w:bCs/>
          <w:color w:val="000000"/>
          <w:sz w:val="20"/>
          <w:szCs w:val="20"/>
          <w:u w:val="single"/>
        </w:rPr>
        <w:t>Item 1. Financial Statements</w:t>
      </w:r>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r>
        <w:rPr>
          <w:rFonts w:eastAsia="Times New Roman"/>
          <w:b/>
          <w:bCs/>
          <w:color w:val="000000"/>
          <w:sz w:val="20"/>
          <w:szCs w:val="20"/>
        </w:rPr>
        <w:t>CONDENSED CONSOLIDATED BALANCE SHEETS</w:t>
      </w:r>
    </w:p>
    <w:p w:rsidR="00000000" w:rsidRDefault="00F04B64">
      <w:pPr>
        <w:jc w:val="center"/>
        <w:rPr>
          <w:rFonts w:eastAsia="Times New Roman"/>
        </w:rPr>
      </w:pPr>
      <w:r>
        <w:rPr>
          <w:rFonts w:eastAsia="Times New Roman"/>
          <w:b/>
          <w:bCs/>
          <w:color w:val="000000"/>
          <w:sz w:val="20"/>
          <w:szCs w:val="20"/>
        </w:rPr>
        <w:t>(in thousands, except per share amounts)</w:t>
      </w:r>
    </w:p>
    <w:p w:rsidR="00000000" w:rsidRDefault="00F04B64">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01"/>
        <w:gridCol w:w="39"/>
        <w:gridCol w:w="120"/>
        <w:gridCol w:w="940"/>
        <w:gridCol w:w="36"/>
        <w:gridCol w:w="36"/>
        <w:gridCol w:w="36"/>
        <w:gridCol w:w="36"/>
        <w:gridCol w:w="120"/>
        <w:gridCol w:w="901"/>
        <w:gridCol w:w="36"/>
        <w:gridCol w:w="36"/>
        <w:gridCol w:w="36"/>
        <w:gridCol w:w="36"/>
        <w:gridCol w:w="120"/>
        <w:gridCol w:w="901"/>
        <w:gridCol w:w="36"/>
      </w:tblGrid>
      <w:tr w:rsidR="00000000">
        <w:trPr>
          <w:jc w:val="center"/>
        </w:trPr>
        <w:tc>
          <w:tcPr>
            <w:tcW w:w="50" w:type="pct"/>
            <w:vAlign w:val="center"/>
            <w:hideMark/>
          </w:tcPr>
          <w:p w:rsidR="00000000" w:rsidRDefault="00F04B64">
            <w:pPr>
              <w:jc w:val="center"/>
              <w:rPr>
                <w:rFonts w:eastAsia="Times New Roman"/>
              </w:rPr>
            </w:pPr>
          </w:p>
        </w:tc>
        <w:tc>
          <w:tcPr>
            <w:tcW w:w="292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F04B64">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405,432 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1,149,930 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2,568,179 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2,191,192 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2,084,677 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185,634 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164,118 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146,227 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Income taxes receivable</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9,030 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17,100 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3,168,275 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3,250,440 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3,380,834 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1,655,750 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1,617,806 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1,287,004 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2,744,095 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2,785,858 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2,589,418 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Goodwill and other intangible assets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55,520 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2,437 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11,428 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63,168 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55,406 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35,475 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7,686,808 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7,359,679 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1,341,645 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1,155,630 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1,181,924 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49,124 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109,618 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68,102 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lastRenderedPageBreak/>
              <w:t>Other accrued expenses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445,079 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474,412 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377,777 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4,042 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359,774 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321,285 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303,222 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40,226 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2,199,664 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2,064,842 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1,975,925 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Long-term debt</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986,896 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986,382 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984,838 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Finance lease liabilities, less current portion</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36,649 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32,848 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31,890 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Operating lease liabilities, less current portion</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2,529,605 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2,574,882 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2,399,246 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37,487 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106,485 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105,848 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115,481 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5,896,786 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5,764,802 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5,507,380 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Common stock</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1,413 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1,411 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1,409 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1,204,294 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1,210,512 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1,154,451 </w:t>
            </w:r>
          </w:p>
        </w:tc>
        <w:tc>
          <w:tcPr>
            <w:tcW w:w="0" w:type="auto"/>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Treasury stock</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(4,452,026)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(4,155,846)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(3,610,362)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Accumulated other comprehensive income/(loss)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7,338 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1,345 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(1,118)</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5,029,003 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4,945,243 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4,307,919 </w:t>
            </w:r>
          </w:p>
        </w:tc>
        <w:tc>
          <w:tcPr>
            <w:tcW w:w="0" w:type="auto"/>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1,790,022 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2,002,665 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1,852,299 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740" w:type="dxa"/>
              <w:bottom w:w="30" w:type="dxa"/>
              <w:right w:w="20" w:type="dxa"/>
            </w:tcMar>
            <w:vAlign w:val="center"/>
            <w:hideMark/>
          </w:tcPr>
          <w:p w:rsidR="00000000" w:rsidRDefault="00F04B64">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7,686,808 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7,767,467 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04B64">
            <w:pPr>
              <w:spacing w:after="100"/>
              <w:jc w:val="right"/>
              <w:rPr>
                <w:rFonts w:eastAsia="Times New Roman"/>
              </w:rPr>
            </w:pPr>
            <w:r>
              <w:rPr>
                <w:rFonts w:eastAsia="Times New Roman"/>
                <w:color w:val="000000"/>
                <w:sz w:val="20"/>
                <w:szCs w:val="20"/>
              </w:rPr>
              <w:t>7,359,679 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bl>
    <w:p w:rsidR="00000000" w:rsidRDefault="00F04B64">
      <w:pPr>
        <w:ind w:hanging="180"/>
        <w:divId w:val="1924605605"/>
        <w:rPr>
          <w:rFonts w:eastAsia="Times New Roman"/>
        </w:rPr>
      </w:pPr>
      <w:r>
        <w:rPr>
          <w:rFonts w:eastAsia="Times New Roman"/>
          <w:b/>
          <w:bCs/>
          <w:color w:val="000000"/>
          <w:sz w:val="16"/>
          <w:szCs w:val="16"/>
        </w:rPr>
        <w:t>Preferred Stock (shares in thousands)</w:t>
      </w:r>
      <w:r>
        <w:rPr>
          <w:rFonts w:eastAsia="Times New Roman"/>
          <w:color w:val="000000"/>
          <w:sz w:val="16"/>
          <w:szCs w:val="16"/>
        </w:rPr>
        <w:t>: $1.00 par value; 40 shares authorized; no shares were issued or outstanding during any period presented.</w:t>
      </w:r>
    </w:p>
    <w:p w:rsidR="00000000" w:rsidRDefault="00F04B64">
      <w:pPr>
        <w:ind w:hanging="1080"/>
        <w:divId w:val="226230274"/>
        <w:rPr>
          <w:rFonts w:eastAsia="Times New Roman"/>
        </w:rPr>
      </w:pPr>
      <w:r>
        <w:rPr>
          <w:rFonts w:eastAsia="Times New Roman"/>
          <w:b/>
          <w:bCs/>
          <w:color w:val="000000"/>
          <w:sz w:val="16"/>
          <w:szCs w:val="16"/>
        </w:rPr>
        <w:t>Common Stock (shares in thousands)</w:t>
      </w:r>
      <w:r>
        <w:rPr>
          <w:rFonts w:eastAsia="Times New Roman"/>
          <w:color w:val="000000"/>
          <w:sz w:val="16"/>
          <w:szCs w:val="16"/>
        </w:rPr>
        <w:t>: $0.008 par value; 400,000 shares authorized at all periods presented. 176,679, 176,371, and 176,069 shares issued; 112,075, 113,125, and 115,587 shares outstanding at March 26, 2022, December 25, 2021, and March 27, 2021</w:t>
      </w:r>
      <w:r>
        <w:rPr>
          <w:rFonts w:eastAsia="Times New Roman"/>
          <w:color w:val="000000"/>
          <w:sz w:val="16"/>
          <w:szCs w:val="16"/>
        </w:rPr>
        <w:t xml:space="preserve">, respectively. </w:t>
      </w:r>
    </w:p>
    <w:p w:rsidR="00000000" w:rsidRDefault="00F04B64">
      <w:pPr>
        <w:ind w:hanging="1080"/>
        <w:divId w:val="1362895906"/>
        <w:rPr>
          <w:rFonts w:eastAsia="Times New Roman"/>
        </w:rPr>
      </w:pPr>
      <w:r>
        <w:rPr>
          <w:rFonts w:eastAsia="Times New Roman"/>
          <w:b/>
          <w:bCs/>
          <w:color w:val="000000"/>
          <w:sz w:val="16"/>
          <w:szCs w:val="16"/>
        </w:rPr>
        <w:t>Treasury Stock (at cost, shares in thousands)</w:t>
      </w:r>
      <w:r>
        <w:rPr>
          <w:rFonts w:eastAsia="Times New Roman"/>
          <w:color w:val="000000"/>
          <w:sz w:val="16"/>
          <w:szCs w:val="16"/>
        </w:rPr>
        <w:t>: 64,604, 63,246, and 60,482 shares at March 26, 2022, December 25, 2021, and March 27, 2021, respectively.</w:t>
      </w:r>
    </w:p>
    <w:p w:rsidR="00000000" w:rsidRDefault="00F04B64">
      <w:pPr>
        <w:jc w:val="center"/>
        <w:rPr>
          <w:rFonts w:eastAsia="Times New Roman"/>
        </w:rPr>
      </w:pPr>
    </w:p>
    <w:p w:rsidR="00000000" w:rsidRDefault="00F04B64">
      <w:pPr>
        <w:jc w:val="center"/>
        <w:rPr>
          <w:rFonts w:eastAsia="Times New Roman"/>
        </w:rPr>
      </w:pPr>
      <w:r>
        <w:rPr>
          <w:rFonts w:eastAsia="Times New Roman"/>
          <w:color w:val="000000"/>
          <w:sz w:val="20"/>
          <w:szCs w:val="20"/>
        </w:rPr>
        <w:t>The accompanying notes are an integral part of these Condensed Consolidated Financia</w:t>
      </w:r>
      <w:r>
        <w:rPr>
          <w:rFonts w:eastAsia="Times New Roman"/>
          <w:color w:val="000000"/>
          <w:sz w:val="20"/>
          <w:szCs w:val="20"/>
        </w:rPr>
        <w:t>l Statements.</w:t>
      </w:r>
    </w:p>
    <w:p w:rsidR="00000000" w:rsidRDefault="00F04B64">
      <w:pPr>
        <w:jc w:val="center"/>
        <w:divId w:val="1338969507"/>
        <w:rPr>
          <w:rFonts w:eastAsia="Times New Roman"/>
        </w:rPr>
      </w:pPr>
      <w:r>
        <w:rPr>
          <w:rFonts w:eastAsia="Times New Roman"/>
          <w:color w:val="000000"/>
          <w:sz w:val="20"/>
          <w:szCs w:val="20"/>
        </w:rPr>
        <w:t>Page 3</w:t>
      </w:r>
    </w:p>
    <w:p w:rsidR="00000000" w:rsidRDefault="00F04B64">
      <w:pPr>
        <w:rPr>
          <w:rFonts w:eastAsia="Times New Roman"/>
        </w:rPr>
      </w:pPr>
      <w:r>
        <w:rPr>
          <w:rFonts w:eastAsia="Times New Roman"/>
        </w:rPr>
        <w:pict>
          <v:rect id="_x0000_i1028" style="width:0;height:1.5pt" o:hralign="center" o:hrstd="t" o:hr="t" fillcolor="#a0a0a0" stroked="f"/>
        </w:pict>
      </w:r>
    </w:p>
    <w:p w:rsidR="00000000" w:rsidRDefault="00F04B64">
      <w:pPr>
        <w:divId w:val="370498240"/>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r>
        <w:rPr>
          <w:rFonts w:eastAsia="Times New Roman"/>
          <w:b/>
          <w:bCs/>
          <w:color w:val="000000"/>
          <w:sz w:val="20"/>
          <w:szCs w:val="20"/>
        </w:rPr>
        <w:t>CONDENSED CONSOLIDATED STATEMENTS OF INCOME</w:t>
      </w:r>
    </w:p>
    <w:p w:rsidR="00000000" w:rsidRDefault="00F04B64">
      <w:pPr>
        <w:jc w:val="center"/>
        <w:rPr>
          <w:rFonts w:eastAsia="Times New Roman"/>
        </w:rPr>
      </w:pPr>
      <w:r>
        <w:rPr>
          <w:rFonts w:eastAsia="Times New Roman"/>
          <w:b/>
          <w:bCs/>
          <w:color w:val="000000"/>
          <w:sz w:val="20"/>
          <w:szCs w:val="20"/>
        </w:rPr>
        <w:t>(in thousands, except per share amounts)</w:t>
      </w:r>
    </w:p>
    <w:p w:rsidR="00000000" w:rsidRDefault="00F04B64">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70"/>
        <w:gridCol w:w="37"/>
        <w:gridCol w:w="120"/>
        <w:gridCol w:w="1145"/>
        <w:gridCol w:w="36"/>
        <w:gridCol w:w="36"/>
        <w:gridCol w:w="36"/>
        <w:gridCol w:w="36"/>
        <w:gridCol w:w="120"/>
        <w:gridCol w:w="1107"/>
        <w:gridCol w:w="36"/>
        <w:gridCol w:w="36"/>
        <w:gridCol w:w="36"/>
        <w:gridCol w:w="36"/>
        <w:gridCol w:w="36"/>
        <w:gridCol w:w="36"/>
        <w:gridCol w:w="36"/>
        <w:gridCol w:w="36"/>
        <w:gridCol w:w="36"/>
      </w:tblGrid>
      <w:tr w:rsidR="00000000">
        <w:trPr>
          <w:jc w:val="center"/>
        </w:trPr>
        <w:tc>
          <w:tcPr>
            <w:tcW w:w="50" w:type="pct"/>
            <w:vAlign w:val="center"/>
            <w:hideMark/>
          </w:tcPr>
          <w:p w:rsidR="00000000" w:rsidRDefault="00F04B64">
            <w:pPr>
              <w:jc w:val="center"/>
              <w:rPr>
                <w:rFonts w:eastAsia="Times New Roman"/>
              </w:rPr>
            </w:pPr>
          </w:p>
        </w:tc>
        <w:tc>
          <w:tcPr>
            <w:tcW w:w="331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4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4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For the Fiscal Three</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9"/>
            <w:tcMar>
              <w:top w:w="30" w:type="dxa"/>
              <w:left w:w="132" w:type="dxa"/>
              <w:bottom w:w="30" w:type="dxa"/>
              <w:right w:w="132" w:type="dxa"/>
            </w:tcMar>
            <w:vAlign w:val="bottom"/>
            <w:hideMark/>
          </w:tcPr>
          <w:p w:rsidR="00000000" w:rsidRDefault="00F04B64">
            <w:pPr>
              <w:spacing w:after="100"/>
              <w:jc w:val="center"/>
              <w:rPr>
                <w:rFonts w:eastAsia="Times New Roman"/>
              </w:rPr>
            </w:pPr>
            <w:r>
              <w:rPr>
                <w:rFonts w:eastAsia="Times New Roman"/>
                <w:b/>
                <w:bCs/>
                <w:color w:val="000000"/>
                <w:sz w:val="20"/>
                <w:szCs w:val="20"/>
              </w:rPr>
              <w:t>Months Ended</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Net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3,024,132 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2,792,336 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Cost of merchandise sold</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1,967,623 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1,808,556 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lastRenderedPageBreak/>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1,056,509 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983,780 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734,577 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693,190 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77,646 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60,054 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244,286 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230,536 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Interest expense, net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7,069 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7,221 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237,217 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223,315 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49,990 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41,961 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Net income per share –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vAlign w:val="center"/>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112,531 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116,153 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113,504 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117,227 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Dividends declared per common share outstanding</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0.52 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p>
    <w:p w:rsidR="00000000" w:rsidRDefault="00F04B64">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F04B64">
      <w:pPr>
        <w:jc w:val="center"/>
        <w:divId w:val="1850482399"/>
        <w:rPr>
          <w:rFonts w:eastAsia="Times New Roman"/>
        </w:rPr>
      </w:pPr>
      <w:r>
        <w:rPr>
          <w:rFonts w:eastAsia="Times New Roman"/>
          <w:color w:val="000000"/>
          <w:sz w:val="20"/>
          <w:szCs w:val="20"/>
        </w:rPr>
        <w:t>Page 4</w:t>
      </w:r>
    </w:p>
    <w:p w:rsidR="00000000" w:rsidRDefault="00F04B64">
      <w:pPr>
        <w:rPr>
          <w:rFonts w:eastAsia="Times New Roman"/>
        </w:rPr>
      </w:pPr>
      <w:r>
        <w:rPr>
          <w:rFonts w:eastAsia="Times New Roman"/>
        </w:rPr>
        <w:pict>
          <v:rect id="_x0000_i1029" style="width:0;height:1.5pt" o:hralign="center" o:hrstd="t" o:hr="t" fillcolor="#a0a0a0" stroked="f"/>
        </w:pict>
      </w:r>
    </w:p>
    <w:p w:rsidR="00000000" w:rsidRDefault="00F04B64">
      <w:pPr>
        <w:divId w:val="1842349688"/>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r>
        <w:rPr>
          <w:rFonts w:eastAsia="Times New Roman"/>
          <w:b/>
          <w:bCs/>
          <w:color w:val="000000"/>
          <w:sz w:val="20"/>
          <w:szCs w:val="20"/>
        </w:rPr>
        <w:t>CONDENSED CONSOLIDATED STATEMENTS OF COMPREHENSIVE INCOME</w:t>
      </w:r>
    </w:p>
    <w:p w:rsidR="00000000" w:rsidRDefault="00F04B64">
      <w:pPr>
        <w:jc w:val="center"/>
        <w:rPr>
          <w:rFonts w:eastAsia="Times New Roman"/>
        </w:rPr>
      </w:pPr>
      <w:r>
        <w:rPr>
          <w:rFonts w:eastAsia="Times New Roman"/>
          <w:b/>
          <w:bCs/>
          <w:color w:val="000000"/>
          <w:sz w:val="20"/>
          <w:szCs w:val="20"/>
        </w:rPr>
        <w:t>(in thousands)</w:t>
      </w:r>
    </w:p>
    <w:p w:rsidR="00000000" w:rsidRDefault="00F04B64">
      <w:pPr>
        <w:jc w:val="center"/>
        <w:rPr>
          <w:rFonts w:eastAsia="Times New Roman"/>
        </w:rPr>
      </w:pPr>
      <w:r>
        <w:rPr>
          <w:rFonts w:eastAsia="Times New Roman"/>
          <w:b/>
          <w:bCs/>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270"/>
        <w:gridCol w:w="37"/>
        <w:gridCol w:w="120"/>
        <w:gridCol w:w="1145"/>
        <w:gridCol w:w="36"/>
        <w:gridCol w:w="36"/>
        <w:gridCol w:w="36"/>
        <w:gridCol w:w="36"/>
        <w:gridCol w:w="120"/>
        <w:gridCol w:w="1107"/>
        <w:gridCol w:w="36"/>
        <w:gridCol w:w="36"/>
        <w:gridCol w:w="36"/>
        <w:gridCol w:w="36"/>
        <w:gridCol w:w="36"/>
        <w:gridCol w:w="36"/>
        <w:gridCol w:w="36"/>
        <w:gridCol w:w="36"/>
        <w:gridCol w:w="36"/>
      </w:tblGrid>
      <w:tr w:rsidR="00000000">
        <w:trPr>
          <w:jc w:val="center"/>
        </w:trPr>
        <w:tc>
          <w:tcPr>
            <w:tcW w:w="50" w:type="pct"/>
            <w:vAlign w:val="center"/>
            <w:hideMark/>
          </w:tcPr>
          <w:p w:rsidR="00000000" w:rsidRDefault="00F04B64">
            <w:pPr>
              <w:jc w:val="center"/>
              <w:rPr>
                <w:rFonts w:eastAsia="Times New Roman"/>
              </w:rPr>
            </w:pPr>
          </w:p>
        </w:tc>
        <w:tc>
          <w:tcPr>
            <w:tcW w:w="331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4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4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For the Fiscal Three</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Months Ended</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Change in fair value of interest rate swaps, net of taxes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5,993 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2,125 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other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5,993 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Total comprehensive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193,220 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183,479 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divId w:val="1915042522"/>
        <w:rPr>
          <w:rFonts w:eastAsia="Times New Roman"/>
        </w:rPr>
      </w:pPr>
    </w:p>
    <w:p w:rsidR="00000000" w:rsidRDefault="00F04B64">
      <w:pPr>
        <w:jc w:val="center"/>
        <w:rPr>
          <w:rFonts w:eastAsia="Times New Roman"/>
        </w:rPr>
      </w:pPr>
      <w:r>
        <w:rPr>
          <w:rFonts w:eastAsia="Times New Roman"/>
          <w:color w:val="000000"/>
          <w:sz w:val="20"/>
          <w:szCs w:val="20"/>
        </w:rPr>
        <w:t>The accompanying notes are an integral part of these Condensed Consolidated Financial Statements.</w:t>
      </w:r>
    </w:p>
    <w:p w:rsidR="00000000" w:rsidRDefault="00F04B64">
      <w:pPr>
        <w:jc w:val="center"/>
        <w:divId w:val="1162165648"/>
        <w:rPr>
          <w:rFonts w:eastAsia="Times New Roman"/>
        </w:rPr>
      </w:pPr>
      <w:r>
        <w:rPr>
          <w:rFonts w:eastAsia="Times New Roman"/>
          <w:color w:val="000000"/>
          <w:sz w:val="20"/>
          <w:szCs w:val="20"/>
        </w:rPr>
        <w:t>Page 5</w:t>
      </w:r>
    </w:p>
    <w:p w:rsidR="00000000" w:rsidRDefault="00F04B64">
      <w:pPr>
        <w:rPr>
          <w:rFonts w:eastAsia="Times New Roman"/>
        </w:rPr>
      </w:pPr>
      <w:r>
        <w:rPr>
          <w:rFonts w:eastAsia="Times New Roman"/>
        </w:rPr>
        <w:pict>
          <v:rect id="_x0000_i1030" style="width:0;height:1.5pt" o:hralign="center" o:hrstd="t" o:hr="t" fillcolor="#a0a0a0" stroked="f"/>
        </w:pict>
      </w:r>
    </w:p>
    <w:p w:rsidR="00000000" w:rsidRDefault="00F04B64">
      <w:pPr>
        <w:divId w:val="405877956"/>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r>
        <w:rPr>
          <w:rFonts w:eastAsia="Times New Roman"/>
          <w:b/>
          <w:bCs/>
          <w:color w:val="000000"/>
          <w:sz w:val="20"/>
          <w:szCs w:val="20"/>
        </w:rPr>
        <w:t>CONDENSED CONSOLIDATED STAT</w:t>
      </w:r>
      <w:r>
        <w:rPr>
          <w:rFonts w:eastAsia="Times New Roman"/>
          <w:b/>
          <w:bCs/>
          <w:color w:val="000000"/>
          <w:sz w:val="20"/>
          <w:szCs w:val="20"/>
        </w:rPr>
        <w:t>EMENTS OF STOCKHOLDERS’ EQUITY</w:t>
      </w:r>
    </w:p>
    <w:p w:rsidR="00000000" w:rsidRDefault="00F04B64">
      <w:pPr>
        <w:jc w:val="center"/>
        <w:rPr>
          <w:rFonts w:eastAsia="Times New Roman"/>
        </w:rPr>
      </w:pPr>
      <w:r>
        <w:rPr>
          <w:rFonts w:eastAsia="Times New Roman"/>
          <w:b/>
          <w:bCs/>
          <w:color w:val="000000"/>
          <w:sz w:val="20"/>
          <w:szCs w:val="20"/>
        </w:rPr>
        <w:lastRenderedPageBreak/>
        <w:t>(in thousands)</w:t>
      </w:r>
    </w:p>
    <w:p w:rsidR="00000000" w:rsidRDefault="00F04B64">
      <w:pPr>
        <w:jc w:val="center"/>
        <w:rPr>
          <w:rFonts w:eastAsia="Times New Roman"/>
        </w:rPr>
      </w:pPr>
      <w:r>
        <w:rPr>
          <w:rFonts w:eastAsia="Times New Roman"/>
          <w:b/>
          <w:bCs/>
          <w:i/>
          <w:iCs/>
          <w:color w:val="000000"/>
          <w:sz w:val="20"/>
          <w:szCs w:val="20"/>
        </w:rPr>
        <w:t>(Unaudited)</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1518"/>
        <w:gridCol w:w="36"/>
        <w:gridCol w:w="85"/>
        <w:gridCol w:w="565"/>
        <w:gridCol w:w="36"/>
        <w:gridCol w:w="36"/>
        <w:gridCol w:w="36"/>
        <w:gridCol w:w="36"/>
        <w:gridCol w:w="111"/>
        <w:gridCol w:w="516"/>
        <w:gridCol w:w="37"/>
        <w:gridCol w:w="36"/>
        <w:gridCol w:w="36"/>
        <w:gridCol w:w="36"/>
        <w:gridCol w:w="110"/>
        <w:gridCol w:w="765"/>
        <w:gridCol w:w="36"/>
        <w:gridCol w:w="36"/>
        <w:gridCol w:w="36"/>
        <w:gridCol w:w="36"/>
        <w:gridCol w:w="110"/>
        <w:gridCol w:w="840"/>
        <w:gridCol w:w="36"/>
        <w:gridCol w:w="36"/>
        <w:gridCol w:w="36"/>
        <w:gridCol w:w="36"/>
        <w:gridCol w:w="111"/>
        <w:gridCol w:w="555"/>
        <w:gridCol w:w="36"/>
        <w:gridCol w:w="36"/>
        <w:gridCol w:w="36"/>
        <w:gridCol w:w="36"/>
        <w:gridCol w:w="110"/>
        <w:gridCol w:w="765"/>
        <w:gridCol w:w="36"/>
        <w:gridCol w:w="36"/>
        <w:gridCol w:w="36"/>
        <w:gridCol w:w="36"/>
        <w:gridCol w:w="111"/>
        <w:gridCol w:w="997"/>
        <w:gridCol w:w="36"/>
      </w:tblGrid>
      <w:tr w:rsidR="00000000">
        <w:trPr>
          <w:jc w:val="center"/>
        </w:trPr>
        <w:tc>
          <w:tcPr>
            <w:tcW w:w="50" w:type="pct"/>
            <w:vAlign w:val="center"/>
            <w:hideMark/>
          </w:tcPr>
          <w:p w:rsidR="00000000" w:rsidRDefault="00F04B64">
            <w:pPr>
              <w:jc w:val="center"/>
              <w:rPr>
                <w:rFonts w:eastAsia="Times New Roman"/>
              </w:rPr>
            </w:pPr>
          </w:p>
        </w:tc>
        <w:tc>
          <w:tcPr>
            <w:tcW w:w="138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3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3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2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Capital</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Stock</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Accum. Other Comp. Income</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Earnings</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Total</w:t>
            </w:r>
            <w:r>
              <w:rPr>
                <w:rFonts w:eastAsia="Times New Roman"/>
                <w:b/>
                <w:bCs/>
                <w:color w:val="000000"/>
                <w:sz w:val="18"/>
                <w:szCs w:val="18"/>
              </w:rPr>
              <w:br/>
            </w:r>
            <w:r>
              <w:rPr>
                <w:rFonts w:eastAsia="Times New Roman"/>
                <w:b/>
                <w:bCs/>
                <w:color w:val="000000"/>
                <w:sz w:val="18"/>
                <w:szCs w:val="18"/>
              </w:rPr>
              <w:t>Stockholders’</w:t>
            </w:r>
            <w:r>
              <w:rPr>
                <w:rFonts w:eastAsia="Times New Roman"/>
                <w:b/>
                <w:bCs/>
                <w:color w:val="000000"/>
                <w:sz w:val="18"/>
                <w:szCs w:val="18"/>
              </w:rPr>
              <w:br/>
              <w:t>Equity</w:t>
            </w:r>
          </w:p>
        </w:tc>
      </w:tr>
      <w:tr w:rsidR="00000000">
        <w:trPr>
          <w:trHeight w:val="280"/>
          <w:jc w:val="center"/>
        </w:trPr>
        <w:tc>
          <w:tcPr>
            <w:tcW w:w="0" w:type="auto"/>
            <w:gridSpan w:val="3"/>
            <w:vMerge/>
            <w:vAlign w:val="center"/>
            <w:hideMark/>
          </w:tcPr>
          <w:p w:rsidR="00000000" w:rsidRDefault="00F04B6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r>
      <w:tr w:rsidR="00F04B64">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18"/>
                <w:szCs w:val="18"/>
              </w:rPr>
              <w:t>Stockholders’ equity at December 25,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113,125 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1,210,512 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(4,155,846)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1,345 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4,945,243 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2,002,665 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ind w:hanging="180"/>
              <w:divId w:val="438645683"/>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308 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7,908 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7,910 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12,316 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ind w:hanging="180"/>
              <w:divId w:val="1950307600"/>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(26,442)</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ind w:hanging="180"/>
              <w:divId w:val="2014796365"/>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(1,358)</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(296,180)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(103,467)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ind w:hanging="180"/>
              <w:divId w:val="1343974024"/>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5,993 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187,227 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F04B64">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18"/>
                <w:szCs w:val="18"/>
              </w:rPr>
              <w:t>Stockholders’ equity at March 26,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112,075 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1,204,294 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(4,452,026)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7,338 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5,029,003 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1,790,022 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p>
    <w:p w:rsidR="00000000" w:rsidRDefault="00F04B64">
      <w:pPr>
        <w:divId w:val="538010043"/>
        <w:rPr>
          <w:rFonts w:eastAsia="Times New Roman"/>
        </w:rPr>
      </w:pPr>
    </w:p>
    <w:p w:rsidR="00000000" w:rsidRDefault="00F04B64">
      <w:pPr>
        <w:divId w:val="1530098779"/>
        <w:rPr>
          <w:rFonts w:eastAsia="Times New Roman"/>
        </w:rPr>
      </w:pPr>
    </w:p>
    <w:p w:rsidR="00000000" w:rsidRDefault="00F04B64">
      <w:pPr>
        <w:divId w:val="11995117"/>
        <w:rPr>
          <w:rFonts w:eastAsia="Times New Roman"/>
        </w:rPr>
      </w:pPr>
    </w:p>
    <w:p w:rsidR="00000000" w:rsidRDefault="00F04B64">
      <w:pPr>
        <w:divId w:val="33523234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605"/>
        <w:gridCol w:w="36"/>
        <w:gridCol w:w="86"/>
        <w:gridCol w:w="564"/>
        <w:gridCol w:w="36"/>
        <w:gridCol w:w="36"/>
        <w:gridCol w:w="36"/>
        <w:gridCol w:w="36"/>
        <w:gridCol w:w="111"/>
        <w:gridCol w:w="515"/>
        <w:gridCol w:w="37"/>
        <w:gridCol w:w="36"/>
        <w:gridCol w:w="36"/>
        <w:gridCol w:w="36"/>
        <w:gridCol w:w="110"/>
        <w:gridCol w:w="765"/>
        <w:gridCol w:w="36"/>
        <w:gridCol w:w="36"/>
        <w:gridCol w:w="36"/>
        <w:gridCol w:w="36"/>
        <w:gridCol w:w="110"/>
        <w:gridCol w:w="840"/>
        <w:gridCol w:w="36"/>
        <w:gridCol w:w="36"/>
        <w:gridCol w:w="36"/>
        <w:gridCol w:w="36"/>
        <w:gridCol w:w="110"/>
        <w:gridCol w:w="525"/>
        <w:gridCol w:w="36"/>
        <w:gridCol w:w="36"/>
        <w:gridCol w:w="36"/>
        <w:gridCol w:w="36"/>
        <w:gridCol w:w="110"/>
        <w:gridCol w:w="765"/>
        <w:gridCol w:w="36"/>
        <w:gridCol w:w="36"/>
        <w:gridCol w:w="36"/>
        <w:gridCol w:w="36"/>
        <w:gridCol w:w="111"/>
        <w:gridCol w:w="1003"/>
        <w:gridCol w:w="36"/>
      </w:tblGrid>
      <w:tr w:rsidR="00000000">
        <w:trPr>
          <w:jc w:val="center"/>
        </w:trPr>
        <w:tc>
          <w:tcPr>
            <w:tcW w:w="50" w:type="pct"/>
            <w:vAlign w:val="center"/>
            <w:hideMark/>
          </w:tcPr>
          <w:p w:rsidR="00000000" w:rsidRDefault="00F04B64">
            <w:pPr>
              <w:rPr>
                <w:rFonts w:eastAsia="Times New Roman"/>
              </w:rPr>
            </w:pPr>
          </w:p>
        </w:tc>
        <w:tc>
          <w:tcPr>
            <w:tcW w:w="137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3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33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5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trHeight w:val="720"/>
          <w:jc w:val="center"/>
        </w:trPr>
        <w:tc>
          <w:tcPr>
            <w:tcW w:w="0" w:type="auto"/>
            <w:gridSpan w:val="3"/>
            <w:vMerge w:val="restart"/>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Common Stock</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Additional</w:t>
            </w:r>
          </w:p>
          <w:p w:rsidR="00000000" w:rsidRDefault="00F04B64">
            <w:pPr>
              <w:spacing w:after="100"/>
              <w:jc w:val="center"/>
              <w:rPr>
                <w:rFonts w:eastAsia="Times New Roman"/>
              </w:rPr>
            </w:pPr>
            <w:r>
              <w:rPr>
                <w:rFonts w:eastAsia="Times New Roman"/>
                <w:b/>
                <w:bCs/>
                <w:color w:val="000000"/>
                <w:sz w:val="18"/>
                <w:szCs w:val="18"/>
              </w:rPr>
              <w:t>Paid-in</w:t>
            </w:r>
          </w:p>
          <w:p w:rsidR="00000000" w:rsidRDefault="00F04B64">
            <w:pPr>
              <w:spacing w:after="100"/>
              <w:jc w:val="center"/>
              <w:rPr>
                <w:rFonts w:eastAsia="Times New Roman"/>
              </w:rPr>
            </w:pPr>
            <w:r>
              <w:rPr>
                <w:rFonts w:eastAsia="Times New Roman"/>
                <w:b/>
                <w:bCs/>
                <w:color w:val="000000"/>
                <w:sz w:val="18"/>
                <w:szCs w:val="18"/>
              </w:rPr>
              <w:t>Capital</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Treasury</w:t>
            </w:r>
          </w:p>
          <w:p w:rsidR="00000000" w:rsidRDefault="00F04B64">
            <w:pPr>
              <w:spacing w:after="100"/>
              <w:jc w:val="center"/>
              <w:rPr>
                <w:rFonts w:eastAsia="Times New Roman"/>
              </w:rPr>
            </w:pPr>
            <w:r>
              <w:rPr>
                <w:rFonts w:eastAsia="Times New Roman"/>
                <w:b/>
                <w:bCs/>
                <w:color w:val="000000"/>
                <w:sz w:val="18"/>
                <w:szCs w:val="18"/>
              </w:rPr>
              <w:t>Stock</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Accum. Other Comp. (Loss) / Income</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Retained</w:t>
            </w:r>
          </w:p>
          <w:p w:rsidR="00000000" w:rsidRDefault="00F04B64">
            <w:pPr>
              <w:spacing w:after="100"/>
              <w:jc w:val="center"/>
              <w:rPr>
                <w:rFonts w:eastAsia="Times New Roman"/>
              </w:rPr>
            </w:pPr>
            <w:r>
              <w:rPr>
                <w:rFonts w:eastAsia="Times New Roman"/>
                <w:b/>
                <w:bCs/>
                <w:color w:val="000000"/>
                <w:sz w:val="18"/>
                <w:szCs w:val="18"/>
              </w:rPr>
              <w:t>Earnings</w:t>
            </w:r>
          </w:p>
        </w:tc>
        <w:tc>
          <w:tcPr>
            <w:tcW w:w="0" w:type="auto"/>
            <w:gridSpan w:val="3"/>
            <w:vMerge w:val="restart"/>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Total</w:t>
            </w:r>
          </w:p>
          <w:p w:rsidR="00000000" w:rsidRDefault="00F04B64">
            <w:pPr>
              <w:spacing w:after="100"/>
              <w:jc w:val="center"/>
              <w:rPr>
                <w:rFonts w:eastAsia="Times New Roman"/>
              </w:rPr>
            </w:pPr>
            <w:r>
              <w:rPr>
                <w:rFonts w:eastAsia="Times New Roman"/>
                <w:b/>
                <w:bCs/>
                <w:color w:val="000000"/>
                <w:sz w:val="18"/>
                <w:szCs w:val="18"/>
              </w:rPr>
              <w:t>Stockholders’</w:t>
            </w:r>
          </w:p>
          <w:p w:rsidR="00000000" w:rsidRDefault="00F04B64">
            <w:pPr>
              <w:spacing w:after="100"/>
              <w:jc w:val="center"/>
              <w:rPr>
                <w:rFonts w:eastAsia="Times New Roman"/>
              </w:rPr>
            </w:pPr>
            <w:r>
              <w:rPr>
                <w:rFonts w:eastAsia="Times New Roman"/>
                <w:b/>
                <w:bCs/>
                <w:color w:val="000000"/>
                <w:sz w:val="18"/>
                <w:szCs w:val="18"/>
              </w:rPr>
              <w:t>Equity</w:t>
            </w:r>
          </w:p>
        </w:tc>
      </w:tr>
      <w:tr w:rsidR="00000000">
        <w:trPr>
          <w:trHeight w:val="280"/>
          <w:jc w:val="center"/>
        </w:trPr>
        <w:tc>
          <w:tcPr>
            <w:tcW w:w="0" w:type="auto"/>
            <w:gridSpan w:val="3"/>
            <w:vMerge/>
            <w:vAlign w:val="center"/>
            <w:hideMark/>
          </w:tcPr>
          <w:p w:rsidR="00000000" w:rsidRDefault="00F04B6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18"/>
                <w:szCs w:val="18"/>
              </w:rPr>
              <w:t>Dollars</w:t>
            </w: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c>
          <w:tcPr>
            <w:tcW w:w="0" w:type="auto"/>
            <w:gridSpan w:val="3"/>
            <w:vMerge/>
            <w:vAlign w:val="center"/>
            <w:hideMark/>
          </w:tcPr>
          <w:p w:rsidR="00000000" w:rsidRDefault="00F04B64">
            <w:pPr>
              <w:spacing w:after="100"/>
              <w:rPr>
                <w:rFonts w:eastAsia="Times New Roman"/>
              </w:rPr>
            </w:pPr>
          </w:p>
        </w:tc>
      </w:tr>
      <w:tr w:rsidR="00F04B64">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18"/>
                <w:szCs w:val="18"/>
              </w:rPr>
              <w:t>Stockholders’ equity at December 26,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116,246 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1,095,500 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(3,356,953)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(3,243)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4,187,135 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1,923,840 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ind w:hanging="180"/>
              <w:divId w:val="306516783"/>
              <w:rPr>
                <w:rFonts w:eastAsia="Times New Roman"/>
              </w:rPr>
            </w:pPr>
            <w:r>
              <w:rPr>
                <w:rFonts w:eastAsia="Times New Roman"/>
                <w:color w:val="000000"/>
                <w:sz w:val="18"/>
                <w:szCs w:val="18"/>
              </w:rPr>
              <w:t>Common stock issuance under stock award plans &amp; ESPP</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941 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58,700 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58,708 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Share-based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12,318 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ind w:hanging="180"/>
              <w:divId w:val="103885891"/>
              <w:rPr>
                <w:rFonts w:eastAsia="Times New Roman"/>
              </w:rPr>
            </w:pPr>
            <w:r>
              <w:rPr>
                <w:rFonts w:eastAsia="Times New Roman"/>
                <w:color w:val="000000"/>
                <w:sz w:val="18"/>
                <w:szCs w:val="18"/>
              </w:rPr>
              <w:t>Repurchase of shares to satisfy tax obligations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(12,067)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ind w:hanging="180"/>
              <w:divId w:val="715393811"/>
              <w:rPr>
                <w:rFonts w:eastAsia="Times New Roman"/>
              </w:rPr>
            </w:pPr>
            <w:r>
              <w:rPr>
                <w:rFonts w:eastAsia="Times New Roman"/>
                <w:color w:val="000000"/>
                <w:sz w:val="18"/>
                <w:szCs w:val="18"/>
              </w:rPr>
              <w:t>Repurchase of common stock</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(1,600)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(253,409)</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Cash dividends paid to stockholders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(60,570)</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ind w:hanging="180"/>
              <w:divId w:val="1617177235"/>
              <w:rPr>
                <w:rFonts w:eastAsia="Times New Roman"/>
              </w:rPr>
            </w:pPr>
            <w:r>
              <w:rPr>
                <w:rFonts w:eastAsia="Times New Roman"/>
                <w:color w:val="000000"/>
                <w:sz w:val="18"/>
                <w:szCs w:val="18"/>
              </w:rPr>
              <w:t>Change in fair value of interest rate swaps, net of taxes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2,125 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181,354 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F04B64">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18"/>
                <w:szCs w:val="18"/>
              </w:rPr>
              <w:t>Stockholders’ equity at March 27,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115,587 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1,409 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1,154,451 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(3,610,362)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(1,118)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4,307,919 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18"/>
                <w:szCs w:val="18"/>
              </w:rPr>
              <w:t>1,852,299 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p>
    <w:p w:rsidR="00000000" w:rsidRDefault="00F04B64">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rsidR="00000000" w:rsidRDefault="00F04B64">
      <w:pPr>
        <w:jc w:val="center"/>
        <w:rPr>
          <w:rFonts w:eastAsia="Times New Roman"/>
        </w:rPr>
      </w:pPr>
    </w:p>
    <w:p w:rsidR="00000000" w:rsidRDefault="00F04B64">
      <w:pPr>
        <w:divId w:val="597758430"/>
        <w:rPr>
          <w:rFonts w:eastAsia="Times New Roman"/>
        </w:rPr>
      </w:pPr>
    </w:p>
    <w:p w:rsidR="00000000" w:rsidRDefault="00F04B64">
      <w:pPr>
        <w:jc w:val="center"/>
        <w:divId w:val="139541666"/>
        <w:rPr>
          <w:rFonts w:eastAsia="Times New Roman"/>
        </w:rPr>
      </w:pPr>
      <w:r>
        <w:rPr>
          <w:rFonts w:eastAsia="Times New Roman"/>
          <w:color w:val="000000"/>
          <w:sz w:val="20"/>
          <w:szCs w:val="20"/>
        </w:rPr>
        <w:t>Page 6</w:t>
      </w:r>
    </w:p>
    <w:p w:rsidR="00000000" w:rsidRDefault="00F04B64">
      <w:pPr>
        <w:rPr>
          <w:rFonts w:eastAsia="Times New Roman"/>
        </w:rPr>
      </w:pPr>
      <w:r>
        <w:rPr>
          <w:rFonts w:eastAsia="Times New Roman"/>
        </w:rPr>
        <w:pict>
          <v:rect id="_x0000_i1031" style="width:0;height:1.5pt" o:hralign="center" o:hrstd="t" o:hr="t" fillcolor="#a0a0a0" stroked="f"/>
        </w:pict>
      </w:r>
    </w:p>
    <w:p w:rsidR="00000000" w:rsidRDefault="00F04B64">
      <w:pPr>
        <w:divId w:val="2004428708"/>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r>
        <w:rPr>
          <w:rFonts w:eastAsia="Times New Roman"/>
          <w:b/>
          <w:bCs/>
          <w:color w:val="000000"/>
          <w:sz w:val="20"/>
          <w:szCs w:val="20"/>
        </w:rPr>
        <w:t xml:space="preserve">CONDENSED CONSOLIDATED </w:t>
      </w:r>
      <w:r>
        <w:rPr>
          <w:rFonts w:eastAsia="Times New Roman"/>
          <w:b/>
          <w:bCs/>
          <w:color w:val="000000"/>
          <w:sz w:val="20"/>
          <w:szCs w:val="20"/>
        </w:rPr>
        <w:t>STATEMENTS OF CASH FLOWS</w:t>
      </w:r>
    </w:p>
    <w:p w:rsidR="00000000" w:rsidRDefault="00F04B64">
      <w:pPr>
        <w:jc w:val="center"/>
        <w:rPr>
          <w:rFonts w:eastAsia="Times New Roman"/>
        </w:rPr>
      </w:pPr>
      <w:r>
        <w:rPr>
          <w:rFonts w:eastAsia="Times New Roman"/>
          <w:b/>
          <w:bCs/>
          <w:color w:val="000000"/>
          <w:sz w:val="20"/>
          <w:szCs w:val="20"/>
        </w:rPr>
        <w:t>(in thousands)</w:t>
      </w:r>
    </w:p>
    <w:p w:rsidR="00000000" w:rsidRDefault="00F04B64">
      <w:pPr>
        <w:jc w:val="center"/>
        <w:rPr>
          <w:rFonts w:eastAsia="Times New Roman"/>
        </w:rPr>
      </w:pPr>
      <w:r>
        <w:rPr>
          <w:rFonts w:eastAsia="Times New Roman"/>
          <w:b/>
          <w:bCs/>
          <w:i/>
          <w:i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5594"/>
        <w:gridCol w:w="41"/>
        <w:gridCol w:w="120"/>
        <w:gridCol w:w="1116"/>
        <w:gridCol w:w="36"/>
        <w:gridCol w:w="36"/>
        <w:gridCol w:w="36"/>
        <w:gridCol w:w="36"/>
        <w:gridCol w:w="120"/>
        <w:gridCol w:w="1080"/>
        <w:gridCol w:w="36"/>
      </w:tblGrid>
      <w:tr w:rsidR="00000000">
        <w:trPr>
          <w:jc w:val="center"/>
        </w:trPr>
        <w:tc>
          <w:tcPr>
            <w:tcW w:w="50" w:type="pct"/>
            <w:vAlign w:val="center"/>
            <w:hideMark/>
          </w:tcPr>
          <w:p w:rsidR="00000000" w:rsidRDefault="00F04B64">
            <w:pPr>
              <w:jc w:val="center"/>
              <w:rPr>
                <w:rFonts w:eastAsia="Times New Roman"/>
              </w:rPr>
            </w:pPr>
          </w:p>
        </w:tc>
        <w:tc>
          <w:tcPr>
            <w:tcW w:w="340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9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9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For the 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187,227 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181,354 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77,646 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60,054 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Loss on disposition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12,316 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12,318 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39,924 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20,158 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Change in assets and liabilities:</w:t>
            </w: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(376,987)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(301,407)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(21,516)</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(12,568)</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186,015 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205,828 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(60,494)</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(51,599)</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(28,463)</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55,305 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8,070 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20,288 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35,002 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(12,722)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59,066 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177,117 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(112,387)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(100,741)</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(100,519)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vAlign w:val="center"/>
            <w:hideMark/>
          </w:tcPr>
          <w:p w:rsidR="00000000" w:rsidRDefault="00F04B64">
            <w:pPr>
              <w:spacing w:after="100"/>
              <w:jc w:val="right"/>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Principal payments under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(1,197)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(1,086)</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Repurchase of shares to satisfy tax obligations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(26,442)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(12,067)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Repurchase of common stock</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(296,180)</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(253,409)</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7,910 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58,708 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(103,467)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(60,570)</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(419,376)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(268,424)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Net decrease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(472,598)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(191,826)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878,030 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1,341,756 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405,432 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1,149,930 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trHeight w:val="10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Supplemental disclosures of cash flow information:</w:t>
            </w: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4,404 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4,216 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3,897 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2,071 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Supplemental disclosures of non-cash activities: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Non-cash accruals for property and equipment</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23,538 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10,301 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Increase of operating lease assets and liabilities from new or modified leases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37,694 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238,494 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Increase of finance lease assets and liabilities from new or modified leases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5,143 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p>
    <w:p w:rsidR="00000000" w:rsidRDefault="00F04B64">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16"/>
          <w:szCs w:val="16"/>
        </w:rPr>
        <w:t> </w:t>
      </w:r>
    </w:p>
    <w:p w:rsidR="00000000" w:rsidRDefault="00F04B64">
      <w:pPr>
        <w:jc w:val="center"/>
        <w:divId w:val="810444930"/>
        <w:rPr>
          <w:rFonts w:eastAsia="Times New Roman"/>
        </w:rPr>
      </w:pPr>
      <w:r>
        <w:rPr>
          <w:rFonts w:eastAsia="Times New Roman"/>
          <w:color w:val="000000"/>
          <w:sz w:val="20"/>
          <w:szCs w:val="20"/>
        </w:rPr>
        <w:t>Page 7</w:t>
      </w:r>
    </w:p>
    <w:p w:rsidR="00000000" w:rsidRDefault="00F04B64">
      <w:pPr>
        <w:rPr>
          <w:rFonts w:eastAsia="Times New Roman"/>
        </w:rPr>
      </w:pPr>
      <w:r>
        <w:rPr>
          <w:rFonts w:eastAsia="Times New Roman"/>
        </w:rPr>
        <w:pict>
          <v:rect id="_x0000_i1032" style="width:0;height:1.5pt" o:hralign="center" o:hrstd="t" o:hr="t" fillcolor="#a0a0a0" stroked="f"/>
        </w:pict>
      </w:r>
    </w:p>
    <w:p w:rsidR="00000000" w:rsidRDefault="00F04B64">
      <w:pPr>
        <w:divId w:val="1973175111"/>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rPr>
        <w:t>TRACTOR SUPPLY COMPANY</w:t>
      </w:r>
    </w:p>
    <w:p w:rsidR="00000000" w:rsidRDefault="00F04B64">
      <w:pPr>
        <w:jc w:val="center"/>
        <w:rPr>
          <w:rFonts w:eastAsia="Times New Roman"/>
        </w:rPr>
      </w:pPr>
    </w:p>
    <w:p w:rsidR="00000000" w:rsidRDefault="00F04B64">
      <w:pPr>
        <w:jc w:val="center"/>
        <w:rPr>
          <w:rFonts w:eastAsia="Times New Roman"/>
        </w:rPr>
      </w:pPr>
      <w:r>
        <w:rPr>
          <w:rFonts w:eastAsia="Times New Roman"/>
          <w:b/>
          <w:bCs/>
          <w:color w:val="000000"/>
          <w:sz w:val="20"/>
          <w:szCs w:val="20"/>
        </w:rPr>
        <w:t>NOTES TO UNAUDITED CONDEN</w:t>
      </w:r>
      <w:r>
        <w:rPr>
          <w:rFonts w:eastAsia="Times New Roman"/>
          <w:b/>
          <w:bCs/>
          <w:color w:val="000000"/>
          <w:sz w:val="20"/>
          <w:szCs w:val="20"/>
        </w:rPr>
        <w:t>SED CONSOLIDATED FINANCIAL STATEMENTS</w:t>
      </w:r>
    </w:p>
    <w:p w:rsidR="00000000" w:rsidRDefault="00F04B64">
      <w:pPr>
        <w:divId w:val="251937059"/>
        <w:rPr>
          <w:rFonts w:eastAsia="Times New Roman"/>
        </w:rPr>
      </w:pPr>
    </w:p>
    <w:p w:rsidR="00000000" w:rsidRDefault="00F04B64">
      <w:pPr>
        <w:jc w:val="both"/>
        <w:rPr>
          <w:rFonts w:eastAsia="Times New Roman"/>
        </w:rPr>
      </w:pPr>
      <w:r>
        <w:rPr>
          <w:rFonts w:eastAsia="Times New Roman"/>
          <w:b/>
          <w:bCs/>
          <w:color w:val="000000"/>
          <w:sz w:val="20"/>
          <w:szCs w:val="20"/>
        </w:rPr>
        <w:t>Note 1 – General:</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Nature of Business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Founded in 1938, Tractor Supply Company (the “Company,” "Tractor Supply," “we,” “our,” or “us”) is the largest rural lifestyle retailer in the United States (“U.S.”). The Comp</w:t>
      </w:r>
      <w:r>
        <w:rPr>
          <w:rFonts w:eastAsia="Times New Roman"/>
          <w:color w:val="000000"/>
          <w:sz w:val="20"/>
          <w:szCs w:val="20"/>
        </w:rPr>
        <w:t>any is focused on supplying the needs of recreational farmers, ranchers, and all those who enjoy living the rural lifestyle (which we refer to as the “</w:t>
      </w:r>
      <w:r>
        <w:rPr>
          <w:rFonts w:eastAsia="Times New Roman"/>
          <w:i/>
          <w:iCs/>
          <w:color w:val="000000"/>
          <w:sz w:val="20"/>
          <w:szCs w:val="20"/>
        </w:rPr>
        <w:t>Out Here</w:t>
      </w:r>
      <w:r>
        <w:rPr>
          <w:rFonts w:eastAsia="Times New Roman"/>
          <w:color w:val="000000"/>
          <w:sz w:val="20"/>
          <w:szCs w:val="20"/>
        </w:rPr>
        <w:t>” lifestyle). The Company's stores are located primarily in towns outlying major metropolitan mar</w:t>
      </w:r>
      <w:r>
        <w:rPr>
          <w:rFonts w:eastAsia="Times New Roman"/>
          <w:color w:val="000000"/>
          <w:sz w:val="20"/>
          <w:szCs w:val="20"/>
        </w:rPr>
        <w:t xml:space="preserve">kets and in rural communities. The Company also owns and operates Petsense, LLC ("Petsense"), a small-box pet specialty supply retailer focused on meeting the needs of pet owners, primarily in small and mid-sized communities, and offering a variety of pet </w:t>
      </w:r>
      <w:r>
        <w:rPr>
          <w:rFonts w:eastAsia="Times New Roman"/>
          <w:color w:val="000000"/>
          <w:sz w:val="20"/>
          <w:szCs w:val="20"/>
        </w:rPr>
        <w:t>products and services. At March 26, 2022, the Company operated a total of 2,181 retail stores in 49 states (2,003 Tractor Supply retail stores and 178 Petsense retail stores) and also offered an expanded assortment of products through the Tractor Supply mo</w:t>
      </w:r>
      <w:r>
        <w:rPr>
          <w:rFonts w:eastAsia="Times New Roman"/>
          <w:color w:val="000000"/>
          <w:sz w:val="20"/>
          <w:szCs w:val="20"/>
        </w:rPr>
        <w:t xml:space="preserve">bile application and online at </w:t>
      </w:r>
      <w:r>
        <w:rPr>
          <w:rFonts w:eastAsia="Times New Roman"/>
          <w:i/>
          <w:iCs/>
          <w:color w:val="000000"/>
          <w:sz w:val="20"/>
          <w:szCs w:val="20"/>
          <w:u w:val="single"/>
        </w:rPr>
        <w:t>TractorSupply.com</w:t>
      </w:r>
      <w:r>
        <w:rPr>
          <w:rFonts w:eastAsia="Times New Roman"/>
          <w:i/>
          <w:iCs/>
          <w:color w:val="000000"/>
          <w:sz w:val="20"/>
          <w:szCs w:val="20"/>
        </w:rPr>
        <w:t xml:space="preserve"> </w:t>
      </w:r>
      <w:r>
        <w:rPr>
          <w:rFonts w:eastAsia="Times New Roman"/>
          <w:color w:val="000000"/>
          <w:sz w:val="20"/>
          <w:szCs w:val="20"/>
        </w:rPr>
        <w:t xml:space="preserve">and </w:t>
      </w:r>
      <w:r>
        <w:rPr>
          <w:rFonts w:eastAsia="Times New Roman"/>
          <w:i/>
          <w:iCs/>
          <w:color w:val="000000"/>
          <w:sz w:val="20"/>
          <w:szCs w:val="20"/>
          <w:u w:val="single"/>
        </w:rPr>
        <w:t>Petsense.com</w:t>
      </w:r>
      <w:r>
        <w:rPr>
          <w:rFonts w:eastAsia="Times New Roman"/>
          <w:color w:val="000000"/>
          <w:sz w:val="20"/>
          <w:szCs w:val="20"/>
        </w:rPr>
        <w: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On February 17, 2021, the Company announced that it entered into an agreement to acquire all of the outstanding equity interests of Orscheln Farm and Home, LLC, a farm and ranch retailer </w:t>
      </w:r>
      <w:r>
        <w:rPr>
          <w:rFonts w:eastAsia="Times New Roman"/>
          <w:color w:val="000000"/>
          <w:sz w:val="20"/>
          <w:szCs w:val="20"/>
        </w:rPr>
        <w:t>with 167 retail stores in 11 states, in an all-cash transaction for approximately $320 million. The acquisition is conditioned on the receipt of regulatory clearance and satisfactory completion of customary closing conditions. The Company continues to work</w:t>
      </w:r>
      <w:r>
        <w:rPr>
          <w:rFonts w:eastAsia="Times New Roman"/>
          <w:color w:val="000000"/>
          <w:sz w:val="20"/>
          <w:szCs w:val="20"/>
        </w:rPr>
        <w:t xml:space="preserve"> collaboratively with the Federal Trade Commission on the transaction.</w:t>
      </w:r>
    </w:p>
    <w:p w:rsidR="00000000" w:rsidRDefault="00F04B64">
      <w:pPr>
        <w:jc w:val="both"/>
        <w:rPr>
          <w:rFonts w:eastAsia="Times New Roman"/>
        </w:rPr>
      </w:pPr>
    </w:p>
    <w:p w:rsidR="00000000" w:rsidRDefault="00F04B64">
      <w:pPr>
        <w:divId w:val="1691905203"/>
        <w:rPr>
          <w:rFonts w:eastAsia="Times New Roman"/>
        </w:rPr>
      </w:pPr>
      <w:r>
        <w:rPr>
          <w:rFonts w:eastAsia="Times New Roman"/>
          <w:color w:val="000000"/>
          <w:sz w:val="20"/>
          <w:szCs w:val="20"/>
          <w:u w:val="single"/>
        </w:rPr>
        <w:t>Basis of Presentation</w:t>
      </w:r>
    </w:p>
    <w:p w:rsidR="00000000" w:rsidRDefault="00F04B64">
      <w:pPr>
        <w:divId w:val="1076974436"/>
        <w:rPr>
          <w:rFonts w:eastAsia="Times New Roman"/>
        </w:rPr>
      </w:pPr>
    </w:p>
    <w:p w:rsidR="00000000" w:rsidRDefault="00F04B64">
      <w:pPr>
        <w:jc w:val="both"/>
        <w:rPr>
          <w:rFonts w:eastAsia="Times New Roman"/>
        </w:rPr>
      </w:pPr>
      <w:r>
        <w:rPr>
          <w:rFonts w:eastAsia="Times New Roman"/>
          <w:color w:val="000000"/>
          <w:sz w:val="20"/>
          <w:szCs w:val="20"/>
        </w:rPr>
        <w:t>The accompanying interim unaudited Condensed Consolidated Financial Statements have been prepared in accordance with accounting principles generally accepted i</w:t>
      </w:r>
      <w:r>
        <w:rPr>
          <w:rFonts w:eastAsia="Times New Roman"/>
          <w:color w:val="000000"/>
          <w:sz w:val="20"/>
          <w:szCs w:val="20"/>
        </w:rPr>
        <w:t>n the United States of America (“U.S. GAAP”) and the rules and regulations of the Securities and Exchange Commission (“SEC”). Accordingly, they do not include all of the information and notes required by U.S. GAAP for complete financial statements.  In the</w:t>
      </w:r>
      <w:r>
        <w:rPr>
          <w:rFonts w:eastAsia="Times New Roman"/>
          <w:color w:val="000000"/>
          <w:sz w:val="20"/>
          <w:szCs w:val="20"/>
        </w:rPr>
        <w:t xml:space="preserve"> opinion of management, all adjustments (consisting of normal recurring accruals) considered necessary for a fair presentation have been included. These statements should be read in conjunction with our </w:t>
      </w:r>
      <w:hyperlink r:id="rId5"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w:t>
      </w:r>
      <w:r>
        <w:rPr>
          <w:rFonts w:eastAsia="Times New Roman"/>
          <w:color w:val="000000"/>
          <w:sz w:val="20"/>
          <w:szCs w:val="20"/>
        </w:rPr>
        <w:t xml:space="preserve">The results of operations for our interim periods are not necessarily indicative of results for the full fiscal year.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COVID-19 Pandemic</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COVID-19 pandemic has created significant public health concerns as well as economic disruption, uncertainty, a</w:t>
      </w:r>
      <w:r>
        <w:rPr>
          <w:rFonts w:eastAsia="Times New Roman"/>
          <w:color w:val="000000"/>
          <w:sz w:val="20"/>
          <w:szCs w:val="20"/>
        </w:rPr>
        <w:t>nd volatility which may negatively affect our business operations. As a result, if the pandemic persists or worsens, our accounting estimates and assumptions could be impacted in subsequent interim reports and upon final determination at year-end, and it i</w:t>
      </w:r>
      <w:r>
        <w:rPr>
          <w:rFonts w:eastAsia="Times New Roman"/>
          <w:color w:val="000000"/>
          <w:sz w:val="20"/>
          <w:szCs w:val="20"/>
        </w:rPr>
        <w:t>s reasonably possible such changes could be significant.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New Accounting Pronouncements Not Yet Adopted</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March 2020, the Financial Accounting Standards Board (“FASB”) issued Accounting Standards Update (“ASU”) 2020-04, “Reference Rate Reform (Topic 84</w:t>
      </w:r>
      <w:r>
        <w:rPr>
          <w:rFonts w:eastAsia="Times New Roman"/>
          <w:color w:val="000000"/>
          <w:sz w:val="20"/>
          <w:szCs w:val="20"/>
        </w:rPr>
        <w:t>8): Facilitation of the Effects of Reference Rate Reform on Financial Reporting.” In January 2021, the FASB issued ASU 2021-01, "Reference Rate Reform (Topic 848): Scope." This collective guidance is in response to accounting concerns regarding contract mo</w:t>
      </w:r>
      <w:r>
        <w:rPr>
          <w:rFonts w:eastAsia="Times New Roman"/>
          <w:color w:val="000000"/>
          <w:sz w:val="20"/>
          <w:szCs w:val="20"/>
        </w:rPr>
        <w:t>difications and hedge accounting because of impending rate reform associated with structural risks of interbank offered rates (IBORs), and, particularly, the risk of cessation of the London Inter-Bank Offer Rate ("LIBOR") related to regulators in several j</w:t>
      </w:r>
      <w:r>
        <w:rPr>
          <w:rFonts w:eastAsia="Times New Roman"/>
          <w:color w:val="000000"/>
          <w:sz w:val="20"/>
          <w:szCs w:val="20"/>
        </w:rPr>
        <w:t>urisdictions around the world having undertaken reference rate reform initiatives to identify alternative reference rates. The guidance provides optional expedients and exceptions for applying U.S. GAAP to contracts, hedging relationships, and other transa</w:t>
      </w:r>
      <w:r>
        <w:rPr>
          <w:rFonts w:eastAsia="Times New Roman"/>
          <w:color w:val="000000"/>
          <w:sz w:val="20"/>
          <w:szCs w:val="20"/>
        </w:rPr>
        <w:t>ctions affected by reference rate reform if certain criteria are met. The adoption of this guidance is effective for all entities as of March 12, 2020 through December 31, 2022. The Company does not expect the adoption of this guidance to have a material i</w:t>
      </w:r>
      <w:r>
        <w:rPr>
          <w:rFonts w:eastAsia="Times New Roman"/>
          <w:color w:val="000000"/>
          <w:sz w:val="20"/>
          <w:szCs w:val="20"/>
        </w:rPr>
        <w:t>mpact on its Condensed Consolidated Financial Statements and related disclosures.</w:t>
      </w:r>
    </w:p>
    <w:p w:rsidR="00000000" w:rsidRDefault="00F04B64">
      <w:pPr>
        <w:divId w:val="1393845114"/>
        <w:rPr>
          <w:rFonts w:eastAsia="Times New Roman"/>
        </w:rPr>
      </w:pPr>
    </w:p>
    <w:p w:rsidR="00000000" w:rsidRDefault="00F04B64">
      <w:pPr>
        <w:jc w:val="center"/>
        <w:divId w:val="1774669660"/>
        <w:rPr>
          <w:rFonts w:eastAsia="Times New Roman"/>
        </w:rPr>
      </w:pPr>
      <w:r>
        <w:rPr>
          <w:rFonts w:eastAsia="Times New Roman"/>
          <w:color w:val="000000"/>
          <w:sz w:val="20"/>
          <w:szCs w:val="20"/>
        </w:rPr>
        <w:t>Page 8</w:t>
      </w:r>
    </w:p>
    <w:p w:rsidR="00000000" w:rsidRDefault="00F04B64">
      <w:pPr>
        <w:rPr>
          <w:rFonts w:eastAsia="Times New Roman"/>
        </w:rPr>
      </w:pPr>
      <w:r>
        <w:rPr>
          <w:rFonts w:eastAsia="Times New Roman"/>
        </w:rPr>
        <w:pict>
          <v:rect id="_x0000_i1033" style="width:0;height:1.5pt" o:hralign="center" o:hrstd="t" o:hr="t" fillcolor="#a0a0a0" stroked="f"/>
        </w:pict>
      </w:r>
    </w:p>
    <w:p w:rsidR="00000000" w:rsidRDefault="00F04B64">
      <w:pPr>
        <w:divId w:val="1516920605"/>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rPr>
        <w:t>Note 2 – Fair Value of Financial Instruments:</w:t>
      </w:r>
    </w:p>
    <w:p w:rsidR="00000000" w:rsidRDefault="00F04B64">
      <w:pPr>
        <w:divId w:val="686638844"/>
        <w:rPr>
          <w:rFonts w:eastAsia="Times New Roman"/>
        </w:rPr>
      </w:pPr>
    </w:p>
    <w:p w:rsidR="00000000" w:rsidRDefault="00F04B64">
      <w:pPr>
        <w:jc w:val="both"/>
        <w:rPr>
          <w:rFonts w:eastAsia="Times New Roman"/>
        </w:rPr>
      </w:pPr>
      <w:r>
        <w:rPr>
          <w:rFonts w:eastAsia="Times New Roman"/>
          <w:color w:val="000000"/>
          <w:sz w:val="20"/>
          <w:szCs w:val="20"/>
        </w:rPr>
        <w:t>Fair value is defined as the price that would be received to sell an asset or paid to transfer a liability (</w:t>
      </w:r>
      <w:r>
        <w:rPr>
          <w:rFonts w:eastAsia="Times New Roman"/>
          <w:color w:val="000000"/>
          <w:sz w:val="20"/>
          <w:szCs w:val="20"/>
        </w:rPr>
        <w:t>an exit price) in an orderly transaction between market participants on the measurement date. The Company uses a three-tier fair value hierarchy, which prioritizes the inputs used in measuring fair value.  These tiers include: Level 1, defined as observabl</w:t>
      </w:r>
      <w:r>
        <w:rPr>
          <w:rFonts w:eastAsia="Times New Roman"/>
          <w:color w:val="000000"/>
          <w:sz w:val="20"/>
          <w:szCs w:val="20"/>
        </w:rPr>
        <w:t>e inputs such as quoted prices in active markets; Level 2, defined as inputs other than quoted prices in active markets that are either directly or indirectly observable; and Level 3, defined as unobservable inputs in which little or no market data exists,</w:t>
      </w:r>
      <w:r>
        <w:rPr>
          <w:rFonts w:eastAsia="Times New Roman"/>
          <w:color w:val="000000"/>
          <w:sz w:val="20"/>
          <w:szCs w:val="20"/>
        </w:rPr>
        <w:t xml:space="preserve"> therefore requiring an entity to develop its own assumptions.</w:t>
      </w:r>
    </w:p>
    <w:p w:rsidR="00000000" w:rsidRDefault="00F04B64">
      <w:pPr>
        <w:divId w:val="1256940163"/>
        <w:rPr>
          <w:rFonts w:eastAsia="Times New Roman"/>
        </w:rPr>
      </w:pPr>
    </w:p>
    <w:p w:rsidR="00000000" w:rsidRDefault="00F04B64">
      <w:pPr>
        <w:jc w:val="both"/>
        <w:rPr>
          <w:rFonts w:eastAsia="Times New Roman"/>
        </w:rPr>
      </w:pPr>
      <w:r>
        <w:rPr>
          <w:rFonts w:eastAsia="Times New Roman"/>
          <w:color w:val="000000"/>
          <w:sz w:val="20"/>
          <w:szCs w:val="20"/>
        </w:rPr>
        <w:t>The Company’s financial instruments consist of cash and cash equivalents, short-term receivables, trade payables, debt instruments, and interest rate swaps.  Due to their short-term nature, t</w:t>
      </w:r>
      <w:r>
        <w:rPr>
          <w:rFonts w:eastAsia="Times New Roman"/>
          <w:color w:val="000000"/>
          <w:sz w:val="20"/>
          <w:szCs w:val="20"/>
        </w:rPr>
        <w:t xml:space="preserve">he carrying values of cash and cash equivalents, short-term receivables, and trade payables approximate current fair value at each balance sheet date. As described in further detail in </w:t>
      </w:r>
      <w:hyperlink w:anchor="i6ab5f063bb0d49af8f180f04f663b228_46" w:history="1">
        <w:r>
          <w:rPr>
            <w:rStyle w:val="a3"/>
            <w:rFonts w:eastAsia="Times New Roman"/>
            <w:sz w:val="20"/>
            <w:szCs w:val="20"/>
          </w:rPr>
          <w:t>Note 5</w:t>
        </w:r>
      </w:hyperlink>
      <w:r>
        <w:rPr>
          <w:rFonts w:eastAsia="Times New Roman"/>
          <w:color w:val="000000"/>
          <w:sz w:val="20"/>
          <w:szCs w:val="20"/>
        </w:rPr>
        <w:t xml:space="preserve"> to th</w:t>
      </w:r>
      <w:r>
        <w:rPr>
          <w:rFonts w:eastAsia="Times New Roman"/>
          <w:color w:val="000000"/>
          <w:sz w:val="20"/>
          <w:szCs w:val="20"/>
        </w:rPr>
        <w:t>e Condensed Consolidated Financial Statements, the Company had $1.00 billion in borrowings under its debt facilities at each of March 26, 2022, December 25, 2021, and March 27, 2021. Based on market interest rates (Level 2 inputs), the carrying value of bo</w:t>
      </w:r>
      <w:r>
        <w:rPr>
          <w:rFonts w:eastAsia="Times New Roman"/>
          <w:color w:val="000000"/>
          <w:sz w:val="20"/>
          <w:szCs w:val="20"/>
        </w:rPr>
        <w:t>rrowings in our debt facilities approximates fair value for each period reported. The fair value of the Company’s interest rate swaps is determined based on the present value of expected future cash flows using forward rate curves (a Level 2 input). The fa</w:t>
      </w:r>
      <w:r>
        <w:rPr>
          <w:rFonts w:eastAsia="Times New Roman"/>
          <w:color w:val="000000"/>
          <w:sz w:val="20"/>
          <w:szCs w:val="20"/>
        </w:rPr>
        <w:t>ir value of the interest rate swaps, excluding accrued interest, was a net asset of $9.9 million and $1.8 million at March 26, 2022 and December 25, 2021, respectively, and a net liability of $1.5 million at March 27, 2021. In accordance with hedge account</w:t>
      </w:r>
      <w:r>
        <w:rPr>
          <w:rFonts w:eastAsia="Times New Roman"/>
          <w:color w:val="000000"/>
          <w:sz w:val="20"/>
          <w:szCs w:val="20"/>
        </w:rPr>
        <w:t>ing, the gains and losses on interest rate swaps that are designated and qualify as cash flow hedges are recorded as a component of Other Comprehensive Income, net of related income taxes, and reclassified into earnings in the same income statement line an</w:t>
      </w:r>
      <w:r>
        <w:rPr>
          <w:rFonts w:eastAsia="Times New Roman"/>
          <w:color w:val="000000"/>
          <w:sz w:val="20"/>
          <w:szCs w:val="20"/>
        </w:rPr>
        <w:t>d period during which the hedged transactions affect earnings.</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Note 3 – Share-Based Compensation:</w:t>
      </w:r>
    </w:p>
    <w:p w:rsidR="00000000" w:rsidRDefault="00F04B64">
      <w:pPr>
        <w:divId w:val="1593319095"/>
        <w:rPr>
          <w:rFonts w:eastAsia="Times New Roman"/>
        </w:rPr>
      </w:pPr>
    </w:p>
    <w:p w:rsidR="00000000" w:rsidRDefault="00F04B64">
      <w:pPr>
        <w:jc w:val="both"/>
        <w:rPr>
          <w:rFonts w:eastAsia="Times New Roman"/>
        </w:rPr>
      </w:pPr>
      <w:r>
        <w:rPr>
          <w:rFonts w:eastAsia="Times New Roman"/>
          <w:color w:val="000000"/>
          <w:sz w:val="20"/>
          <w:szCs w:val="20"/>
        </w:rPr>
        <w:t>Share-based compensation includes stock options, restricted stock units, performance-based restricted share units, and transactions under our Employee Sto</w:t>
      </w:r>
      <w:r>
        <w:rPr>
          <w:rFonts w:eastAsia="Times New Roman"/>
          <w:color w:val="000000"/>
          <w:sz w:val="20"/>
          <w:szCs w:val="20"/>
        </w:rPr>
        <w:t xml:space="preserve">ck Purchase Plan (the “ESPP”). Share-based compensation expense is recognized based on grant date fair value of all stock options, restricted stock units, and performance-based restricted share units plus a 15% discount on shares purchased by employees as </w:t>
      </w:r>
      <w:r>
        <w:rPr>
          <w:rFonts w:eastAsia="Times New Roman"/>
          <w:color w:val="000000"/>
          <w:sz w:val="20"/>
          <w:szCs w:val="20"/>
        </w:rPr>
        <w:t>a part of the ESPP. The discount under the ESPP represents the difference between the purchase date market value and the employee’s purchase price.</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There were no significant modifications to the Company’s share-based compensation plans during the fiscal </w:t>
      </w:r>
      <w:r>
        <w:rPr>
          <w:rFonts w:eastAsia="Times New Roman"/>
          <w:color w:val="000000"/>
          <w:sz w:val="20"/>
          <w:szCs w:val="20"/>
        </w:rPr>
        <w:t>three months ended</w:t>
      </w:r>
    </w:p>
    <w:p w:rsidR="00000000" w:rsidRDefault="00F04B64">
      <w:pPr>
        <w:divId w:val="1657804172"/>
        <w:rPr>
          <w:rFonts w:eastAsia="Times New Roman"/>
        </w:rPr>
      </w:pPr>
      <w:r>
        <w:rPr>
          <w:rFonts w:eastAsia="Times New Roman"/>
          <w:color w:val="000000"/>
          <w:sz w:val="20"/>
          <w:szCs w:val="20"/>
        </w:rPr>
        <w:t>March 26, 2022.</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Share-based compensation expense was $12.3 million for each of the first quarter of fiscal 2022 and fiscal 2021.</w:t>
      </w:r>
    </w:p>
    <w:p w:rsidR="00000000" w:rsidRDefault="00F04B64">
      <w:pPr>
        <w:jc w:val="both"/>
        <w:rPr>
          <w:rFonts w:eastAsia="Times New Roman"/>
        </w:rPr>
      </w:pPr>
    </w:p>
    <w:p w:rsidR="00000000" w:rsidRDefault="00F04B64">
      <w:pPr>
        <w:divId w:val="510990326"/>
        <w:rPr>
          <w:rFonts w:eastAsia="Times New Roman"/>
        </w:rPr>
      </w:pPr>
      <w:r>
        <w:rPr>
          <w:rFonts w:eastAsia="Times New Roman"/>
          <w:color w:val="000000"/>
          <w:sz w:val="20"/>
          <w:szCs w:val="20"/>
          <w:u w:val="single"/>
        </w:rPr>
        <w:t>Stock Options</w:t>
      </w:r>
    </w:p>
    <w:p w:rsidR="00000000" w:rsidRDefault="00F04B64">
      <w:pPr>
        <w:divId w:val="1042562735"/>
        <w:rPr>
          <w:rFonts w:eastAsia="Times New Roman"/>
        </w:rPr>
      </w:pPr>
    </w:p>
    <w:p w:rsidR="00000000" w:rsidRDefault="00F04B64">
      <w:pPr>
        <w:jc w:val="both"/>
        <w:rPr>
          <w:rFonts w:eastAsia="Times New Roman"/>
        </w:rPr>
      </w:pPr>
      <w:r>
        <w:rPr>
          <w:rFonts w:eastAsia="Times New Roman"/>
          <w:color w:val="000000"/>
          <w:sz w:val="20"/>
          <w:szCs w:val="20"/>
        </w:rPr>
        <w:t>The following table summarizes information concerning stock option grants during the fir</w:t>
      </w:r>
      <w:r>
        <w:rPr>
          <w:rFonts w:eastAsia="Times New Roman"/>
          <w:color w:val="000000"/>
          <w:sz w:val="20"/>
          <w:szCs w:val="20"/>
        </w:rPr>
        <w:t>st three months of fiscal 2022:</w:t>
      </w:r>
    </w:p>
    <w:p w:rsidR="00000000" w:rsidRDefault="00F04B6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rPr>
          <w:jc w:val="center"/>
        </w:trPr>
        <w:tc>
          <w:tcPr>
            <w:tcW w:w="50" w:type="pct"/>
            <w:vAlign w:val="center"/>
            <w:hideMark/>
          </w:tcPr>
          <w:p w:rsidR="00000000" w:rsidRDefault="00F04B64">
            <w:pPr>
              <w:jc w:val="both"/>
              <w:rPr>
                <w:rFonts w:eastAsia="Times New Roman"/>
              </w:rPr>
            </w:pPr>
          </w:p>
        </w:tc>
        <w:tc>
          <w:tcPr>
            <w:tcW w:w="372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6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Stock options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135,268 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Weighted average exercise price</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221.95 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Weighted average grant date fair value per option</w:t>
            </w: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49.92 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divId w:val="1809545987"/>
        <w:rPr>
          <w:rFonts w:eastAsia="Times New Roman"/>
        </w:rPr>
      </w:pPr>
    </w:p>
    <w:p w:rsidR="00000000" w:rsidRDefault="00F04B64">
      <w:pPr>
        <w:jc w:val="both"/>
        <w:rPr>
          <w:rFonts w:eastAsia="Times New Roman"/>
        </w:rPr>
      </w:pPr>
      <w:r>
        <w:rPr>
          <w:rFonts w:eastAsia="Times New Roman"/>
          <w:color w:val="000000"/>
          <w:sz w:val="20"/>
          <w:szCs w:val="20"/>
        </w:rPr>
        <w:t>As of March </w:t>
      </w:r>
      <w:r>
        <w:rPr>
          <w:rFonts w:eastAsia="Times New Roman"/>
          <w:color w:val="000000"/>
          <w:sz w:val="20"/>
          <w:szCs w:val="20"/>
        </w:rPr>
        <w:t>26, 2022, total unrecognized compensation expense related to non-vested stock options was approximately $13.4 million with a remaining weighted average expense recognition period of 2.3 years.</w:t>
      </w:r>
    </w:p>
    <w:p w:rsidR="00000000" w:rsidRDefault="00F04B64">
      <w:pPr>
        <w:jc w:val="both"/>
        <w:rPr>
          <w:rFonts w:eastAsia="Times New Roman"/>
        </w:rPr>
      </w:pPr>
    </w:p>
    <w:p w:rsidR="00000000" w:rsidRDefault="00F04B64">
      <w:pPr>
        <w:jc w:val="center"/>
        <w:divId w:val="1346597077"/>
        <w:rPr>
          <w:rFonts w:eastAsia="Times New Roman"/>
        </w:rPr>
      </w:pPr>
      <w:r>
        <w:rPr>
          <w:rFonts w:eastAsia="Times New Roman"/>
          <w:color w:val="000000"/>
          <w:sz w:val="20"/>
          <w:szCs w:val="20"/>
        </w:rPr>
        <w:t>Page 9</w:t>
      </w:r>
    </w:p>
    <w:p w:rsidR="00000000" w:rsidRDefault="00F04B64">
      <w:pPr>
        <w:rPr>
          <w:rFonts w:eastAsia="Times New Roman"/>
        </w:rPr>
      </w:pPr>
      <w:r>
        <w:rPr>
          <w:rFonts w:eastAsia="Times New Roman"/>
        </w:rPr>
        <w:pict>
          <v:rect id="_x0000_i1034" style="width:0;height:1.5pt" o:hralign="center" o:hrstd="t" o:hr="t" fillcolor="#a0a0a0" stroked="f"/>
        </w:pict>
      </w:r>
    </w:p>
    <w:p w:rsidR="00000000" w:rsidRDefault="00F04B64">
      <w:pPr>
        <w:divId w:val="1093352774"/>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color w:val="000000"/>
          <w:sz w:val="20"/>
          <w:szCs w:val="20"/>
          <w:u w:val="single"/>
        </w:rPr>
        <w:t>Restricted Stock Units and Performance-Based Restricted Share Units</w:t>
      </w:r>
    </w:p>
    <w:p w:rsidR="00000000" w:rsidRDefault="00F04B64">
      <w:pPr>
        <w:divId w:val="1981809825"/>
        <w:rPr>
          <w:rFonts w:eastAsia="Times New Roman"/>
        </w:rPr>
      </w:pPr>
    </w:p>
    <w:p w:rsidR="00000000" w:rsidRDefault="00F04B64">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w:t>
      </w:r>
      <w:r>
        <w:rPr>
          <w:rFonts w:eastAsia="Times New Roman"/>
          <w:color w:val="000000"/>
          <w:sz w:val="20"/>
          <w:szCs w:val="20"/>
        </w:rPr>
        <w:t>rst three months of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157"/>
        <w:gridCol w:w="37"/>
        <w:gridCol w:w="120"/>
        <w:gridCol w:w="1904"/>
        <w:gridCol w:w="36"/>
      </w:tblGrid>
      <w:tr w:rsidR="00000000">
        <w:trPr>
          <w:jc w:val="center"/>
        </w:trPr>
        <w:tc>
          <w:tcPr>
            <w:tcW w:w="50" w:type="pct"/>
            <w:vAlign w:val="center"/>
            <w:hideMark/>
          </w:tcPr>
          <w:p w:rsidR="00000000" w:rsidRDefault="00F04B64">
            <w:pPr>
              <w:jc w:val="both"/>
              <w:rPr>
                <w:rFonts w:eastAsia="Times New Roman"/>
              </w:rPr>
            </w:pPr>
          </w:p>
        </w:tc>
        <w:tc>
          <w:tcPr>
            <w:tcW w:w="372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6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 2022</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Restricted stock units 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161,524 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Weighted average grant date fair value per share - Restricted stock units</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213.60 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divId w:val="372537194"/>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50,620 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Weighted average grant date fair value per share - Performance-based restricted share units</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r>
        <w:rPr>
          <w:rFonts w:eastAsia="Times New Roman"/>
          <w:color w:val="000000"/>
          <w:sz w:val="16"/>
          <w:szCs w:val="16"/>
        </w:rPr>
        <w:t>(a) Assumes 100% target level achievement of the relative performance targets.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the first three months of fiscal 2022, the Company granted performance-based restricted share unit awards that are subject to the achievement of specified performance goals. The performance metrics for the units are growth in net sales and growth in ear</w:t>
      </w:r>
      <w:r>
        <w:rPr>
          <w:rFonts w:eastAsia="Times New Roman"/>
          <w:color w:val="000000"/>
          <w:sz w:val="20"/>
          <w:szCs w:val="20"/>
        </w:rPr>
        <w:t>nings per diluted share and also include a relative total shareholder return modifier. The number of performance-based restricted share units presented in the foregoing table represent the shares that can be achieved at the performance metric target value.</w:t>
      </w:r>
      <w:r>
        <w:rPr>
          <w:rFonts w:eastAsia="Times New Roman"/>
          <w:color w:val="000000"/>
          <w:sz w:val="20"/>
          <w:szCs w:val="20"/>
        </w:rPr>
        <w:t xml:space="preserve"> The actual number of shares that will be issued under the performance-based restricted share unit awards, which may be higher or lower than the target, will be determined by the level of achievement of the performance goals and the relative total sharehol</w:t>
      </w:r>
      <w:r>
        <w:rPr>
          <w:rFonts w:eastAsia="Times New Roman"/>
          <w:color w:val="000000"/>
          <w:sz w:val="20"/>
          <w:szCs w:val="20"/>
        </w:rPr>
        <w:t>der return modifier. If the performance targets are achieved, the units will be issued based on the achievement level, inclusive of the relative total shareholder return modifier, and the grant date fair value and will cliff vest in full on the third anniv</w:t>
      </w:r>
      <w:r>
        <w:rPr>
          <w:rFonts w:eastAsia="Times New Roman"/>
          <w:color w:val="000000"/>
          <w:sz w:val="20"/>
          <w:szCs w:val="20"/>
        </w:rPr>
        <w:t xml:space="preserve">ersary of the date of the grant, subject to continued employment.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As of March 26, 2022, total unrecognized compensation expense related to non-vested restricted stock units and non-vested performance-based restricted share units was approximately $88.1 </w:t>
      </w:r>
      <w:r>
        <w:rPr>
          <w:rFonts w:eastAsia="Times New Roman"/>
          <w:color w:val="000000"/>
          <w:sz w:val="20"/>
          <w:szCs w:val="20"/>
        </w:rPr>
        <w:t>million with a remaining weighted average expense recognition period of 2.3 years.</w:t>
      </w:r>
    </w:p>
    <w:p w:rsidR="00000000" w:rsidRDefault="00F04B64">
      <w:pPr>
        <w:divId w:val="909072101"/>
        <w:rPr>
          <w:rFonts w:eastAsia="Times New Roman"/>
        </w:rPr>
      </w:pPr>
    </w:p>
    <w:p w:rsidR="00000000" w:rsidRDefault="00F04B64">
      <w:pPr>
        <w:jc w:val="both"/>
        <w:rPr>
          <w:rFonts w:eastAsia="Times New Roman"/>
        </w:rPr>
      </w:pPr>
      <w:r>
        <w:rPr>
          <w:rFonts w:eastAsia="Times New Roman"/>
          <w:b/>
          <w:bCs/>
          <w:color w:val="000000"/>
          <w:sz w:val="20"/>
          <w:szCs w:val="20"/>
        </w:rPr>
        <w:t>Note 4 – Net Income Per Share:</w:t>
      </w:r>
    </w:p>
    <w:p w:rsidR="00000000" w:rsidRDefault="00F04B64">
      <w:pPr>
        <w:divId w:val="941494741"/>
        <w:rPr>
          <w:rFonts w:eastAsia="Times New Roman"/>
        </w:rPr>
      </w:pPr>
    </w:p>
    <w:p w:rsidR="00000000" w:rsidRDefault="00F04B64">
      <w:pPr>
        <w:jc w:val="both"/>
        <w:rPr>
          <w:rFonts w:eastAsia="Times New Roman"/>
        </w:rPr>
      </w:pPr>
      <w:r>
        <w:rPr>
          <w:rFonts w:eastAsia="Times New Roman"/>
          <w:color w:val="000000"/>
          <w:sz w:val="20"/>
          <w:szCs w:val="20"/>
        </w:rPr>
        <w:t>The Company presents both basic and diluted net income per share on the Condensed Consolidated Statements of Income.  Basic net income per</w:t>
      </w:r>
      <w:r>
        <w:rPr>
          <w:rFonts w:eastAsia="Times New Roman"/>
          <w:color w:val="000000"/>
          <w:sz w:val="20"/>
          <w:szCs w:val="20"/>
        </w:rPr>
        <w:t xml:space="preserve"> share is calculated by dividing net income by the weighted average number of shares outstanding during the period.  Diluted net income per share is calculated by dividing net income by the weighted average diluted shares outstanding during the period. Dil</w:t>
      </w:r>
      <w:r>
        <w:rPr>
          <w:rFonts w:eastAsia="Times New Roman"/>
          <w:color w:val="000000"/>
          <w:sz w:val="20"/>
          <w:szCs w:val="20"/>
        </w:rPr>
        <w:t>utive shares are computed using the treasury stock method for share-based awards. Performance-based restricted share units are included in diluted shares only if the related performance conditions are considered satisfied as of the end of the reporting per</w:t>
      </w:r>
      <w:r>
        <w:rPr>
          <w:rFonts w:eastAsia="Times New Roman"/>
          <w:color w:val="000000"/>
          <w:sz w:val="20"/>
          <w:szCs w:val="20"/>
        </w:rPr>
        <w:t>iod. Net income per share is calculated as follows (in thousands, except per share amounts):</w:t>
      </w:r>
    </w:p>
    <w:tbl>
      <w:tblPr>
        <w:tblW w:w="4956" w:type="pct"/>
        <w:jc w:val="center"/>
        <w:tblCellMar>
          <w:top w:w="15" w:type="dxa"/>
          <w:left w:w="15" w:type="dxa"/>
          <w:bottom w:w="15" w:type="dxa"/>
          <w:right w:w="15" w:type="dxa"/>
        </w:tblCellMar>
        <w:tblLook w:val="04A0" w:firstRow="1" w:lastRow="0" w:firstColumn="1" w:lastColumn="0" w:noHBand="0" w:noVBand="1"/>
      </w:tblPr>
      <w:tblGrid>
        <w:gridCol w:w="38"/>
        <w:gridCol w:w="2720"/>
        <w:gridCol w:w="37"/>
        <w:gridCol w:w="120"/>
        <w:gridCol w:w="700"/>
        <w:gridCol w:w="36"/>
        <w:gridCol w:w="36"/>
        <w:gridCol w:w="36"/>
        <w:gridCol w:w="36"/>
        <w:gridCol w:w="74"/>
        <w:gridCol w:w="646"/>
        <w:gridCol w:w="36"/>
        <w:gridCol w:w="36"/>
        <w:gridCol w:w="36"/>
        <w:gridCol w:w="36"/>
        <w:gridCol w:w="121"/>
        <w:gridCol w:w="658"/>
        <w:gridCol w:w="36"/>
        <w:gridCol w:w="36"/>
        <w:gridCol w:w="36"/>
        <w:gridCol w:w="36"/>
        <w:gridCol w:w="120"/>
        <w:gridCol w:w="700"/>
        <w:gridCol w:w="36"/>
        <w:gridCol w:w="36"/>
        <w:gridCol w:w="36"/>
        <w:gridCol w:w="36"/>
        <w:gridCol w:w="74"/>
        <w:gridCol w:w="646"/>
        <w:gridCol w:w="36"/>
        <w:gridCol w:w="36"/>
        <w:gridCol w:w="36"/>
        <w:gridCol w:w="36"/>
        <w:gridCol w:w="121"/>
        <w:gridCol w:w="702"/>
        <w:gridCol w:w="36"/>
      </w:tblGrid>
      <w:tr w:rsidR="00000000">
        <w:trPr>
          <w:jc w:val="center"/>
        </w:trPr>
        <w:tc>
          <w:tcPr>
            <w:tcW w:w="50" w:type="pct"/>
            <w:vAlign w:val="center"/>
            <w:hideMark/>
          </w:tcPr>
          <w:p w:rsidR="00000000" w:rsidRDefault="00F04B64">
            <w:pPr>
              <w:jc w:val="both"/>
              <w:rPr>
                <w:rFonts w:eastAsia="Times New Roman"/>
              </w:rPr>
            </w:pPr>
          </w:p>
        </w:tc>
        <w:tc>
          <w:tcPr>
            <w:tcW w:w="183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 2021</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Amount</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Basic net income per share: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116,153 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Dilutive effect of share-based awards</w:t>
            </w: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973 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1,074 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(0.01)</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Diluted net income per share: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113,504 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181,354 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117,227 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center"/>
        <w:rPr>
          <w:rFonts w:eastAsia="Times New Roman"/>
        </w:rPr>
      </w:pPr>
    </w:p>
    <w:p w:rsidR="00000000" w:rsidRDefault="00F04B64">
      <w:pPr>
        <w:jc w:val="both"/>
        <w:rPr>
          <w:rFonts w:eastAsia="Times New Roman"/>
        </w:rPr>
      </w:pPr>
      <w:r>
        <w:rPr>
          <w:rFonts w:eastAsia="Times New Roman"/>
          <w:color w:val="000000"/>
          <w:sz w:val="20"/>
          <w:szCs w:val="20"/>
        </w:rPr>
        <w:t xml:space="preserve">Anti-dilutive stock awards excluded from the above calculations totaled less than 0.1 million and approximately 0.2 million shares for the fiscal three months ended March 26, 2022 </w:t>
      </w:r>
      <w:r>
        <w:rPr>
          <w:rFonts w:eastAsia="Times New Roman"/>
          <w:color w:val="000000"/>
          <w:sz w:val="20"/>
          <w:szCs w:val="20"/>
        </w:rPr>
        <w:t>and March 27, 2021, respectively.</w:t>
      </w:r>
    </w:p>
    <w:p w:rsidR="00000000" w:rsidRDefault="00F04B64">
      <w:pPr>
        <w:jc w:val="both"/>
        <w:rPr>
          <w:rFonts w:eastAsia="Times New Roman"/>
        </w:rPr>
      </w:pPr>
    </w:p>
    <w:p w:rsidR="00000000" w:rsidRDefault="00F04B64">
      <w:pPr>
        <w:jc w:val="center"/>
        <w:divId w:val="1783301788"/>
        <w:rPr>
          <w:rFonts w:eastAsia="Times New Roman"/>
        </w:rPr>
      </w:pPr>
      <w:r>
        <w:rPr>
          <w:rFonts w:eastAsia="Times New Roman"/>
          <w:color w:val="000000"/>
          <w:sz w:val="20"/>
          <w:szCs w:val="20"/>
        </w:rPr>
        <w:t>Page 10</w:t>
      </w:r>
    </w:p>
    <w:p w:rsidR="00000000" w:rsidRDefault="00F04B64">
      <w:pPr>
        <w:rPr>
          <w:rFonts w:eastAsia="Times New Roman"/>
        </w:rPr>
      </w:pPr>
      <w:r>
        <w:rPr>
          <w:rFonts w:eastAsia="Times New Roman"/>
        </w:rPr>
        <w:pict>
          <v:rect id="_x0000_i1035" style="width:0;height:1.5pt" o:hralign="center" o:hrstd="t" o:hr="t" fillcolor="#a0a0a0" stroked="f"/>
        </w:pict>
      </w:r>
    </w:p>
    <w:p w:rsidR="00000000" w:rsidRDefault="00F04B64">
      <w:pPr>
        <w:divId w:val="36323414"/>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1120956819"/>
        <w:rPr>
          <w:rFonts w:eastAsia="Times New Roman"/>
        </w:rPr>
      </w:pPr>
      <w:r>
        <w:rPr>
          <w:rFonts w:eastAsia="Times New Roman"/>
          <w:b/>
          <w:bCs/>
          <w:color w:val="000000"/>
          <w:sz w:val="20"/>
          <w:szCs w:val="20"/>
        </w:rPr>
        <w:t>Note 5 – Debt: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following table summarizes the Company’</w:t>
      </w:r>
      <w:r>
        <w:rPr>
          <w:rFonts w:eastAsia="Times New Roman"/>
          <w:color w:val="000000"/>
          <w:sz w:val="20"/>
          <w:szCs w:val="20"/>
        </w:rPr>
        <w:t>s outstanding debt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6"/>
        <w:gridCol w:w="38"/>
        <w:gridCol w:w="36"/>
        <w:gridCol w:w="36"/>
        <w:gridCol w:w="36"/>
        <w:gridCol w:w="121"/>
        <w:gridCol w:w="1032"/>
        <w:gridCol w:w="36"/>
        <w:gridCol w:w="36"/>
        <w:gridCol w:w="36"/>
        <w:gridCol w:w="36"/>
        <w:gridCol w:w="121"/>
        <w:gridCol w:w="1032"/>
        <w:gridCol w:w="36"/>
        <w:gridCol w:w="36"/>
        <w:gridCol w:w="36"/>
        <w:gridCol w:w="36"/>
        <w:gridCol w:w="121"/>
        <w:gridCol w:w="1034"/>
        <w:gridCol w:w="36"/>
      </w:tblGrid>
      <w:tr w:rsidR="00000000">
        <w:trPr>
          <w:jc w:val="center"/>
        </w:trPr>
        <w:tc>
          <w:tcPr>
            <w:tcW w:w="50" w:type="pct"/>
            <w:vAlign w:val="center"/>
            <w:hideMark/>
          </w:tcPr>
          <w:p w:rsidR="00000000" w:rsidRDefault="00F04B64">
            <w:pPr>
              <w:jc w:val="both"/>
              <w:rPr>
                <w:rFonts w:eastAsia="Times New Roman"/>
              </w:rPr>
            </w:pPr>
          </w:p>
        </w:tc>
        <w:tc>
          <w:tcPr>
            <w:tcW w:w="264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divId w:val="1057900659"/>
              <w:rPr>
                <w:rFonts w:eastAsia="Times New Roman"/>
              </w:rPr>
            </w:pPr>
            <w:r>
              <w:rPr>
                <w:rFonts w:eastAsia="Times New Roman"/>
                <w:color w:val="000000"/>
                <w:sz w:val="20"/>
                <w:szCs w:val="20"/>
              </w:rPr>
              <w:t>3.70% Senior Notes due 2029</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ind w:hanging="270"/>
        <w:jc w:val="both"/>
        <w:rPr>
          <w:rFonts w:eastAsia="Times New Roman"/>
        </w:rPr>
      </w:pPr>
    </w:p>
    <w:p w:rsidR="00000000" w:rsidRDefault="00F04B64">
      <w:pPr>
        <w:ind w:hanging="270"/>
        <w:jc w:val="both"/>
        <w:rPr>
          <w:rFonts w:eastAsia="Times New Roman"/>
        </w:rPr>
      </w:pPr>
      <w:r>
        <w:rPr>
          <w:rFonts w:eastAsia="Times New Roman"/>
          <w:color w:val="000000"/>
          <w:sz w:val="16"/>
          <w:szCs w:val="16"/>
        </w:rPr>
        <w:t>(a) Also referred to herein as the "Note Purchase Agreement"</w:t>
      </w:r>
    </w:p>
    <w:p w:rsidR="00000000" w:rsidRDefault="00F04B64">
      <w:pPr>
        <w:ind w:hanging="270"/>
        <w:jc w:val="both"/>
        <w:rPr>
          <w:rFonts w:eastAsia="Times New Roman"/>
        </w:rPr>
      </w:pPr>
    </w:p>
    <w:p w:rsidR="00000000" w:rsidRDefault="00F04B64">
      <w:pPr>
        <w:jc w:val="both"/>
        <w:rPr>
          <w:rFonts w:eastAsia="Times New Roman"/>
        </w:rPr>
      </w:pPr>
      <w:r>
        <w:rPr>
          <w:rFonts w:eastAsia="Times New Roman"/>
          <w:color w:val="000000"/>
          <w:sz w:val="20"/>
          <w:szCs w:val="20"/>
        </w:rPr>
        <w:t>Borrowings under both the Company's $500 million revolving credit facility (the "Revolver") and the Company's $200 million term loan (the</w:t>
      </w:r>
      <w:r>
        <w:rPr>
          <w:rFonts w:eastAsia="Times New Roman"/>
          <w:color w:val="000000"/>
          <w:sz w:val="20"/>
          <w:szCs w:val="20"/>
        </w:rPr>
        <w:t xml:space="preserve"> "November 2020 Term Loan") each under our senior credit facility (the "Senior Credit Facility") bear interest either at the bank’s base rate (3.250% at March 26, 2022) plus an additional amount ranging from 0.000% to 0.375% (0.125% at March 26, 2022) or a</w:t>
      </w:r>
      <w:r>
        <w:rPr>
          <w:rFonts w:eastAsia="Times New Roman"/>
          <w:color w:val="000000"/>
          <w:sz w:val="20"/>
          <w:szCs w:val="20"/>
        </w:rPr>
        <w:t>t the London Inter-Bank Offer Rate (“LIBOR”) (0.445% at March 26, 2022) plus an additional amount ranging from 0.875% to 1.375% per annum (1.125% at March 26, 2022), adjusted based on the Company's public credit ratings. The Company is also required to pay</w:t>
      </w:r>
      <w:r>
        <w:rPr>
          <w:rFonts w:eastAsia="Times New Roman"/>
          <w:color w:val="000000"/>
          <w:sz w:val="20"/>
          <w:szCs w:val="20"/>
        </w:rPr>
        <w:t xml:space="preserve">, quarterly in arrears, a commitment fee related to unused capacity on the Revolver ranging from 0.090% to 0.200% per annum (0.125% at March 26, 2022), adjusted based on the Company's public credit ratings.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The Company has entered into an interest rate </w:t>
      </w:r>
      <w:r>
        <w:rPr>
          <w:rFonts w:eastAsia="Times New Roman"/>
          <w:color w:val="000000"/>
          <w:sz w:val="20"/>
          <w:szCs w:val="20"/>
        </w:rPr>
        <w:t>swap agreement in order to hedge our exposure to variable rate interest payments associated with the Senior Credit Facility. The interest rate swap agreement will mature on March 18, 2025 and the notional amount of the agreement is fixed at $200 million.</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Covenants and Default Provisions of the Debt Agreements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Senior Credit Facility and the Note Purchase Agreement (collectively, the “Debt Agreements”) require quarterly compliance with respect to two material covenants: a fixed charge coverage ratio a</w:t>
      </w:r>
      <w:r>
        <w:rPr>
          <w:rFonts w:eastAsia="Times New Roman"/>
          <w:color w:val="000000"/>
          <w:sz w:val="20"/>
          <w:szCs w:val="20"/>
        </w:rPr>
        <w:t>nd a leverage ratio.  Both ratios are calculated on a trailing twelve-month basis at the end of each fiscal quarter. The fixed charge coverage ratio compares earnings before interest, taxes, depreciation, amortization, share-based compensation, and rent ex</w:t>
      </w:r>
      <w:r>
        <w:rPr>
          <w:rFonts w:eastAsia="Times New Roman"/>
          <w:color w:val="000000"/>
          <w:sz w:val="20"/>
          <w:szCs w:val="20"/>
        </w:rPr>
        <w:t>pense (“consolidated EBITDAR”) to the sum of interest paid and rental expense (excluding any straight-line rent adjustments).  The fixed charge coverage ratio shall be greater than or equal to 2.0 to 1.0 as of the last day of each fiscal quarter. The lever</w:t>
      </w:r>
      <w:r>
        <w:rPr>
          <w:rFonts w:eastAsia="Times New Roman"/>
          <w:color w:val="000000"/>
          <w:sz w:val="20"/>
          <w:szCs w:val="20"/>
        </w:rPr>
        <w:t>age ratio compares total funded debt to consolidated EBITDAR.  The leverage ratio shall be less than or equal to 4.0 to 1.0 as of the last day of each fiscal quarter. The Debt Agreements also contain certain other restrictions regarding additional subsidia</w:t>
      </w:r>
      <w:r>
        <w:rPr>
          <w:rFonts w:eastAsia="Times New Roman"/>
          <w:color w:val="000000"/>
          <w:sz w:val="20"/>
          <w:szCs w:val="20"/>
        </w:rPr>
        <w:t>ry indebtedness, business operations, subsidiary guarantees, mergers, consolidations and sales of assets, transactions with subsidiaries or affiliates, and liens.  As of March 26, 2022, the Company was in compliance with all debt covenants.</w:t>
      </w:r>
    </w:p>
    <w:p w:rsidR="00000000" w:rsidRDefault="00F04B64">
      <w:pPr>
        <w:divId w:val="1923686563"/>
        <w:rPr>
          <w:rFonts w:eastAsia="Times New Roman"/>
        </w:rPr>
      </w:pPr>
    </w:p>
    <w:p w:rsidR="00000000" w:rsidRDefault="00F04B64">
      <w:pPr>
        <w:jc w:val="both"/>
        <w:rPr>
          <w:rFonts w:eastAsia="Times New Roman"/>
        </w:rPr>
      </w:pPr>
      <w:r>
        <w:rPr>
          <w:rFonts w:eastAsia="Times New Roman"/>
          <w:color w:val="000000"/>
          <w:sz w:val="20"/>
          <w:szCs w:val="20"/>
        </w:rPr>
        <w:t>The Debt Agreements contain customary events of default, including payment defaults, breaches of representations and warranties, covenant defaults, cross-defaults to other material indebtedness, certain events of bankruptcy and insolvency, material judgmen</w:t>
      </w:r>
      <w:r>
        <w:rPr>
          <w:rFonts w:eastAsia="Times New Roman"/>
          <w:color w:val="000000"/>
          <w:sz w:val="20"/>
          <w:szCs w:val="20"/>
        </w:rPr>
        <w:t xml:space="preserve">ts, certain ERISA events, and invalidity of loan documents. Upon certain changes of control, payment under the Debt Agreements could become due and payable. In addition, under the Note Purchase Agreement, upon an event of default or change of control, the </w:t>
      </w:r>
      <w:r>
        <w:rPr>
          <w:rFonts w:eastAsia="Times New Roman"/>
          <w:color w:val="000000"/>
          <w:sz w:val="20"/>
          <w:szCs w:val="20"/>
        </w:rPr>
        <w:t xml:space="preserve">make whole payment described above may become due and payable.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Note Purchase Agreement also requires that, in the event the Company amends its Senior Credit Facility, or any subsequent credit facility of $100 million or greater, such that it contain</w:t>
      </w:r>
      <w:r>
        <w:rPr>
          <w:rFonts w:eastAsia="Times New Roman"/>
          <w:color w:val="000000"/>
          <w:sz w:val="20"/>
          <w:szCs w:val="20"/>
        </w:rPr>
        <w:t>s covenant or default provisions that are not provided in the Note Purchase Agreement or that are similar to those contained in the Note Purchase Agreement but which contain percentages, amounts, formulas, or grace periods that are more restrictive than th</w:t>
      </w:r>
      <w:r>
        <w:rPr>
          <w:rFonts w:eastAsia="Times New Roman"/>
          <w:color w:val="000000"/>
          <w:sz w:val="20"/>
          <w:szCs w:val="20"/>
        </w:rPr>
        <w:t>ose set forth in the Note Purchase Agreement or are otherwise more beneficial to the lenders thereunder, the Note Purchase Agreement shall be automatically amended to include such additional or amended covenants and/or default provisions.</w:t>
      </w:r>
    </w:p>
    <w:p w:rsidR="00000000" w:rsidRDefault="00F04B64">
      <w:pPr>
        <w:jc w:val="center"/>
        <w:divId w:val="721054648"/>
        <w:rPr>
          <w:rFonts w:eastAsia="Times New Roman"/>
        </w:rPr>
      </w:pPr>
      <w:r>
        <w:rPr>
          <w:rFonts w:eastAsia="Times New Roman"/>
          <w:color w:val="000000"/>
          <w:sz w:val="20"/>
          <w:szCs w:val="20"/>
        </w:rPr>
        <w:t>Page 11</w:t>
      </w:r>
    </w:p>
    <w:p w:rsidR="00000000" w:rsidRDefault="00F04B64">
      <w:pPr>
        <w:rPr>
          <w:rFonts w:eastAsia="Times New Roman"/>
        </w:rPr>
      </w:pPr>
      <w:r>
        <w:rPr>
          <w:rFonts w:eastAsia="Times New Roman"/>
        </w:rPr>
        <w:pict>
          <v:rect id="_x0000_i1036" style="width:0;height:1.5pt" o:hralign="center" o:hrstd="t" o:hr="t" fillcolor="#a0a0a0" stroked="f"/>
        </w:pict>
      </w:r>
    </w:p>
    <w:p w:rsidR="00000000" w:rsidRDefault="00F04B64">
      <w:pPr>
        <w:divId w:val="1003312527"/>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1290478788"/>
        <w:rPr>
          <w:rFonts w:eastAsia="Times New Roman"/>
        </w:rPr>
      </w:pPr>
    </w:p>
    <w:p w:rsidR="00000000" w:rsidRDefault="00F04B64">
      <w:pPr>
        <w:divId w:val="2020110609"/>
        <w:rPr>
          <w:rFonts w:eastAsia="Times New Roman"/>
        </w:rPr>
      </w:pPr>
      <w:r>
        <w:rPr>
          <w:rFonts w:eastAsia="Times New Roman"/>
          <w:b/>
          <w:bCs/>
          <w:color w:val="000000"/>
          <w:sz w:val="20"/>
          <w:szCs w:val="20"/>
        </w:rPr>
        <w:t>Note 6 – Capital Stock and Dividends:</w:t>
      </w:r>
    </w:p>
    <w:p w:rsidR="00000000" w:rsidRDefault="00F04B64">
      <w:pPr>
        <w:divId w:val="1146093912"/>
        <w:rPr>
          <w:rFonts w:eastAsia="Times New Roman"/>
        </w:rPr>
      </w:pPr>
    </w:p>
    <w:p w:rsidR="00000000" w:rsidRDefault="00F04B64">
      <w:pPr>
        <w:jc w:val="both"/>
        <w:rPr>
          <w:rFonts w:eastAsia="Times New Roman"/>
        </w:rPr>
      </w:pPr>
      <w:r>
        <w:rPr>
          <w:rFonts w:eastAsia="Times New Roman"/>
          <w:color w:val="000000"/>
          <w:sz w:val="20"/>
          <w:szCs w:val="20"/>
          <w:u w:val="single"/>
        </w:rPr>
        <w:t>Capital Stock</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authorized capital stock of the Company consists of common stock and preferred stock. The Company is a</w:t>
      </w:r>
      <w:r>
        <w:rPr>
          <w:rFonts w:eastAsia="Times New Roman"/>
          <w:color w:val="000000"/>
          <w:sz w:val="20"/>
          <w:szCs w:val="20"/>
        </w:rPr>
        <w:t>uthorized to issue 400 million shares of common stock. The Company is also authorized to issue 40 thousand shares of preferred stock, with such designations, rights and preferences as may be determined from time to time by the Company's Board of Directors.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Dividends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During the first three months of fiscal 2022 and fiscal 2021, the Company's Board of Directors declared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jc w:val="center"/>
        </w:trPr>
        <w:tc>
          <w:tcPr>
            <w:tcW w:w="50" w:type="pct"/>
            <w:vAlign w:val="center"/>
            <w:hideMark/>
          </w:tcPr>
          <w:p w:rsidR="00000000" w:rsidRDefault="00F04B64">
            <w:pPr>
              <w:jc w:val="both"/>
              <w:rPr>
                <w:rFonts w:eastAsia="Times New Roman"/>
              </w:rPr>
            </w:pPr>
          </w:p>
        </w:tc>
        <w:tc>
          <w:tcPr>
            <w:tcW w:w="135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8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38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4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Date Paid</w:t>
            </w:r>
          </w:p>
        </w:tc>
      </w:tr>
      <w:tr w:rsidR="00000000">
        <w:trPr>
          <w:jc w:val="center"/>
        </w:trPr>
        <w:tc>
          <w:tcPr>
            <w:tcW w:w="0" w:type="auto"/>
            <w:gridSpan w:val="3"/>
            <w:vAlign w:val="center"/>
            <w:hideMark/>
          </w:tcPr>
          <w:p w:rsidR="00000000" w:rsidRDefault="00F04B64">
            <w:pPr>
              <w:spacing w:after="100"/>
              <w:jc w:val="center"/>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March 8, 2022</w:t>
            </w:r>
          </w:p>
        </w:tc>
      </w:tr>
      <w:tr w:rsidR="00000000">
        <w:trPr>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March 9, 2021</w:t>
            </w:r>
          </w:p>
        </w:tc>
      </w:tr>
    </w:tbl>
    <w:p w:rsidR="00000000" w:rsidRDefault="00F04B64">
      <w:pPr>
        <w:divId w:val="1662464840"/>
        <w:rPr>
          <w:rFonts w:eastAsia="Times New Roman"/>
        </w:rPr>
      </w:pPr>
    </w:p>
    <w:p w:rsidR="00000000" w:rsidRDefault="00F04B64">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xml:space="preserve">, and capital needs of the Company, along with any other factors that the Company’s Board of Directors deem relevant. </w:t>
      </w:r>
    </w:p>
    <w:p w:rsidR="00000000" w:rsidRDefault="00F04B64">
      <w:pPr>
        <w:jc w:val="both"/>
        <w:rPr>
          <w:rFonts w:eastAsia="Times New Roman"/>
        </w:rPr>
      </w:pPr>
    </w:p>
    <w:p w:rsidR="00000000" w:rsidRDefault="00F04B64">
      <w:pPr>
        <w:divId w:val="1435444724"/>
        <w:rPr>
          <w:rFonts w:eastAsia="Times New Roman"/>
        </w:rPr>
      </w:pPr>
      <w:r>
        <w:rPr>
          <w:rFonts w:eastAsia="Times New Roman"/>
          <w:b/>
          <w:bCs/>
          <w:color w:val="000000"/>
          <w:sz w:val="20"/>
          <w:szCs w:val="20"/>
        </w:rPr>
        <w:t>Note 7 – Treasury Stock:</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which was announced in February 2007. The total authorized amount was increased by the Company's Board of Directors on January 26, 2022 by $2.0 billion for a tota</w:t>
      </w:r>
      <w:r>
        <w:rPr>
          <w:rFonts w:eastAsia="Times New Roman"/>
          <w:color w:val="000000"/>
          <w:sz w:val="20"/>
          <w:szCs w:val="20"/>
        </w:rPr>
        <w:t>l authorization of $6.5 billion, exclusive of any fees, commissions, or other expenses related to such repurchases. The share repurchase program does not have an expiration date. The repurchases may be made from time to time on the open market or in privat</w:t>
      </w:r>
      <w:r>
        <w:rPr>
          <w:rFonts w:eastAsia="Times New Roman"/>
          <w:color w:val="000000"/>
          <w:sz w:val="20"/>
          <w:szCs w:val="20"/>
        </w:rPr>
        <w:t>ely negotiated transactions.  The timing and amount of any shares repurchased under the program will depend on a variety of factors, including price, corporate and regulatory requirements, capital availability, and other market conditions.  Repurchased sha</w:t>
      </w:r>
      <w:r>
        <w:rPr>
          <w:rFonts w:eastAsia="Times New Roman"/>
          <w:color w:val="000000"/>
          <w:sz w:val="20"/>
          <w:szCs w:val="20"/>
        </w:rPr>
        <w:t>res are accounted for at cost and will be held in treasury for future issuance.  The program may be limited, temporarily paused, or terminated at any time without prior notice. As of March 26, 2022, the Company had remaining authorization under the share r</w:t>
      </w:r>
      <w:r>
        <w:rPr>
          <w:rFonts w:eastAsia="Times New Roman"/>
          <w:color w:val="000000"/>
          <w:sz w:val="20"/>
          <w:szCs w:val="20"/>
        </w:rPr>
        <w:t>epurchase program of $2.0 billion, exclusive of any fees, commissions, or other expenses.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three mon</w:t>
      </w:r>
      <w:r>
        <w:rPr>
          <w:rFonts w:eastAsia="Times New Roman"/>
          <w:color w:val="000000"/>
          <w:sz w:val="20"/>
          <w:szCs w:val="20"/>
        </w:rPr>
        <w:t>ths ended March 26, 2022 and March 27, 2021, respectively (in thousands, except per share amounts):</w:t>
      </w:r>
    </w:p>
    <w:p w:rsidR="00000000" w:rsidRDefault="00F04B64">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08"/>
        <w:gridCol w:w="36"/>
        <w:gridCol w:w="120"/>
        <w:gridCol w:w="1027"/>
        <w:gridCol w:w="36"/>
        <w:gridCol w:w="36"/>
        <w:gridCol w:w="36"/>
        <w:gridCol w:w="36"/>
        <w:gridCol w:w="120"/>
        <w:gridCol w:w="990"/>
        <w:gridCol w:w="36"/>
        <w:gridCol w:w="36"/>
        <w:gridCol w:w="36"/>
        <w:gridCol w:w="36"/>
        <w:gridCol w:w="36"/>
        <w:gridCol w:w="36"/>
        <w:gridCol w:w="36"/>
        <w:gridCol w:w="36"/>
        <w:gridCol w:w="36"/>
      </w:tblGrid>
      <w:tr w:rsidR="00000000">
        <w:trPr>
          <w:jc w:val="center"/>
        </w:trPr>
        <w:tc>
          <w:tcPr>
            <w:tcW w:w="50" w:type="pct"/>
            <w:vAlign w:val="center"/>
            <w:hideMark/>
          </w:tcPr>
          <w:p w:rsidR="00000000" w:rsidRDefault="00F04B64">
            <w:pPr>
              <w:jc w:val="both"/>
              <w:rPr>
                <w:rFonts w:eastAsia="Times New Roman"/>
              </w:rPr>
            </w:pPr>
          </w:p>
        </w:tc>
        <w:tc>
          <w:tcPr>
            <w:tcW w:w="346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218.07 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158.35 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296,180 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253,409 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 xml:space="preserve">Note 8 – </w:t>
      </w:r>
      <w:r>
        <w:rPr>
          <w:rFonts w:eastAsia="Times New Roman"/>
          <w:b/>
          <w:bCs/>
          <w:color w:val="000000"/>
          <w:sz w:val="20"/>
          <w:szCs w:val="20"/>
        </w:rPr>
        <w:t>Income Taxes: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The Company’s effective income tax rate was 21.1% in the first quarter of fiscal 2022 compared to 18.8% in the first quarter of fiscal 2021. The increase in the effective income tax rate in the first three months of fiscal 2022 compared to </w:t>
      </w:r>
      <w:r>
        <w:rPr>
          <w:rFonts w:eastAsia="Times New Roman"/>
          <w:color w:val="000000"/>
          <w:sz w:val="20"/>
          <w:szCs w:val="20"/>
        </w:rPr>
        <w:t>the first three months of fiscal 2021 was primarily related to a decrease in a discrete incremental tax benefit associated with share-based compensation.</w:t>
      </w:r>
    </w:p>
    <w:p w:rsidR="00000000" w:rsidRDefault="00F04B64">
      <w:pPr>
        <w:jc w:val="both"/>
        <w:rPr>
          <w:rFonts w:eastAsia="Times New Roman"/>
        </w:rPr>
      </w:pPr>
    </w:p>
    <w:p w:rsidR="00000000" w:rsidRDefault="00F04B64">
      <w:pPr>
        <w:jc w:val="center"/>
        <w:divId w:val="1397242753"/>
        <w:rPr>
          <w:rFonts w:eastAsia="Times New Roman"/>
        </w:rPr>
      </w:pPr>
      <w:r>
        <w:rPr>
          <w:rFonts w:eastAsia="Times New Roman"/>
          <w:color w:val="000000"/>
          <w:sz w:val="20"/>
          <w:szCs w:val="20"/>
        </w:rPr>
        <w:t>Page 12</w:t>
      </w:r>
    </w:p>
    <w:p w:rsidR="00000000" w:rsidRDefault="00F04B64">
      <w:pPr>
        <w:rPr>
          <w:rFonts w:eastAsia="Times New Roman"/>
        </w:rPr>
      </w:pPr>
      <w:r>
        <w:rPr>
          <w:rFonts w:eastAsia="Times New Roman"/>
        </w:rPr>
        <w:pict>
          <v:rect id="_x0000_i1037" style="width:0;height:1.5pt" o:hralign="center" o:hrstd="t" o:hr="t" fillcolor="#a0a0a0" stroked="f"/>
        </w:pict>
      </w:r>
    </w:p>
    <w:p w:rsidR="00000000" w:rsidRDefault="00F04B64">
      <w:pPr>
        <w:divId w:val="1174031033"/>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rPr>
        <w:t>Note 9 – Commitments and Contingencies: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Construction and Real Estate Commitments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Company is building new distribution centers in Navarre, Ohio and Maumelle, Arkansas, for which, as of March 26, 2022, the Company had contractual commitments of approximately $32 million and $0, respectively.</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Letters of Credit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At March 26, 2022, t</w:t>
      </w:r>
      <w:r>
        <w:rPr>
          <w:rFonts w:eastAsia="Times New Roman"/>
          <w:color w:val="000000"/>
          <w:sz w:val="20"/>
          <w:szCs w:val="20"/>
        </w:rPr>
        <w:t>here were $52.8 million in outstanding letter of credit under the Senior Credit Facility.</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Litigation</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On October 9, 2020, an alleged stockholder, the City of Pontiac Police and Fire Retirement System, filed a derivative lawsuit in the U.S. District Cour</w:t>
      </w:r>
      <w:r>
        <w:rPr>
          <w:rFonts w:eastAsia="Times New Roman"/>
          <w:color w:val="000000"/>
          <w:sz w:val="20"/>
          <w:szCs w:val="20"/>
        </w:rPr>
        <w:t xml:space="preserve">t for the Middle District of Tennessee, purportedly on the Company's behalf, against certain current and former members of our Board of Directors, and the Company as a nominal defendant, seeking unspecified compensatory and punitive damages payable to the </w:t>
      </w:r>
      <w:r>
        <w:rPr>
          <w:rFonts w:eastAsia="Times New Roman"/>
          <w:color w:val="000000"/>
          <w:sz w:val="20"/>
          <w:szCs w:val="20"/>
        </w:rPr>
        <w:t>Company, disgorgement, restitution, corporate governance and hiring changes, mandated community investment, and attorneys' fees and costs. Plaintiff alleged that defendants violated the federal securities laws governing proxy solicitations and breached the</w:t>
      </w:r>
      <w:r>
        <w:rPr>
          <w:rFonts w:eastAsia="Times New Roman"/>
          <w:color w:val="000000"/>
          <w:sz w:val="20"/>
          <w:szCs w:val="20"/>
        </w:rPr>
        <w:t>ir fiduciary duties by misrepresenting the Company's commitment to and support for diversity and inclusion. The Company disputed the allegations of the complaint. The Company and the individual defendants moved to dismiss the complaint based on plaintiff's</w:t>
      </w:r>
      <w:r>
        <w:rPr>
          <w:rFonts w:eastAsia="Times New Roman"/>
          <w:color w:val="000000"/>
          <w:sz w:val="20"/>
          <w:szCs w:val="20"/>
        </w:rPr>
        <w:t xml:space="preserve"> failure to make a demand on the Board of Directors and to state a claim upon which relief may be granted. The case was dismissed during the first quarter of 2022 with no material impact to our Condensed Consolidated Financial Statements.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The Company is </w:t>
      </w:r>
      <w:r>
        <w:rPr>
          <w:rFonts w:eastAsia="Times New Roman"/>
          <w:color w:val="000000"/>
          <w:sz w:val="20"/>
          <w:szCs w:val="20"/>
        </w:rPr>
        <w:t xml:space="preserve">involved in various litigation matters arising in the ordinary course of business. The Company believes that, based upon information currently available, any estimated loss related to such matters has been adequately provided for in accrued liabilities to </w:t>
      </w:r>
      <w:r>
        <w:rPr>
          <w:rFonts w:eastAsia="Times New Roman"/>
          <w:color w:val="000000"/>
          <w:sz w:val="20"/>
          <w:szCs w:val="20"/>
        </w:rPr>
        <w:t>the extent probable and reasonably estimable. Accordingly, the Company currently expects these matters will be resolved without material adverse effect on its consolidated financial position, results of operations, or cash flows.  However, litigation and o</w:t>
      </w:r>
      <w:r>
        <w:rPr>
          <w:rFonts w:eastAsia="Times New Roman"/>
          <w:color w:val="000000"/>
          <w:sz w:val="20"/>
          <w:szCs w:val="20"/>
        </w:rPr>
        <w:t>ther legal matters involve an element of uncertainty. Future developments in such matters, including adverse decisions or settlements or resulting required changes to the Company's business operations, could affect our consolidated operating results when r</w:t>
      </w:r>
      <w:r>
        <w:rPr>
          <w:rFonts w:eastAsia="Times New Roman"/>
          <w:color w:val="000000"/>
          <w:sz w:val="20"/>
          <w:szCs w:val="20"/>
        </w:rPr>
        <w:t xml:space="preserve">esolved in future periods or could result in liability or other amounts material to the Company's Condensed Consolidated Financial Statements. </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Note 10 – Segment Reporting:</w:t>
      </w:r>
    </w:p>
    <w:p w:rsidR="00000000" w:rsidRDefault="00F04B64">
      <w:pPr>
        <w:divId w:val="1118644115"/>
        <w:rPr>
          <w:rFonts w:eastAsia="Times New Roman"/>
        </w:rPr>
      </w:pPr>
    </w:p>
    <w:p w:rsidR="00000000" w:rsidRDefault="00F04B64">
      <w:pPr>
        <w:jc w:val="both"/>
        <w:rPr>
          <w:rFonts w:eastAsia="Times New Roman"/>
        </w:rPr>
      </w:pPr>
      <w:r>
        <w:rPr>
          <w:rFonts w:eastAsia="Times New Roman"/>
          <w:color w:val="000000"/>
          <w:sz w:val="20"/>
          <w:szCs w:val="20"/>
        </w:rPr>
        <w:t>The Company has one reportable segment which is the retail sale of products tha</w:t>
      </w:r>
      <w:r>
        <w:rPr>
          <w:rFonts w:eastAsia="Times New Roman"/>
          <w:color w:val="000000"/>
          <w:sz w:val="20"/>
          <w:szCs w:val="20"/>
        </w:rPr>
        <w:t>t support the rural lifestyle.  The following table indicates the percentage of net sales represented by each major product category during the fiscal three months ended March 26, 2022 and March 27,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466"/>
        <w:gridCol w:w="38"/>
        <w:gridCol w:w="43"/>
        <w:gridCol w:w="980"/>
        <w:gridCol w:w="189"/>
        <w:gridCol w:w="37"/>
        <w:gridCol w:w="36"/>
        <w:gridCol w:w="36"/>
        <w:gridCol w:w="43"/>
        <w:gridCol w:w="923"/>
        <w:gridCol w:w="188"/>
        <w:gridCol w:w="36"/>
        <w:gridCol w:w="36"/>
        <w:gridCol w:w="36"/>
        <w:gridCol w:w="36"/>
        <w:gridCol w:w="36"/>
        <w:gridCol w:w="36"/>
        <w:gridCol w:w="36"/>
        <w:gridCol w:w="36"/>
      </w:tblGrid>
      <w:tr w:rsidR="00000000">
        <w:trPr>
          <w:jc w:val="center"/>
        </w:trPr>
        <w:tc>
          <w:tcPr>
            <w:tcW w:w="50" w:type="pct"/>
            <w:vAlign w:val="center"/>
            <w:hideMark/>
          </w:tcPr>
          <w:p w:rsidR="00000000" w:rsidRDefault="00F04B64">
            <w:pPr>
              <w:jc w:val="both"/>
              <w:rPr>
                <w:rFonts w:eastAsia="Times New Roman"/>
              </w:rPr>
            </w:pPr>
          </w:p>
        </w:tc>
        <w:tc>
          <w:tcPr>
            <w:tcW w:w="346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Hardware, Tools and Truck</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divId w:val="278493055"/>
        <w:rPr>
          <w:rFonts w:eastAsia="Times New Roman"/>
        </w:rPr>
      </w:pPr>
    </w:p>
    <w:p w:rsidR="00000000" w:rsidRDefault="00F04B64">
      <w:pPr>
        <w:jc w:val="center"/>
        <w:divId w:val="1948081189"/>
        <w:rPr>
          <w:rFonts w:eastAsia="Times New Roman"/>
        </w:rPr>
      </w:pPr>
      <w:r>
        <w:rPr>
          <w:rFonts w:eastAsia="Times New Roman"/>
          <w:color w:val="000000"/>
          <w:sz w:val="20"/>
          <w:szCs w:val="20"/>
        </w:rPr>
        <w:t>Page 13</w:t>
      </w:r>
    </w:p>
    <w:p w:rsidR="00000000" w:rsidRDefault="00F04B64">
      <w:pPr>
        <w:rPr>
          <w:rFonts w:eastAsia="Times New Roman"/>
        </w:rPr>
      </w:pPr>
      <w:r>
        <w:rPr>
          <w:rFonts w:eastAsia="Times New Roman"/>
        </w:rPr>
        <w:pict>
          <v:rect id="_x0000_i1038" style="width:0;height:1.5pt" o:hralign="center" o:hrstd="t" o:hr="t" fillcolor="#a0a0a0" stroked="f"/>
        </w:pict>
      </w:r>
    </w:p>
    <w:p w:rsidR="00000000" w:rsidRDefault="00F04B64">
      <w:pPr>
        <w:divId w:val="135875950"/>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213123290"/>
        <w:rPr>
          <w:rFonts w:eastAsia="Times New Roman"/>
        </w:rPr>
      </w:pPr>
      <w:r>
        <w:rPr>
          <w:rFonts w:eastAsia="Times New Roman"/>
          <w:b/>
          <w:bCs/>
          <w:color w:val="000000"/>
          <w:sz w:val="20"/>
          <w:szCs w:val="20"/>
          <w:u w:val="single"/>
        </w:rPr>
        <w:t>Item 2.  Management’</w:t>
      </w:r>
      <w:r>
        <w:rPr>
          <w:rFonts w:eastAsia="Times New Roman"/>
          <w:b/>
          <w:bCs/>
          <w:color w:val="000000"/>
          <w:sz w:val="20"/>
          <w:szCs w:val="20"/>
          <w:u w:val="single"/>
        </w:rPr>
        <w:t>s Discussion and Analysis of Financial Condition and Results of Operations</w:t>
      </w:r>
    </w:p>
    <w:p w:rsidR="00000000" w:rsidRDefault="00F04B64">
      <w:pPr>
        <w:divId w:val="863057071"/>
        <w:rPr>
          <w:rFonts w:eastAsia="Times New Roman"/>
        </w:rPr>
      </w:pPr>
    </w:p>
    <w:p w:rsidR="00000000" w:rsidRDefault="00F04B64">
      <w:pPr>
        <w:jc w:val="both"/>
        <w:rPr>
          <w:rFonts w:eastAsia="Times New Roman"/>
        </w:rPr>
      </w:pPr>
      <w:r>
        <w:rPr>
          <w:rFonts w:eastAsia="Times New Roman"/>
          <w:b/>
          <w:bCs/>
          <w:color w:val="000000"/>
          <w:sz w:val="20"/>
          <w:szCs w:val="20"/>
        </w:rPr>
        <w:t>General</w:t>
      </w:r>
    </w:p>
    <w:p w:rsidR="00000000" w:rsidRDefault="00F04B64">
      <w:pPr>
        <w:divId w:val="598293963"/>
        <w:rPr>
          <w:rFonts w:eastAsia="Times New Roman"/>
        </w:rPr>
      </w:pPr>
    </w:p>
    <w:p w:rsidR="00000000" w:rsidRDefault="00F04B64">
      <w:pPr>
        <w:jc w:val="both"/>
        <w:rPr>
          <w:rFonts w:eastAsia="Times New Roman"/>
        </w:rPr>
      </w:pPr>
      <w:r>
        <w:rPr>
          <w:rFonts w:eastAsia="Times New Roman"/>
          <w:color w:val="000000"/>
          <w:sz w:val="20"/>
          <w:szCs w:val="20"/>
        </w:rPr>
        <w:t xml:space="preserve">The following discussion and analysis should be read in conjunction with our </w:t>
      </w:r>
      <w:hyperlink r:id="rId6"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(the "2021 Form 10-K"). This Quarterly Report on Form 10-Q also contains forw</w:t>
      </w:r>
      <w:r>
        <w:rPr>
          <w:rFonts w:eastAsia="Times New Roman"/>
          <w:color w:val="000000"/>
          <w:sz w:val="20"/>
          <w:szCs w:val="20"/>
        </w:rPr>
        <w:t>ard-looking statements and information. The forward-looking statements included herein are made pursuant to the safe harbor provisions of the Private Securities Litigation Reform Act of 1995 (the “Act”).  All statements, other than statements of historical</w:t>
      </w:r>
      <w:r>
        <w:rPr>
          <w:rFonts w:eastAsia="Times New Roman"/>
          <w:color w:val="000000"/>
          <w:sz w:val="20"/>
          <w:szCs w:val="20"/>
        </w:rPr>
        <w:t xml:space="preserve"> facts, which address activities, events, or developments that we expect or anticipate will or may occur in the future, including sales and earnings growth, estimated results of operations in future periods, the declaration and payment of dividends, the ti</w:t>
      </w:r>
      <w:r>
        <w:rPr>
          <w:rFonts w:eastAsia="Times New Roman"/>
          <w:color w:val="000000"/>
          <w:sz w:val="20"/>
          <w:szCs w:val="20"/>
        </w:rPr>
        <w:t>ming and amount of share repurchases, future capital expenditures (including their amount and nature), business strategy, strategic initiatives, expansion and growth of our business operations, and other such matters are forward-looking statements.  Forwar</w:t>
      </w:r>
      <w:r>
        <w:rPr>
          <w:rFonts w:eastAsia="Times New Roman"/>
          <w:color w:val="000000"/>
          <w:sz w:val="20"/>
          <w:szCs w:val="20"/>
        </w:rPr>
        <w:t xml:space="preserve">d-looking statements are usually identified by or are associated with such words as "intend," "expect," "believe," "anticipate," "optimistic" and similar terminology. These forward-looking statements may be affected by certain risks and uncertainties, any </w:t>
      </w:r>
      <w:r>
        <w:rPr>
          <w:rFonts w:eastAsia="Times New Roman"/>
          <w:color w:val="000000"/>
          <w:sz w:val="20"/>
          <w:szCs w:val="20"/>
        </w:rPr>
        <w:t>one, or a combination of which, could materially affect the results of our operations. To take advantage of the safe harbor provided by the Act, we are identifying certain factors that could cause actual results to differ materially from those expressed in</w:t>
      </w:r>
      <w:r>
        <w:rPr>
          <w:rFonts w:eastAsia="Times New Roman"/>
          <w:color w:val="000000"/>
          <w:sz w:val="20"/>
          <w:szCs w:val="20"/>
        </w:rPr>
        <w:t xml:space="preserve"> any forward-looking statements.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As with any business, all phases of our operations are subject to influences outside our control. These factors include, without limitation, the timing of normalized macroeconomic conditions from the impacts of the COVID-</w:t>
      </w:r>
      <w:r>
        <w:rPr>
          <w:rFonts w:eastAsia="Times New Roman"/>
          <w:color w:val="000000"/>
          <w:sz w:val="20"/>
          <w:szCs w:val="20"/>
        </w:rPr>
        <w:t>19 pandemic, the Company's ability to predict the timing of normalized macroeconomic conditions, national, regional and local economic conditions affecting consumer spending, including the effects of COVID-19, inflation and gas prices, effects resulting fr</w:t>
      </w:r>
      <w:r>
        <w:rPr>
          <w:rFonts w:eastAsia="Times New Roman"/>
          <w:color w:val="000000"/>
          <w:sz w:val="20"/>
          <w:szCs w:val="20"/>
        </w:rPr>
        <w:t>om wars or other military operations, including the heightened risk of cyberattacks as a result of the hostilities between Russia and Ukraine; the availability of information technology hardware; the effects that “shelter in place” or other similar mandate</w:t>
      </w:r>
      <w:r>
        <w:rPr>
          <w:rFonts w:eastAsia="Times New Roman"/>
          <w:color w:val="000000"/>
          <w:sz w:val="20"/>
          <w:szCs w:val="20"/>
        </w:rPr>
        <w:t>d or suggested social distancing protocols could have on the business, the costs of doing business as a retailer during the COVID-19 pandemic, the effectiveness of the Company’s responses to COVID-19 and customer response with respect to those actions, the</w:t>
      </w:r>
      <w:r>
        <w:rPr>
          <w:rFonts w:eastAsia="Times New Roman"/>
          <w:color w:val="000000"/>
          <w:sz w:val="20"/>
          <w:szCs w:val="20"/>
        </w:rPr>
        <w:t xml:space="preserve"> effects of COVID-19 on our suppliers, business partners and supply chain, the timing and acceptance of new products, the timing and mix of goods sold, weather conditions, the seasonal nature of our business, transportation costs, including but not limited</w:t>
      </w:r>
      <w:r>
        <w:rPr>
          <w:rFonts w:eastAsia="Times New Roman"/>
          <w:color w:val="000000"/>
          <w:sz w:val="20"/>
          <w:szCs w:val="20"/>
        </w:rPr>
        <w:t xml:space="preserve"> to, carrier rates, fuel costs, and other pressures across our supply chain, purchase price volatility (including inflationary and deflationary pressures), the ability to increase sales at existing stores or on our e-commerce platform, the ability to manag</w:t>
      </w:r>
      <w:r>
        <w:rPr>
          <w:rFonts w:eastAsia="Times New Roman"/>
          <w:color w:val="000000"/>
          <w:sz w:val="20"/>
          <w:szCs w:val="20"/>
        </w:rPr>
        <w:t>e growth and identify suitable locations for our stores, the possibility that the acquisition of Orscheln Farm and Home (the “Transaction”) will not close or that the closing may be delayed, the possibility that we may be unable to obtain regulatory cleara</w:t>
      </w:r>
      <w:r>
        <w:rPr>
          <w:rFonts w:eastAsia="Times New Roman"/>
          <w:color w:val="000000"/>
          <w:sz w:val="20"/>
          <w:szCs w:val="20"/>
        </w:rPr>
        <w:t>nce for the Transaction, the potential for litigation or governmental investigations relating to the Transaction, the occurrence of events, changes or circumstances that could give rise to the termination of the definitive agreement for the Transaction, th</w:t>
      </w:r>
      <w:r>
        <w:rPr>
          <w:rFonts w:eastAsia="Times New Roman"/>
          <w:color w:val="000000"/>
          <w:sz w:val="20"/>
          <w:szCs w:val="20"/>
        </w:rPr>
        <w:t>e risk that we may be unable to successfully integrate any acquired business or that we may not realize the benefits expected from an acquisition, including the Transaction, potential adverse reactions or changes to business or employee relationships, incl</w:t>
      </w:r>
      <w:r>
        <w:rPr>
          <w:rFonts w:eastAsia="Times New Roman"/>
          <w:color w:val="000000"/>
          <w:sz w:val="20"/>
          <w:szCs w:val="20"/>
        </w:rPr>
        <w:t>uding those resulting from the announcement of an acquisition, including the Transaction, failure of an acquisition to produce anticipated results, the ability to successfully manage expenses, particularly in light of COVID-19, including but not limited to</w:t>
      </w:r>
      <w:r>
        <w:rPr>
          <w:rFonts w:eastAsia="Times New Roman"/>
          <w:color w:val="000000"/>
          <w:sz w:val="20"/>
          <w:szCs w:val="20"/>
        </w:rPr>
        <w:t>, increases in wages, the ability to successfully execute key gross margin enhancing initiatives, the availability of favorable credit sources, capital market conditions in general, the timing and amount of share repurchases, the ability to open new stores</w:t>
      </w:r>
      <w:r>
        <w:rPr>
          <w:rFonts w:eastAsia="Times New Roman"/>
          <w:color w:val="000000"/>
          <w:sz w:val="20"/>
          <w:szCs w:val="20"/>
        </w:rPr>
        <w:t xml:space="preserve"> in the manner, timing and number currently contemplated, the impact of new stores on the business, competition, including competition from online retailers, marketing, merchandising and strategic initiatives, effective merchandising initiatives and market</w:t>
      </w:r>
      <w:r>
        <w:rPr>
          <w:rFonts w:eastAsia="Times New Roman"/>
          <w:color w:val="000000"/>
          <w:sz w:val="20"/>
          <w:szCs w:val="20"/>
        </w:rPr>
        <w:t>ing emphasis, the ability to retain vendors, reliance on foreign suppliers, the ability to attract, train and retain qualified employees, our ability to meet our sustainability, stewardship, carbon emission and Diversity, Equity &amp; Inclusion related Environ</w:t>
      </w:r>
      <w:r>
        <w:rPr>
          <w:rFonts w:eastAsia="Times New Roman"/>
          <w:color w:val="000000"/>
          <w:sz w:val="20"/>
          <w:szCs w:val="20"/>
        </w:rPr>
        <w:t>mental, Social and Governance projections, goals and commitments, product liability and other claims, changes in federal, state or local regulations, potential judgments, fines, legal fees and other costs, breach of information systems or theft of employee</w:t>
      </w:r>
      <w:r>
        <w:rPr>
          <w:rFonts w:eastAsia="Times New Roman"/>
          <w:color w:val="000000"/>
          <w:sz w:val="20"/>
          <w:szCs w:val="20"/>
        </w:rPr>
        <w:t xml:space="preserve"> or customer data, ongoing and potential future legal or regulatory proceedings, management of our information systems, failure to develop and implement new technologies, the failure of customer-facing technology systems, business disruption including from</w:t>
      </w:r>
      <w:r>
        <w:rPr>
          <w:rFonts w:eastAsia="Times New Roman"/>
          <w:color w:val="000000"/>
          <w:sz w:val="20"/>
          <w:szCs w:val="20"/>
        </w:rPr>
        <w:t xml:space="preserve"> the implementation of supply chain technologies, effective tax rate changes, and results of examination by taxing authorities, the imposition of tariffs on imported products or the disallowance of tax deductions on imported products, the ability to mainta</w:t>
      </w:r>
      <w:r>
        <w:rPr>
          <w:rFonts w:eastAsia="Times New Roman"/>
          <w:color w:val="000000"/>
          <w:sz w:val="20"/>
          <w:szCs w:val="20"/>
        </w:rPr>
        <w:t>in an effective system of internal control over financial reporting, and changes in accounting standards, assumptions and estimates. Forward-looking statements made by or on behalf of the Company are based on our knowledge of our business and the environme</w:t>
      </w:r>
      <w:r>
        <w:rPr>
          <w:rFonts w:eastAsia="Times New Roman"/>
          <w:color w:val="000000"/>
          <w:sz w:val="20"/>
          <w:szCs w:val="20"/>
        </w:rPr>
        <w:t>nt in which we operate, but because of the factors listed above or other factors, actual results could differ materially from those reflected by any forward-looking statements. Consequently, all of the forward-looking statements made are qualified by these</w:t>
      </w:r>
      <w:r>
        <w:rPr>
          <w:rFonts w:eastAsia="Times New Roman"/>
          <w:color w:val="000000"/>
          <w:sz w:val="20"/>
          <w:szCs w:val="20"/>
        </w:rPr>
        <w:t xml:space="preserve"> cautionary statements and those contained in the Company’s </w:t>
      </w:r>
      <w:hyperlink r:id="rId7" w:history="1">
        <w:r>
          <w:rPr>
            <w:rStyle w:val="a3"/>
            <w:rFonts w:eastAsia="Times New Roman"/>
            <w:sz w:val="20"/>
            <w:szCs w:val="20"/>
          </w:rPr>
          <w:t>Annual Report on Form 10-K</w:t>
        </w:r>
      </w:hyperlink>
      <w:r>
        <w:rPr>
          <w:rFonts w:eastAsia="Times New Roman"/>
          <w:color w:val="000000"/>
          <w:sz w:val="20"/>
          <w:szCs w:val="20"/>
        </w:rPr>
        <w:t xml:space="preserve"> and other filings with the Securities and Exchange Commission</w:t>
      </w:r>
      <w:r>
        <w:rPr>
          <w:rFonts w:eastAsia="Times New Roman"/>
          <w:color w:val="000000"/>
          <w:sz w:val="20"/>
          <w:szCs w:val="20"/>
        </w:rPr>
        <w:t xml:space="preserve"> (the "SEC"). There can be no assurance that the actual results or developments anticipated by the Company will be realized or, even if substantially realized, that they will have the expected consequences to or effects on the Company or our business and o</w:t>
      </w:r>
      <w:r>
        <w:rPr>
          <w:rFonts w:eastAsia="Times New Roman"/>
          <w:color w:val="000000"/>
          <w:sz w:val="20"/>
          <w:szCs w:val="20"/>
        </w:rPr>
        <w:t xml:space="preserve">perations. Readers are cautioned not to place undue reliance on these forward-looking statements, which speak only as of the date hereof. We do not undertake any </w:t>
      </w:r>
    </w:p>
    <w:p w:rsidR="00000000" w:rsidRDefault="00F04B64">
      <w:pPr>
        <w:jc w:val="center"/>
        <w:divId w:val="478108239"/>
        <w:rPr>
          <w:rFonts w:eastAsia="Times New Roman"/>
        </w:rPr>
      </w:pPr>
      <w:r>
        <w:rPr>
          <w:rFonts w:eastAsia="Times New Roman"/>
          <w:color w:val="000000"/>
          <w:sz w:val="20"/>
          <w:szCs w:val="20"/>
        </w:rPr>
        <w:t>Page 14</w:t>
      </w:r>
    </w:p>
    <w:p w:rsidR="00000000" w:rsidRDefault="00F04B64">
      <w:pPr>
        <w:rPr>
          <w:rFonts w:eastAsia="Times New Roman"/>
        </w:rPr>
      </w:pPr>
      <w:r>
        <w:rPr>
          <w:rFonts w:eastAsia="Times New Roman"/>
        </w:rPr>
        <w:pict>
          <v:rect id="_x0000_i1039" style="width:0;height:1.5pt" o:hralign="center" o:hrstd="t" o:hr="t" fillcolor="#a0a0a0" stroked="f"/>
        </w:pict>
      </w:r>
    </w:p>
    <w:p w:rsidR="00000000" w:rsidRDefault="00F04B64">
      <w:pPr>
        <w:divId w:val="467672187"/>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color w:val="000000"/>
          <w:sz w:val="20"/>
          <w:szCs w:val="20"/>
        </w:rPr>
        <w:t>obligation to release publicly any revisions to these forward-looking statements to reflect events or circumstances after the date hereof or to reflect the occurrence of unanticipated events, except as required by law.</w:t>
      </w:r>
    </w:p>
    <w:p w:rsidR="00000000" w:rsidRDefault="00F04B64">
      <w:pPr>
        <w:jc w:val="both"/>
        <w:rPr>
          <w:rFonts w:eastAsia="Times New Roman"/>
        </w:rPr>
      </w:pPr>
    </w:p>
    <w:p w:rsidR="00000000" w:rsidRDefault="00F04B64">
      <w:pPr>
        <w:divId w:val="147594960"/>
        <w:rPr>
          <w:rFonts w:eastAsia="Times New Roman"/>
        </w:rPr>
      </w:pPr>
      <w:r>
        <w:rPr>
          <w:rFonts w:eastAsia="Times New Roman"/>
          <w:b/>
          <w:bCs/>
          <w:color w:val="000000"/>
          <w:sz w:val="20"/>
          <w:szCs w:val="20"/>
        </w:rPr>
        <w:t>Information Regardi</w:t>
      </w:r>
      <w:r>
        <w:rPr>
          <w:rFonts w:eastAsia="Times New Roman"/>
          <w:b/>
          <w:bCs/>
          <w:color w:val="000000"/>
          <w:sz w:val="20"/>
          <w:szCs w:val="20"/>
        </w:rPr>
        <w:t>ng COVID-19 Coronavirus Pandemic</w:t>
      </w:r>
    </w:p>
    <w:p w:rsidR="00000000" w:rsidRDefault="00F04B64">
      <w:pPr>
        <w:divId w:val="637340937"/>
        <w:rPr>
          <w:rFonts w:eastAsia="Times New Roman"/>
        </w:rPr>
      </w:pPr>
    </w:p>
    <w:p w:rsidR="00000000" w:rsidRDefault="00F04B64">
      <w:pPr>
        <w:jc w:val="both"/>
        <w:rPr>
          <w:rFonts w:eastAsia="Times New Roman"/>
        </w:rPr>
      </w:pPr>
      <w:r>
        <w:rPr>
          <w:rFonts w:eastAsia="Times New Roman"/>
          <w:color w:val="000000"/>
          <w:sz w:val="20"/>
          <w:szCs w:val="20"/>
        </w:rPr>
        <w:t>We have been and will continue to closely monitor the impact of the COVID-19 pandemic on all facets of our business. This includes the impact on our team members, customers, suppliers, vendors, business partners, and supp</w:t>
      </w:r>
      <w:r>
        <w:rPr>
          <w:rFonts w:eastAsia="Times New Roman"/>
          <w:color w:val="000000"/>
          <w:sz w:val="20"/>
          <w:szCs w:val="20"/>
        </w:rPr>
        <w:t xml:space="preserve">ly chain networks. </w:t>
      </w:r>
    </w:p>
    <w:p w:rsidR="00000000" w:rsidRDefault="00F04B64">
      <w:pPr>
        <w:divId w:val="511116386"/>
        <w:rPr>
          <w:rFonts w:eastAsia="Times New Roman"/>
        </w:rPr>
      </w:pPr>
    </w:p>
    <w:p w:rsidR="00000000" w:rsidRDefault="00F04B64">
      <w:pPr>
        <w:jc w:val="both"/>
        <w:rPr>
          <w:rFonts w:eastAsia="Times New Roman"/>
        </w:rPr>
      </w:pPr>
      <w:r>
        <w:rPr>
          <w:rFonts w:eastAsia="Times New Roman"/>
          <w:color w:val="000000"/>
          <w:sz w:val="20"/>
          <w:szCs w:val="20"/>
        </w:rPr>
        <w:t>The health and safety of our team members and customers are the primary concerns of our management team. Over the course of the pandemic, we have taken and continue to take numerous actions to promote health and safety, including enco</w:t>
      </w:r>
      <w:r>
        <w:rPr>
          <w:rFonts w:eastAsia="Times New Roman"/>
          <w:color w:val="000000"/>
          <w:sz w:val="20"/>
          <w:szCs w:val="20"/>
        </w:rPr>
        <w:t>uraging vaccination efforts, providing personal protective equipment to our team members, following local and federal guidance regarding the use of masks in our facilities, maintaining enhanced services for cleaning and sanitation, continuing to provide ad</w:t>
      </w:r>
      <w:r>
        <w:rPr>
          <w:rFonts w:eastAsia="Times New Roman"/>
          <w:color w:val="000000"/>
          <w:sz w:val="20"/>
          <w:szCs w:val="20"/>
        </w:rPr>
        <w:t xml:space="preserve">ditional functionality to support contactless shopping experiences, promoting social distancing and cleaning actions in our stores, and continuing to offer remote work plans at our Store Support Center.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There are numerous uncertainties surrounding the p</w:t>
      </w:r>
      <w:r>
        <w:rPr>
          <w:rFonts w:eastAsia="Times New Roman"/>
          <w:color w:val="000000"/>
          <w:sz w:val="20"/>
          <w:szCs w:val="20"/>
        </w:rPr>
        <w:t xml:space="preserve">andemic and its impact on the economy and our business, as further described in the Risk Factors section under Part I, Item 1A of our 2021 </w:t>
      </w:r>
      <w:hyperlink r:id="rId8" w:history="1">
        <w:r>
          <w:rPr>
            <w:rStyle w:val="a3"/>
            <w:rFonts w:eastAsia="Times New Roman"/>
            <w:sz w:val="20"/>
            <w:szCs w:val="20"/>
          </w:rPr>
          <w:t>Form 10-K</w:t>
        </w:r>
      </w:hyperlink>
      <w:r>
        <w:rPr>
          <w:rFonts w:eastAsia="Times New Roman"/>
          <w:color w:val="000000"/>
          <w:sz w:val="20"/>
          <w:szCs w:val="20"/>
        </w:rPr>
        <w:t>, which make it difficult to predict the impact on our business, financial position, or results of operations in fiscal 2022 and beyond. We cannot predict these uncertainties, or the corresponding impacts on our business, at this time.</w:t>
      </w:r>
    </w:p>
    <w:p w:rsidR="00000000" w:rsidRDefault="00F04B64">
      <w:pPr>
        <w:divId w:val="1050416782"/>
        <w:rPr>
          <w:rFonts w:eastAsia="Times New Roman"/>
        </w:rPr>
      </w:pPr>
    </w:p>
    <w:p w:rsidR="00000000" w:rsidRDefault="00F04B64">
      <w:pPr>
        <w:jc w:val="both"/>
        <w:rPr>
          <w:rFonts w:eastAsia="Times New Roman"/>
        </w:rPr>
      </w:pPr>
      <w:r>
        <w:rPr>
          <w:rFonts w:eastAsia="Times New Roman"/>
          <w:b/>
          <w:bCs/>
          <w:color w:val="000000"/>
          <w:sz w:val="20"/>
          <w:szCs w:val="20"/>
        </w:rPr>
        <w:t>Seasonality and We</w:t>
      </w:r>
      <w:r>
        <w:rPr>
          <w:rFonts w:eastAsia="Times New Roman"/>
          <w:b/>
          <w:bCs/>
          <w:color w:val="000000"/>
          <w:sz w:val="20"/>
          <w:szCs w:val="20"/>
        </w:rPr>
        <w:t>ather</w:t>
      </w:r>
    </w:p>
    <w:p w:rsidR="00000000" w:rsidRDefault="00F04B64">
      <w:pPr>
        <w:divId w:val="1564365155"/>
        <w:rPr>
          <w:rFonts w:eastAsia="Times New Roman"/>
        </w:rPr>
      </w:pPr>
    </w:p>
    <w:p w:rsidR="00000000" w:rsidRDefault="00F04B64">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products. We usually experience our highest inventory and accounts payable balances during our first</w:t>
      </w:r>
      <w:r>
        <w:rPr>
          <w:rFonts w:eastAsia="Times New Roman"/>
          <w:color w:val="000000"/>
          <w:sz w:val="20"/>
          <w:szCs w:val="20"/>
        </w:rPr>
        <w:t xml:space="preserve"> fiscal quarter for purchases of seasonal products to support the higher sales volume of the spring selling season, and again during our third fiscal quarter to support the higher sales volume of the cold weather selling season. We believe that our busines</w:t>
      </w:r>
      <w:r>
        <w:rPr>
          <w:rFonts w:eastAsia="Times New Roman"/>
          <w:color w:val="000000"/>
          <w:sz w:val="20"/>
          <w:szCs w:val="20"/>
        </w:rPr>
        <w:t>s can be more accurately assessed by focusing on the performance of the halves, not the quarters, due to the fact that different weather patterns from year-to-year can shift the timing of sales and profits between quarters, particularly between the first a</w:t>
      </w:r>
      <w:r>
        <w:rPr>
          <w:rFonts w:eastAsia="Times New Roman"/>
          <w:color w:val="000000"/>
          <w:sz w:val="20"/>
          <w:szCs w:val="20"/>
        </w:rPr>
        <w:t xml:space="preserve">nd second fiscal quarters and the third and fourth fiscal quarters.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weather in the spring and summer months, have unfavorably affec</w:t>
      </w:r>
      <w:r>
        <w:rPr>
          <w:rFonts w:eastAsia="Times New Roman"/>
          <w:color w:val="000000"/>
          <w:sz w:val="20"/>
          <w:szCs w:val="20"/>
        </w:rPr>
        <w:t>ted the timing and volume of our sales and results of operations. In addition, extreme weather conditions, including snow and ice storms, flood and wind damage, hurricanes, tornadoes, extreme rain, and droughts have impacted operating results both negative</w:t>
      </w:r>
      <w:r>
        <w:rPr>
          <w:rFonts w:eastAsia="Times New Roman"/>
          <w:color w:val="000000"/>
          <w:sz w:val="20"/>
          <w:szCs w:val="20"/>
        </w:rPr>
        <w:t>ly and positively, depending on the severity and length of these conditions. Our strategy is to manage product flow and adjust merchandise assortments and depth of inventory to capitalize on seasonal demand trends.</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Performance Metrics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Comparable Store Metrics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Comparable store metrics are a key performance indicator used in the retail industry and by the Company to measure the performance of the underlying business. Our comparable store metrics are calculated on an annual basis using sales generated from all sto</w:t>
      </w:r>
      <w:r>
        <w:rPr>
          <w:rFonts w:eastAsia="Times New Roman"/>
          <w:color w:val="000000"/>
          <w:sz w:val="20"/>
          <w:szCs w:val="20"/>
        </w:rPr>
        <w:t>res open at least one year and all online sales and exclude certain adjustments to net sales. Stores closed during either of the years being compared are removed from our comparable store metrics calculations. Stores relocated during either of the years be</w:t>
      </w:r>
      <w:r>
        <w:rPr>
          <w:rFonts w:eastAsia="Times New Roman"/>
          <w:color w:val="000000"/>
          <w:sz w:val="20"/>
          <w:szCs w:val="20"/>
        </w:rPr>
        <w:t>ing compared are not removed from our comparable store metrics calculations. If the effect of relocated stores on our comparable store metrics calculations became material, we would remove relocated stores from the calculations.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Transaction Count and Tra</w:t>
      </w:r>
      <w:r>
        <w:rPr>
          <w:rFonts w:eastAsia="Times New Roman"/>
          <w:color w:val="000000"/>
          <w:sz w:val="20"/>
          <w:szCs w:val="20"/>
          <w:u w:val="single"/>
        </w:rPr>
        <w:t>nsaction Value</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Transaction count and transaction value metrics are used by the Company to measure sales performance. Transaction count represents the number of customer transactions during a given period. Transaction value represents the average amount p</w:t>
      </w:r>
      <w:r>
        <w:rPr>
          <w:rFonts w:eastAsia="Times New Roman"/>
          <w:color w:val="000000"/>
          <w:sz w:val="20"/>
          <w:szCs w:val="20"/>
        </w:rPr>
        <w:t>aid per transaction and is calculated as net sales divided by the total number of customer transactions during a given period.</w:t>
      </w:r>
    </w:p>
    <w:p w:rsidR="00000000" w:rsidRDefault="00F04B64">
      <w:pPr>
        <w:jc w:val="both"/>
        <w:rPr>
          <w:rFonts w:eastAsia="Times New Roman"/>
        </w:rPr>
      </w:pPr>
    </w:p>
    <w:p w:rsidR="00000000" w:rsidRDefault="00F04B64">
      <w:pPr>
        <w:jc w:val="center"/>
        <w:divId w:val="1536428240"/>
        <w:rPr>
          <w:rFonts w:eastAsia="Times New Roman"/>
        </w:rPr>
      </w:pPr>
      <w:r>
        <w:rPr>
          <w:rFonts w:eastAsia="Times New Roman"/>
          <w:color w:val="000000"/>
          <w:sz w:val="20"/>
          <w:szCs w:val="20"/>
        </w:rPr>
        <w:t>Page 15</w:t>
      </w:r>
    </w:p>
    <w:p w:rsidR="00000000" w:rsidRDefault="00F04B64">
      <w:pPr>
        <w:rPr>
          <w:rFonts w:eastAsia="Times New Roman"/>
        </w:rPr>
      </w:pPr>
      <w:r>
        <w:rPr>
          <w:rFonts w:eastAsia="Times New Roman"/>
        </w:rPr>
        <w:pict>
          <v:rect id="_x0000_i1040" style="width:0;height:1.5pt" o:hralign="center" o:hrstd="t" o:hr="t" fillcolor="#a0a0a0" stroked="f"/>
        </w:pict>
      </w:r>
    </w:p>
    <w:p w:rsidR="00000000" w:rsidRDefault="00F04B64">
      <w:pPr>
        <w:divId w:val="1167089571"/>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rPr>
        <w:t>Results of Operati</w:t>
      </w:r>
      <w:r>
        <w:rPr>
          <w:rFonts w:eastAsia="Times New Roman"/>
          <w:b/>
          <w:bCs/>
          <w:color w:val="000000"/>
          <w:sz w:val="20"/>
          <w:szCs w:val="20"/>
        </w:rPr>
        <w:t>ons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 xml:space="preserve">Fiscal Three Months (First Quarter) Ended March 26, 2022 and March 27, 2021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Net sales for the first quarter of fiscal 2022 increased 8.3% to $3.02 billion from $2.79 billion for the first quarter of fiscal 2021. Comparable store sales for the firs</w:t>
      </w:r>
      <w:r>
        <w:rPr>
          <w:rFonts w:eastAsia="Times New Roman"/>
          <w:color w:val="000000"/>
          <w:sz w:val="20"/>
          <w:szCs w:val="20"/>
        </w:rPr>
        <w:t xml:space="preserve">t quarter of fiscal 2022 were $2.94 billion, a 5.2% increase as compared to the first quarter of fiscal 2021. In the first quarter of fiscal 2021, net sales increased 42.5% and comparable store sales increased 38.6%.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comparable store sales results f</w:t>
      </w:r>
      <w:r>
        <w:rPr>
          <w:rFonts w:eastAsia="Times New Roman"/>
          <w:color w:val="000000"/>
          <w:sz w:val="20"/>
          <w:szCs w:val="20"/>
        </w:rPr>
        <w:t>or the first quarter of fiscal 2022 included an increase in comparable average transaction value of 6.7% and a decrease in comparable average transaction count of 1.4%, each as compared to the first quarter of fiscal 2021. Comparable store sales growth ref</w:t>
      </w:r>
      <w:r>
        <w:rPr>
          <w:rFonts w:eastAsia="Times New Roman"/>
          <w:color w:val="000000"/>
          <w:sz w:val="20"/>
          <w:szCs w:val="20"/>
        </w:rPr>
        <w:t>lects robust demand for everyday merchandise, including consumable, usable, and edible ("C.U.E.") products and strength in winter seasonal goods, partially offset by a slower start to the spring selling season. In addition, the Company’s e-commerce sales a</w:t>
      </w:r>
      <w:r>
        <w:rPr>
          <w:rFonts w:eastAsia="Times New Roman"/>
          <w:color w:val="000000"/>
          <w:sz w:val="20"/>
          <w:szCs w:val="20"/>
        </w:rPr>
        <w:t xml:space="preserve">lso experienced double-digit percentage growth compared to the first quarter of fiscal 2021.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addition to comparable store sales growth for the first quarter of fiscal 2022, sales from stores open less than one year were $77.8 million for the first qu</w:t>
      </w:r>
      <w:r>
        <w:rPr>
          <w:rFonts w:eastAsia="Times New Roman"/>
          <w:color w:val="000000"/>
          <w:sz w:val="20"/>
          <w:szCs w:val="20"/>
        </w:rPr>
        <w:t>arter of fiscal 2022, which represented 2.8 percentage points of the 8.3% increase over first quarter fiscal 2021 net sales. For the first quarter of fiscal 2021, sales from stores open less than one year were $82.4 million, which represented 4.2 percentag</w:t>
      </w:r>
      <w:r>
        <w:rPr>
          <w:rFonts w:eastAsia="Times New Roman"/>
          <w:color w:val="000000"/>
          <w:sz w:val="20"/>
          <w:szCs w:val="20"/>
        </w:rPr>
        <w:t xml:space="preserve">e points of the 42.5% increase over first quarter fiscal 2020 net sales.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following table summarizes store growth for the fiscal three months ended March 26, 2022 and March 27, 2021:</w:t>
      </w:r>
    </w:p>
    <w:tbl>
      <w:tblPr>
        <w:tblW w:w="4985" w:type="pct"/>
        <w:jc w:val="center"/>
        <w:tblCellMar>
          <w:top w:w="15" w:type="dxa"/>
          <w:left w:w="15" w:type="dxa"/>
          <w:bottom w:w="15" w:type="dxa"/>
          <w:right w:w="15" w:type="dxa"/>
        </w:tblCellMar>
        <w:tblLook w:val="04A0" w:firstRow="1" w:lastRow="0" w:firstColumn="1" w:lastColumn="0" w:noHBand="0" w:noVBand="1"/>
      </w:tblPr>
      <w:tblGrid>
        <w:gridCol w:w="63"/>
        <w:gridCol w:w="5657"/>
        <w:gridCol w:w="36"/>
        <w:gridCol w:w="63"/>
        <w:gridCol w:w="1114"/>
        <w:gridCol w:w="38"/>
        <w:gridCol w:w="37"/>
        <w:gridCol w:w="37"/>
        <w:gridCol w:w="36"/>
        <w:gridCol w:w="49"/>
        <w:gridCol w:w="1114"/>
        <w:gridCol w:w="37"/>
      </w:tblGrid>
      <w:tr w:rsidR="00000000">
        <w:trPr>
          <w:jc w:val="center"/>
        </w:trPr>
        <w:tc>
          <w:tcPr>
            <w:tcW w:w="50" w:type="pct"/>
            <w:vAlign w:val="center"/>
            <w:hideMark/>
          </w:tcPr>
          <w:p w:rsidR="00000000" w:rsidRDefault="00F04B64">
            <w:pPr>
              <w:jc w:val="both"/>
              <w:rPr>
                <w:rFonts w:eastAsia="Times New Roman"/>
              </w:rPr>
            </w:pPr>
          </w:p>
        </w:tc>
        <w:tc>
          <w:tcPr>
            <w:tcW w:w="342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8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8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Store Count Information: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i/>
                <w:iCs/>
                <w:color w:val="000000"/>
                <w:sz w:val="20"/>
                <w:szCs w:val="20"/>
                <w:u w:val="single"/>
              </w:rPr>
              <w:t>Tractor Supply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Beginning of period</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1,923 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New stores opened</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Stores closed</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i/>
                <w:iCs/>
                <w:color w:val="000000"/>
                <w:sz w:val="20"/>
                <w:szCs w:val="20"/>
                <w:u w:val="single"/>
              </w:rPr>
              <w:t>Petsense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Beginning of period</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New stores opened</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Stores closed</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Consolidated, end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Stores relocated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March 26, 2022 and March 27, 2021:</w:t>
      </w:r>
    </w:p>
    <w:p w:rsidR="00000000" w:rsidRDefault="00F04B64">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91"/>
        <w:gridCol w:w="38"/>
        <w:gridCol w:w="42"/>
        <w:gridCol w:w="985"/>
        <w:gridCol w:w="189"/>
        <w:gridCol w:w="37"/>
        <w:gridCol w:w="37"/>
        <w:gridCol w:w="36"/>
        <w:gridCol w:w="42"/>
        <w:gridCol w:w="925"/>
        <w:gridCol w:w="188"/>
        <w:gridCol w:w="36"/>
        <w:gridCol w:w="36"/>
        <w:gridCol w:w="36"/>
        <w:gridCol w:w="36"/>
        <w:gridCol w:w="36"/>
        <w:gridCol w:w="36"/>
        <w:gridCol w:w="36"/>
        <w:gridCol w:w="36"/>
        <w:gridCol w:w="36"/>
        <w:gridCol w:w="36"/>
        <w:gridCol w:w="36"/>
        <w:gridCol w:w="36"/>
      </w:tblGrid>
      <w:tr w:rsidR="00000000">
        <w:trPr>
          <w:gridAfter w:val="12"/>
          <w:jc w:val="center"/>
        </w:trPr>
        <w:tc>
          <w:tcPr>
            <w:tcW w:w="50" w:type="pct"/>
            <w:vAlign w:val="center"/>
            <w:hideMark/>
          </w:tcPr>
          <w:p w:rsidR="00000000" w:rsidRDefault="00F04B64">
            <w:pPr>
              <w:jc w:val="both"/>
              <w:rPr>
                <w:rFonts w:eastAsia="Times New Roman"/>
              </w:rPr>
            </w:pPr>
          </w:p>
        </w:tc>
        <w:tc>
          <w:tcPr>
            <w:tcW w:w="342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8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8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gridAfter w:val="12"/>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Percent of Net Sales</w:t>
            </w:r>
          </w:p>
        </w:tc>
      </w:tr>
      <w:tr w:rsidR="00000000">
        <w:trPr>
          <w:gridAfter w:val="12"/>
          <w:trHeight w:val="230"/>
          <w:jc w:val="center"/>
        </w:trPr>
        <w:tc>
          <w:tcPr>
            <w:tcW w:w="0" w:type="auto"/>
            <w:gridSpan w:val="3"/>
            <w:vMerge w:val="restart"/>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trHeight w:val="160"/>
          <w:jc w:val="center"/>
        </w:trPr>
        <w:tc>
          <w:tcPr>
            <w:tcW w:w="0" w:type="auto"/>
            <w:gridSpan w:val="3"/>
            <w:vMerge/>
            <w:vAlign w:val="center"/>
            <w:hideMark/>
          </w:tcPr>
          <w:p w:rsidR="00000000" w:rsidRDefault="00F04B64">
            <w:pPr>
              <w:spacing w:after="100"/>
              <w:rPr>
                <w:rFonts w:eastAsia="Times New Roman"/>
              </w:rPr>
            </w:pPr>
          </w:p>
        </w:tc>
        <w:tc>
          <w:tcPr>
            <w:tcW w:w="0" w:type="auto"/>
            <w:gridSpan w:val="9"/>
            <w:vMerge/>
            <w:vAlign w:val="center"/>
            <w:hideMark/>
          </w:tcPr>
          <w:p w:rsidR="00000000" w:rsidRDefault="00F04B64">
            <w:pPr>
              <w:spacing w:after="100"/>
              <w:rPr>
                <w:rFonts w:eastAsia="Times New Roman"/>
              </w:rPr>
            </w:pPr>
          </w:p>
        </w:tc>
        <w:tc>
          <w:tcPr>
            <w:tcW w:w="0" w:type="auto"/>
            <w:gridSpan w:val="12"/>
            <w:vAlign w:val="center"/>
            <w:hideMark/>
          </w:tcPr>
          <w:p w:rsidR="00000000" w:rsidRDefault="00F04B64">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Product Category:</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Livestock and Pet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Hardware, Tools and Truck</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Seasonal, Gift and Toy Products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Clothing and Footwear</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Agriculture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bl>
    <w:p w:rsidR="00000000" w:rsidRDefault="00F04B64">
      <w:pPr>
        <w:jc w:val="center"/>
        <w:rPr>
          <w:rFonts w:eastAsia="Times New Roman"/>
        </w:rPr>
      </w:pPr>
      <w:r>
        <w:rPr>
          <w:rFonts w:eastAsia="Times New Roman"/>
          <w:color w:val="000000"/>
          <w:sz w:val="20"/>
          <w:szCs w:val="20"/>
        </w:rPr>
        <w:t> </w:t>
      </w:r>
    </w:p>
    <w:p w:rsidR="00000000" w:rsidRDefault="00F04B64">
      <w:pPr>
        <w:jc w:val="both"/>
        <w:rPr>
          <w:rFonts w:eastAsia="Times New Roman"/>
        </w:rPr>
      </w:pPr>
      <w:r>
        <w:rPr>
          <w:rFonts w:eastAsia="Times New Roman"/>
          <w:color w:val="000000"/>
          <w:sz w:val="20"/>
          <w:szCs w:val="20"/>
        </w:rPr>
        <w:t xml:space="preserve">Gross profit increased 7.4% to $1.06 billion for the first quarter of fiscal 2022 from $983.8 million for the first quarter of fiscal 2021. As a percent of net sales, gross margin in the first quarter of fiscal 2022 decreased 29 basis points to 34.9% from </w:t>
      </w:r>
      <w:r>
        <w:rPr>
          <w:rFonts w:eastAsia="Times New Roman"/>
          <w:color w:val="000000"/>
          <w:sz w:val="20"/>
          <w:szCs w:val="20"/>
        </w:rPr>
        <w:t xml:space="preserve">35.2% </w:t>
      </w:r>
    </w:p>
    <w:p w:rsidR="00000000" w:rsidRDefault="00F04B64">
      <w:pPr>
        <w:jc w:val="center"/>
        <w:divId w:val="525483699"/>
        <w:rPr>
          <w:rFonts w:eastAsia="Times New Roman"/>
        </w:rPr>
      </w:pPr>
      <w:r>
        <w:rPr>
          <w:rFonts w:eastAsia="Times New Roman"/>
          <w:color w:val="000000"/>
          <w:sz w:val="20"/>
          <w:szCs w:val="20"/>
        </w:rPr>
        <w:t>Page 16</w:t>
      </w:r>
    </w:p>
    <w:p w:rsidR="00000000" w:rsidRDefault="00F04B64">
      <w:pPr>
        <w:rPr>
          <w:rFonts w:eastAsia="Times New Roman"/>
        </w:rPr>
      </w:pPr>
      <w:r>
        <w:rPr>
          <w:rFonts w:eastAsia="Times New Roman"/>
        </w:rPr>
        <w:pict>
          <v:rect id="_x0000_i1041" style="width:0;height:1.5pt" o:hralign="center" o:hrstd="t" o:hr="t" fillcolor="#a0a0a0" stroked="f"/>
        </w:pict>
      </w:r>
    </w:p>
    <w:p w:rsidR="00000000" w:rsidRDefault="00F04B64">
      <w:pPr>
        <w:divId w:val="755982592"/>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color w:val="000000"/>
          <w:sz w:val="20"/>
          <w:szCs w:val="20"/>
        </w:rPr>
        <w:t xml:space="preserve">in the first quarter of fiscal 2021. </w:t>
      </w:r>
      <w:r>
        <w:rPr>
          <w:rFonts w:eastAsia="Times New Roman"/>
          <w:color w:val="000000"/>
          <w:sz w:val="20"/>
          <w:szCs w:val="20"/>
        </w:rPr>
        <w:t>The decrease in gross margin as a percent of net sales was primarily driven by higher product cost inflation, higher transportation costs, and product mix shift towards C.U.E. products, which run at a slightly lower margin rate. Heightened transportation c</w:t>
      </w:r>
      <w:r>
        <w:rPr>
          <w:rFonts w:eastAsia="Times New Roman"/>
          <w:color w:val="000000"/>
          <w:sz w:val="20"/>
          <w:szCs w:val="20"/>
        </w:rPr>
        <w:t>osts were caused by increased pressures on domestic and import freight, along with rising fuel prices. The Company's price management program and other key gross margin enhancing initiatives effectively offset a significant portion these gross margin drivi</w:t>
      </w:r>
      <w:r>
        <w:rPr>
          <w:rFonts w:eastAsia="Times New Roman"/>
          <w:color w:val="000000"/>
          <w:sz w:val="20"/>
          <w:szCs w:val="20"/>
        </w:rPr>
        <w:t>ng pressures.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Selling, general and administrative (“SG&amp;A”) expenses, including depreciation and amortization, increased 7.8% to $812.2 million for the first quarter of fiscal 2022 from $753.2 million for the first quarter of fiscal 2021. As a percent of </w:t>
      </w:r>
      <w:r>
        <w:rPr>
          <w:rFonts w:eastAsia="Times New Roman"/>
          <w:color w:val="000000"/>
          <w:sz w:val="20"/>
          <w:szCs w:val="20"/>
        </w:rPr>
        <w:t>net sales, SG&amp;A expenses were 26.9%, an 11 basis point improvement over the prior year's first quarter. The improvement in SG&amp;A as a percent of net sales was primarily attributable to more normalized incentive compensation and a moderation of COVID-19 resp</w:t>
      </w:r>
      <w:r>
        <w:rPr>
          <w:rFonts w:eastAsia="Times New Roman"/>
          <w:color w:val="000000"/>
          <w:sz w:val="20"/>
          <w:szCs w:val="20"/>
        </w:rPr>
        <w:t xml:space="preserve">onse costs, as well as leverage in occupancy and other costs from the increase in comparable store sales. COVID-19 pandemic response costs in the first quarter of fiscal 2022 of approximately $10.3 million consisted of sick pay, benefits, and other health </w:t>
      </w:r>
      <w:r>
        <w:rPr>
          <w:rFonts w:eastAsia="Times New Roman"/>
          <w:color w:val="000000"/>
          <w:sz w:val="20"/>
          <w:szCs w:val="20"/>
        </w:rPr>
        <w:t>and safety related expenses, as compared to approximately $28.4 million in the first quarter of fiscal 2021. The improvement in SG&amp;A expenses was partially offset by investments in store wages and the Company's strategic growth investments.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Operating inc</w:t>
      </w:r>
      <w:r>
        <w:rPr>
          <w:rFonts w:eastAsia="Times New Roman"/>
          <w:color w:val="000000"/>
          <w:sz w:val="20"/>
          <w:szCs w:val="20"/>
        </w:rPr>
        <w:t>ome for the first quarter of fiscal 2022 increased 6.0% to $244.3 million compared to $230.5 million in the first quarter of fiscal 2021.</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effective income tax rate was 21.1% in the first quarter of fiscal 2022 compared to 18.8% in the first quarter o</w:t>
      </w:r>
      <w:r>
        <w:rPr>
          <w:rFonts w:eastAsia="Times New Roman"/>
          <w:color w:val="000000"/>
          <w:sz w:val="20"/>
          <w:szCs w:val="20"/>
        </w:rPr>
        <w:t>f fiscal 2021. The increase in the effective income tax rate in the first three months of fiscal 2022 compared to the first three months of fiscal 2021 was primarily related to a decrease in a discrete incremental tax benefit associated with share-based co</w:t>
      </w:r>
      <w:r>
        <w:rPr>
          <w:rFonts w:eastAsia="Times New Roman"/>
          <w:color w:val="000000"/>
          <w:sz w:val="20"/>
          <w:szCs w:val="20"/>
        </w:rPr>
        <w:t>mpensation.</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As a result of the foregoing factors, net income for the first quarter of fiscal 2022 increased 3.2% to $187.2 million, or $1.65 per diluted share, as compared to net income of $181.4 million, or $1.55 per diluted share, for the first quarter</w:t>
      </w:r>
      <w:r>
        <w:rPr>
          <w:rFonts w:eastAsia="Times New Roman"/>
          <w:color w:val="000000"/>
          <w:sz w:val="20"/>
          <w:szCs w:val="20"/>
        </w:rPr>
        <w:t xml:space="preserve"> of fiscal 2021.</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During the first quarter of fiscal 2022, we repurchased approximately 1.4 million shares of the Company’s common stock at a total cost of $296.2 million as part of our share repurchase program and paid quarterly cash dividends totaling $</w:t>
      </w:r>
      <w:r>
        <w:rPr>
          <w:rFonts w:eastAsia="Times New Roman"/>
          <w:color w:val="000000"/>
          <w:sz w:val="20"/>
          <w:szCs w:val="20"/>
        </w:rPr>
        <w:t>103.5 million, returning approximately $399.6 million to our stockholders.</w:t>
      </w:r>
    </w:p>
    <w:p w:rsidR="00000000" w:rsidRDefault="00F04B64">
      <w:pPr>
        <w:jc w:val="both"/>
        <w:rPr>
          <w:rFonts w:eastAsia="Times New Roman"/>
        </w:rPr>
      </w:pPr>
    </w:p>
    <w:p w:rsidR="00000000" w:rsidRDefault="00F04B64">
      <w:pPr>
        <w:divId w:val="2123838583"/>
        <w:rPr>
          <w:rFonts w:eastAsia="Times New Roman"/>
        </w:rPr>
      </w:pPr>
      <w:r>
        <w:rPr>
          <w:rFonts w:eastAsia="Times New Roman"/>
          <w:b/>
          <w:bCs/>
          <w:color w:val="000000"/>
          <w:sz w:val="20"/>
          <w:szCs w:val="20"/>
        </w:rPr>
        <w:t>Liquidity and Capital Resources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addition to normal operating expenses and expenses associated with our COVID-19 response, our primary ongoing cash requirements are for new st</w:t>
      </w:r>
      <w:r>
        <w:rPr>
          <w:rFonts w:eastAsia="Times New Roman"/>
          <w:color w:val="000000"/>
          <w:sz w:val="20"/>
          <w:szCs w:val="20"/>
        </w:rPr>
        <w:t xml:space="preserve">ore expansion, existing store remodeling and improvements, store relocations, distribution facility capacity and improvements, information technology, inventory purchases, repayment of existing borrowings under our debt facilities, share repurchases, cash </w:t>
      </w:r>
      <w:r>
        <w:rPr>
          <w:rFonts w:eastAsia="Times New Roman"/>
          <w:color w:val="000000"/>
          <w:sz w:val="20"/>
          <w:szCs w:val="20"/>
        </w:rPr>
        <w:t>dividends, and selective acquisitions as opportunities arise.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 facilities, operating and finance leases, and nor</w:t>
      </w:r>
      <w:r>
        <w:rPr>
          <w:rFonts w:eastAsia="Times New Roman"/>
          <w:color w:val="000000"/>
          <w:sz w:val="20"/>
          <w:szCs w:val="20"/>
        </w:rPr>
        <w:t>mal trade credit.  Our inventory and accounts payable levels typically build in the first and third fiscal quarters to support the higher sales volume of the spring and cold-weather selling seasons, respectively.</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We believe that our existing cash balance</w:t>
      </w:r>
      <w:r>
        <w:rPr>
          <w:rFonts w:eastAsia="Times New Roman"/>
          <w:color w:val="000000"/>
          <w:sz w:val="20"/>
          <w:szCs w:val="20"/>
        </w:rPr>
        <w:t>s, expected cash flow from future operations, funds available under our debt facilities, operating and finance leases, and normal trade credit will be sufficient to fund our operations and our capital expenditure needs, including new store openings, existi</w:t>
      </w:r>
      <w:r>
        <w:rPr>
          <w:rFonts w:eastAsia="Times New Roman"/>
          <w:color w:val="000000"/>
          <w:sz w:val="20"/>
          <w:szCs w:val="20"/>
        </w:rPr>
        <w:t>ng store remodeling and improvements, store relocations, distribution facility capacity and improvements, and information technology improvements, through the end of fiscal 2022 and through the next several fiscal years. We are not aware of any trends or e</w:t>
      </w:r>
      <w:r>
        <w:rPr>
          <w:rFonts w:eastAsia="Times New Roman"/>
          <w:color w:val="000000"/>
          <w:sz w:val="20"/>
          <w:szCs w:val="20"/>
        </w:rPr>
        <w:t>vents that would materially affect our capital requirements or liquidity.</w:t>
      </w:r>
    </w:p>
    <w:p w:rsidR="00000000" w:rsidRDefault="00F04B64">
      <w:pPr>
        <w:jc w:val="both"/>
        <w:rPr>
          <w:rFonts w:eastAsia="Times New Roman"/>
        </w:rPr>
      </w:pPr>
    </w:p>
    <w:p w:rsidR="00000000" w:rsidRDefault="00F04B64">
      <w:pPr>
        <w:jc w:val="center"/>
        <w:divId w:val="1654597360"/>
        <w:rPr>
          <w:rFonts w:eastAsia="Times New Roman"/>
        </w:rPr>
      </w:pPr>
      <w:r>
        <w:rPr>
          <w:rFonts w:eastAsia="Times New Roman"/>
          <w:color w:val="000000"/>
          <w:sz w:val="20"/>
          <w:szCs w:val="20"/>
        </w:rPr>
        <w:t>Page 17</w:t>
      </w:r>
    </w:p>
    <w:p w:rsidR="00000000" w:rsidRDefault="00F04B64">
      <w:pPr>
        <w:rPr>
          <w:rFonts w:eastAsia="Times New Roman"/>
        </w:rPr>
      </w:pPr>
      <w:r>
        <w:rPr>
          <w:rFonts w:eastAsia="Times New Roman"/>
        </w:rPr>
        <w:pict>
          <v:rect id="_x0000_i1042" style="width:0;height:1.5pt" o:hralign="center" o:hrstd="t" o:hr="t" fillcolor="#a0a0a0" stroked="f"/>
        </w:pict>
      </w:r>
    </w:p>
    <w:p w:rsidR="00000000" w:rsidRDefault="00F04B64">
      <w:pPr>
        <w:divId w:val="1468205381"/>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1349717060"/>
        <w:rPr>
          <w:rFonts w:eastAsia="Times New Roman"/>
        </w:rPr>
      </w:pPr>
      <w:r>
        <w:rPr>
          <w:rFonts w:eastAsia="Times New Roman"/>
          <w:b/>
          <w:bCs/>
          <w:color w:val="000000"/>
          <w:sz w:val="20"/>
          <w:szCs w:val="20"/>
        </w:rPr>
        <w:t>Working Capital</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At March 26, 2022, the Company had working capital of </w:t>
      </w:r>
      <w:r>
        <w:rPr>
          <w:rFonts w:eastAsia="Times New Roman"/>
          <w:color w:val="000000"/>
          <w:sz w:val="20"/>
          <w:szCs w:val="20"/>
        </w:rPr>
        <w:t>$968.6 million, which decreased $217.0 million from December 25, 2021, and decreased $436.3 million from March 27, 2021.  The shifts in working capital were attributable to changes in the following components of current assets and current liabilities (in m</w:t>
      </w:r>
      <w:r>
        <w:rPr>
          <w:rFonts w:eastAsia="Times New Roman"/>
          <w:color w:val="000000"/>
          <w:sz w:val="20"/>
          <w:szCs w:val="20"/>
        </w:rPr>
        <w:t>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004"/>
        <w:gridCol w:w="38"/>
        <w:gridCol w:w="120"/>
        <w:gridCol w:w="910"/>
        <w:gridCol w:w="36"/>
        <w:gridCol w:w="36"/>
        <w:gridCol w:w="36"/>
        <w:gridCol w:w="36"/>
        <w:gridCol w:w="121"/>
        <w:gridCol w:w="853"/>
        <w:gridCol w:w="36"/>
        <w:gridCol w:w="36"/>
        <w:gridCol w:w="36"/>
        <w:gridCol w:w="36"/>
        <w:gridCol w:w="121"/>
        <w:gridCol w:w="726"/>
        <w:gridCol w:w="36"/>
        <w:gridCol w:w="36"/>
        <w:gridCol w:w="36"/>
        <w:gridCol w:w="36"/>
        <w:gridCol w:w="120"/>
        <w:gridCol w:w="795"/>
        <w:gridCol w:w="36"/>
        <w:gridCol w:w="36"/>
        <w:gridCol w:w="36"/>
        <w:gridCol w:w="36"/>
        <w:gridCol w:w="121"/>
        <w:gridCol w:w="726"/>
        <w:gridCol w:w="36"/>
      </w:tblGrid>
      <w:tr w:rsidR="00000000">
        <w:trPr>
          <w:jc w:val="center"/>
        </w:trPr>
        <w:tc>
          <w:tcPr>
            <w:tcW w:w="50" w:type="pct"/>
            <w:vAlign w:val="center"/>
            <w:hideMark/>
          </w:tcPr>
          <w:p w:rsidR="00000000" w:rsidRDefault="00F04B64">
            <w:pPr>
              <w:jc w:val="both"/>
              <w:rPr>
                <w:rFonts w:eastAsia="Times New Roman"/>
              </w:rPr>
            </w:pPr>
          </w:p>
        </w:tc>
        <w:tc>
          <w:tcPr>
            <w:tcW w:w="186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3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Variance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Current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405.4 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878.0 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(472.6)</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1,149.9 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(744.5)</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2,568.2 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2,191.2 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377.0 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2,084.7 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483.5 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185.6 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164.1 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146.2 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39.4 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60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current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3,168.2 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3,250.4 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3,380.8 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Current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1,341.6 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1,155.6 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186.0 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1,181.9 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159.7 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Accrued employee compensation</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109.6 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(60.5)</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445.1 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474.4 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(29.3)</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377.8 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67.3 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Current portion of finance lease liabilities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Current portion of 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359.8 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321.3 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303.2 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56.6 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40.2 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(40.2)</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current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2,199.6 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2,064.8 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Working capital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(436.3)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comparison to December 25, 2021, working capital as of March </w:t>
      </w:r>
      <w:r>
        <w:rPr>
          <w:rFonts w:eastAsia="Times New Roman"/>
          <w:color w:val="000000"/>
          <w:sz w:val="20"/>
          <w:szCs w:val="20"/>
        </w:rPr>
        <w:t>26, 2022, was impacted most significantly by changes in cash and cash equivalents, inventories, and accounts payable.</w:t>
      </w:r>
    </w:p>
    <w:p w:rsidR="00000000" w:rsidRDefault="00F04B64">
      <w:pPr>
        <w:jc w:val="both"/>
        <w:rPr>
          <w:rFonts w:eastAsia="Times New Roman"/>
        </w:rPr>
      </w:pPr>
    </w:p>
    <w:p w:rsidR="00000000" w:rsidRDefault="00F04B64">
      <w:pPr>
        <w:ind w:hanging="180"/>
        <w:jc w:val="both"/>
        <w:rPr>
          <w:rFonts w:eastAsia="Times New Roman"/>
        </w:rPr>
      </w:pPr>
      <w:r>
        <w:rPr>
          <w:rFonts w:eastAsia="Times New Roman"/>
          <w:color w:val="000000"/>
          <w:sz w:val="20"/>
          <w:szCs w:val="20"/>
        </w:rPr>
        <w:t>•The decrease in cash and cash equivalents was primarily driven by uses of cash for share repurchases, capital expenditures to support s</w:t>
      </w:r>
      <w:r>
        <w:rPr>
          <w:rFonts w:eastAsia="Times New Roman"/>
          <w:color w:val="000000"/>
          <w:sz w:val="20"/>
          <w:szCs w:val="20"/>
        </w:rPr>
        <w:t>trategic growth, and dividends to stockholders, partially offset by cash generated from operations.</w:t>
      </w:r>
    </w:p>
    <w:p w:rsidR="00000000" w:rsidRDefault="00F04B64">
      <w:pPr>
        <w:ind w:hanging="180"/>
        <w:jc w:val="both"/>
        <w:rPr>
          <w:rFonts w:eastAsia="Times New Roman"/>
        </w:rPr>
      </w:pPr>
      <w:r>
        <w:rPr>
          <w:rFonts w:eastAsia="Times New Roman"/>
          <w:color w:val="000000"/>
          <w:sz w:val="20"/>
          <w:szCs w:val="20"/>
        </w:rPr>
        <w:t>•The increase in inventories and accounts payable resulted primarily from the purchase of additional inventory as part of the normal seasonal patterns to su</w:t>
      </w:r>
      <w:r>
        <w:rPr>
          <w:rFonts w:eastAsia="Times New Roman"/>
          <w:color w:val="000000"/>
          <w:sz w:val="20"/>
          <w:szCs w:val="20"/>
        </w:rPr>
        <w:t>pport the spring selling season as well as the impact of inflation.</w:t>
      </w:r>
    </w:p>
    <w:p w:rsidR="00000000" w:rsidRDefault="00F04B64">
      <w:pPr>
        <w:ind w:firstLine="180"/>
        <w:jc w:val="both"/>
        <w:rPr>
          <w:rFonts w:eastAsia="Times New Roman"/>
        </w:rPr>
      </w:pPr>
    </w:p>
    <w:p w:rsidR="00000000" w:rsidRDefault="00F04B64">
      <w:pPr>
        <w:jc w:val="center"/>
        <w:divId w:val="1436512685"/>
        <w:rPr>
          <w:rFonts w:eastAsia="Times New Roman"/>
        </w:rPr>
      </w:pPr>
      <w:r>
        <w:rPr>
          <w:rFonts w:eastAsia="Times New Roman"/>
          <w:color w:val="000000"/>
          <w:sz w:val="20"/>
          <w:szCs w:val="20"/>
        </w:rPr>
        <w:t>Page 18</w:t>
      </w:r>
    </w:p>
    <w:p w:rsidR="00000000" w:rsidRDefault="00F04B64">
      <w:pPr>
        <w:rPr>
          <w:rFonts w:eastAsia="Times New Roman"/>
        </w:rPr>
      </w:pPr>
      <w:r>
        <w:rPr>
          <w:rFonts w:eastAsia="Times New Roman"/>
        </w:rPr>
        <w:pict>
          <v:rect id="_x0000_i1043" style="width:0;height:1.5pt" o:hralign="center" o:hrstd="t" o:hr="t" fillcolor="#a0a0a0" stroked="f"/>
        </w:pict>
      </w:r>
    </w:p>
    <w:p w:rsidR="00000000" w:rsidRDefault="00F04B64">
      <w:pPr>
        <w:divId w:val="1610045495"/>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color w:val="000000"/>
          <w:sz w:val="20"/>
          <w:szCs w:val="20"/>
        </w:rPr>
        <w:t>In comparison to March </w:t>
      </w:r>
      <w:r>
        <w:rPr>
          <w:rFonts w:eastAsia="Times New Roman"/>
          <w:color w:val="000000"/>
          <w:sz w:val="20"/>
          <w:szCs w:val="20"/>
        </w:rPr>
        <w:t>27, 2021, working capital as of March 26, 2022, was impacted most significantly by changes in cash and cash equivalents, inventories, and accounts payable.</w:t>
      </w:r>
    </w:p>
    <w:p w:rsidR="00000000" w:rsidRDefault="00F04B64">
      <w:pPr>
        <w:jc w:val="both"/>
        <w:rPr>
          <w:rFonts w:eastAsia="Times New Roman"/>
        </w:rPr>
      </w:pPr>
    </w:p>
    <w:p w:rsidR="00000000" w:rsidRDefault="00F04B64">
      <w:pPr>
        <w:ind w:hanging="180"/>
        <w:jc w:val="both"/>
        <w:rPr>
          <w:rFonts w:eastAsia="Times New Roman"/>
        </w:rPr>
      </w:pPr>
      <w:r>
        <w:rPr>
          <w:rFonts w:eastAsia="Times New Roman"/>
          <w:color w:val="000000"/>
          <w:sz w:val="20"/>
          <w:szCs w:val="20"/>
        </w:rPr>
        <w:t>•The decrease in cash and cash equivalents was primarily driven by uses of cash for share repurcha</w:t>
      </w:r>
      <w:r>
        <w:rPr>
          <w:rFonts w:eastAsia="Times New Roman"/>
          <w:color w:val="000000"/>
          <w:sz w:val="20"/>
          <w:szCs w:val="20"/>
        </w:rPr>
        <w:t>ses, capital expenditures to support strategic growth, and dividends to stockholders, partially offset by cash generated from operations.</w:t>
      </w:r>
    </w:p>
    <w:p w:rsidR="00000000" w:rsidRDefault="00F04B64">
      <w:pPr>
        <w:ind w:hanging="180"/>
        <w:jc w:val="both"/>
        <w:rPr>
          <w:rFonts w:eastAsia="Times New Roman"/>
        </w:rPr>
      </w:pPr>
      <w:r>
        <w:rPr>
          <w:rFonts w:eastAsia="Times New Roman"/>
          <w:color w:val="000000"/>
          <w:sz w:val="20"/>
          <w:szCs w:val="20"/>
        </w:rPr>
        <w:t>•The increase in inventories and accounts payable resulted primarily from heightened inventory needs in response to st</w:t>
      </w:r>
      <w:r>
        <w:rPr>
          <w:rFonts w:eastAsia="Times New Roman"/>
          <w:color w:val="000000"/>
          <w:sz w:val="20"/>
          <w:szCs w:val="20"/>
        </w:rPr>
        <w:t>rong sales volume trends, the impact of inflation, and additional inventory purchases to support new store growth.</w:t>
      </w:r>
    </w:p>
    <w:p w:rsidR="00000000" w:rsidRDefault="00F04B64">
      <w:pPr>
        <w:ind w:firstLine="180"/>
        <w:jc w:val="both"/>
        <w:rPr>
          <w:rFonts w:eastAsia="Times New Roman"/>
        </w:rPr>
      </w:pPr>
    </w:p>
    <w:p w:rsidR="00000000" w:rsidRDefault="00F04B64">
      <w:pPr>
        <w:jc w:val="both"/>
        <w:rPr>
          <w:rFonts w:eastAsia="Times New Roman"/>
        </w:rPr>
      </w:pPr>
      <w:r>
        <w:rPr>
          <w:rFonts w:eastAsia="Times New Roman"/>
          <w:b/>
          <w:bCs/>
          <w:color w:val="000000"/>
          <w:sz w:val="20"/>
          <w:szCs w:val="20"/>
        </w:rPr>
        <w:t>Debt</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following table summarizes the Company’s outstanding debt as of the dates indicated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313"/>
        <w:gridCol w:w="38"/>
        <w:gridCol w:w="36"/>
        <w:gridCol w:w="36"/>
        <w:gridCol w:w="36"/>
        <w:gridCol w:w="121"/>
        <w:gridCol w:w="1032"/>
        <w:gridCol w:w="36"/>
        <w:gridCol w:w="36"/>
        <w:gridCol w:w="36"/>
        <w:gridCol w:w="36"/>
        <w:gridCol w:w="121"/>
        <w:gridCol w:w="1032"/>
        <w:gridCol w:w="36"/>
        <w:gridCol w:w="36"/>
        <w:gridCol w:w="36"/>
        <w:gridCol w:w="36"/>
        <w:gridCol w:w="121"/>
        <w:gridCol w:w="1032"/>
        <w:gridCol w:w="36"/>
      </w:tblGrid>
      <w:tr w:rsidR="00000000">
        <w:trPr>
          <w:jc w:val="center"/>
        </w:trPr>
        <w:tc>
          <w:tcPr>
            <w:tcW w:w="50" w:type="pct"/>
            <w:vAlign w:val="center"/>
            <w:hideMark/>
          </w:tcPr>
          <w:p w:rsidR="00000000" w:rsidRDefault="00F04B64">
            <w:pPr>
              <w:jc w:val="both"/>
              <w:rPr>
                <w:rFonts w:eastAsia="Times New Roman"/>
              </w:rPr>
            </w:pPr>
          </w:p>
        </w:tc>
        <w:tc>
          <w:tcPr>
            <w:tcW w:w="263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7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December 25,</w:t>
            </w:r>
            <w:r>
              <w:rPr>
                <w:rFonts w:eastAsia="Times New Roman"/>
                <w:b/>
                <w:bCs/>
                <w:color w:val="000000"/>
                <w:sz w:val="20"/>
                <w:szCs w:val="20"/>
              </w:rPr>
              <w:br/>
              <w:t>2021</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1.75% Senior Notes due 2030</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3.70% Senior Notes due 2029</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Senior Credit Facility:</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November 2020 Term Loan</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Revolving credit loans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outstanding borrowings</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Less: unamortized debt discounts and issuance costs</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984.8 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trHeight w:val="160"/>
          <w:jc w:val="center"/>
        </w:trPr>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Outstanding letters of credit</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r>
        <w:rPr>
          <w:rFonts w:eastAsia="Times New Roman"/>
          <w:color w:val="000000"/>
          <w:sz w:val="20"/>
          <w:szCs w:val="20"/>
        </w:rPr>
        <w:t xml:space="preserve">For additional information about the Company’s debt and credit facilities, refer to </w:t>
      </w:r>
      <w:hyperlink w:anchor="i6ab5f063bb0d49af8f180f04f663b228_46" w:history="1">
        <w:r>
          <w:rPr>
            <w:rStyle w:val="a3"/>
            <w:rFonts w:eastAsia="Times New Roman"/>
            <w:sz w:val="20"/>
            <w:szCs w:val="20"/>
          </w:rPr>
          <w:t>Note 5</w:t>
        </w:r>
      </w:hyperlink>
      <w:r>
        <w:rPr>
          <w:rFonts w:eastAsia="Times New Roman"/>
          <w:color w:val="000000"/>
          <w:sz w:val="20"/>
          <w:szCs w:val="20"/>
        </w:rPr>
        <w:t xml:space="preserve"> to the Condensed Consolidated Financial Statements.</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Operating Activities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Operating activities provided net cash of $59.1 million and $177.1 million in the first three months of fiscal 2022 and fiscal 2021, respectively.  The $118.0 million decrease in net cash provided by operating activities in the fir</w:t>
      </w:r>
      <w:r>
        <w:rPr>
          <w:rFonts w:eastAsia="Times New Roman"/>
          <w:color w:val="000000"/>
          <w:sz w:val="20"/>
          <w:szCs w:val="20"/>
        </w:rPr>
        <w:t>st three months of fiscal 2022 compared to the first three months of fiscal 2021 is due to changes in the following operating activities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4945"/>
        <w:gridCol w:w="37"/>
        <w:gridCol w:w="120"/>
        <w:gridCol w:w="940"/>
        <w:gridCol w:w="36"/>
        <w:gridCol w:w="36"/>
        <w:gridCol w:w="36"/>
        <w:gridCol w:w="36"/>
        <w:gridCol w:w="120"/>
        <w:gridCol w:w="899"/>
        <w:gridCol w:w="36"/>
        <w:gridCol w:w="36"/>
        <w:gridCol w:w="36"/>
        <w:gridCol w:w="36"/>
        <w:gridCol w:w="121"/>
        <w:gridCol w:w="736"/>
        <w:gridCol w:w="36"/>
      </w:tblGrid>
      <w:tr w:rsidR="00000000">
        <w:trPr>
          <w:jc w:val="center"/>
        </w:trPr>
        <w:tc>
          <w:tcPr>
            <w:tcW w:w="50" w:type="pct"/>
            <w:vAlign w:val="center"/>
            <w:hideMark/>
          </w:tcPr>
          <w:p w:rsidR="00000000" w:rsidRDefault="00F04B64">
            <w:pPr>
              <w:jc w:val="both"/>
              <w:rPr>
                <w:rFonts w:eastAsia="Times New Roman"/>
              </w:rPr>
            </w:pPr>
          </w:p>
        </w:tc>
        <w:tc>
          <w:tcPr>
            <w:tcW w:w="301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77.6 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39.9 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Inventories and accounts payable</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(191.0)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(95.6)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(95.4)</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(21.5)</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Accrued expenses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(89.0)</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(92.7)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provided by operating activities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(118.0)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$118.0 million decrease in net cash provided by operating activities in the first three months of fiscal 2022 compared to the first three months of fiscal 2021 principally resulted from the significant increase in inventory and accounts payable as well</w:t>
      </w:r>
      <w:r>
        <w:rPr>
          <w:rFonts w:eastAsia="Times New Roman"/>
          <w:color w:val="000000"/>
          <w:sz w:val="20"/>
          <w:szCs w:val="20"/>
        </w:rPr>
        <w:t xml:space="preserve"> as the timing of payments and accruals.</w:t>
      </w:r>
    </w:p>
    <w:p w:rsidR="00000000" w:rsidRDefault="00F04B64">
      <w:pPr>
        <w:jc w:val="center"/>
        <w:divId w:val="1584949585"/>
        <w:rPr>
          <w:rFonts w:eastAsia="Times New Roman"/>
        </w:rPr>
      </w:pPr>
      <w:r>
        <w:rPr>
          <w:rFonts w:eastAsia="Times New Roman"/>
          <w:color w:val="000000"/>
          <w:sz w:val="20"/>
          <w:szCs w:val="20"/>
        </w:rPr>
        <w:t>Page 19</w:t>
      </w:r>
    </w:p>
    <w:p w:rsidR="00000000" w:rsidRDefault="00F04B64">
      <w:pPr>
        <w:rPr>
          <w:rFonts w:eastAsia="Times New Roman"/>
        </w:rPr>
      </w:pPr>
      <w:r>
        <w:rPr>
          <w:rFonts w:eastAsia="Times New Roman"/>
        </w:rPr>
        <w:pict>
          <v:rect id="_x0000_i1044" style="width:0;height:1.5pt" o:hralign="center" o:hrstd="t" o:hr="t" fillcolor="#a0a0a0" stroked="f"/>
        </w:pict>
      </w:r>
    </w:p>
    <w:p w:rsidR="00000000" w:rsidRDefault="00F04B64">
      <w:pPr>
        <w:divId w:val="536354246"/>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187566130"/>
        <w:rPr>
          <w:rFonts w:eastAsia="Times New Roman"/>
        </w:rPr>
      </w:pPr>
    </w:p>
    <w:p w:rsidR="00000000" w:rsidRDefault="00F04B64">
      <w:pPr>
        <w:divId w:val="1948849581"/>
        <w:rPr>
          <w:rFonts w:eastAsia="Times New Roman"/>
        </w:rPr>
      </w:pPr>
      <w:r>
        <w:rPr>
          <w:rFonts w:eastAsia="Times New Roman"/>
          <w:b/>
          <w:bCs/>
          <w:color w:val="000000"/>
          <w:sz w:val="20"/>
          <w:szCs w:val="20"/>
        </w:rPr>
        <w:t>Investing Activities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Investing activities used net cash of $112.3 million and $100.5 million in the fi</w:t>
      </w:r>
      <w:r>
        <w:rPr>
          <w:rFonts w:eastAsia="Times New Roman"/>
          <w:color w:val="000000"/>
          <w:sz w:val="20"/>
          <w:szCs w:val="20"/>
        </w:rPr>
        <w:t xml:space="preserve">rst three months of fiscal 2022 and fiscal 2021, respectively. The $11.8 million increase in net cash used in investing activities primarily reflects an increase in capital expenditures in the first three months of fiscal 2022 compared to fiscal 2021.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w:t>
      </w:r>
      <w:r>
        <w:rPr>
          <w:rFonts w:eastAsia="Times New Roman"/>
          <w:color w:val="000000"/>
          <w:sz w:val="20"/>
          <w:szCs w:val="20"/>
        </w:rPr>
        <w:t>nvesting activities, including capital expenditures, for the first three months of fiscal 2022 and fiscal 2021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02"/>
        <w:gridCol w:w="38"/>
        <w:gridCol w:w="120"/>
        <w:gridCol w:w="940"/>
        <w:gridCol w:w="36"/>
        <w:gridCol w:w="36"/>
        <w:gridCol w:w="36"/>
        <w:gridCol w:w="36"/>
        <w:gridCol w:w="120"/>
        <w:gridCol w:w="901"/>
        <w:gridCol w:w="36"/>
        <w:gridCol w:w="36"/>
        <w:gridCol w:w="36"/>
        <w:gridCol w:w="36"/>
        <w:gridCol w:w="121"/>
        <w:gridCol w:w="901"/>
        <w:gridCol w:w="36"/>
      </w:tblGrid>
      <w:tr w:rsidR="00000000">
        <w:trPr>
          <w:jc w:val="center"/>
        </w:trPr>
        <w:tc>
          <w:tcPr>
            <w:tcW w:w="50" w:type="pct"/>
            <w:vAlign w:val="center"/>
            <w:hideMark/>
          </w:tcPr>
          <w:p w:rsidR="00000000" w:rsidRDefault="00F04B64">
            <w:pPr>
              <w:jc w:val="both"/>
              <w:rPr>
                <w:rFonts w:eastAsia="Times New Roman"/>
              </w:rPr>
            </w:pPr>
          </w:p>
        </w:tc>
        <w:tc>
          <w:tcPr>
            <w:tcW w:w="292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Existing stores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Information technology</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(18.4)</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(30.9)</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Distribution center capacity and improvements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(13.8)</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New and relocated stores and stores not yet opened</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(12.5)</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Total capital expenditures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Proceeds from sale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used in investing activities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(100.5)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vAlign w:val="center"/>
            <w:hideMark/>
          </w:tcPr>
          <w:p w:rsidR="00000000" w:rsidRDefault="00F04B64">
            <w:pPr>
              <w:spacing w:after="100"/>
              <w:jc w:val="right"/>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increase in spending for existing stores in the first three months of fiscal 2022 as compared to the first three months of fiscal 2021 principally reflects our strategic initiatives related to store remodels, including internal space productivity and t</w:t>
      </w:r>
      <w:r>
        <w:rPr>
          <w:rFonts w:eastAsia="Times New Roman"/>
          <w:color w:val="000000"/>
          <w:sz w:val="20"/>
          <w:szCs w:val="20"/>
        </w:rPr>
        <w:t xml:space="preserve">he outside side lot improvements. Spending in the first three months of both fiscal 2022 and fiscal 2021 also includes routine refresh activity, as well as security enhancements.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decrease in spending for information technology in the first three mon</w:t>
      </w:r>
      <w:r>
        <w:rPr>
          <w:rFonts w:eastAsia="Times New Roman"/>
          <w:color w:val="000000"/>
          <w:sz w:val="20"/>
          <w:szCs w:val="20"/>
        </w:rPr>
        <w:t>ths of fiscal 2022 as compared to the first three months of fiscal 2021 is principally due to timing as we anticipate our spending for the year to be generally in line with the prior year. Expenditures for information technology represent continued support</w:t>
      </w:r>
      <w:r>
        <w:rPr>
          <w:rFonts w:eastAsia="Times New Roman"/>
          <w:color w:val="000000"/>
          <w:sz w:val="20"/>
          <w:szCs w:val="20"/>
        </w:rPr>
        <w:t xml:space="preserve"> for our omni-channel initiatives, improvements in security and compliance, enhancements to our customer loyalty program, mobility in our stores, and other strategic initiatives.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In the first three months of fiscal 2022, the Company opened no new Tractor</w:t>
      </w:r>
      <w:r>
        <w:rPr>
          <w:rFonts w:eastAsia="Times New Roman"/>
          <w:color w:val="000000"/>
          <w:sz w:val="20"/>
          <w:szCs w:val="20"/>
        </w:rPr>
        <w:t xml:space="preserve"> Supply stores compared to 21 new Tractor Supply stores during the first three months of fiscal 2021. The Company also opened one new Petsense store during each of the first three months of fiscal 2022 and fiscal 2021. Tractor Supply new store openings wer</w:t>
      </w:r>
      <w:r>
        <w:rPr>
          <w:rFonts w:eastAsia="Times New Roman"/>
          <w:color w:val="000000"/>
          <w:sz w:val="20"/>
          <w:szCs w:val="20"/>
        </w:rPr>
        <w:t xml:space="preserve">e delayed during the quarter by lingering impacts from the COVID-19 pandemic and challenges facing the construction industry. The new store expenditures in the first quarter of fiscal 2022 represent the remaining costs for stores that opened in the fourth </w:t>
      </w:r>
      <w:r>
        <w:rPr>
          <w:rFonts w:eastAsia="Times New Roman"/>
          <w:color w:val="000000"/>
          <w:sz w:val="20"/>
          <w:szCs w:val="20"/>
        </w:rPr>
        <w:t>quarter of 2021 and the costs for new stores scheduled to open later in the year. We continue to expect to open approximately 75 to 80 new Tractor Supply stores and approximately 10 new Petsense stores during fiscal 2022.</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increase in spending for dis</w:t>
      </w:r>
      <w:r>
        <w:rPr>
          <w:rFonts w:eastAsia="Times New Roman"/>
          <w:color w:val="000000"/>
          <w:sz w:val="20"/>
          <w:szCs w:val="20"/>
        </w:rPr>
        <w:t>tribution center capacity and improvements in the first three months of fiscal 2022 as compared to the first three months of fiscal 2021 is related to the construction of a new distribution center in Navarre, Ohio, which is expected to be approximately 900</w:t>
      </w:r>
      <w:r>
        <w:rPr>
          <w:rFonts w:eastAsia="Times New Roman"/>
          <w:color w:val="000000"/>
          <w:sz w:val="20"/>
          <w:szCs w:val="20"/>
        </w:rPr>
        <w:t xml:space="preserve">,000 square feet.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Our projected capital expenditures for fiscal 2022 are currently estimated to be in a range of approximately $625 million to $675 million. </w:t>
      </w:r>
      <w:r>
        <w:rPr>
          <w:rFonts w:eastAsia="Times New Roman"/>
          <w:color w:val="000000"/>
          <w:sz w:val="20"/>
          <w:szCs w:val="20"/>
        </w:rPr>
        <w:t>The capital expenditures include a plan to open approximately 75 to 80 new Tractor Supply stores, to remodel more than 150 stores, and to transform the side lots in approximately 100 locations, along with opening 10 new Petsense stores. Additionally, we pl</w:t>
      </w:r>
      <w:r>
        <w:rPr>
          <w:rFonts w:eastAsia="Times New Roman"/>
          <w:color w:val="000000"/>
          <w:sz w:val="20"/>
          <w:szCs w:val="20"/>
        </w:rPr>
        <w:t>an to begin construction in the middle of fiscal 2022 on a new distribution center in Maumelle, Arkansas, which is currently anticipated to be complete in late 2023. In addition, we plan to support our continued improvements in technology and infrastructur</w:t>
      </w:r>
      <w:r>
        <w:rPr>
          <w:rFonts w:eastAsia="Times New Roman"/>
          <w:color w:val="000000"/>
          <w:sz w:val="20"/>
          <w:szCs w:val="20"/>
        </w:rPr>
        <w:t>e at our existing stores and ongoing investments to enhance our digital and omni-channel capabilities to allow our team members to better serve our customers and to provide an even greater overall shopping experience.</w:t>
      </w:r>
    </w:p>
    <w:p w:rsidR="00000000" w:rsidRDefault="00F04B64">
      <w:pPr>
        <w:divId w:val="723918158"/>
        <w:rPr>
          <w:rFonts w:eastAsia="Times New Roman"/>
        </w:rPr>
      </w:pPr>
    </w:p>
    <w:p w:rsidR="00000000" w:rsidRDefault="00F04B64">
      <w:pPr>
        <w:jc w:val="center"/>
        <w:divId w:val="1269314166"/>
        <w:rPr>
          <w:rFonts w:eastAsia="Times New Roman"/>
        </w:rPr>
      </w:pPr>
      <w:r>
        <w:rPr>
          <w:rFonts w:eastAsia="Times New Roman"/>
          <w:color w:val="000000"/>
          <w:sz w:val="20"/>
          <w:szCs w:val="20"/>
        </w:rPr>
        <w:t>Page 20</w:t>
      </w:r>
    </w:p>
    <w:p w:rsidR="00000000" w:rsidRDefault="00F04B64">
      <w:pPr>
        <w:rPr>
          <w:rFonts w:eastAsia="Times New Roman"/>
        </w:rPr>
      </w:pPr>
      <w:r>
        <w:rPr>
          <w:rFonts w:eastAsia="Times New Roman"/>
        </w:rPr>
        <w:pict>
          <v:rect id="_x0000_i1045" style="width:0;height:1.5pt" o:hralign="center" o:hrstd="t" o:hr="t" fillcolor="#a0a0a0" stroked="f"/>
        </w:pict>
      </w:r>
    </w:p>
    <w:p w:rsidR="00000000" w:rsidRDefault="00F04B64">
      <w:pPr>
        <w:divId w:val="1417676197"/>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rPr>
        <w:t>Financing Activities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Financing activities used net cash of $419.4 million in the first three months of fiscal 2022 compared to using net cash of $268.4 million in the first three mon</w:t>
      </w:r>
      <w:r>
        <w:rPr>
          <w:rFonts w:eastAsia="Times New Roman"/>
          <w:color w:val="000000"/>
          <w:sz w:val="20"/>
          <w:szCs w:val="20"/>
        </w:rPr>
        <w:t>ths of fiscal 2021. The $151.0 million change in net cash used in financing activities in the first three months of fiscal 2022 compared to the first three months of fiscal 2021 is due to changes in the following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803"/>
        <w:gridCol w:w="37"/>
        <w:gridCol w:w="120"/>
        <w:gridCol w:w="941"/>
        <w:gridCol w:w="36"/>
        <w:gridCol w:w="36"/>
        <w:gridCol w:w="36"/>
        <w:gridCol w:w="36"/>
        <w:gridCol w:w="120"/>
        <w:gridCol w:w="901"/>
        <w:gridCol w:w="36"/>
        <w:gridCol w:w="36"/>
        <w:gridCol w:w="36"/>
        <w:gridCol w:w="36"/>
        <w:gridCol w:w="121"/>
        <w:gridCol w:w="901"/>
        <w:gridCol w:w="36"/>
      </w:tblGrid>
      <w:tr w:rsidR="00000000">
        <w:trPr>
          <w:jc w:val="center"/>
        </w:trPr>
        <w:tc>
          <w:tcPr>
            <w:tcW w:w="50" w:type="pct"/>
            <w:vAlign w:val="center"/>
            <w:hideMark/>
          </w:tcPr>
          <w:p w:rsidR="00000000" w:rsidRDefault="00F04B64">
            <w:pPr>
              <w:jc w:val="both"/>
              <w:rPr>
                <w:rFonts w:eastAsia="Times New Roman"/>
              </w:rPr>
            </w:pPr>
          </w:p>
        </w:tc>
        <w:tc>
          <w:tcPr>
            <w:tcW w:w="292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9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Variance</w:t>
            </w:r>
          </w:p>
        </w:tc>
      </w:tr>
      <w:tr w:rsidR="00000000">
        <w:trPr>
          <w:jc w:val="center"/>
        </w:trPr>
        <w:tc>
          <w:tcPr>
            <w:tcW w:w="0" w:type="auto"/>
            <w:gridSpan w:val="3"/>
            <w:vAlign w:val="center"/>
            <w:hideMark/>
          </w:tcPr>
          <w:p w:rsidR="00000000" w:rsidRDefault="00F04B64">
            <w:pPr>
              <w:spacing w:after="100"/>
              <w:jc w:val="center"/>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Repurchase of common stock</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(253.4)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(50.8)</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Cash dividends paid to stockholders</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(103.5)</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(60.6)</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(42.9)</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Net cash used in financing activities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(419.4)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(268.4)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r>
    </w:tbl>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$151.0 million change in net cash used in financing activities in the first three months of fiscal 2022 compared to the first three months of fiscal 2021 is principally due to an increase in total shareholder return via the repurchase of common stock a</w:t>
      </w:r>
      <w:r>
        <w:rPr>
          <w:rFonts w:eastAsia="Times New Roman"/>
          <w:color w:val="000000"/>
          <w:sz w:val="20"/>
          <w:szCs w:val="20"/>
        </w:rPr>
        <w:t>nd cash dividends paid to stockholders and a decrease in net proceeds from the issuance of common stock related to the exercise of stock awards.</w:t>
      </w:r>
    </w:p>
    <w:p w:rsidR="00000000" w:rsidRDefault="00F04B64">
      <w:pPr>
        <w:divId w:val="200827835"/>
        <w:rPr>
          <w:rFonts w:eastAsia="Times New Roman"/>
        </w:rPr>
      </w:pPr>
    </w:p>
    <w:p w:rsidR="00000000" w:rsidRDefault="00F04B64">
      <w:pPr>
        <w:divId w:val="491651940"/>
        <w:rPr>
          <w:rFonts w:eastAsia="Times New Roman"/>
        </w:rPr>
      </w:pPr>
      <w:r>
        <w:rPr>
          <w:rFonts w:eastAsia="Times New Roman"/>
          <w:b/>
          <w:bCs/>
          <w:color w:val="000000"/>
          <w:sz w:val="20"/>
          <w:szCs w:val="20"/>
        </w:rPr>
        <w:t>Dividends</w:t>
      </w:r>
    </w:p>
    <w:p w:rsidR="00000000" w:rsidRDefault="00F04B64">
      <w:pPr>
        <w:divId w:val="499809020"/>
        <w:rPr>
          <w:rFonts w:eastAsia="Times New Roman"/>
        </w:rPr>
      </w:pPr>
    </w:p>
    <w:p w:rsidR="00000000" w:rsidRDefault="00F04B64">
      <w:pPr>
        <w:jc w:val="both"/>
        <w:rPr>
          <w:rFonts w:eastAsia="Times New Roman"/>
        </w:rPr>
      </w:pPr>
      <w:r>
        <w:rPr>
          <w:rFonts w:eastAsia="Times New Roman"/>
          <w:color w:val="000000"/>
          <w:sz w:val="20"/>
          <w:szCs w:val="20"/>
        </w:rPr>
        <w:t>During the first three months of fiscal 2022 and fiscal 2021, the Company's Board of Directors de</w:t>
      </w:r>
      <w:r>
        <w:rPr>
          <w:rFonts w:eastAsia="Times New Roman"/>
          <w:color w:val="000000"/>
          <w:sz w:val="20"/>
          <w:szCs w:val="20"/>
        </w:rPr>
        <w:t>clared the following cash dividends:</w:t>
      </w:r>
    </w:p>
    <w:tbl>
      <w:tblPr>
        <w:tblW w:w="4985" w:type="pct"/>
        <w:jc w:val="center"/>
        <w:tblCellMar>
          <w:top w:w="15" w:type="dxa"/>
          <w:left w:w="15" w:type="dxa"/>
          <w:bottom w:w="15" w:type="dxa"/>
          <w:right w:w="15" w:type="dxa"/>
        </w:tblCellMar>
        <w:tblLook w:val="04A0" w:firstRow="1" w:lastRow="0" w:firstColumn="1" w:lastColumn="0" w:noHBand="0" w:noVBand="1"/>
      </w:tblPr>
      <w:tblGrid>
        <w:gridCol w:w="51"/>
        <w:gridCol w:w="2209"/>
        <w:gridCol w:w="36"/>
        <w:gridCol w:w="36"/>
        <w:gridCol w:w="36"/>
        <w:gridCol w:w="36"/>
        <w:gridCol w:w="121"/>
        <w:gridCol w:w="1250"/>
        <w:gridCol w:w="36"/>
        <w:gridCol w:w="36"/>
        <w:gridCol w:w="36"/>
        <w:gridCol w:w="36"/>
        <w:gridCol w:w="38"/>
        <w:gridCol w:w="2245"/>
        <w:gridCol w:w="37"/>
        <w:gridCol w:w="36"/>
        <w:gridCol w:w="36"/>
        <w:gridCol w:w="36"/>
        <w:gridCol w:w="38"/>
        <w:gridCol w:w="1859"/>
        <w:gridCol w:w="37"/>
      </w:tblGrid>
      <w:tr w:rsidR="00000000">
        <w:trPr>
          <w:jc w:val="center"/>
        </w:trPr>
        <w:tc>
          <w:tcPr>
            <w:tcW w:w="50" w:type="pct"/>
            <w:vAlign w:val="center"/>
            <w:hideMark/>
          </w:tcPr>
          <w:p w:rsidR="00000000" w:rsidRDefault="00F04B64">
            <w:pPr>
              <w:jc w:val="both"/>
              <w:rPr>
                <w:rFonts w:eastAsia="Times New Roman"/>
              </w:rPr>
            </w:pPr>
          </w:p>
        </w:tc>
        <w:tc>
          <w:tcPr>
            <w:tcW w:w="135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78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38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14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Date Declared</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Stock</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Record Date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Date Paid</w:t>
            </w:r>
          </w:p>
        </w:tc>
      </w:tr>
      <w:tr w:rsidR="00000000">
        <w:trPr>
          <w:jc w:val="center"/>
        </w:trPr>
        <w:tc>
          <w:tcPr>
            <w:tcW w:w="0" w:type="auto"/>
            <w:gridSpan w:val="3"/>
            <w:vAlign w:val="center"/>
            <w:hideMark/>
          </w:tcPr>
          <w:p w:rsidR="00000000" w:rsidRDefault="00F04B64">
            <w:pPr>
              <w:spacing w:after="100"/>
              <w:jc w:val="center"/>
              <w:rPr>
                <w:rFonts w:eastAsia="Times New Roman"/>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January 26, 2022</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February 21, 2022</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March 8, 2022</w:t>
            </w: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January 27, 2021</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0.52 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February 22, 2021</w:t>
            </w: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color w:val="000000"/>
                <w:sz w:val="20"/>
                <w:szCs w:val="20"/>
              </w:rPr>
              <w:t>March 9, 2021</w:t>
            </w:r>
          </w:p>
        </w:tc>
      </w:tr>
    </w:tbl>
    <w:p w:rsidR="00000000" w:rsidRDefault="00F04B64">
      <w:pPr>
        <w:divId w:val="711735532"/>
        <w:rPr>
          <w:rFonts w:eastAsia="Times New Roman"/>
        </w:rPr>
      </w:pPr>
    </w:p>
    <w:p w:rsidR="00000000" w:rsidRDefault="00F04B64">
      <w:pPr>
        <w:jc w:val="both"/>
        <w:rPr>
          <w:rFonts w:eastAsia="Times New Roman"/>
        </w:rPr>
      </w:pPr>
      <w:r>
        <w:rPr>
          <w:rFonts w:eastAsia="Times New Roman"/>
          <w:color w:val="000000"/>
          <w:sz w:val="20"/>
          <w:szCs w:val="20"/>
        </w:rPr>
        <w:t>It is the present intention of the Company’</w:t>
      </w:r>
      <w:r>
        <w:rPr>
          <w:rFonts w:eastAsia="Times New Roman"/>
          <w:color w:val="000000"/>
          <w:sz w:val="20"/>
          <w:szCs w:val="20"/>
        </w:rPr>
        <w:t>s Board of Directors to continue to pay a quarterly cash dividend; however, the declaration and payment of future dividends will be determined by the Company’s Board of Directors in its sole discretion and will depend upon the earnings, financial condition</w:t>
      </w:r>
      <w:r>
        <w:rPr>
          <w:rFonts w:eastAsia="Times New Roman"/>
          <w:color w:val="000000"/>
          <w:sz w:val="20"/>
          <w:szCs w:val="20"/>
        </w:rPr>
        <w:t>, and capital needs of the Company, along with any other factors that the Company’s Board of Directors deem relevant.</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Share Repurchase Program</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which was announced in February 2007. The total authorized amount was increased by the Company's Board of Directors on January 26, 2022 by $2.0 billion for a tota</w:t>
      </w:r>
      <w:r>
        <w:rPr>
          <w:rFonts w:eastAsia="Times New Roman"/>
          <w:color w:val="000000"/>
          <w:sz w:val="20"/>
          <w:szCs w:val="20"/>
        </w:rPr>
        <w:t>l authorization of $6.5 billion, exclusive of any fees, commissions, or other expenses related to such repurchases. The share repurchase program does not have an expiration date. The repurchases may be made from time to time on the open market or in privat</w:t>
      </w:r>
      <w:r>
        <w:rPr>
          <w:rFonts w:eastAsia="Times New Roman"/>
          <w:color w:val="000000"/>
          <w:sz w:val="20"/>
          <w:szCs w:val="20"/>
        </w:rPr>
        <w:t>ely negotiated transactions.  The timing and amount of any shares repurchased under the program will depend on a variety of factors, including price, corporate and regulatory requirements, capital availability, and other market conditions.  Repurchased sha</w:t>
      </w:r>
      <w:r>
        <w:rPr>
          <w:rFonts w:eastAsia="Times New Roman"/>
          <w:color w:val="000000"/>
          <w:sz w:val="20"/>
          <w:szCs w:val="20"/>
        </w:rPr>
        <w:t>res are accounted for at cost and will be held in treasury for future issuance.  The program may be limited, temporarily paused, or terminated at any time without prior notice. As of March 26, 2022, the Company had remaining authorization under the share r</w:t>
      </w:r>
      <w:r>
        <w:rPr>
          <w:rFonts w:eastAsia="Times New Roman"/>
          <w:color w:val="000000"/>
          <w:sz w:val="20"/>
          <w:szCs w:val="20"/>
        </w:rPr>
        <w:t>epurchase program of $2.0 billion, exclusive of any fees, commissions, or other expenses.</w:t>
      </w:r>
    </w:p>
    <w:p w:rsidR="00000000" w:rsidRDefault="00F04B64">
      <w:pPr>
        <w:jc w:val="both"/>
        <w:rPr>
          <w:rFonts w:eastAsia="Times New Roman"/>
        </w:rPr>
      </w:pPr>
    </w:p>
    <w:p w:rsidR="00000000" w:rsidRDefault="00F04B64">
      <w:pPr>
        <w:jc w:val="center"/>
        <w:divId w:val="1124426523"/>
        <w:rPr>
          <w:rFonts w:eastAsia="Times New Roman"/>
        </w:rPr>
      </w:pPr>
      <w:r>
        <w:rPr>
          <w:rFonts w:eastAsia="Times New Roman"/>
          <w:color w:val="000000"/>
          <w:sz w:val="20"/>
          <w:szCs w:val="20"/>
        </w:rPr>
        <w:t>Page 21</w:t>
      </w:r>
    </w:p>
    <w:p w:rsidR="00000000" w:rsidRDefault="00F04B64">
      <w:pPr>
        <w:rPr>
          <w:rFonts w:eastAsia="Times New Roman"/>
        </w:rPr>
      </w:pPr>
      <w:r>
        <w:rPr>
          <w:rFonts w:eastAsia="Times New Roman"/>
        </w:rPr>
        <w:pict>
          <v:rect id="_x0000_i1046" style="width:0;height:1.5pt" o:hralign="center" o:hrstd="t" o:hr="t" fillcolor="#a0a0a0" stroked="f"/>
        </w:pict>
      </w:r>
    </w:p>
    <w:p w:rsidR="00000000" w:rsidRDefault="00F04B64">
      <w:pPr>
        <w:divId w:val="1111775883"/>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color w:val="000000"/>
          <w:sz w:val="20"/>
          <w:szCs w:val="20"/>
        </w:rPr>
        <w:t>The following table provides the number of shares repurc</w:t>
      </w:r>
      <w:r>
        <w:rPr>
          <w:rFonts w:eastAsia="Times New Roman"/>
          <w:color w:val="000000"/>
          <w:sz w:val="20"/>
          <w:szCs w:val="20"/>
        </w:rPr>
        <w:t>hased, average price paid per share, and total amount paid for share repurchases during the fiscal three months ended March 26, 2022 and March 27, 2021 (in thousands, except per 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508"/>
        <w:gridCol w:w="36"/>
        <w:gridCol w:w="120"/>
        <w:gridCol w:w="1027"/>
        <w:gridCol w:w="36"/>
        <w:gridCol w:w="36"/>
        <w:gridCol w:w="36"/>
        <w:gridCol w:w="36"/>
        <w:gridCol w:w="120"/>
        <w:gridCol w:w="990"/>
        <w:gridCol w:w="36"/>
        <w:gridCol w:w="36"/>
        <w:gridCol w:w="36"/>
        <w:gridCol w:w="36"/>
        <w:gridCol w:w="36"/>
        <w:gridCol w:w="36"/>
        <w:gridCol w:w="36"/>
        <w:gridCol w:w="36"/>
        <w:gridCol w:w="36"/>
      </w:tblGrid>
      <w:tr w:rsidR="00000000">
        <w:trPr>
          <w:jc w:val="center"/>
        </w:trPr>
        <w:tc>
          <w:tcPr>
            <w:tcW w:w="50" w:type="pct"/>
            <w:vAlign w:val="center"/>
            <w:hideMark/>
          </w:tcPr>
          <w:p w:rsidR="00000000" w:rsidRDefault="00F04B64">
            <w:pPr>
              <w:jc w:val="both"/>
              <w:rPr>
                <w:rFonts w:eastAsia="Times New Roman"/>
              </w:rPr>
            </w:pPr>
          </w:p>
        </w:tc>
        <w:tc>
          <w:tcPr>
            <w:tcW w:w="346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66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Fiscal Three Months Ended</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26,</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March 27,</w:t>
            </w:r>
            <w:r>
              <w:rPr>
                <w:rFonts w:eastAsia="Times New Roman"/>
                <w:b/>
                <w:bCs/>
                <w:color w:val="000000"/>
                <w:sz w:val="20"/>
                <w:szCs w:val="20"/>
              </w:rPr>
              <w:br/>
              <w:t>2021</w:t>
            </w:r>
          </w:p>
        </w:tc>
        <w:tc>
          <w:tcPr>
            <w:tcW w:w="0" w:type="auto"/>
            <w:vAlign w:val="center"/>
            <w:hideMark/>
          </w:tcPr>
          <w:p w:rsidR="00000000" w:rsidRDefault="00F04B64">
            <w:pPr>
              <w:spacing w:after="100"/>
              <w:jc w:val="center"/>
              <w:rPr>
                <w:rFonts w:eastAsia="Times New Roman"/>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number of shares repurchased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Average price paid per share</w:t>
            </w:r>
          </w:p>
        </w:tc>
        <w:tc>
          <w:tcPr>
            <w:tcW w:w="0" w:type="auto"/>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218.07 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158.35 </w:t>
            </w:r>
          </w:p>
        </w:tc>
        <w:tc>
          <w:tcPr>
            <w:tcW w:w="0" w:type="auto"/>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 cash paid for share repurchases</w:t>
            </w: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296,180 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253,409 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vAlign w:val="center"/>
            <w:hideMark/>
          </w:tcPr>
          <w:p w:rsidR="00000000" w:rsidRDefault="00F04B64">
            <w:pPr>
              <w:spacing w:after="100"/>
              <w:jc w:val="right"/>
              <w:rPr>
                <w:rFonts w:eastAsia="Times New Roman"/>
                <w:sz w:val="20"/>
                <w:szCs w:val="20"/>
              </w:rPr>
            </w:pPr>
          </w:p>
        </w:tc>
        <w:tc>
          <w:tcPr>
            <w:tcW w:w="0" w:type="auto"/>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c>
          <w:tcPr>
            <w:tcW w:w="0" w:type="auto"/>
            <w:gridSpan w:val="3"/>
            <w:vAlign w:val="center"/>
            <w:hideMark/>
          </w:tcPr>
          <w:p w:rsidR="00000000" w:rsidRDefault="00F04B64">
            <w:pPr>
              <w:spacing w:after="100"/>
              <w:rPr>
                <w:rFonts w:eastAsia="Times New Roman"/>
                <w:sz w:val="20"/>
                <w:szCs w:val="20"/>
              </w:rPr>
            </w:pPr>
          </w:p>
        </w:tc>
      </w:tr>
    </w:tbl>
    <w:p w:rsidR="00000000" w:rsidRDefault="00F04B64">
      <w:pPr>
        <w:jc w:val="both"/>
        <w:rPr>
          <w:rFonts w:eastAsia="Times New Roman"/>
        </w:rPr>
      </w:pPr>
    </w:p>
    <w:p w:rsidR="00000000" w:rsidRDefault="00F04B64">
      <w:pPr>
        <w:divId w:val="1122573813"/>
        <w:rPr>
          <w:rFonts w:eastAsia="Times New Roman"/>
        </w:rPr>
      </w:pPr>
      <w:r>
        <w:rPr>
          <w:rFonts w:eastAsia="Times New Roman"/>
          <w:b/>
          <w:bCs/>
          <w:color w:val="000000"/>
          <w:sz w:val="20"/>
          <w:szCs w:val="20"/>
        </w:rPr>
        <w:t>Pending Acquisition</w:t>
      </w:r>
    </w:p>
    <w:p w:rsidR="00000000" w:rsidRDefault="00F04B64">
      <w:pPr>
        <w:divId w:val="1669751550"/>
        <w:rPr>
          <w:rFonts w:eastAsia="Times New Roman"/>
        </w:rPr>
      </w:pPr>
    </w:p>
    <w:p w:rsidR="00000000" w:rsidRDefault="00F04B64">
      <w:pPr>
        <w:jc w:val="both"/>
        <w:rPr>
          <w:rFonts w:eastAsia="Times New Roman"/>
        </w:rPr>
      </w:pPr>
      <w:r>
        <w:rPr>
          <w:rFonts w:eastAsia="Times New Roman"/>
          <w:color w:val="000000"/>
          <w:sz w:val="20"/>
          <w:szCs w:val="20"/>
        </w:rPr>
        <w:t>On February 17, 2021, the Company announced that it entered into an agreement to acquire all of the outstanding equity interests of Orscheln Farm and Home, LLC, a farm and ranch retailer with 167 retail stores in 11 states, in an all-cash transaction for a</w:t>
      </w:r>
      <w:r>
        <w:rPr>
          <w:rFonts w:eastAsia="Times New Roman"/>
          <w:color w:val="000000"/>
          <w:sz w:val="20"/>
          <w:szCs w:val="20"/>
        </w:rPr>
        <w:t>pproximately $320 million. The acquisition is conditioned on the receipt of regulatory clearance and satisfactory completion of customary closing conditions. The Company continues to work collaboratively with the Federal Trade Commission on the transaction</w:t>
      </w:r>
      <w:r>
        <w:rPr>
          <w:rFonts w:eastAsia="Times New Roman"/>
          <w:color w:val="000000"/>
          <w:sz w:val="20"/>
          <w:szCs w:val="20"/>
        </w:rPr>
        <w:t>.</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Significant Contractual Obligations and Commercial Commitments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For a description of the Company’</w:t>
      </w:r>
      <w:r>
        <w:rPr>
          <w:rFonts w:eastAsia="Times New Roman"/>
          <w:color w:val="000000"/>
          <w:sz w:val="20"/>
          <w:szCs w:val="20"/>
        </w:rPr>
        <w:t xml:space="preserve">s significant contractual obligations and commercial commitments, refer to Note 11 to the Consolidated Financial Statements included under Part II, Item 8 in our </w:t>
      </w:r>
      <w:hyperlink r:id="rId9"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The Company is building new distribution centers in Navarre, Ohio and Maumelle, Arkansas, for which, as of March 26, 2022, the Company had contractual commitments of appr</w:t>
      </w:r>
      <w:r>
        <w:rPr>
          <w:rFonts w:eastAsia="Times New Roman"/>
          <w:color w:val="000000"/>
          <w:sz w:val="20"/>
          <w:szCs w:val="20"/>
        </w:rPr>
        <w:t xml:space="preserve">oximately $32 million and $0, respectively. As of March 26, 2022, there has been no other material change in the information disclosed in the </w:t>
      </w:r>
      <w:hyperlink r:id="rId10" w:history="1">
        <w:r>
          <w:rPr>
            <w:rStyle w:val="a3"/>
            <w:rFonts w:eastAsia="Times New Roman"/>
            <w:sz w:val="20"/>
            <w:szCs w:val="20"/>
          </w:rPr>
          <w:t>Annual</w:t>
        </w:r>
        <w:r>
          <w:rPr>
            <w:rStyle w:val="a3"/>
            <w:rFonts w:eastAsia="Times New Roman"/>
            <w:sz w:val="20"/>
            <w:szCs w:val="20"/>
          </w:rPr>
          <w:t xml:space="preserve"> Report on Form 10-K</w:t>
        </w:r>
      </w:hyperlink>
      <w:r>
        <w:rPr>
          <w:rFonts w:eastAsia="Times New Roman"/>
          <w:color w:val="000000"/>
          <w:sz w:val="20"/>
          <w:szCs w:val="20"/>
        </w:rPr>
        <w:t xml:space="preserve"> for the fiscal year ended December 25, 2021.</w:t>
      </w:r>
    </w:p>
    <w:p w:rsidR="00000000" w:rsidRDefault="00F04B64">
      <w:pPr>
        <w:jc w:val="both"/>
        <w:rPr>
          <w:rFonts w:eastAsia="Times New Roman"/>
        </w:rPr>
      </w:pPr>
    </w:p>
    <w:p w:rsidR="00000000" w:rsidRDefault="00F04B64">
      <w:pPr>
        <w:divId w:val="1609502695"/>
        <w:rPr>
          <w:rFonts w:eastAsia="Times New Roman"/>
        </w:rPr>
      </w:pPr>
      <w:r>
        <w:rPr>
          <w:rFonts w:eastAsia="Times New Roman"/>
          <w:b/>
          <w:bCs/>
          <w:color w:val="000000"/>
          <w:sz w:val="20"/>
          <w:szCs w:val="20"/>
        </w:rPr>
        <w:t>Significant Accounting Policies and Estimates</w:t>
      </w:r>
    </w:p>
    <w:p w:rsidR="00000000" w:rsidRDefault="00F04B64">
      <w:pPr>
        <w:divId w:val="188614620"/>
        <w:rPr>
          <w:rFonts w:eastAsia="Times New Roman"/>
        </w:rPr>
      </w:pPr>
    </w:p>
    <w:p w:rsidR="00000000" w:rsidRDefault="00F04B64">
      <w:pPr>
        <w:jc w:val="both"/>
        <w:rPr>
          <w:rFonts w:eastAsia="Times New Roman"/>
        </w:rPr>
      </w:pPr>
      <w:r>
        <w:rPr>
          <w:rFonts w:eastAsia="Times New Roman"/>
          <w:color w:val="000000"/>
          <w:sz w:val="20"/>
          <w:szCs w:val="20"/>
        </w:rPr>
        <w:t>Management’s discussion and analysis of the Company’s financial position and results of operations are based upon its Condensed Consolidated</w:t>
      </w:r>
      <w:r>
        <w:rPr>
          <w:rFonts w:eastAsia="Times New Roman"/>
          <w:color w:val="000000"/>
          <w:sz w:val="20"/>
          <w:szCs w:val="20"/>
        </w:rPr>
        <w:t xml:space="preserve"> Financial Statements, which have been prepared in accordance with U.S. GAAP. The preparation of these financial statements requires management to make informed estimates and judgments that affect the reported amounts of assets, liabilities, revenues and e</w:t>
      </w:r>
      <w:r>
        <w:rPr>
          <w:rFonts w:eastAsia="Times New Roman"/>
          <w:color w:val="000000"/>
          <w:sz w:val="20"/>
          <w:szCs w:val="20"/>
        </w:rPr>
        <w:t>xpenses, and related disclosure of contingent assets and liabilities.  The Company’s significant accounting policies, including areas of critical management judgments and estimates, have primary impact on the following financial statement areas:</w:t>
      </w:r>
    </w:p>
    <w:p w:rsidR="00000000" w:rsidRDefault="00F04B64">
      <w:pPr>
        <w:jc w:val="both"/>
        <w:rPr>
          <w:rFonts w:eastAsia="Times New Roman"/>
        </w:rPr>
      </w:pPr>
    </w:p>
    <w:tbl>
      <w:tblPr>
        <w:tblW w:w="3019" w:type="pct"/>
        <w:jc w:val="center"/>
        <w:tblCellMar>
          <w:top w:w="15" w:type="dxa"/>
          <w:left w:w="15" w:type="dxa"/>
          <w:bottom w:w="15" w:type="dxa"/>
          <w:right w:w="15" w:type="dxa"/>
        </w:tblCellMar>
        <w:tblLook w:val="04A0" w:firstRow="1" w:lastRow="0" w:firstColumn="1" w:lastColumn="0" w:noHBand="0" w:noVBand="1"/>
      </w:tblPr>
      <w:tblGrid>
        <w:gridCol w:w="36"/>
        <w:gridCol w:w="315"/>
        <w:gridCol w:w="36"/>
        <w:gridCol w:w="38"/>
        <w:gridCol w:w="4553"/>
        <w:gridCol w:w="37"/>
      </w:tblGrid>
      <w:tr w:rsidR="00000000">
        <w:trPr>
          <w:jc w:val="center"/>
        </w:trPr>
        <w:tc>
          <w:tcPr>
            <w:tcW w:w="50" w:type="pct"/>
            <w:vAlign w:val="center"/>
            <w:hideMark/>
          </w:tcPr>
          <w:p w:rsidR="00000000" w:rsidRDefault="00F04B64">
            <w:pPr>
              <w:jc w:val="both"/>
              <w:rPr>
                <w:rFonts w:eastAsia="Times New Roman"/>
              </w:rPr>
            </w:pPr>
          </w:p>
        </w:tc>
        <w:tc>
          <w:tcPr>
            <w:tcW w:w="33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55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Inventory valuation</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Self-insurance reserves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Impairment of long-lived assets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Impairment of goodwill and other indefinite-lived intangible assets</w:t>
            </w:r>
          </w:p>
        </w:tc>
      </w:tr>
    </w:tbl>
    <w:p w:rsidR="00000000" w:rsidRDefault="00F04B64">
      <w:pPr>
        <w:divId w:val="1238051821"/>
        <w:rPr>
          <w:rFonts w:eastAsia="Times New Roman"/>
        </w:rPr>
      </w:pPr>
    </w:p>
    <w:p w:rsidR="00000000" w:rsidRDefault="00F04B64">
      <w:pPr>
        <w:jc w:val="both"/>
        <w:rPr>
          <w:rFonts w:eastAsia="Times New Roman"/>
        </w:rPr>
      </w:pPr>
      <w:r>
        <w:rPr>
          <w:rFonts w:eastAsia="Times New Roman"/>
          <w:color w:val="000000"/>
          <w:sz w:val="20"/>
          <w:szCs w:val="20"/>
        </w:rPr>
        <w:t xml:space="preserve">See the Notes to the Consolidated Financial Statements in our 2021 </w:t>
      </w:r>
      <w:hyperlink r:id="rId11" w:history="1">
        <w:r>
          <w:rPr>
            <w:rStyle w:val="a3"/>
            <w:rFonts w:eastAsia="Times New Roman"/>
            <w:sz w:val="20"/>
            <w:szCs w:val="20"/>
          </w:rPr>
          <w:t>Form 10-K</w:t>
        </w:r>
      </w:hyperlink>
      <w:r>
        <w:rPr>
          <w:rFonts w:eastAsia="Times New Roman"/>
          <w:color w:val="000000"/>
          <w:sz w:val="20"/>
          <w:szCs w:val="20"/>
        </w:rPr>
        <w:t>, for a discussion of the Company’s critical accounting policies.  The C</w:t>
      </w:r>
      <w:r>
        <w:rPr>
          <w:rFonts w:eastAsia="Times New Roman"/>
          <w:color w:val="000000"/>
          <w:sz w:val="20"/>
          <w:szCs w:val="20"/>
        </w:rPr>
        <w:t>ompany’s financial position and/or results of operations may be materially different when reported under different conditions or when using different assumptions in the application of such policies.  In the event estimates or assumptions prove to be differ</w:t>
      </w:r>
      <w:r>
        <w:rPr>
          <w:rFonts w:eastAsia="Times New Roman"/>
          <w:color w:val="000000"/>
          <w:sz w:val="20"/>
          <w:szCs w:val="20"/>
        </w:rPr>
        <w:t>ent from actual amounts, adjustments are made in subsequent periods to reflect more current information.</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New Accounting Pronouncements    </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For recently adopted accounting pronouncements and recently issued accounting pronouncements not yet adopted as o</w:t>
      </w:r>
      <w:r>
        <w:rPr>
          <w:rFonts w:eastAsia="Times New Roman"/>
          <w:color w:val="000000"/>
          <w:sz w:val="20"/>
          <w:szCs w:val="20"/>
        </w:rPr>
        <w:t xml:space="preserve">f March 26, 2022, refer to </w:t>
      </w:r>
      <w:hyperlink w:anchor="i6ab5f063bb0d49af8f180f04f663b228_34" w:history="1">
        <w:r>
          <w:rPr>
            <w:rStyle w:val="a3"/>
            <w:rFonts w:eastAsia="Times New Roman"/>
            <w:sz w:val="20"/>
            <w:szCs w:val="20"/>
          </w:rPr>
          <w:t>Note 1</w:t>
        </w:r>
      </w:hyperlink>
      <w:r>
        <w:rPr>
          <w:rFonts w:eastAsia="Times New Roman"/>
          <w:color w:val="000000"/>
          <w:sz w:val="20"/>
          <w:szCs w:val="20"/>
        </w:rPr>
        <w:t xml:space="preserve"> to the Condensed Consolidated Financial Statements included under Part I, Item 1 of this Quarterly Report on Form 10-Q.</w:t>
      </w:r>
    </w:p>
    <w:p w:rsidR="00000000" w:rsidRDefault="00F04B64">
      <w:pPr>
        <w:jc w:val="both"/>
        <w:rPr>
          <w:rFonts w:eastAsia="Times New Roman"/>
        </w:rPr>
      </w:pPr>
    </w:p>
    <w:p w:rsidR="00000000" w:rsidRDefault="00F04B64">
      <w:pPr>
        <w:jc w:val="center"/>
        <w:divId w:val="736636459"/>
        <w:rPr>
          <w:rFonts w:eastAsia="Times New Roman"/>
        </w:rPr>
      </w:pPr>
      <w:r>
        <w:rPr>
          <w:rFonts w:eastAsia="Times New Roman"/>
          <w:color w:val="000000"/>
          <w:sz w:val="20"/>
          <w:szCs w:val="20"/>
        </w:rPr>
        <w:t>Page 22</w:t>
      </w:r>
    </w:p>
    <w:p w:rsidR="00000000" w:rsidRDefault="00F04B64">
      <w:pPr>
        <w:rPr>
          <w:rFonts w:eastAsia="Times New Roman"/>
        </w:rPr>
      </w:pPr>
      <w:r>
        <w:rPr>
          <w:rFonts w:eastAsia="Times New Roman"/>
        </w:rPr>
        <w:pict>
          <v:rect id="_x0000_i1047" style="width:0;height:1.5pt" o:hralign="center" o:hrstd="t" o:hr="t" fillcolor="#a0a0a0" stroked="f"/>
        </w:pict>
      </w:r>
    </w:p>
    <w:p w:rsidR="00000000" w:rsidRDefault="00F04B64">
      <w:pPr>
        <w:divId w:val="310672040"/>
        <w:rPr>
          <w:rFonts w:eastAsia="Times New Roman"/>
        </w:rPr>
      </w:pPr>
      <w:hyperlink w:anchor="i6ab5f063bb0d49af8f180f04f663b228_7" w:history="1">
        <w:r>
          <w:rPr>
            <w:rStyle w:val="a3"/>
            <w:rFonts w:eastAsia="Times New Roman"/>
            <w:sz w:val="16"/>
            <w:szCs w:val="16"/>
          </w:rPr>
          <w:t>Index</w:t>
        </w:r>
      </w:hyperlink>
    </w:p>
    <w:p w:rsidR="00000000" w:rsidRDefault="00F04B64">
      <w:pPr>
        <w:divId w:val="1071661572"/>
        <w:rPr>
          <w:rFonts w:eastAsia="Times New Roman"/>
        </w:rPr>
      </w:pPr>
      <w:r>
        <w:rPr>
          <w:rFonts w:eastAsia="Times New Roman"/>
          <w:b/>
          <w:bCs/>
          <w:color w:val="000000"/>
          <w:sz w:val="20"/>
          <w:szCs w:val="20"/>
          <w:u w:val="single"/>
        </w:rPr>
        <w:t>Item 3.  Quantitative and Qualitative Disclosures About Market Risk</w:t>
      </w:r>
    </w:p>
    <w:p w:rsidR="00000000" w:rsidRDefault="00F04B64">
      <w:pPr>
        <w:divId w:val="763113759"/>
        <w:rPr>
          <w:rFonts w:eastAsia="Times New Roman"/>
        </w:rPr>
      </w:pPr>
    </w:p>
    <w:p w:rsidR="00000000" w:rsidRDefault="00F04B64">
      <w:pPr>
        <w:jc w:val="both"/>
        <w:rPr>
          <w:rFonts w:eastAsia="Times New Roman"/>
        </w:rPr>
      </w:pPr>
      <w:r>
        <w:rPr>
          <w:rFonts w:eastAsia="Times New Roman"/>
          <w:color w:val="000000"/>
          <w:sz w:val="20"/>
          <w:szCs w:val="20"/>
        </w:rPr>
        <w:t>For a description of the Company’</w:t>
      </w:r>
      <w:r>
        <w:rPr>
          <w:rFonts w:eastAsia="Times New Roman"/>
          <w:color w:val="000000"/>
          <w:sz w:val="20"/>
          <w:szCs w:val="20"/>
        </w:rPr>
        <w:t xml:space="preserve">s quantitative and qualitative disclosures about market risks, see Part II, Item 7A. "Quantitative and Qualitative Disclosures About Market Risk" included in our </w:t>
      </w:r>
      <w:hyperlink r:id="rId12" w:history="1">
        <w:r>
          <w:rPr>
            <w:rStyle w:val="a3"/>
            <w:rFonts w:eastAsia="Times New Roman"/>
            <w:sz w:val="20"/>
            <w:szCs w:val="20"/>
          </w:rPr>
          <w:t>Annual Report on Form 10-K</w:t>
        </w:r>
      </w:hyperlink>
      <w:r>
        <w:rPr>
          <w:rFonts w:eastAsia="Times New Roman"/>
          <w:color w:val="000000"/>
          <w:sz w:val="20"/>
          <w:szCs w:val="20"/>
        </w:rPr>
        <w:t xml:space="preserve"> for the fiscal year ended December 25, 2021. As of March 26, 2022, there has been no material change in this information. </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u w:val="single"/>
        </w:rPr>
        <w:t>Item 4.  Controls and Procedures</w:t>
      </w:r>
    </w:p>
    <w:p w:rsidR="00000000" w:rsidRDefault="00F04B64">
      <w:pPr>
        <w:jc w:val="both"/>
        <w:rPr>
          <w:rFonts w:eastAsia="Times New Roman"/>
        </w:rPr>
      </w:pPr>
      <w:r>
        <w:rPr>
          <w:rFonts w:eastAsia="Times New Roman"/>
          <w:color w:val="000000"/>
          <w:sz w:val="20"/>
          <w:szCs w:val="20"/>
        </w:rPr>
        <w:t> </w:t>
      </w:r>
    </w:p>
    <w:p w:rsidR="00000000" w:rsidRDefault="00F04B64">
      <w:pPr>
        <w:jc w:val="both"/>
        <w:rPr>
          <w:rFonts w:eastAsia="Times New Roman"/>
        </w:rPr>
      </w:pPr>
      <w:r>
        <w:rPr>
          <w:rFonts w:eastAsia="Times New Roman"/>
          <w:b/>
          <w:bCs/>
          <w:color w:val="000000"/>
          <w:sz w:val="20"/>
          <w:szCs w:val="20"/>
        </w:rPr>
        <w:t>Disclosure Controls and Procedures</w:t>
      </w:r>
    </w:p>
    <w:p w:rsidR="00000000" w:rsidRDefault="00F04B64">
      <w:pPr>
        <w:divId w:val="12264962"/>
        <w:rPr>
          <w:rFonts w:eastAsia="Times New Roman"/>
        </w:rPr>
      </w:pPr>
    </w:p>
    <w:p w:rsidR="00000000" w:rsidRDefault="00F04B64">
      <w:pPr>
        <w:jc w:val="both"/>
        <w:rPr>
          <w:rFonts w:eastAsia="Times New Roman"/>
        </w:rPr>
      </w:pPr>
      <w:r>
        <w:rPr>
          <w:rFonts w:eastAsia="Times New Roman"/>
          <w:color w:val="000000"/>
          <w:sz w:val="20"/>
          <w:szCs w:val="20"/>
        </w:rPr>
        <w:t>Our management car</w:t>
      </w:r>
      <w:r>
        <w:rPr>
          <w:rFonts w:eastAsia="Times New Roman"/>
          <w:color w:val="000000"/>
          <w:sz w:val="20"/>
          <w:szCs w:val="20"/>
        </w:rPr>
        <w:t>ried out an evaluation required by the Securities Exchange Act of 1934, as amended (the “1934 Act”), under the supervision and with the participation of our principal executive officer and principal financial officer, of the effectiveness of our disclosure</w:t>
      </w:r>
      <w:r>
        <w:rPr>
          <w:rFonts w:eastAsia="Times New Roman"/>
          <w:color w:val="000000"/>
          <w:sz w:val="20"/>
          <w:szCs w:val="20"/>
        </w:rPr>
        <w:t xml:space="preserve"> controls and procedures (as defined in Rule 13a-15(e) and Rule 15d-15(e) under the 1934 Act) as of March 26, 2022.  Based on this evaluation, our principal executive officer and principal financial officer concluded that, as of March 26, 2022, our disclos</w:t>
      </w:r>
      <w:r>
        <w:rPr>
          <w:rFonts w:eastAsia="Times New Roman"/>
          <w:color w:val="000000"/>
          <w:sz w:val="20"/>
          <w:szCs w:val="20"/>
        </w:rPr>
        <w:t>ure controls and procedures were effective.</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rPr>
        <w:t>Internal Control over Financial Reporting</w:t>
      </w:r>
    </w:p>
    <w:p w:rsidR="00000000" w:rsidRDefault="00F04B64">
      <w:pPr>
        <w:divId w:val="865338087"/>
        <w:rPr>
          <w:rFonts w:eastAsia="Times New Roman"/>
        </w:rPr>
      </w:pPr>
    </w:p>
    <w:p w:rsidR="00000000" w:rsidRDefault="00F04B64">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reasonably l</w:t>
      </w:r>
      <w:r>
        <w:rPr>
          <w:rFonts w:eastAsia="Times New Roman"/>
          <w:color w:val="000000"/>
          <w:sz w:val="20"/>
          <w:szCs w:val="20"/>
        </w:rPr>
        <w:t>ikely to materially affect, our internal control over financial reporting.</w:t>
      </w:r>
    </w:p>
    <w:p w:rsidR="00000000" w:rsidRDefault="00F04B64">
      <w:pPr>
        <w:jc w:val="both"/>
        <w:rPr>
          <w:rFonts w:eastAsia="Times New Roman"/>
        </w:rPr>
      </w:pPr>
    </w:p>
    <w:p w:rsidR="00000000" w:rsidRDefault="00F04B64">
      <w:pPr>
        <w:jc w:val="center"/>
        <w:divId w:val="1909341442"/>
        <w:rPr>
          <w:rFonts w:eastAsia="Times New Roman"/>
        </w:rPr>
      </w:pPr>
      <w:r>
        <w:rPr>
          <w:rFonts w:eastAsia="Times New Roman"/>
          <w:color w:val="000000"/>
          <w:sz w:val="20"/>
          <w:szCs w:val="20"/>
        </w:rPr>
        <w:t>Page 23</w:t>
      </w:r>
    </w:p>
    <w:p w:rsidR="00000000" w:rsidRDefault="00F04B64">
      <w:pPr>
        <w:rPr>
          <w:rFonts w:eastAsia="Times New Roman"/>
        </w:rPr>
      </w:pPr>
      <w:r>
        <w:rPr>
          <w:rFonts w:eastAsia="Times New Roman"/>
        </w:rPr>
        <w:pict>
          <v:rect id="_x0000_i1048" style="width:0;height:1.5pt" o:hralign="center" o:hrstd="t" o:hr="t" fillcolor="#a0a0a0" stroked="f"/>
        </w:pict>
      </w:r>
    </w:p>
    <w:p w:rsidR="00000000" w:rsidRDefault="00F04B64">
      <w:pPr>
        <w:divId w:val="1559322526"/>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u w:val="single"/>
        </w:rPr>
        <w:t>PART II.  OTHER INFORMATION</w:t>
      </w:r>
    </w:p>
    <w:p w:rsidR="00000000" w:rsidRDefault="00F04B64">
      <w:pPr>
        <w:divId w:val="657998346"/>
        <w:rPr>
          <w:rFonts w:eastAsia="Times New Roman"/>
        </w:rPr>
      </w:pPr>
    </w:p>
    <w:p w:rsidR="00000000" w:rsidRDefault="00F04B64">
      <w:pPr>
        <w:jc w:val="both"/>
        <w:rPr>
          <w:rFonts w:eastAsia="Times New Roman"/>
        </w:rPr>
      </w:pPr>
      <w:r>
        <w:rPr>
          <w:rFonts w:eastAsia="Times New Roman"/>
          <w:b/>
          <w:bCs/>
          <w:color w:val="000000"/>
          <w:sz w:val="20"/>
          <w:szCs w:val="20"/>
          <w:u w:val="single"/>
        </w:rPr>
        <w:t>Item 1.  Legal Proceedings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For a descr</w:t>
      </w:r>
      <w:r>
        <w:rPr>
          <w:rFonts w:eastAsia="Times New Roman"/>
          <w:color w:val="000000"/>
          <w:sz w:val="20"/>
          <w:szCs w:val="20"/>
        </w:rPr>
        <w:t xml:space="preserve">iption of the Company's legal proceedings, refer to </w:t>
      </w:r>
      <w:hyperlink w:anchor="i6ab5f063bb0d49af8f180f04f663b228_61" w:history="1">
        <w:r>
          <w:rPr>
            <w:rStyle w:val="a3"/>
            <w:rFonts w:eastAsia="Times New Roman"/>
            <w:sz w:val="20"/>
            <w:szCs w:val="20"/>
          </w:rPr>
          <w:t>Note 9</w:t>
        </w:r>
      </w:hyperlink>
      <w:r>
        <w:rPr>
          <w:rFonts w:eastAsia="Times New Roman"/>
          <w:color w:val="000000"/>
          <w:sz w:val="20"/>
          <w:szCs w:val="20"/>
        </w:rPr>
        <w:t xml:space="preserve"> to the Condensed Consolidated Financial Statements included under Part I, Item 1 of this Quarterly Report on Form 10-Q.</w:t>
      </w:r>
    </w:p>
    <w:p w:rsidR="00000000" w:rsidRDefault="00F04B64">
      <w:pPr>
        <w:divId w:val="504053432"/>
        <w:rPr>
          <w:rFonts w:eastAsia="Times New Roman"/>
        </w:rPr>
      </w:pPr>
    </w:p>
    <w:p w:rsidR="00000000" w:rsidRDefault="00F04B64">
      <w:pPr>
        <w:jc w:val="both"/>
        <w:rPr>
          <w:rFonts w:eastAsia="Times New Roman"/>
        </w:rPr>
      </w:pPr>
      <w:r>
        <w:rPr>
          <w:rFonts w:eastAsia="Times New Roman"/>
          <w:b/>
          <w:bCs/>
          <w:color w:val="000000"/>
          <w:sz w:val="20"/>
          <w:szCs w:val="20"/>
          <w:u w:val="single"/>
        </w:rPr>
        <w:t>Item 1A.  Risk F</w:t>
      </w:r>
      <w:r>
        <w:rPr>
          <w:rFonts w:eastAsia="Times New Roman"/>
          <w:b/>
          <w:bCs/>
          <w:color w:val="000000"/>
          <w:sz w:val="20"/>
          <w:szCs w:val="20"/>
          <w:u w:val="single"/>
        </w:rPr>
        <w:t>actors</w:t>
      </w:r>
    </w:p>
    <w:p w:rsidR="00000000" w:rsidRDefault="00F04B64">
      <w:pPr>
        <w:divId w:val="911232264"/>
        <w:rPr>
          <w:rFonts w:eastAsia="Times New Roman"/>
        </w:rPr>
      </w:pPr>
    </w:p>
    <w:p w:rsidR="00000000" w:rsidRDefault="00F04B64">
      <w:pPr>
        <w:jc w:val="both"/>
        <w:rPr>
          <w:rFonts w:eastAsia="Times New Roman"/>
        </w:rPr>
      </w:pPr>
      <w:r>
        <w:rPr>
          <w:rFonts w:eastAsia="Times New Roman"/>
          <w:color w:val="000000"/>
          <w:sz w:val="20"/>
          <w:szCs w:val="20"/>
        </w:rPr>
        <w:t xml:space="preserve">The risk factors described in Part I, Item 1A “Risk Factors” in our 2021 </w:t>
      </w:r>
      <w:hyperlink r:id="rId13" w:history="1">
        <w:r>
          <w:rPr>
            <w:rStyle w:val="a3"/>
            <w:rFonts w:eastAsia="Times New Roman"/>
            <w:sz w:val="20"/>
            <w:szCs w:val="20"/>
          </w:rPr>
          <w:t>Form 10-K</w:t>
        </w:r>
      </w:hyperlink>
      <w:r>
        <w:rPr>
          <w:rFonts w:eastAsia="Times New Roman"/>
          <w:color w:val="000000"/>
          <w:sz w:val="20"/>
          <w:szCs w:val="20"/>
        </w:rPr>
        <w:t xml:space="preserve"> should be carefully considered, together with the other information contained or incorporated by reference in this Quarterly Report on For</w:t>
      </w:r>
      <w:r>
        <w:rPr>
          <w:rFonts w:eastAsia="Times New Roman"/>
          <w:color w:val="000000"/>
          <w:sz w:val="20"/>
          <w:szCs w:val="20"/>
        </w:rPr>
        <w:t>m 10-Q and in our other filings with the SEC, in connection with evaluating the Company, our business, and the forward-looking statements contained in this Quarterly Report on Form 10-Q. There have been no material changes to our risk factors as previously</w:t>
      </w:r>
      <w:r>
        <w:rPr>
          <w:rFonts w:eastAsia="Times New Roman"/>
          <w:color w:val="000000"/>
          <w:sz w:val="20"/>
          <w:szCs w:val="20"/>
        </w:rPr>
        <w:t xml:space="preserve"> disclosed in our 2021 </w:t>
      </w:r>
      <w:hyperlink r:id="rId14" w:history="1">
        <w:r>
          <w:rPr>
            <w:rStyle w:val="a3"/>
            <w:rFonts w:eastAsia="Times New Roman"/>
            <w:sz w:val="20"/>
            <w:szCs w:val="20"/>
          </w:rPr>
          <w:t>Form 10-K</w:t>
        </w:r>
      </w:hyperlink>
      <w:r>
        <w:rPr>
          <w:rFonts w:eastAsia="Times New Roman"/>
          <w:color w:val="000000"/>
          <w:sz w:val="20"/>
          <w:szCs w:val="20"/>
        </w:rPr>
        <w:t>. Other risks that we do not presently know about or that we presently believe are not material could also adversely</w:t>
      </w:r>
      <w:r>
        <w:rPr>
          <w:rFonts w:eastAsia="Times New Roman"/>
          <w:color w:val="000000"/>
          <w:sz w:val="20"/>
          <w:szCs w:val="20"/>
        </w:rPr>
        <w:t xml:space="preserve"> affect us. </w:t>
      </w:r>
    </w:p>
    <w:p w:rsidR="00000000" w:rsidRDefault="00F04B64">
      <w:pPr>
        <w:jc w:val="both"/>
        <w:rPr>
          <w:rFonts w:eastAsia="Times New Roman"/>
        </w:rPr>
      </w:pPr>
    </w:p>
    <w:p w:rsidR="00000000" w:rsidRDefault="00F04B64">
      <w:pPr>
        <w:jc w:val="both"/>
        <w:rPr>
          <w:rFonts w:eastAsia="Times New Roman"/>
        </w:rPr>
      </w:pPr>
      <w:r>
        <w:rPr>
          <w:rFonts w:eastAsia="Times New Roman"/>
          <w:b/>
          <w:bCs/>
          <w:color w:val="000000"/>
          <w:sz w:val="20"/>
          <w:szCs w:val="20"/>
          <w:u w:val="single"/>
        </w:rPr>
        <w:t>Item 2.  Unregistered Sales of Equity Securities and Use of Proceeds</w:t>
      </w:r>
    </w:p>
    <w:p w:rsidR="00000000" w:rsidRDefault="00F04B64">
      <w:pPr>
        <w:divId w:val="1152285743"/>
        <w:rPr>
          <w:rFonts w:eastAsia="Times New Roman"/>
        </w:rPr>
      </w:pPr>
    </w:p>
    <w:p w:rsidR="00000000" w:rsidRDefault="00F04B64">
      <w:pPr>
        <w:jc w:val="both"/>
        <w:rPr>
          <w:rFonts w:eastAsia="Times New Roman"/>
        </w:rPr>
      </w:pPr>
      <w:r>
        <w:rPr>
          <w:rFonts w:eastAsia="Times New Roman"/>
          <w:color w:val="000000"/>
          <w:sz w:val="20"/>
          <w:szCs w:val="20"/>
          <w:u w:val="single"/>
        </w:rPr>
        <w:t>Issuer Purchases of Equity Securities</w:t>
      </w:r>
    </w:p>
    <w:p w:rsidR="00000000" w:rsidRDefault="00F04B64">
      <w:pPr>
        <w:divId w:val="970862326"/>
        <w:rPr>
          <w:rFonts w:eastAsia="Times New Roman"/>
        </w:rPr>
      </w:pPr>
    </w:p>
    <w:p w:rsidR="00000000" w:rsidRDefault="00F04B64">
      <w:pPr>
        <w:jc w:val="both"/>
        <w:rPr>
          <w:rFonts w:eastAsia="Times New Roman"/>
        </w:rPr>
      </w:pPr>
      <w:r>
        <w:rPr>
          <w:rFonts w:eastAsia="Times New Roman"/>
          <w:color w:val="000000"/>
          <w:sz w:val="20"/>
          <w:szCs w:val="20"/>
        </w:rPr>
        <w:t xml:space="preserve">Share repurchases were made pursuant to the share repurchase program, which is described under Part I, Item 2. "Management’s Discussion and Analysis of Financial Condition and Results of Operations" of this Quarterly Report on Form 10-Q. Additionally, the </w:t>
      </w:r>
      <w:r>
        <w:rPr>
          <w:rFonts w:eastAsia="Times New Roman"/>
          <w:color w:val="000000"/>
          <w:sz w:val="20"/>
          <w:szCs w:val="20"/>
        </w:rPr>
        <w:t>Company withholds shares from vested restricted stock units and performance-based restricted share units to satisfy employees’ minimum statutory tax withholding requirements. Stock repurchase activity during the first quarter of fiscal 2022 was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525"/>
        <w:gridCol w:w="36"/>
        <w:gridCol w:w="37"/>
        <w:gridCol w:w="170"/>
        <w:gridCol w:w="36"/>
        <w:gridCol w:w="81"/>
        <w:gridCol w:w="851"/>
        <w:gridCol w:w="36"/>
        <w:gridCol w:w="37"/>
        <w:gridCol w:w="163"/>
        <w:gridCol w:w="36"/>
        <w:gridCol w:w="120"/>
        <w:gridCol w:w="627"/>
        <w:gridCol w:w="36"/>
        <w:gridCol w:w="36"/>
        <w:gridCol w:w="36"/>
        <w:gridCol w:w="36"/>
        <w:gridCol w:w="55"/>
        <w:gridCol w:w="1357"/>
        <w:gridCol w:w="36"/>
        <w:gridCol w:w="36"/>
        <w:gridCol w:w="36"/>
        <w:gridCol w:w="36"/>
        <w:gridCol w:w="120"/>
        <w:gridCol w:w="1405"/>
        <w:gridCol w:w="36"/>
        <w:gridCol w:w="37"/>
        <w:gridCol w:w="178"/>
        <w:gridCol w:w="37"/>
      </w:tblGrid>
      <w:tr w:rsidR="00000000">
        <w:trPr>
          <w:jc w:val="center"/>
        </w:trPr>
        <w:tc>
          <w:tcPr>
            <w:tcW w:w="50" w:type="pct"/>
            <w:vAlign w:val="center"/>
            <w:hideMark/>
          </w:tcPr>
          <w:p w:rsidR="00000000" w:rsidRDefault="00F04B64">
            <w:pPr>
              <w:jc w:val="both"/>
              <w:rPr>
                <w:rFonts w:eastAsia="Times New Roman"/>
              </w:rPr>
            </w:pPr>
          </w:p>
        </w:tc>
        <w:tc>
          <w:tcPr>
            <w:tcW w:w="1553"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1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529"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471"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887"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2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902"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13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Price Paid</w:t>
            </w:r>
            <w:r>
              <w:rPr>
                <w:rFonts w:eastAsia="Times New Roman"/>
                <w:b/>
                <w:bCs/>
                <w:color w:val="000000"/>
                <w:sz w:val="20"/>
                <w:szCs w:val="20"/>
              </w:rPr>
              <w:br/>
              <w:t>Per Share</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F04B6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F04B64">
            <w:pPr>
              <w:spacing w:after="100"/>
              <w:jc w:val="center"/>
              <w:rPr>
                <w:rFonts w:eastAsia="Times New Roman"/>
              </w:rPr>
            </w:pPr>
            <w:r>
              <w:rPr>
                <w:rFonts w:eastAsia="Times New Roman"/>
                <w:b/>
                <w:bCs/>
                <w:color w:val="000000"/>
                <w:sz w:val="20"/>
                <w:szCs w:val="20"/>
              </w:rPr>
              <w:t>Maximum Dollar</w:t>
            </w:r>
            <w:r>
              <w:rPr>
                <w:rFonts w:eastAsia="Times New Roman"/>
                <w:b/>
                <w:bCs/>
                <w:color w:val="000000"/>
                <w:sz w:val="20"/>
                <w:szCs w:val="20"/>
              </w:rPr>
              <w:br/>
              <w:t>Value of Shares That May Yet Be Purchased Under the Plans or Programs</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December 26, 2021 - January 22, 2022</w:t>
            </w: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divId w:val="623583405"/>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364,042 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227.93 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363,998 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262,056,849 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January 23, 2022 - February 19, 2022</w:t>
            </w: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divId w:val="392654224"/>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755,161 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218.00 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634,255 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2,123,852,488 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jc w:val="right"/>
              <w:rPr>
                <w:rFonts w:eastAsia="Times New Roman"/>
              </w:rPr>
            </w:pPr>
            <w:r>
              <w:rPr>
                <w:rFonts w:eastAsia="Times New Roman"/>
                <w:color w:val="000000"/>
                <w:sz w:val="13"/>
                <w:szCs w:val="13"/>
              </w:rPr>
              <w:t>(b</w:t>
            </w:r>
            <w:r>
              <w:rPr>
                <w:rFonts w:eastAsia="Times New Roman"/>
                <w:color w:val="000000"/>
                <w:sz w:val="13"/>
                <w:szCs w:val="13"/>
              </w:rPr>
              <w:t>)</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February 20, 2022 - March 26, 2022</w:t>
            </w:r>
          </w:p>
        </w:tc>
        <w:tc>
          <w:tcPr>
            <w:tcW w:w="0" w:type="auto"/>
            <w:gridSpan w:val="3"/>
            <w:shd w:val="clear" w:color="auto" w:fill="CCEEFF"/>
            <w:tcMar>
              <w:top w:w="30" w:type="dxa"/>
              <w:left w:w="20" w:type="dxa"/>
              <w:bottom w:w="30" w:type="dxa"/>
              <w:right w:w="20" w:type="dxa"/>
            </w:tcMar>
            <w:vAlign w:val="bottom"/>
            <w:hideMark/>
          </w:tcPr>
          <w:p w:rsidR="00000000" w:rsidRDefault="00F04B64">
            <w:pPr>
              <w:spacing w:after="100"/>
              <w:divId w:val="1376155636"/>
              <w:rPr>
                <w:rFonts w:eastAsia="Times New Roman"/>
              </w:rPr>
            </w:pP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360,069 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208.36 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359,952 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2,048,857,479 </w:t>
            </w:r>
          </w:p>
        </w:tc>
        <w:tc>
          <w:tcPr>
            <w:tcW w:w="0" w:type="auto"/>
            <w:shd w:val="clear" w:color="auto" w:fill="CCEE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04B64">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1,479,272 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218.10 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1,358,205 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04B6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04B64">
            <w:pPr>
              <w:spacing w:after="100"/>
              <w:jc w:val="right"/>
              <w:rPr>
                <w:rFonts w:eastAsia="Times New Roman"/>
              </w:rPr>
            </w:pPr>
            <w:r>
              <w:rPr>
                <w:rFonts w:eastAsia="Times New Roman"/>
                <w:color w:val="000000"/>
                <w:sz w:val="20"/>
                <w:szCs w:val="20"/>
              </w:rPr>
              <w:t>2,048,857,479 </w:t>
            </w:r>
          </w:p>
        </w:tc>
        <w:tc>
          <w:tcPr>
            <w:tcW w:w="0" w:type="auto"/>
            <w:shd w:val="clear" w:color="auto" w:fill="FFFFFF"/>
            <w:tcMar>
              <w:top w:w="30" w:type="dxa"/>
              <w:left w:w="0" w:type="dxa"/>
              <w:bottom w:w="30" w:type="dxa"/>
              <w:right w:w="20" w:type="dxa"/>
            </w:tcMar>
            <w:vAlign w:val="bottom"/>
            <w:hideMark/>
          </w:tcPr>
          <w:p w:rsidR="00000000" w:rsidRDefault="00F04B6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jc w:val="right"/>
              <w:rPr>
                <w:rFonts w:eastAsia="Times New Roman"/>
                <w:sz w:val="20"/>
                <w:szCs w:val="20"/>
              </w:rPr>
            </w:pPr>
          </w:p>
        </w:tc>
      </w:tr>
      <w:tr w:rsidR="00000000">
        <w:trPr>
          <w:trHeight w:val="100"/>
          <w:jc w:val="center"/>
        </w:trPr>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04B64">
            <w:pPr>
              <w:spacing w:after="100"/>
              <w:rPr>
                <w:rFonts w:eastAsia="Times New Roman"/>
                <w:sz w:val="20"/>
                <w:szCs w:val="20"/>
              </w:rPr>
            </w:pPr>
          </w:p>
        </w:tc>
      </w:tr>
    </w:tbl>
    <w:p w:rsidR="00000000" w:rsidRDefault="00F04B64">
      <w:pPr>
        <w:ind w:hanging="270"/>
        <w:jc w:val="both"/>
        <w:rPr>
          <w:rFonts w:eastAsia="Times New Roman"/>
        </w:rPr>
      </w:pPr>
      <w:r>
        <w:rPr>
          <w:rFonts w:eastAsia="Times New Roman"/>
          <w:color w:val="000000"/>
          <w:sz w:val="16"/>
          <w:szCs w:val="16"/>
        </w:rPr>
        <w:t>(a) The number of shares purchased and average price paid per share includes 44, 120,906, and 117 shares withheld from vested stock awards to satisfy employees’ minimum statutory tax withholding requirements for the period of December 26, 2021 - January 22</w:t>
      </w:r>
      <w:r>
        <w:rPr>
          <w:rFonts w:eastAsia="Times New Roman"/>
          <w:color w:val="000000"/>
          <w:sz w:val="16"/>
          <w:szCs w:val="16"/>
        </w:rPr>
        <w:t>, 2022, January 23, 2022 - February 19, 2022, and February 20, 2022 - March 26, 2022, respectively.</w:t>
      </w:r>
    </w:p>
    <w:p w:rsidR="00000000" w:rsidRDefault="00F04B64">
      <w:pPr>
        <w:ind w:hanging="270"/>
        <w:jc w:val="both"/>
        <w:rPr>
          <w:rFonts w:eastAsia="Times New Roman"/>
        </w:rPr>
      </w:pPr>
      <w:r>
        <w:rPr>
          <w:rFonts w:eastAsia="Times New Roman"/>
          <w:color w:val="000000"/>
          <w:sz w:val="16"/>
          <w:szCs w:val="16"/>
        </w:rPr>
        <w:t xml:space="preserve">(b) On January 26, 2022 the Board authorized a $2.0 billion increase to its existing share repurchase program, bringing the total amount authorized to date </w:t>
      </w:r>
      <w:r>
        <w:rPr>
          <w:rFonts w:eastAsia="Times New Roman"/>
          <w:color w:val="000000"/>
          <w:sz w:val="16"/>
          <w:szCs w:val="16"/>
        </w:rPr>
        <w:t>under the program to $6.5 billion.</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rPr>
        <w:t xml:space="preserve">We expect to implement the balance of the share repurchase program through purchases made from time to time either in the open market or through private transactions, in accordance with regulations of the SEC and other </w:t>
      </w:r>
      <w:r>
        <w:rPr>
          <w:rFonts w:eastAsia="Times New Roman"/>
          <w:color w:val="000000"/>
          <w:sz w:val="20"/>
          <w:szCs w:val="20"/>
        </w:rPr>
        <w:t>applicable legal requirements. The timing and amount of any common stock repurchased under the program will depend on a variety of factors including price, corporate and regulatory requirements, capital availability, and other market conditions.</w:t>
      </w:r>
    </w:p>
    <w:p w:rsidR="00000000" w:rsidRDefault="00F04B64">
      <w:pPr>
        <w:jc w:val="both"/>
        <w:rPr>
          <w:rFonts w:eastAsia="Times New Roman"/>
        </w:rPr>
      </w:pPr>
      <w:r>
        <w:rPr>
          <w:rFonts w:eastAsia="Times New Roman"/>
          <w:color w:val="000000"/>
          <w:sz w:val="20"/>
          <w:szCs w:val="20"/>
        </w:rPr>
        <w:t>Any additi</w:t>
      </w:r>
      <w:r>
        <w:rPr>
          <w:rFonts w:eastAsia="Times New Roman"/>
          <w:color w:val="000000"/>
          <w:sz w:val="20"/>
          <w:szCs w:val="20"/>
        </w:rPr>
        <w:t>onal share repurchase programs will be subject to the discretion of our Board of Directors and will depend upon earnings, financial condition, and capital needs of the Company, along with any other factors which the Board of Directors deem relevant. The pr</w:t>
      </w:r>
      <w:r>
        <w:rPr>
          <w:rFonts w:eastAsia="Times New Roman"/>
          <w:color w:val="000000"/>
          <w:sz w:val="20"/>
          <w:szCs w:val="20"/>
        </w:rPr>
        <w:t>ogram may be limited, temporarily paused, or terminated at any time, without prior notice.</w:t>
      </w:r>
    </w:p>
    <w:p w:rsidR="00000000" w:rsidRDefault="00F04B64">
      <w:pPr>
        <w:divId w:val="593321446"/>
        <w:rPr>
          <w:rFonts w:eastAsia="Times New Roman"/>
        </w:rPr>
      </w:pPr>
    </w:p>
    <w:p w:rsidR="00000000" w:rsidRDefault="00F04B64">
      <w:pPr>
        <w:jc w:val="both"/>
        <w:rPr>
          <w:rFonts w:eastAsia="Times New Roman"/>
        </w:rPr>
      </w:pPr>
      <w:r>
        <w:rPr>
          <w:rFonts w:eastAsia="Times New Roman"/>
          <w:b/>
          <w:bCs/>
          <w:color w:val="000000"/>
          <w:sz w:val="20"/>
          <w:szCs w:val="20"/>
          <w:u w:val="single"/>
        </w:rPr>
        <w:t>Item 3.  Defaults Upon Senior Securities</w:t>
      </w:r>
    </w:p>
    <w:p w:rsidR="00000000" w:rsidRDefault="00F04B64">
      <w:pPr>
        <w:divId w:val="1857160156"/>
        <w:rPr>
          <w:rFonts w:eastAsia="Times New Roman"/>
        </w:rPr>
      </w:pPr>
    </w:p>
    <w:p w:rsidR="00000000" w:rsidRDefault="00F04B64">
      <w:pPr>
        <w:divId w:val="233051164"/>
        <w:rPr>
          <w:rFonts w:eastAsia="Times New Roman"/>
        </w:rPr>
      </w:pPr>
      <w:r>
        <w:rPr>
          <w:rFonts w:eastAsia="Times New Roman"/>
          <w:color w:val="000000"/>
          <w:sz w:val="20"/>
          <w:szCs w:val="20"/>
        </w:rPr>
        <w:t>None.</w:t>
      </w:r>
    </w:p>
    <w:p w:rsidR="00000000" w:rsidRDefault="00F04B64">
      <w:pPr>
        <w:divId w:val="2010400026"/>
        <w:rPr>
          <w:rFonts w:eastAsia="Times New Roman"/>
        </w:rPr>
      </w:pPr>
    </w:p>
    <w:p w:rsidR="00000000" w:rsidRDefault="00F04B64">
      <w:pPr>
        <w:jc w:val="both"/>
        <w:rPr>
          <w:rFonts w:eastAsia="Times New Roman"/>
        </w:rPr>
      </w:pPr>
      <w:r>
        <w:rPr>
          <w:rFonts w:eastAsia="Times New Roman"/>
          <w:b/>
          <w:bCs/>
          <w:color w:val="000000"/>
          <w:sz w:val="20"/>
          <w:szCs w:val="20"/>
          <w:u w:val="single"/>
        </w:rPr>
        <w:t>Item 4.  Mine Safety Disclosures</w:t>
      </w:r>
    </w:p>
    <w:p w:rsidR="00000000" w:rsidRDefault="00F04B64">
      <w:pPr>
        <w:divId w:val="79375621"/>
        <w:rPr>
          <w:rFonts w:eastAsia="Times New Roman"/>
        </w:rPr>
      </w:pPr>
    </w:p>
    <w:p w:rsidR="00000000" w:rsidRDefault="00F04B64">
      <w:pPr>
        <w:divId w:val="924341964"/>
        <w:rPr>
          <w:rFonts w:eastAsia="Times New Roman"/>
        </w:rPr>
      </w:pPr>
      <w:r>
        <w:rPr>
          <w:rFonts w:eastAsia="Times New Roman"/>
          <w:color w:val="000000"/>
          <w:sz w:val="20"/>
          <w:szCs w:val="20"/>
        </w:rPr>
        <w:t>Not applicable.</w:t>
      </w:r>
    </w:p>
    <w:p w:rsidR="00000000" w:rsidRDefault="00F04B64">
      <w:pPr>
        <w:divId w:val="1726946445"/>
        <w:rPr>
          <w:rFonts w:eastAsia="Times New Roman"/>
        </w:rPr>
      </w:pPr>
    </w:p>
    <w:p w:rsidR="00000000" w:rsidRDefault="00F04B64">
      <w:pPr>
        <w:jc w:val="center"/>
        <w:divId w:val="1800680608"/>
        <w:rPr>
          <w:rFonts w:eastAsia="Times New Roman"/>
        </w:rPr>
      </w:pPr>
      <w:r>
        <w:rPr>
          <w:rFonts w:eastAsia="Times New Roman"/>
          <w:color w:val="000000"/>
          <w:sz w:val="20"/>
          <w:szCs w:val="20"/>
        </w:rPr>
        <w:t>Page 24</w:t>
      </w:r>
    </w:p>
    <w:p w:rsidR="00000000" w:rsidRDefault="00F04B64">
      <w:pPr>
        <w:rPr>
          <w:rFonts w:eastAsia="Times New Roman"/>
        </w:rPr>
      </w:pPr>
      <w:r>
        <w:rPr>
          <w:rFonts w:eastAsia="Times New Roman"/>
        </w:rPr>
        <w:pict>
          <v:rect id="_x0000_i1049" style="width:0;height:1.5pt" o:hralign="center" o:hrstd="t" o:hr="t" fillcolor="#a0a0a0" stroked="f"/>
        </w:pict>
      </w:r>
    </w:p>
    <w:p w:rsidR="00000000" w:rsidRDefault="00F04B64">
      <w:pPr>
        <w:divId w:val="327948522"/>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u w:val="single"/>
        </w:rPr>
        <w:t>Item 5.  Other Information</w:t>
      </w:r>
    </w:p>
    <w:p w:rsidR="00000000" w:rsidRDefault="00F04B64">
      <w:pPr>
        <w:divId w:val="277298202"/>
        <w:rPr>
          <w:rFonts w:eastAsia="Times New Roman"/>
        </w:rPr>
      </w:pPr>
    </w:p>
    <w:p w:rsidR="00000000" w:rsidRDefault="00F04B64">
      <w:pPr>
        <w:divId w:val="1032652774"/>
        <w:rPr>
          <w:rFonts w:eastAsia="Times New Roman"/>
        </w:rPr>
      </w:pPr>
      <w:r>
        <w:rPr>
          <w:rFonts w:eastAsia="Times New Roman"/>
          <w:color w:val="000000"/>
          <w:sz w:val="20"/>
          <w:szCs w:val="20"/>
        </w:rPr>
        <w:t>None.</w:t>
      </w:r>
    </w:p>
    <w:p w:rsidR="00000000" w:rsidRDefault="00F04B64">
      <w:pPr>
        <w:jc w:val="center"/>
        <w:divId w:val="312102036"/>
        <w:rPr>
          <w:rFonts w:eastAsia="Times New Roman"/>
        </w:rPr>
      </w:pPr>
      <w:r>
        <w:rPr>
          <w:rFonts w:eastAsia="Times New Roman"/>
          <w:color w:val="000000"/>
          <w:sz w:val="20"/>
          <w:szCs w:val="20"/>
        </w:rPr>
        <w:t>Page 25</w:t>
      </w:r>
    </w:p>
    <w:p w:rsidR="00000000" w:rsidRDefault="00F04B64">
      <w:pPr>
        <w:rPr>
          <w:rFonts w:eastAsia="Times New Roman"/>
        </w:rPr>
      </w:pPr>
      <w:r>
        <w:rPr>
          <w:rFonts w:eastAsia="Times New Roman"/>
        </w:rPr>
        <w:pict>
          <v:rect id="_x0000_i1050" style="width:0;height:1.5pt" o:hralign="center" o:hrstd="t" o:hr="t" fillcolor="#a0a0a0" stroked="f"/>
        </w:pict>
      </w:r>
    </w:p>
    <w:p w:rsidR="00000000" w:rsidRDefault="00F04B64">
      <w:pPr>
        <w:divId w:val="109278249"/>
        <w:rPr>
          <w:rFonts w:eastAsia="Times New Roman"/>
        </w:rPr>
      </w:pPr>
      <w:hyperlink w:anchor="i6ab5f063bb0d49af8f180f04f663b228_7" w:history="1">
        <w:r>
          <w:rPr>
            <w:rStyle w:val="a3"/>
            <w:rFonts w:eastAsia="Times New Roman"/>
            <w:sz w:val="16"/>
            <w:szCs w:val="16"/>
          </w:rPr>
          <w:t>Index</w:t>
        </w:r>
      </w:hyperlink>
    </w:p>
    <w:p w:rsidR="00000000" w:rsidRDefault="00F04B64">
      <w:pPr>
        <w:jc w:val="both"/>
        <w:rPr>
          <w:rFonts w:eastAsia="Times New Roman"/>
        </w:rPr>
      </w:pPr>
      <w:r>
        <w:rPr>
          <w:rFonts w:eastAsia="Times New Roman"/>
          <w:b/>
          <w:bCs/>
          <w:color w:val="000000"/>
          <w:sz w:val="20"/>
          <w:szCs w:val="20"/>
          <w:u w:val="single"/>
        </w:rPr>
        <w:t>Item 6.  Exh</w:t>
      </w:r>
      <w:r>
        <w:rPr>
          <w:rFonts w:eastAsia="Times New Roman"/>
          <w:b/>
          <w:bCs/>
          <w:color w:val="000000"/>
          <w:sz w:val="20"/>
          <w:szCs w:val="20"/>
          <w:u w:val="single"/>
        </w:rPr>
        <w:t>ibits</w:t>
      </w:r>
    </w:p>
    <w:p w:rsidR="00000000" w:rsidRDefault="00F04B64">
      <w:pPr>
        <w:jc w:val="both"/>
        <w:rPr>
          <w:rFonts w:eastAsia="Times New Roman"/>
        </w:rPr>
      </w:pPr>
    </w:p>
    <w:p w:rsidR="00000000" w:rsidRDefault="00F04B64">
      <w:pPr>
        <w:jc w:val="both"/>
        <w:rPr>
          <w:rFonts w:eastAsia="Times New Roman"/>
        </w:rPr>
      </w:pPr>
      <w:r>
        <w:rPr>
          <w:rFonts w:eastAsia="Times New Roman"/>
          <w:color w:val="000000"/>
          <w:sz w:val="20"/>
          <w:szCs w:val="20"/>
          <w:u w:val="single"/>
        </w:rPr>
        <w:t>Exhibit</w:t>
      </w:r>
    </w:p>
    <w:p w:rsidR="00000000" w:rsidRDefault="00F04B64">
      <w:pPr>
        <w:ind w:hanging="1440"/>
        <w:jc w:val="both"/>
        <w:rPr>
          <w:rFonts w:eastAsia="Times New Roman"/>
        </w:rPr>
      </w:pPr>
    </w:p>
    <w:p w:rsidR="00000000" w:rsidRDefault="00F04B64">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15" w:history="1">
        <w:r>
          <w:rPr>
            <w:rStyle w:val="a3"/>
            <w:rFonts w:eastAsia="Times New Roman"/>
            <w:sz w:val="20"/>
            <w:szCs w:val="20"/>
          </w:rPr>
          <w:t>Certification of Chief Executive Officer under Section 302 of the Sarbanes-Oxley Act of 2002.</w:t>
        </w:r>
      </w:hyperlink>
    </w:p>
    <w:p w:rsidR="00000000" w:rsidRDefault="00F04B64">
      <w:pPr>
        <w:ind w:hanging="1440"/>
        <w:jc w:val="both"/>
        <w:rPr>
          <w:rFonts w:eastAsia="Times New Roman"/>
        </w:rPr>
      </w:pPr>
    </w:p>
    <w:p w:rsidR="00000000" w:rsidRDefault="00F04B64">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16" w:history="1">
        <w:r>
          <w:rPr>
            <w:rStyle w:val="a3"/>
            <w:rFonts w:eastAsia="Times New Roman"/>
            <w:sz w:val="20"/>
            <w:szCs w:val="20"/>
          </w:rPr>
          <w:t>Certification of Chief Financial Officer under Section</w:t>
        </w:r>
        <w:r>
          <w:rPr>
            <w:rStyle w:val="a3"/>
            <w:rFonts w:eastAsia="Times New Roman"/>
            <w:sz w:val="20"/>
            <w:szCs w:val="20"/>
          </w:rPr>
          <w:t xml:space="preserve"> 302 of the Sarbanes-Oxley Act of 2002.</w:t>
        </w:r>
      </w:hyperlink>
    </w:p>
    <w:p w:rsidR="00000000" w:rsidRDefault="00F04B64">
      <w:pPr>
        <w:ind w:hanging="1440"/>
        <w:jc w:val="both"/>
        <w:rPr>
          <w:rFonts w:eastAsia="Times New Roman"/>
        </w:rPr>
      </w:pPr>
    </w:p>
    <w:p w:rsidR="00000000" w:rsidRDefault="00F04B64">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17" w:history="1">
        <w:r>
          <w:rPr>
            <w:rStyle w:val="a3"/>
            <w:rFonts w:eastAsia="Times New Roman"/>
            <w:sz w:val="20"/>
            <w:szCs w:val="20"/>
          </w:rPr>
          <w:t>Certification of Chief Executive Officer and Chief Financial Officer under Section 906 of the Sarbanes-Oxley Act of 2002.</w:t>
        </w:r>
      </w:hyperlink>
    </w:p>
    <w:p w:rsidR="00000000" w:rsidRDefault="00F04B64">
      <w:pPr>
        <w:ind w:hanging="1440"/>
        <w:jc w:val="both"/>
        <w:rPr>
          <w:rFonts w:eastAsia="Times New Roman"/>
        </w:rPr>
      </w:pPr>
    </w:p>
    <w:p w:rsidR="00000000" w:rsidRDefault="00F04B64">
      <w:pPr>
        <w:ind w:hanging="1440"/>
        <w:jc w:val="both"/>
        <w:rPr>
          <w:rFonts w:eastAsia="Times New Roman"/>
        </w:rPr>
      </w:pPr>
      <w:r>
        <w:rPr>
          <w:rFonts w:eastAsia="Times New Roman"/>
          <w:color w:val="000000"/>
          <w:sz w:val="20"/>
          <w:szCs w:val="20"/>
        </w:rPr>
        <w:t>101*    </w:t>
      </w:r>
      <w:r>
        <w:rPr>
          <w:rFonts w:eastAsia="Times New Roman"/>
          <w:color w:val="000000"/>
          <w:sz w:val="20"/>
          <w:szCs w:val="20"/>
        </w:rPr>
        <w:t>The following financial information from the Company’s Quarterly Report on Form 10-Q for the quarter ended March 26, 2022, formatted in Inline XBRL (Extensible Business Reporting Language) includes: (i) the Condensed Consolidated Balance Sheets, (ii) the C</w:t>
      </w:r>
      <w:r>
        <w:rPr>
          <w:rFonts w:eastAsia="Times New Roman"/>
          <w:color w:val="000000"/>
          <w:sz w:val="20"/>
          <w:szCs w:val="20"/>
        </w:rPr>
        <w:t>ondensed Consolidated Statements of Income, (iii) the Condensed Consolidated Statements of Comprehensive Income, (iv) the Condensed Consolidated Statements of Stockholders' Equity, (v) the Condensed Consolidated Statements of Cash Flows, and (vi) the Notes</w:t>
      </w:r>
      <w:r>
        <w:rPr>
          <w:rFonts w:eastAsia="Times New Roman"/>
          <w:color w:val="000000"/>
          <w:sz w:val="20"/>
          <w:szCs w:val="20"/>
        </w:rPr>
        <w:t xml:space="preserve"> to Consolidated Financial Statements. The instance document does not appear in the interactive data file because its XBRL tags are embedded within the Inline XBRL document.</w:t>
      </w:r>
    </w:p>
    <w:p w:rsidR="00000000" w:rsidRDefault="00F04B64">
      <w:pPr>
        <w:ind w:hanging="720"/>
        <w:jc w:val="both"/>
        <w:rPr>
          <w:rFonts w:eastAsia="Times New Roman"/>
        </w:rPr>
      </w:pPr>
    </w:p>
    <w:p w:rsidR="00000000" w:rsidRDefault="00F04B64">
      <w:pPr>
        <w:ind w:hanging="1440"/>
        <w:jc w:val="both"/>
        <w:rPr>
          <w:rFonts w:eastAsia="Times New Roman"/>
        </w:rPr>
      </w:pPr>
      <w:r>
        <w:rPr>
          <w:rFonts w:eastAsia="Times New Roman"/>
          <w:color w:val="000000"/>
          <w:sz w:val="20"/>
          <w:szCs w:val="20"/>
        </w:rPr>
        <w:t xml:space="preserve">104*    The cover page from the Company’s Quarterly Report on Form 10-Q for the </w:t>
      </w:r>
      <w:r>
        <w:rPr>
          <w:rFonts w:eastAsia="Times New Roman"/>
          <w:color w:val="000000"/>
          <w:sz w:val="20"/>
          <w:szCs w:val="20"/>
        </w:rPr>
        <w:t>quarter ended March 26, 2022, formatted in Inline XBRL (included in Exhibit 101).</w:t>
      </w:r>
    </w:p>
    <w:p w:rsidR="00000000" w:rsidRDefault="00F04B64">
      <w:pPr>
        <w:jc w:val="both"/>
        <w:rPr>
          <w:rFonts w:eastAsia="Times New Roman"/>
        </w:rPr>
      </w:pPr>
    </w:p>
    <w:p w:rsidR="00000000" w:rsidRDefault="00F04B64">
      <w:pPr>
        <w:ind w:hanging="1440"/>
        <w:divId w:val="995034439"/>
        <w:rPr>
          <w:rFonts w:eastAsia="Times New Roman"/>
        </w:rPr>
      </w:pPr>
      <w:r>
        <w:rPr>
          <w:rFonts w:eastAsia="Times New Roman"/>
          <w:color w:val="000000"/>
          <w:sz w:val="20"/>
          <w:szCs w:val="20"/>
        </w:rPr>
        <w:t>*     Filed herewith</w:t>
      </w:r>
    </w:p>
    <w:p w:rsidR="00000000" w:rsidRDefault="00F04B64">
      <w:pPr>
        <w:ind w:hanging="1440"/>
        <w:divId w:val="289897177"/>
        <w:rPr>
          <w:rFonts w:eastAsia="Times New Roman"/>
        </w:rPr>
      </w:pPr>
      <w:r>
        <w:rPr>
          <w:rFonts w:eastAsia="Times New Roman"/>
          <w:color w:val="000000"/>
          <w:sz w:val="20"/>
          <w:szCs w:val="20"/>
        </w:rPr>
        <w:t>**    Furnished herewith</w:t>
      </w:r>
    </w:p>
    <w:p w:rsidR="00000000" w:rsidRDefault="00F04B64">
      <w:pPr>
        <w:divId w:val="2069910470"/>
        <w:rPr>
          <w:rFonts w:eastAsia="Times New Roman"/>
        </w:rPr>
      </w:pPr>
    </w:p>
    <w:p w:rsidR="00000000" w:rsidRDefault="00F04B64">
      <w:pPr>
        <w:divId w:val="1971740849"/>
        <w:rPr>
          <w:rFonts w:eastAsia="Times New Roman"/>
        </w:rPr>
      </w:pPr>
    </w:p>
    <w:p w:rsidR="00000000" w:rsidRDefault="00F04B64">
      <w:pPr>
        <w:jc w:val="center"/>
        <w:divId w:val="60031259"/>
        <w:rPr>
          <w:rFonts w:eastAsia="Times New Roman"/>
        </w:rPr>
      </w:pPr>
      <w:r>
        <w:rPr>
          <w:rFonts w:eastAsia="Times New Roman"/>
          <w:color w:val="000000"/>
          <w:sz w:val="20"/>
          <w:szCs w:val="20"/>
        </w:rPr>
        <w:t>Page 26</w:t>
      </w:r>
    </w:p>
    <w:p w:rsidR="00000000" w:rsidRDefault="00F04B64">
      <w:pPr>
        <w:rPr>
          <w:rFonts w:eastAsia="Times New Roman"/>
        </w:rPr>
      </w:pPr>
      <w:r>
        <w:rPr>
          <w:rFonts w:eastAsia="Times New Roman"/>
        </w:rPr>
        <w:pict>
          <v:rect id="_x0000_i1051" style="width:0;height:1.5pt" o:hralign="center" o:hrstd="t" o:hr="t" fillcolor="#a0a0a0" stroked="f"/>
        </w:pict>
      </w:r>
    </w:p>
    <w:p w:rsidR="00000000" w:rsidRDefault="00F04B64">
      <w:pPr>
        <w:divId w:val="1375811626"/>
        <w:rPr>
          <w:rFonts w:eastAsia="Times New Roman"/>
        </w:rPr>
      </w:pPr>
      <w:hyperlink w:anchor="i6ab5f063bb0d49af8f180f04f663b228_7" w:history="1">
        <w:r>
          <w:rPr>
            <w:rStyle w:val="a3"/>
            <w:rFonts w:eastAsia="Times New Roman"/>
            <w:sz w:val="16"/>
            <w:szCs w:val="16"/>
          </w:rPr>
          <w:t>Index</w:t>
        </w:r>
      </w:hyperlink>
    </w:p>
    <w:p w:rsidR="00000000" w:rsidRDefault="00F04B64">
      <w:pPr>
        <w:jc w:val="center"/>
        <w:rPr>
          <w:rFonts w:eastAsia="Times New Roman"/>
        </w:rPr>
      </w:pPr>
      <w:r>
        <w:rPr>
          <w:rFonts w:eastAsia="Times New Roman"/>
          <w:b/>
          <w:bCs/>
          <w:color w:val="000000"/>
          <w:sz w:val="20"/>
          <w:szCs w:val="20"/>
          <w:u w:val="single"/>
        </w:rPr>
        <w:t>SIGNATURE</w:t>
      </w:r>
    </w:p>
    <w:p w:rsidR="00000000" w:rsidRDefault="00F04B64">
      <w:pPr>
        <w:divId w:val="145704379"/>
        <w:rPr>
          <w:rFonts w:eastAsia="Times New Roman"/>
        </w:rPr>
      </w:pPr>
    </w:p>
    <w:p w:rsidR="00000000" w:rsidRDefault="00F04B64">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w:t>
      </w:r>
      <w:r>
        <w:rPr>
          <w:rFonts w:eastAsia="Times New Roman"/>
          <w:color w:val="000000"/>
          <w:sz w:val="20"/>
          <w:szCs w:val="20"/>
        </w:rPr>
        <w:t>e undersigned thereunto duly authorized.</w:t>
      </w: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trPr>
          <w:divId w:val="1196042021"/>
        </w:trPr>
        <w:tc>
          <w:tcPr>
            <w:tcW w:w="50" w:type="pct"/>
            <w:vAlign w:val="center"/>
            <w:hideMark/>
          </w:tcPr>
          <w:p w:rsidR="00000000" w:rsidRDefault="00F04B64">
            <w:pPr>
              <w:jc w:val="both"/>
              <w:rPr>
                <w:rFonts w:eastAsia="Times New Roman"/>
              </w:rPr>
            </w:pPr>
          </w:p>
        </w:tc>
        <w:tc>
          <w:tcPr>
            <w:tcW w:w="238"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440"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186"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c>
          <w:tcPr>
            <w:tcW w:w="50" w:type="pct"/>
            <w:vAlign w:val="center"/>
            <w:hideMark/>
          </w:tcPr>
          <w:p w:rsidR="00000000" w:rsidRDefault="00F04B64">
            <w:pPr>
              <w:spacing w:after="100"/>
              <w:rPr>
                <w:rFonts w:eastAsia="Times New Roman"/>
                <w:sz w:val="20"/>
                <w:szCs w:val="20"/>
              </w:rPr>
            </w:pPr>
          </w:p>
        </w:tc>
        <w:tc>
          <w:tcPr>
            <w:tcW w:w="2914" w:type="pct"/>
            <w:vAlign w:val="center"/>
            <w:hideMark/>
          </w:tcPr>
          <w:p w:rsidR="00000000" w:rsidRDefault="00F04B64">
            <w:pPr>
              <w:spacing w:after="100"/>
              <w:rPr>
                <w:rFonts w:eastAsia="Times New Roman"/>
                <w:sz w:val="20"/>
                <w:szCs w:val="20"/>
              </w:rPr>
            </w:pPr>
          </w:p>
        </w:tc>
        <w:tc>
          <w:tcPr>
            <w:tcW w:w="5" w:type="pct"/>
            <w:vAlign w:val="center"/>
            <w:hideMark/>
          </w:tcPr>
          <w:p w:rsidR="00000000" w:rsidRDefault="00F04B64">
            <w:pPr>
              <w:spacing w:after="100"/>
              <w:rPr>
                <w:rFonts w:eastAsia="Times New Roman"/>
                <w:sz w:val="20"/>
                <w:szCs w:val="20"/>
              </w:rPr>
            </w:pP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TRACTOR SUPPLY COMPANY</w:t>
            </w: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u w:val="single"/>
              </w:rPr>
              <w:t>May 5, 2022</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i/>
                <w:iCs/>
                <w:color w:val="000000"/>
                <w:sz w:val="20"/>
                <w:szCs w:val="20"/>
                <w:u w:val="single"/>
              </w:rPr>
              <w:t>/s/ Kurt D. Barton</w:t>
            </w: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Kurt D. Barton</w:t>
            </w: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Executive Vice President - Chief Financial Officer and Treasurer</w:t>
            </w:r>
          </w:p>
        </w:tc>
      </w:tr>
      <w:tr w:rsidR="00000000">
        <w:trPr>
          <w:divId w:val="1196042021"/>
        </w:trPr>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04B64">
            <w:pPr>
              <w:spacing w:after="100"/>
              <w:rPr>
                <w:rFonts w:eastAsia="Times New Roman"/>
              </w:rPr>
            </w:pPr>
            <w:r>
              <w:rPr>
                <w:rFonts w:eastAsia="Times New Roman"/>
                <w:color w:val="000000"/>
                <w:sz w:val="20"/>
                <w:szCs w:val="20"/>
              </w:rPr>
              <w:t>(Duly Authorized Officer and Principal Financial Officer)</w:t>
            </w:r>
          </w:p>
        </w:tc>
      </w:tr>
    </w:tbl>
    <w:p w:rsidR="00000000" w:rsidRDefault="00F04B64">
      <w:pPr>
        <w:divId w:val="1051657462"/>
        <w:rPr>
          <w:rFonts w:eastAsia="Times New Roman"/>
        </w:rPr>
      </w:pPr>
    </w:p>
    <w:p w:rsidR="00000000" w:rsidRDefault="00F04B64">
      <w:pPr>
        <w:divId w:val="1658415142"/>
        <w:rPr>
          <w:rFonts w:eastAsia="Times New Roman"/>
        </w:rPr>
      </w:pPr>
      <w:r>
        <w:rPr>
          <w:rFonts w:eastAsia="Times New Roman"/>
          <w:color w:val="000000"/>
          <w:sz w:val="20"/>
          <w:szCs w:val="20"/>
        </w:rPr>
        <w:t> </w:t>
      </w:r>
    </w:p>
    <w:p w:rsidR="00000000" w:rsidRDefault="00F04B64">
      <w:pPr>
        <w:divId w:val="571814118"/>
        <w:rPr>
          <w:rFonts w:eastAsia="Times New Roman"/>
        </w:rPr>
      </w:pPr>
      <w:r>
        <w:rPr>
          <w:rFonts w:eastAsia="Times New Roman"/>
          <w:color w:val="000000"/>
          <w:sz w:val="20"/>
          <w:szCs w:val="20"/>
        </w:rPr>
        <w:t> </w:t>
      </w:r>
    </w:p>
    <w:p w:rsidR="00000000" w:rsidRDefault="00F04B64">
      <w:pPr>
        <w:divId w:val="216208882"/>
        <w:rPr>
          <w:rFonts w:eastAsia="Times New Roman"/>
        </w:rPr>
      </w:pPr>
      <w:r>
        <w:rPr>
          <w:rFonts w:eastAsia="Times New Roman"/>
          <w:color w:val="000000"/>
          <w:sz w:val="20"/>
          <w:szCs w:val="20"/>
        </w:rPr>
        <w:t> </w:t>
      </w:r>
    </w:p>
    <w:p w:rsidR="00000000" w:rsidRDefault="00F04B64">
      <w:pPr>
        <w:jc w:val="center"/>
        <w:rPr>
          <w:rFonts w:eastAsia="Times New Roman"/>
        </w:rPr>
      </w:pPr>
    </w:p>
    <w:p w:rsidR="00F04B64" w:rsidRDefault="00F04B64">
      <w:pPr>
        <w:jc w:val="center"/>
        <w:divId w:val="1650749209"/>
        <w:rPr>
          <w:rFonts w:eastAsia="Times New Roman"/>
        </w:rPr>
      </w:pPr>
      <w:r>
        <w:rPr>
          <w:rFonts w:eastAsia="Times New Roman"/>
          <w:color w:val="000000"/>
          <w:sz w:val="20"/>
          <w:szCs w:val="20"/>
        </w:rPr>
        <w:t>Page 27</w:t>
      </w:r>
    </w:p>
    <w:sectPr w:rsidR="00F04B6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4B64"/>
    <w:rsid w:val="00F04B64"/>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3/instance"/>
  <w:attachedSchema w:val="http://www.w3.org/1999/xlink"/>
  <w:attachedSchema w:val="http://www.sec.gov/inlineXBRL/transformation/2015-08-31"/>
  <w:attachedSchema w:val="http://www.tractorsupply.com/20220326"/>
  <w:attachedSchema w:val="http://www.xbrl.org/2003/iso4217"/>
  <w:attachedSchema w:val="http://www.xbrl.org/2013/inlineXBRL"/>
  <w:attachedSchema w:val="http://xbrl.org/2006/xbrldi"/>
  <w:attachedSchema w:val="http://fasb.org/srt/2020-01-31"/>
  <w:attachedSchema w:val="http://xbrl.sec.gov/dei/2020-01-31"/>
  <w:attachedSchema w:val="http://fasb.org/us-gaap/2020-01-31"/>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117">
      <w:marLeft w:val="0"/>
      <w:marRight w:val="0"/>
      <w:marTop w:val="0"/>
      <w:marBottom w:val="0"/>
      <w:divBdr>
        <w:top w:val="none" w:sz="0" w:space="0" w:color="auto"/>
        <w:left w:val="none" w:sz="0" w:space="0" w:color="auto"/>
        <w:bottom w:val="none" w:sz="0" w:space="0" w:color="auto"/>
        <w:right w:val="none" w:sz="0" w:space="0" w:color="auto"/>
      </w:divBdr>
    </w:div>
    <w:div w:id="12264962">
      <w:marLeft w:val="0"/>
      <w:marRight w:val="0"/>
      <w:marTop w:val="0"/>
      <w:marBottom w:val="0"/>
      <w:divBdr>
        <w:top w:val="none" w:sz="0" w:space="0" w:color="auto"/>
        <w:left w:val="none" w:sz="0" w:space="0" w:color="auto"/>
        <w:bottom w:val="none" w:sz="0" w:space="0" w:color="auto"/>
        <w:right w:val="none" w:sz="0" w:space="0" w:color="auto"/>
      </w:divBdr>
    </w:div>
    <w:div w:id="19598567">
      <w:marLeft w:val="0"/>
      <w:marRight w:val="0"/>
      <w:marTop w:val="0"/>
      <w:marBottom w:val="0"/>
      <w:divBdr>
        <w:top w:val="none" w:sz="0" w:space="0" w:color="auto"/>
        <w:left w:val="none" w:sz="0" w:space="0" w:color="auto"/>
        <w:bottom w:val="none" w:sz="0" w:space="0" w:color="auto"/>
        <w:right w:val="none" w:sz="0" w:space="0" w:color="auto"/>
      </w:divBdr>
    </w:div>
    <w:div w:id="25524160">
      <w:marLeft w:val="0"/>
      <w:marRight w:val="0"/>
      <w:marTop w:val="0"/>
      <w:marBottom w:val="0"/>
      <w:divBdr>
        <w:top w:val="none" w:sz="0" w:space="0" w:color="auto"/>
        <w:left w:val="none" w:sz="0" w:space="0" w:color="auto"/>
        <w:bottom w:val="none" w:sz="0" w:space="0" w:color="auto"/>
        <w:right w:val="none" w:sz="0" w:space="0" w:color="auto"/>
      </w:divBdr>
    </w:div>
    <w:div w:id="35933527">
      <w:marLeft w:val="0"/>
      <w:marRight w:val="0"/>
      <w:marTop w:val="0"/>
      <w:marBottom w:val="0"/>
      <w:divBdr>
        <w:top w:val="none" w:sz="0" w:space="0" w:color="auto"/>
        <w:left w:val="none" w:sz="0" w:space="0" w:color="auto"/>
        <w:bottom w:val="none" w:sz="0" w:space="0" w:color="auto"/>
        <w:right w:val="none" w:sz="0" w:space="0" w:color="auto"/>
      </w:divBdr>
      <w:divsChild>
        <w:div w:id="1584949585">
          <w:marLeft w:val="0"/>
          <w:marRight w:val="0"/>
          <w:marTop w:val="0"/>
          <w:marBottom w:val="0"/>
          <w:divBdr>
            <w:top w:val="none" w:sz="0" w:space="0" w:color="auto"/>
            <w:left w:val="none" w:sz="0" w:space="0" w:color="auto"/>
            <w:bottom w:val="none" w:sz="0" w:space="0" w:color="auto"/>
            <w:right w:val="none" w:sz="0" w:space="0" w:color="auto"/>
          </w:divBdr>
        </w:div>
      </w:divsChild>
    </w:div>
    <w:div w:id="45498948">
      <w:marLeft w:val="0"/>
      <w:marRight w:val="0"/>
      <w:marTop w:val="0"/>
      <w:marBottom w:val="0"/>
      <w:divBdr>
        <w:top w:val="none" w:sz="0" w:space="0" w:color="auto"/>
        <w:left w:val="none" w:sz="0" w:space="0" w:color="auto"/>
        <w:bottom w:val="none" w:sz="0" w:space="0" w:color="auto"/>
        <w:right w:val="none" w:sz="0" w:space="0" w:color="auto"/>
      </w:divBdr>
      <w:divsChild>
        <w:div w:id="1269314166">
          <w:marLeft w:val="0"/>
          <w:marRight w:val="0"/>
          <w:marTop w:val="0"/>
          <w:marBottom w:val="0"/>
          <w:divBdr>
            <w:top w:val="none" w:sz="0" w:space="0" w:color="auto"/>
            <w:left w:val="none" w:sz="0" w:space="0" w:color="auto"/>
            <w:bottom w:val="none" w:sz="0" w:space="0" w:color="auto"/>
            <w:right w:val="none" w:sz="0" w:space="0" w:color="auto"/>
          </w:divBdr>
        </w:div>
      </w:divsChild>
    </w:div>
    <w:div w:id="79375621">
      <w:marLeft w:val="0"/>
      <w:marRight w:val="0"/>
      <w:marTop w:val="0"/>
      <w:marBottom w:val="0"/>
      <w:divBdr>
        <w:top w:val="none" w:sz="0" w:space="0" w:color="auto"/>
        <w:left w:val="none" w:sz="0" w:space="0" w:color="auto"/>
        <w:bottom w:val="none" w:sz="0" w:space="0" w:color="auto"/>
        <w:right w:val="none" w:sz="0" w:space="0" w:color="auto"/>
      </w:divBdr>
    </w:div>
    <w:div w:id="79525322">
      <w:marLeft w:val="0"/>
      <w:marRight w:val="0"/>
      <w:marTop w:val="0"/>
      <w:marBottom w:val="0"/>
      <w:divBdr>
        <w:top w:val="none" w:sz="0" w:space="0" w:color="auto"/>
        <w:left w:val="none" w:sz="0" w:space="0" w:color="auto"/>
        <w:bottom w:val="none" w:sz="0" w:space="0" w:color="auto"/>
        <w:right w:val="none" w:sz="0" w:space="0" w:color="auto"/>
      </w:divBdr>
    </w:div>
    <w:div w:id="103885891">
      <w:marLeft w:val="0"/>
      <w:marRight w:val="0"/>
      <w:marTop w:val="0"/>
      <w:marBottom w:val="0"/>
      <w:divBdr>
        <w:top w:val="none" w:sz="0" w:space="0" w:color="auto"/>
        <w:left w:val="none" w:sz="0" w:space="0" w:color="auto"/>
        <w:bottom w:val="none" w:sz="0" w:space="0" w:color="auto"/>
        <w:right w:val="none" w:sz="0" w:space="0" w:color="auto"/>
      </w:divBdr>
    </w:div>
    <w:div w:id="104421512">
      <w:marLeft w:val="0"/>
      <w:marRight w:val="0"/>
      <w:marTop w:val="0"/>
      <w:marBottom w:val="0"/>
      <w:divBdr>
        <w:top w:val="none" w:sz="0" w:space="0" w:color="auto"/>
        <w:left w:val="none" w:sz="0" w:space="0" w:color="auto"/>
        <w:bottom w:val="none" w:sz="0" w:space="0" w:color="auto"/>
        <w:right w:val="none" w:sz="0" w:space="0" w:color="auto"/>
      </w:divBdr>
      <w:divsChild>
        <w:div w:id="1417676197">
          <w:marLeft w:val="0"/>
          <w:marRight w:val="0"/>
          <w:marTop w:val="0"/>
          <w:marBottom w:val="0"/>
          <w:divBdr>
            <w:top w:val="none" w:sz="0" w:space="0" w:color="auto"/>
            <w:left w:val="none" w:sz="0" w:space="0" w:color="auto"/>
            <w:bottom w:val="none" w:sz="0" w:space="0" w:color="auto"/>
            <w:right w:val="none" w:sz="0" w:space="0" w:color="auto"/>
          </w:divBdr>
        </w:div>
      </w:divsChild>
    </w:div>
    <w:div w:id="111019041">
      <w:marLeft w:val="0"/>
      <w:marRight w:val="0"/>
      <w:marTop w:val="0"/>
      <w:marBottom w:val="0"/>
      <w:divBdr>
        <w:top w:val="none" w:sz="0" w:space="0" w:color="auto"/>
        <w:left w:val="none" w:sz="0" w:space="0" w:color="auto"/>
        <w:bottom w:val="none" w:sz="0" w:space="0" w:color="auto"/>
        <w:right w:val="none" w:sz="0" w:space="0" w:color="auto"/>
      </w:divBdr>
    </w:div>
    <w:div w:id="145704379">
      <w:marLeft w:val="0"/>
      <w:marRight w:val="0"/>
      <w:marTop w:val="0"/>
      <w:marBottom w:val="0"/>
      <w:divBdr>
        <w:top w:val="none" w:sz="0" w:space="0" w:color="auto"/>
        <w:left w:val="none" w:sz="0" w:space="0" w:color="auto"/>
        <w:bottom w:val="none" w:sz="0" w:space="0" w:color="auto"/>
        <w:right w:val="none" w:sz="0" w:space="0" w:color="auto"/>
      </w:divBdr>
    </w:div>
    <w:div w:id="147594960">
      <w:marLeft w:val="0"/>
      <w:marRight w:val="0"/>
      <w:marTop w:val="0"/>
      <w:marBottom w:val="0"/>
      <w:divBdr>
        <w:top w:val="none" w:sz="0" w:space="0" w:color="auto"/>
        <w:left w:val="none" w:sz="0" w:space="0" w:color="auto"/>
        <w:bottom w:val="none" w:sz="0" w:space="0" w:color="auto"/>
        <w:right w:val="none" w:sz="0" w:space="0" w:color="auto"/>
      </w:divBdr>
    </w:div>
    <w:div w:id="149030774">
      <w:marLeft w:val="0"/>
      <w:marRight w:val="0"/>
      <w:marTop w:val="0"/>
      <w:marBottom w:val="0"/>
      <w:divBdr>
        <w:top w:val="none" w:sz="0" w:space="0" w:color="auto"/>
        <w:left w:val="none" w:sz="0" w:space="0" w:color="auto"/>
        <w:bottom w:val="none" w:sz="0" w:space="0" w:color="auto"/>
        <w:right w:val="none" w:sz="0" w:space="0" w:color="auto"/>
      </w:divBdr>
      <w:divsChild>
        <w:div w:id="2144885243">
          <w:marLeft w:val="0"/>
          <w:marRight w:val="0"/>
          <w:marTop w:val="0"/>
          <w:marBottom w:val="0"/>
          <w:divBdr>
            <w:top w:val="none" w:sz="0" w:space="0" w:color="auto"/>
            <w:left w:val="none" w:sz="0" w:space="0" w:color="auto"/>
            <w:bottom w:val="none" w:sz="0" w:space="0" w:color="auto"/>
            <w:right w:val="none" w:sz="0" w:space="0" w:color="auto"/>
          </w:divBdr>
        </w:div>
      </w:divsChild>
    </w:div>
    <w:div w:id="158272346">
      <w:marLeft w:val="0"/>
      <w:marRight w:val="0"/>
      <w:marTop w:val="0"/>
      <w:marBottom w:val="20"/>
      <w:divBdr>
        <w:top w:val="none" w:sz="0" w:space="0" w:color="auto"/>
        <w:left w:val="none" w:sz="0" w:space="0" w:color="auto"/>
        <w:bottom w:val="none" w:sz="0" w:space="0" w:color="auto"/>
        <w:right w:val="none" w:sz="0" w:space="0" w:color="auto"/>
      </w:divBdr>
    </w:div>
    <w:div w:id="179661767">
      <w:marLeft w:val="0"/>
      <w:marRight w:val="0"/>
      <w:marTop w:val="0"/>
      <w:marBottom w:val="0"/>
      <w:divBdr>
        <w:top w:val="none" w:sz="0" w:space="0" w:color="auto"/>
        <w:left w:val="none" w:sz="0" w:space="0" w:color="auto"/>
        <w:bottom w:val="none" w:sz="0" w:space="0" w:color="auto"/>
        <w:right w:val="none" w:sz="0" w:space="0" w:color="auto"/>
      </w:divBdr>
      <w:divsChild>
        <w:div w:id="1774669660">
          <w:marLeft w:val="0"/>
          <w:marRight w:val="0"/>
          <w:marTop w:val="0"/>
          <w:marBottom w:val="0"/>
          <w:divBdr>
            <w:top w:val="none" w:sz="0" w:space="0" w:color="auto"/>
            <w:left w:val="none" w:sz="0" w:space="0" w:color="auto"/>
            <w:bottom w:val="none" w:sz="0" w:space="0" w:color="auto"/>
            <w:right w:val="none" w:sz="0" w:space="0" w:color="auto"/>
          </w:divBdr>
        </w:div>
      </w:divsChild>
    </w:div>
    <w:div w:id="187566130">
      <w:marLeft w:val="0"/>
      <w:marRight w:val="0"/>
      <w:marTop w:val="0"/>
      <w:marBottom w:val="0"/>
      <w:divBdr>
        <w:top w:val="none" w:sz="0" w:space="0" w:color="auto"/>
        <w:left w:val="none" w:sz="0" w:space="0" w:color="auto"/>
        <w:bottom w:val="none" w:sz="0" w:space="0" w:color="auto"/>
        <w:right w:val="none" w:sz="0" w:space="0" w:color="auto"/>
      </w:divBdr>
    </w:div>
    <w:div w:id="188614620">
      <w:marLeft w:val="0"/>
      <w:marRight w:val="0"/>
      <w:marTop w:val="0"/>
      <w:marBottom w:val="0"/>
      <w:divBdr>
        <w:top w:val="none" w:sz="0" w:space="0" w:color="auto"/>
        <w:left w:val="none" w:sz="0" w:space="0" w:color="auto"/>
        <w:bottom w:val="none" w:sz="0" w:space="0" w:color="auto"/>
        <w:right w:val="none" w:sz="0" w:space="0" w:color="auto"/>
      </w:divBdr>
    </w:div>
    <w:div w:id="200827835">
      <w:marLeft w:val="0"/>
      <w:marRight w:val="0"/>
      <w:marTop w:val="0"/>
      <w:marBottom w:val="0"/>
      <w:divBdr>
        <w:top w:val="none" w:sz="0" w:space="0" w:color="auto"/>
        <w:left w:val="none" w:sz="0" w:space="0" w:color="auto"/>
        <w:bottom w:val="none" w:sz="0" w:space="0" w:color="auto"/>
        <w:right w:val="none" w:sz="0" w:space="0" w:color="auto"/>
      </w:divBdr>
    </w:div>
    <w:div w:id="205263117">
      <w:marLeft w:val="0"/>
      <w:marRight w:val="0"/>
      <w:marTop w:val="0"/>
      <w:marBottom w:val="0"/>
      <w:divBdr>
        <w:top w:val="none" w:sz="0" w:space="0" w:color="auto"/>
        <w:left w:val="none" w:sz="0" w:space="0" w:color="auto"/>
        <w:bottom w:val="none" w:sz="0" w:space="0" w:color="auto"/>
        <w:right w:val="none" w:sz="0" w:space="0" w:color="auto"/>
      </w:divBdr>
    </w:div>
    <w:div w:id="206573745">
      <w:marLeft w:val="0"/>
      <w:marRight w:val="0"/>
      <w:marTop w:val="0"/>
      <w:marBottom w:val="20"/>
      <w:divBdr>
        <w:top w:val="none" w:sz="0" w:space="0" w:color="auto"/>
        <w:left w:val="none" w:sz="0" w:space="0" w:color="auto"/>
        <w:bottom w:val="none" w:sz="0" w:space="0" w:color="auto"/>
        <w:right w:val="none" w:sz="0" w:space="0" w:color="auto"/>
      </w:divBdr>
    </w:div>
    <w:div w:id="213123290">
      <w:marLeft w:val="0"/>
      <w:marRight w:val="0"/>
      <w:marTop w:val="0"/>
      <w:marBottom w:val="0"/>
      <w:divBdr>
        <w:top w:val="none" w:sz="0" w:space="0" w:color="auto"/>
        <w:left w:val="none" w:sz="0" w:space="0" w:color="auto"/>
        <w:bottom w:val="none" w:sz="0" w:space="0" w:color="auto"/>
        <w:right w:val="none" w:sz="0" w:space="0" w:color="auto"/>
      </w:divBdr>
    </w:div>
    <w:div w:id="216208882">
      <w:marLeft w:val="0"/>
      <w:marRight w:val="0"/>
      <w:marTop w:val="0"/>
      <w:marBottom w:val="0"/>
      <w:divBdr>
        <w:top w:val="none" w:sz="0" w:space="0" w:color="auto"/>
        <w:left w:val="none" w:sz="0" w:space="0" w:color="auto"/>
        <w:bottom w:val="none" w:sz="0" w:space="0" w:color="auto"/>
        <w:right w:val="none" w:sz="0" w:space="0" w:color="auto"/>
      </w:divBdr>
    </w:div>
    <w:div w:id="226230274">
      <w:marLeft w:val="0"/>
      <w:marRight w:val="0"/>
      <w:marTop w:val="0"/>
      <w:marBottom w:val="0"/>
      <w:divBdr>
        <w:top w:val="none" w:sz="0" w:space="0" w:color="auto"/>
        <w:left w:val="none" w:sz="0" w:space="0" w:color="auto"/>
        <w:bottom w:val="none" w:sz="0" w:space="0" w:color="auto"/>
        <w:right w:val="none" w:sz="0" w:space="0" w:color="auto"/>
      </w:divBdr>
    </w:div>
    <w:div w:id="233051164">
      <w:marLeft w:val="0"/>
      <w:marRight w:val="0"/>
      <w:marTop w:val="0"/>
      <w:marBottom w:val="0"/>
      <w:divBdr>
        <w:top w:val="none" w:sz="0" w:space="0" w:color="auto"/>
        <w:left w:val="none" w:sz="0" w:space="0" w:color="auto"/>
        <w:bottom w:val="none" w:sz="0" w:space="0" w:color="auto"/>
        <w:right w:val="none" w:sz="0" w:space="0" w:color="auto"/>
      </w:divBdr>
    </w:div>
    <w:div w:id="237904378">
      <w:marLeft w:val="0"/>
      <w:marRight w:val="0"/>
      <w:marTop w:val="0"/>
      <w:marBottom w:val="0"/>
      <w:divBdr>
        <w:top w:val="none" w:sz="0" w:space="0" w:color="auto"/>
        <w:left w:val="none" w:sz="0" w:space="0" w:color="auto"/>
        <w:bottom w:val="none" w:sz="0" w:space="0" w:color="auto"/>
        <w:right w:val="none" w:sz="0" w:space="0" w:color="auto"/>
      </w:divBdr>
      <w:divsChild>
        <w:div w:id="370498240">
          <w:marLeft w:val="0"/>
          <w:marRight w:val="0"/>
          <w:marTop w:val="0"/>
          <w:marBottom w:val="0"/>
          <w:divBdr>
            <w:top w:val="none" w:sz="0" w:space="0" w:color="auto"/>
            <w:left w:val="none" w:sz="0" w:space="0" w:color="auto"/>
            <w:bottom w:val="none" w:sz="0" w:space="0" w:color="auto"/>
            <w:right w:val="none" w:sz="0" w:space="0" w:color="auto"/>
          </w:divBdr>
        </w:div>
      </w:divsChild>
    </w:div>
    <w:div w:id="251937059">
      <w:marLeft w:val="0"/>
      <w:marRight w:val="0"/>
      <w:marTop w:val="0"/>
      <w:marBottom w:val="0"/>
      <w:divBdr>
        <w:top w:val="none" w:sz="0" w:space="0" w:color="auto"/>
        <w:left w:val="none" w:sz="0" w:space="0" w:color="auto"/>
        <w:bottom w:val="none" w:sz="0" w:space="0" w:color="auto"/>
        <w:right w:val="none" w:sz="0" w:space="0" w:color="auto"/>
      </w:divBdr>
    </w:div>
    <w:div w:id="254091999">
      <w:marLeft w:val="0"/>
      <w:marRight w:val="0"/>
      <w:marTop w:val="0"/>
      <w:marBottom w:val="0"/>
      <w:divBdr>
        <w:top w:val="none" w:sz="0" w:space="0" w:color="auto"/>
        <w:left w:val="none" w:sz="0" w:space="0" w:color="auto"/>
        <w:bottom w:val="none" w:sz="0" w:space="0" w:color="auto"/>
        <w:right w:val="none" w:sz="0" w:space="0" w:color="auto"/>
      </w:divBdr>
      <w:divsChild>
        <w:div w:id="1536428240">
          <w:marLeft w:val="0"/>
          <w:marRight w:val="0"/>
          <w:marTop w:val="0"/>
          <w:marBottom w:val="0"/>
          <w:divBdr>
            <w:top w:val="none" w:sz="0" w:space="0" w:color="auto"/>
            <w:left w:val="none" w:sz="0" w:space="0" w:color="auto"/>
            <w:bottom w:val="none" w:sz="0" w:space="0" w:color="auto"/>
            <w:right w:val="none" w:sz="0" w:space="0" w:color="auto"/>
          </w:divBdr>
        </w:div>
      </w:divsChild>
    </w:div>
    <w:div w:id="272983867">
      <w:marLeft w:val="0"/>
      <w:marRight w:val="0"/>
      <w:marTop w:val="0"/>
      <w:marBottom w:val="0"/>
      <w:divBdr>
        <w:top w:val="none" w:sz="0" w:space="0" w:color="auto"/>
        <w:left w:val="none" w:sz="0" w:space="0" w:color="auto"/>
        <w:bottom w:val="none" w:sz="0" w:space="0" w:color="auto"/>
        <w:right w:val="none" w:sz="0" w:space="0" w:color="auto"/>
      </w:divBdr>
    </w:div>
    <w:div w:id="277298202">
      <w:marLeft w:val="0"/>
      <w:marRight w:val="0"/>
      <w:marTop w:val="0"/>
      <w:marBottom w:val="0"/>
      <w:divBdr>
        <w:top w:val="none" w:sz="0" w:space="0" w:color="auto"/>
        <w:left w:val="none" w:sz="0" w:space="0" w:color="auto"/>
        <w:bottom w:val="none" w:sz="0" w:space="0" w:color="auto"/>
        <w:right w:val="none" w:sz="0" w:space="0" w:color="auto"/>
      </w:divBdr>
    </w:div>
    <w:div w:id="278493055">
      <w:marLeft w:val="0"/>
      <w:marRight w:val="0"/>
      <w:marTop w:val="0"/>
      <w:marBottom w:val="0"/>
      <w:divBdr>
        <w:top w:val="none" w:sz="0" w:space="0" w:color="auto"/>
        <w:left w:val="none" w:sz="0" w:space="0" w:color="auto"/>
        <w:bottom w:val="none" w:sz="0" w:space="0" w:color="auto"/>
        <w:right w:val="none" w:sz="0" w:space="0" w:color="auto"/>
      </w:divBdr>
    </w:div>
    <w:div w:id="289897177">
      <w:marLeft w:val="0"/>
      <w:marRight w:val="0"/>
      <w:marTop w:val="0"/>
      <w:marBottom w:val="0"/>
      <w:divBdr>
        <w:top w:val="none" w:sz="0" w:space="0" w:color="auto"/>
        <w:left w:val="none" w:sz="0" w:space="0" w:color="auto"/>
        <w:bottom w:val="none" w:sz="0" w:space="0" w:color="auto"/>
        <w:right w:val="none" w:sz="0" w:space="0" w:color="auto"/>
      </w:divBdr>
    </w:div>
    <w:div w:id="290331525">
      <w:marLeft w:val="0"/>
      <w:marRight w:val="0"/>
      <w:marTop w:val="0"/>
      <w:marBottom w:val="0"/>
      <w:divBdr>
        <w:top w:val="none" w:sz="0" w:space="0" w:color="auto"/>
        <w:left w:val="none" w:sz="0" w:space="0" w:color="auto"/>
        <w:bottom w:val="none" w:sz="0" w:space="0" w:color="auto"/>
        <w:right w:val="none" w:sz="0" w:space="0" w:color="auto"/>
      </w:divBdr>
      <w:divsChild>
        <w:div w:id="1436512685">
          <w:marLeft w:val="0"/>
          <w:marRight w:val="0"/>
          <w:marTop w:val="0"/>
          <w:marBottom w:val="0"/>
          <w:divBdr>
            <w:top w:val="none" w:sz="0" w:space="0" w:color="auto"/>
            <w:left w:val="none" w:sz="0" w:space="0" w:color="auto"/>
            <w:bottom w:val="none" w:sz="0" w:space="0" w:color="auto"/>
            <w:right w:val="none" w:sz="0" w:space="0" w:color="auto"/>
          </w:divBdr>
        </w:div>
      </w:divsChild>
    </w:div>
    <w:div w:id="306516783">
      <w:marLeft w:val="0"/>
      <w:marRight w:val="0"/>
      <w:marTop w:val="0"/>
      <w:marBottom w:val="0"/>
      <w:divBdr>
        <w:top w:val="none" w:sz="0" w:space="0" w:color="auto"/>
        <w:left w:val="none" w:sz="0" w:space="0" w:color="auto"/>
        <w:bottom w:val="none" w:sz="0" w:space="0" w:color="auto"/>
        <w:right w:val="none" w:sz="0" w:space="0" w:color="auto"/>
      </w:divBdr>
    </w:div>
    <w:div w:id="309210601">
      <w:marLeft w:val="0"/>
      <w:marRight w:val="0"/>
      <w:marTop w:val="0"/>
      <w:marBottom w:val="20"/>
      <w:divBdr>
        <w:top w:val="none" w:sz="0" w:space="0" w:color="auto"/>
        <w:left w:val="none" w:sz="0" w:space="0" w:color="auto"/>
        <w:bottom w:val="none" w:sz="0" w:space="0" w:color="auto"/>
        <w:right w:val="none" w:sz="0" w:space="0" w:color="auto"/>
      </w:divBdr>
    </w:div>
    <w:div w:id="322706110">
      <w:marLeft w:val="0"/>
      <w:marRight w:val="0"/>
      <w:marTop w:val="0"/>
      <w:marBottom w:val="20"/>
      <w:divBdr>
        <w:top w:val="none" w:sz="0" w:space="0" w:color="auto"/>
        <w:left w:val="none" w:sz="0" w:space="0" w:color="auto"/>
        <w:bottom w:val="none" w:sz="0" w:space="0" w:color="auto"/>
        <w:right w:val="none" w:sz="0" w:space="0" w:color="auto"/>
      </w:divBdr>
    </w:div>
    <w:div w:id="335232341">
      <w:marLeft w:val="0"/>
      <w:marRight w:val="0"/>
      <w:marTop w:val="0"/>
      <w:marBottom w:val="0"/>
      <w:divBdr>
        <w:top w:val="none" w:sz="0" w:space="0" w:color="auto"/>
        <w:left w:val="none" w:sz="0" w:space="0" w:color="auto"/>
        <w:bottom w:val="none" w:sz="0" w:space="0" w:color="auto"/>
        <w:right w:val="none" w:sz="0" w:space="0" w:color="auto"/>
      </w:divBdr>
    </w:div>
    <w:div w:id="362874327">
      <w:marLeft w:val="0"/>
      <w:marRight w:val="0"/>
      <w:marTop w:val="0"/>
      <w:marBottom w:val="0"/>
      <w:divBdr>
        <w:top w:val="none" w:sz="0" w:space="0" w:color="auto"/>
        <w:left w:val="none" w:sz="0" w:space="0" w:color="auto"/>
        <w:bottom w:val="none" w:sz="0" w:space="0" w:color="auto"/>
        <w:right w:val="none" w:sz="0" w:space="0" w:color="auto"/>
      </w:divBdr>
    </w:div>
    <w:div w:id="372537194">
      <w:marLeft w:val="0"/>
      <w:marRight w:val="0"/>
      <w:marTop w:val="0"/>
      <w:marBottom w:val="0"/>
      <w:divBdr>
        <w:top w:val="none" w:sz="0" w:space="0" w:color="auto"/>
        <w:left w:val="none" w:sz="0" w:space="0" w:color="auto"/>
        <w:bottom w:val="none" w:sz="0" w:space="0" w:color="auto"/>
        <w:right w:val="none" w:sz="0" w:space="0" w:color="auto"/>
      </w:divBdr>
    </w:div>
    <w:div w:id="392654224">
      <w:marLeft w:val="0"/>
      <w:marRight w:val="0"/>
      <w:marTop w:val="0"/>
      <w:marBottom w:val="0"/>
      <w:divBdr>
        <w:top w:val="none" w:sz="0" w:space="0" w:color="auto"/>
        <w:left w:val="none" w:sz="0" w:space="0" w:color="auto"/>
        <w:bottom w:val="none" w:sz="0" w:space="0" w:color="auto"/>
        <w:right w:val="none" w:sz="0" w:space="0" w:color="auto"/>
      </w:divBdr>
    </w:div>
    <w:div w:id="403381853">
      <w:marLeft w:val="0"/>
      <w:marRight w:val="0"/>
      <w:marTop w:val="120"/>
      <w:marBottom w:val="120"/>
      <w:divBdr>
        <w:top w:val="none" w:sz="0" w:space="0" w:color="auto"/>
        <w:left w:val="none" w:sz="0" w:space="0" w:color="auto"/>
        <w:bottom w:val="none" w:sz="0" w:space="0" w:color="auto"/>
        <w:right w:val="none" w:sz="0" w:space="0" w:color="auto"/>
      </w:divBdr>
    </w:div>
    <w:div w:id="406343174">
      <w:marLeft w:val="0"/>
      <w:marRight w:val="0"/>
      <w:marTop w:val="0"/>
      <w:marBottom w:val="0"/>
      <w:divBdr>
        <w:top w:val="none" w:sz="0" w:space="0" w:color="auto"/>
        <w:left w:val="none" w:sz="0" w:space="0" w:color="auto"/>
        <w:bottom w:val="none" w:sz="0" w:space="0" w:color="auto"/>
        <w:right w:val="none" w:sz="0" w:space="0" w:color="auto"/>
      </w:divBdr>
    </w:div>
    <w:div w:id="408423128">
      <w:marLeft w:val="0"/>
      <w:marRight w:val="0"/>
      <w:marTop w:val="0"/>
      <w:marBottom w:val="0"/>
      <w:divBdr>
        <w:top w:val="none" w:sz="0" w:space="0" w:color="auto"/>
        <w:left w:val="none" w:sz="0" w:space="0" w:color="auto"/>
        <w:bottom w:val="none" w:sz="0" w:space="0" w:color="auto"/>
        <w:right w:val="none" w:sz="0" w:space="0" w:color="auto"/>
      </w:divBdr>
      <w:divsChild>
        <w:div w:id="1783301788">
          <w:marLeft w:val="0"/>
          <w:marRight w:val="0"/>
          <w:marTop w:val="0"/>
          <w:marBottom w:val="0"/>
          <w:divBdr>
            <w:top w:val="none" w:sz="0" w:space="0" w:color="auto"/>
            <w:left w:val="none" w:sz="0" w:space="0" w:color="auto"/>
            <w:bottom w:val="none" w:sz="0" w:space="0" w:color="auto"/>
            <w:right w:val="none" w:sz="0" w:space="0" w:color="auto"/>
          </w:divBdr>
        </w:div>
      </w:divsChild>
    </w:div>
    <w:div w:id="417941168">
      <w:marLeft w:val="0"/>
      <w:marRight w:val="0"/>
      <w:marTop w:val="0"/>
      <w:marBottom w:val="0"/>
      <w:divBdr>
        <w:top w:val="none" w:sz="0" w:space="0" w:color="auto"/>
        <w:left w:val="none" w:sz="0" w:space="0" w:color="auto"/>
        <w:bottom w:val="none" w:sz="0" w:space="0" w:color="auto"/>
        <w:right w:val="none" w:sz="0" w:space="0" w:color="auto"/>
      </w:divBdr>
      <w:divsChild>
        <w:div w:id="1909341442">
          <w:marLeft w:val="0"/>
          <w:marRight w:val="0"/>
          <w:marTop w:val="0"/>
          <w:marBottom w:val="0"/>
          <w:divBdr>
            <w:top w:val="none" w:sz="0" w:space="0" w:color="auto"/>
            <w:left w:val="none" w:sz="0" w:space="0" w:color="auto"/>
            <w:bottom w:val="none" w:sz="0" w:space="0" w:color="auto"/>
            <w:right w:val="none" w:sz="0" w:space="0" w:color="auto"/>
          </w:divBdr>
        </w:div>
      </w:divsChild>
    </w:div>
    <w:div w:id="438645683">
      <w:marLeft w:val="0"/>
      <w:marRight w:val="0"/>
      <w:marTop w:val="0"/>
      <w:marBottom w:val="0"/>
      <w:divBdr>
        <w:top w:val="none" w:sz="0" w:space="0" w:color="auto"/>
        <w:left w:val="none" w:sz="0" w:space="0" w:color="auto"/>
        <w:bottom w:val="none" w:sz="0" w:space="0" w:color="auto"/>
        <w:right w:val="none" w:sz="0" w:space="0" w:color="auto"/>
      </w:divBdr>
    </w:div>
    <w:div w:id="470252608">
      <w:marLeft w:val="0"/>
      <w:marRight w:val="0"/>
      <w:marTop w:val="0"/>
      <w:marBottom w:val="0"/>
      <w:divBdr>
        <w:top w:val="none" w:sz="0" w:space="0" w:color="auto"/>
        <w:left w:val="none" w:sz="0" w:space="0" w:color="auto"/>
        <w:bottom w:val="none" w:sz="0" w:space="0" w:color="auto"/>
        <w:right w:val="none" w:sz="0" w:space="0" w:color="auto"/>
      </w:divBdr>
    </w:div>
    <w:div w:id="486898684">
      <w:marLeft w:val="0"/>
      <w:marRight w:val="0"/>
      <w:marTop w:val="0"/>
      <w:marBottom w:val="0"/>
      <w:divBdr>
        <w:top w:val="none" w:sz="0" w:space="0" w:color="auto"/>
        <w:left w:val="none" w:sz="0" w:space="0" w:color="auto"/>
        <w:bottom w:val="none" w:sz="0" w:space="0" w:color="auto"/>
        <w:right w:val="none" w:sz="0" w:space="0" w:color="auto"/>
      </w:divBdr>
    </w:div>
    <w:div w:id="491651940">
      <w:marLeft w:val="0"/>
      <w:marRight w:val="0"/>
      <w:marTop w:val="0"/>
      <w:marBottom w:val="0"/>
      <w:divBdr>
        <w:top w:val="none" w:sz="0" w:space="0" w:color="auto"/>
        <w:left w:val="none" w:sz="0" w:space="0" w:color="auto"/>
        <w:bottom w:val="none" w:sz="0" w:space="0" w:color="auto"/>
        <w:right w:val="none" w:sz="0" w:space="0" w:color="auto"/>
      </w:divBdr>
    </w:div>
    <w:div w:id="492720226">
      <w:marLeft w:val="0"/>
      <w:marRight w:val="0"/>
      <w:marTop w:val="0"/>
      <w:marBottom w:val="0"/>
      <w:divBdr>
        <w:top w:val="none" w:sz="0" w:space="0" w:color="auto"/>
        <w:left w:val="none" w:sz="0" w:space="0" w:color="auto"/>
        <w:bottom w:val="none" w:sz="0" w:space="0" w:color="auto"/>
        <w:right w:val="none" w:sz="0" w:space="0" w:color="auto"/>
      </w:divBdr>
    </w:div>
    <w:div w:id="499809020">
      <w:marLeft w:val="0"/>
      <w:marRight w:val="0"/>
      <w:marTop w:val="0"/>
      <w:marBottom w:val="0"/>
      <w:divBdr>
        <w:top w:val="none" w:sz="0" w:space="0" w:color="auto"/>
        <w:left w:val="none" w:sz="0" w:space="0" w:color="auto"/>
        <w:bottom w:val="none" w:sz="0" w:space="0" w:color="auto"/>
        <w:right w:val="none" w:sz="0" w:space="0" w:color="auto"/>
      </w:divBdr>
    </w:div>
    <w:div w:id="504053432">
      <w:marLeft w:val="0"/>
      <w:marRight w:val="0"/>
      <w:marTop w:val="0"/>
      <w:marBottom w:val="0"/>
      <w:divBdr>
        <w:top w:val="none" w:sz="0" w:space="0" w:color="auto"/>
        <w:left w:val="none" w:sz="0" w:space="0" w:color="auto"/>
        <w:bottom w:val="none" w:sz="0" w:space="0" w:color="auto"/>
        <w:right w:val="none" w:sz="0" w:space="0" w:color="auto"/>
      </w:divBdr>
    </w:div>
    <w:div w:id="505367836">
      <w:marLeft w:val="0"/>
      <w:marRight w:val="0"/>
      <w:marTop w:val="0"/>
      <w:marBottom w:val="0"/>
      <w:divBdr>
        <w:top w:val="none" w:sz="0" w:space="0" w:color="auto"/>
        <w:left w:val="none" w:sz="0" w:space="0" w:color="auto"/>
        <w:bottom w:val="none" w:sz="0" w:space="0" w:color="auto"/>
        <w:right w:val="none" w:sz="0" w:space="0" w:color="auto"/>
      </w:divBdr>
      <w:divsChild>
        <w:div w:id="721054648">
          <w:marLeft w:val="0"/>
          <w:marRight w:val="0"/>
          <w:marTop w:val="0"/>
          <w:marBottom w:val="0"/>
          <w:divBdr>
            <w:top w:val="none" w:sz="0" w:space="0" w:color="auto"/>
            <w:left w:val="none" w:sz="0" w:space="0" w:color="auto"/>
            <w:bottom w:val="none" w:sz="0" w:space="0" w:color="auto"/>
            <w:right w:val="none" w:sz="0" w:space="0" w:color="auto"/>
          </w:divBdr>
        </w:div>
      </w:divsChild>
    </w:div>
    <w:div w:id="510990326">
      <w:marLeft w:val="0"/>
      <w:marRight w:val="0"/>
      <w:marTop w:val="0"/>
      <w:marBottom w:val="0"/>
      <w:divBdr>
        <w:top w:val="none" w:sz="0" w:space="0" w:color="auto"/>
        <w:left w:val="none" w:sz="0" w:space="0" w:color="auto"/>
        <w:bottom w:val="none" w:sz="0" w:space="0" w:color="auto"/>
        <w:right w:val="none" w:sz="0" w:space="0" w:color="auto"/>
      </w:divBdr>
    </w:div>
    <w:div w:id="511116386">
      <w:marLeft w:val="0"/>
      <w:marRight w:val="0"/>
      <w:marTop w:val="0"/>
      <w:marBottom w:val="0"/>
      <w:divBdr>
        <w:top w:val="none" w:sz="0" w:space="0" w:color="auto"/>
        <w:left w:val="none" w:sz="0" w:space="0" w:color="auto"/>
        <w:bottom w:val="none" w:sz="0" w:space="0" w:color="auto"/>
        <w:right w:val="none" w:sz="0" w:space="0" w:color="auto"/>
      </w:divBdr>
    </w:div>
    <w:div w:id="511842263">
      <w:marLeft w:val="0"/>
      <w:marRight w:val="0"/>
      <w:marTop w:val="0"/>
      <w:marBottom w:val="20"/>
      <w:divBdr>
        <w:top w:val="none" w:sz="0" w:space="0" w:color="auto"/>
        <w:left w:val="none" w:sz="0" w:space="0" w:color="auto"/>
        <w:bottom w:val="none" w:sz="0" w:space="0" w:color="auto"/>
        <w:right w:val="none" w:sz="0" w:space="0" w:color="auto"/>
      </w:divBdr>
    </w:div>
    <w:div w:id="529925864">
      <w:marLeft w:val="0"/>
      <w:marRight w:val="0"/>
      <w:marTop w:val="0"/>
      <w:marBottom w:val="0"/>
      <w:divBdr>
        <w:top w:val="none" w:sz="0" w:space="0" w:color="auto"/>
        <w:left w:val="none" w:sz="0" w:space="0" w:color="auto"/>
        <w:bottom w:val="none" w:sz="0" w:space="0" w:color="auto"/>
        <w:right w:val="none" w:sz="0" w:space="0" w:color="auto"/>
      </w:divBdr>
      <w:divsChild>
        <w:div w:id="135875950">
          <w:marLeft w:val="0"/>
          <w:marRight w:val="0"/>
          <w:marTop w:val="0"/>
          <w:marBottom w:val="0"/>
          <w:divBdr>
            <w:top w:val="none" w:sz="0" w:space="0" w:color="auto"/>
            <w:left w:val="none" w:sz="0" w:space="0" w:color="auto"/>
            <w:bottom w:val="none" w:sz="0" w:space="0" w:color="auto"/>
            <w:right w:val="none" w:sz="0" w:space="0" w:color="auto"/>
          </w:divBdr>
        </w:div>
      </w:divsChild>
    </w:div>
    <w:div w:id="538010043">
      <w:marLeft w:val="0"/>
      <w:marRight w:val="0"/>
      <w:marTop w:val="0"/>
      <w:marBottom w:val="0"/>
      <w:divBdr>
        <w:top w:val="none" w:sz="0" w:space="0" w:color="auto"/>
        <w:left w:val="none" w:sz="0" w:space="0" w:color="auto"/>
        <w:bottom w:val="none" w:sz="0" w:space="0" w:color="auto"/>
        <w:right w:val="none" w:sz="0" w:space="0" w:color="auto"/>
      </w:divBdr>
    </w:div>
    <w:div w:id="553662204">
      <w:marLeft w:val="0"/>
      <w:marRight w:val="0"/>
      <w:marTop w:val="0"/>
      <w:marBottom w:val="0"/>
      <w:divBdr>
        <w:top w:val="none" w:sz="0" w:space="0" w:color="auto"/>
        <w:left w:val="none" w:sz="0" w:space="0" w:color="auto"/>
        <w:bottom w:val="none" w:sz="0" w:space="0" w:color="auto"/>
        <w:right w:val="none" w:sz="0" w:space="0" w:color="auto"/>
      </w:divBdr>
    </w:div>
    <w:div w:id="562257857">
      <w:marLeft w:val="0"/>
      <w:marRight w:val="0"/>
      <w:marTop w:val="0"/>
      <w:marBottom w:val="0"/>
      <w:divBdr>
        <w:top w:val="none" w:sz="0" w:space="0" w:color="auto"/>
        <w:left w:val="none" w:sz="0" w:space="0" w:color="auto"/>
        <w:bottom w:val="none" w:sz="0" w:space="0" w:color="auto"/>
        <w:right w:val="none" w:sz="0" w:space="0" w:color="auto"/>
      </w:divBdr>
      <w:divsChild>
        <w:div w:id="1948081189">
          <w:marLeft w:val="0"/>
          <w:marRight w:val="0"/>
          <w:marTop w:val="0"/>
          <w:marBottom w:val="0"/>
          <w:divBdr>
            <w:top w:val="none" w:sz="0" w:space="0" w:color="auto"/>
            <w:left w:val="none" w:sz="0" w:space="0" w:color="auto"/>
            <w:bottom w:val="none" w:sz="0" w:space="0" w:color="auto"/>
            <w:right w:val="none" w:sz="0" w:space="0" w:color="auto"/>
          </w:divBdr>
        </w:div>
      </w:divsChild>
    </w:div>
    <w:div w:id="571814118">
      <w:marLeft w:val="0"/>
      <w:marRight w:val="0"/>
      <w:marTop w:val="0"/>
      <w:marBottom w:val="0"/>
      <w:divBdr>
        <w:top w:val="none" w:sz="0" w:space="0" w:color="auto"/>
        <w:left w:val="none" w:sz="0" w:space="0" w:color="auto"/>
        <w:bottom w:val="none" w:sz="0" w:space="0" w:color="auto"/>
        <w:right w:val="none" w:sz="0" w:space="0" w:color="auto"/>
      </w:divBdr>
    </w:div>
    <w:div w:id="580262531">
      <w:marLeft w:val="0"/>
      <w:marRight w:val="0"/>
      <w:marTop w:val="0"/>
      <w:marBottom w:val="0"/>
      <w:divBdr>
        <w:top w:val="none" w:sz="0" w:space="0" w:color="auto"/>
        <w:left w:val="none" w:sz="0" w:space="0" w:color="auto"/>
        <w:bottom w:val="none" w:sz="0" w:space="0" w:color="auto"/>
        <w:right w:val="none" w:sz="0" w:space="0" w:color="auto"/>
      </w:divBdr>
      <w:divsChild>
        <w:div w:id="1167089571">
          <w:marLeft w:val="0"/>
          <w:marRight w:val="0"/>
          <w:marTop w:val="0"/>
          <w:marBottom w:val="0"/>
          <w:divBdr>
            <w:top w:val="none" w:sz="0" w:space="0" w:color="auto"/>
            <w:left w:val="none" w:sz="0" w:space="0" w:color="auto"/>
            <w:bottom w:val="none" w:sz="0" w:space="0" w:color="auto"/>
            <w:right w:val="none" w:sz="0" w:space="0" w:color="auto"/>
          </w:divBdr>
        </w:div>
      </w:divsChild>
    </w:div>
    <w:div w:id="593321446">
      <w:marLeft w:val="0"/>
      <w:marRight w:val="0"/>
      <w:marTop w:val="0"/>
      <w:marBottom w:val="0"/>
      <w:divBdr>
        <w:top w:val="none" w:sz="0" w:space="0" w:color="auto"/>
        <w:left w:val="none" w:sz="0" w:space="0" w:color="auto"/>
        <w:bottom w:val="none" w:sz="0" w:space="0" w:color="auto"/>
        <w:right w:val="none" w:sz="0" w:space="0" w:color="auto"/>
      </w:divBdr>
    </w:div>
    <w:div w:id="597758430">
      <w:marLeft w:val="0"/>
      <w:marRight w:val="0"/>
      <w:marTop w:val="0"/>
      <w:marBottom w:val="0"/>
      <w:divBdr>
        <w:top w:val="none" w:sz="0" w:space="0" w:color="auto"/>
        <w:left w:val="none" w:sz="0" w:space="0" w:color="auto"/>
        <w:bottom w:val="none" w:sz="0" w:space="0" w:color="auto"/>
        <w:right w:val="none" w:sz="0" w:space="0" w:color="auto"/>
      </w:divBdr>
    </w:div>
    <w:div w:id="598293963">
      <w:marLeft w:val="0"/>
      <w:marRight w:val="0"/>
      <w:marTop w:val="0"/>
      <w:marBottom w:val="0"/>
      <w:divBdr>
        <w:top w:val="none" w:sz="0" w:space="0" w:color="auto"/>
        <w:left w:val="none" w:sz="0" w:space="0" w:color="auto"/>
        <w:bottom w:val="none" w:sz="0" w:space="0" w:color="auto"/>
        <w:right w:val="none" w:sz="0" w:space="0" w:color="auto"/>
      </w:divBdr>
    </w:div>
    <w:div w:id="608657133">
      <w:marLeft w:val="0"/>
      <w:marRight w:val="0"/>
      <w:marTop w:val="0"/>
      <w:marBottom w:val="0"/>
      <w:divBdr>
        <w:top w:val="none" w:sz="0" w:space="0" w:color="auto"/>
        <w:left w:val="none" w:sz="0" w:space="0" w:color="auto"/>
        <w:bottom w:val="none" w:sz="0" w:space="0" w:color="auto"/>
        <w:right w:val="none" w:sz="0" w:space="0" w:color="auto"/>
      </w:divBdr>
      <w:divsChild>
        <w:div w:id="1468205381">
          <w:marLeft w:val="0"/>
          <w:marRight w:val="0"/>
          <w:marTop w:val="0"/>
          <w:marBottom w:val="0"/>
          <w:divBdr>
            <w:top w:val="none" w:sz="0" w:space="0" w:color="auto"/>
            <w:left w:val="none" w:sz="0" w:space="0" w:color="auto"/>
            <w:bottom w:val="none" w:sz="0" w:space="0" w:color="auto"/>
            <w:right w:val="none" w:sz="0" w:space="0" w:color="auto"/>
          </w:divBdr>
        </w:div>
      </w:divsChild>
    </w:div>
    <w:div w:id="623583405">
      <w:marLeft w:val="0"/>
      <w:marRight w:val="0"/>
      <w:marTop w:val="0"/>
      <w:marBottom w:val="0"/>
      <w:divBdr>
        <w:top w:val="none" w:sz="0" w:space="0" w:color="auto"/>
        <w:left w:val="none" w:sz="0" w:space="0" w:color="auto"/>
        <w:bottom w:val="none" w:sz="0" w:space="0" w:color="auto"/>
        <w:right w:val="none" w:sz="0" w:space="0" w:color="auto"/>
      </w:divBdr>
    </w:div>
    <w:div w:id="637340937">
      <w:marLeft w:val="0"/>
      <w:marRight w:val="0"/>
      <w:marTop w:val="0"/>
      <w:marBottom w:val="0"/>
      <w:divBdr>
        <w:top w:val="none" w:sz="0" w:space="0" w:color="auto"/>
        <w:left w:val="none" w:sz="0" w:space="0" w:color="auto"/>
        <w:bottom w:val="none" w:sz="0" w:space="0" w:color="auto"/>
        <w:right w:val="none" w:sz="0" w:space="0" w:color="auto"/>
      </w:divBdr>
    </w:div>
    <w:div w:id="643512985">
      <w:marLeft w:val="0"/>
      <w:marRight w:val="0"/>
      <w:marTop w:val="0"/>
      <w:marBottom w:val="0"/>
      <w:divBdr>
        <w:top w:val="none" w:sz="0" w:space="0" w:color="auto"/>
        <w:left w:val="none" w:sz="0" w:space="0" w:color="auto"/>
        <w:bottom w:val="none" w:sz="0" w:space="0" w:color="auto"/>
        <w:right w:val="none" w:sz="0" w:space="0" w:color="auto"/>
      </w:divBdr>
      <w:divsChild>
        <w:div w:id="478108239">
          <w:marLeft w:val="0"/>
          <w:marRight w:val="0"/>
          <w:marTop w:val="0"/>
          <w:marBottom w:val="0"/>
          <w:divBdr>
            <w:top w:val="none" w:sz="0" w:space="0" w:color="auto"/>
            <w:left w:val="none" w:sz="0" w:space="0" w:color="auto"/>
            <w:bottom w:val="none" w:sz="0" w:space="0" w:color="auto"/>
            <w:right w:val="none" w:sz="0" w:space="0" w:color="auto"/>
          </w:divBdr>
        </w:div>
      </w:divsChild>
    </w:div>
    <w:div w:id="657998346">
      <w:marLeft w:val="0"/>
      <w:marRight w:val="0"/>
      <w:marTop w:val="0"/>
      <w:marBottom w:val="0"/>
      <w:divBdr>
        <w:top w:val="none" w:sz="0" w:space="0" w:color="auto"/>
        <w:left w:val="none" w:sz="0" w:space="0" w:color="auto"/>
        <w:bottom w:val="none" w:sz="0" w:space="0" w:color="auto"/>
        <w:right w:val="none" w:sz="0" w:space="0" w:color="auto"/>
      </w:divBdr>
    </w:div>
    <w:div w:id="670837066">
      <w:marLeft w:val="0"/>
      <w:marRight w:val="0"/>
      <w:marTop w:val="0"/>
      <w:marBottom w:val="0"/>
      <w:divBdr>
        <w:top w:val="none" w:sz="0" w:space="0" w:color="auto"/>
        <w:left w:val="none" w:sz="0" w:space="0" w:color="auto"/>
        <w:bottom w:val="none" w:sz="0" w:space="0" w:color="auto"/>
        <w:right w:val="none" w:sz="0" w:space="0" w:color="auto"/>
      </w:divBdr>
      <w:divsChild>
        <w:div w:id="1111775883">
          <w:marLeft w:val="0"/>
          <w:marRight w:val="0"/>
          <w:marTop w:val="0"/>
          <w:marBottom w:val="0"/>
          <w:divBdr>
            <w:top w:val="none" w:sz="0" w:space="0" w:color="auto"/>
            <w:left w:val="none" w:sz="0" w:space="0" w:color="auto"/>
            <w:bottom w:val="none" w:sz="0" w:space="0" w:color="auto"/>
            <w:right w:val="none" w:sz="0" w:space="0" w:color="auto"/>
          </w:divBdr>
        </w:div>
      </w:divsChild>
    </w:div>
    <w:div w:id="686558553">
      <w:marLeft w:val="0"/>
      <w:marRight w:val="0"/>
      <w:marTop w:val="0"/>
      <w:marBottom w:val="0"/>
      <w:divBdr>
        <w:top w:val="none" w:sz="0" w:space="0" w:color="auto"/>
        <w:left w:val="none" w:sz="0" w:space="0" w:color="auto"/>
        <w:bottom w:val="none" w:sz="0" w:space="0" w:color="auto"/>
        <w:right w:val="none" w:sz="0" w:space="0" w:color="auto"/>
      </w:divBdr>
      <w:divsChild>
        <w:div w:id="1973175111">
          <w:marLeft w:val="0"/>
          <w:marRight w:val="0"/>
          <w:marTop w:val="0"/>
          <w:marBottom w:val="0"/>
          <w:divBdr>
            <w:top w:val="none" w:sz="0" w:space="0" w:color="auto"/>
            <w:left w:val="none" w:sz="0" w:space="0" w:color="auto"/>
            <w:bottom w:val="none" w:sz="0" w:space="0" w:color="auto"/>
            <w:right w:val="none" w:sz="0" w:space="0" w:color="auto"/>
          </w:divBdr>
        </w:div>
      </w:divsChild>
    </w:div>
    <w:div w:id="686638844">
      <w:marLeft w:val="0"/>
      <w:marRight w:val="0"/>
      <w:marTop w:val="0"/>
      <w:marBottom w:val="0"/>
      <w:divBdr>
        <w:top w:val="none" w:sz="0" w:space="0" w:color="auto"/>
        <w:left w:val="none" w:sz="0" w:space="0" w:color="auto"/>
        <w:bottom w:val="none" w:sz="0" w:space="0" w:color="auto"/>
        <w:right w:val="none" w:sz="0" w:space="0" w:color="auto"/>
      </w:divBdr>
    </w:div>
    <w:div w:id="711735532">
      <w:marLeft w:val="0"/>
      <w:marRight w:val="0"/>
      <w:marTop w:val="0"/>
      <w:marBottom w:val="0"/>
      <w:divBdr>
        <w:top w:val="none" w:sz="0" w:space="0" w:color="auto"/>
        <w:left w:val="none" w:sz="0" w:space="0" w:color="auto"/>
        <w:bottom w:val="none" w:sz="0" w:space="0" w:color="auto"/>
        <w:right w:val="none" w:sz="0" w:space="0" w:color="auto"/>
      </w:divBdr>
    </w:div>
    <w:div w:id="715393811">
      <w:marLeft w:val="0"/>
      <w:marRight w:val="0"/>
      <w:marTop w:val="0"/>
      <w:marBottom w:val="0"/>
      <w:divBdr>
        <w:top w:val="none" w:sz="0" w:space="0" w:color="auto"/>
        <w:left w:val="none" w:sz="0" w:space="0" w:color="auto"/>
        <w:bottom w:val="none" w:sz="0" w:space="0" w:color="auto"/>
        <w:right w:val="none" w:sz="0" w:space="0" w:color="auto"/>
      </w:divBdr>
    </w:div>
    <w:div w:id="723918158">
      <w:marLeft w:val="0"/>
      <w:marRight w:val="0"/>
      <w:marTop w:val="0"/>
      <w:marBottom w:val="0"/>
      <w:divBdr>
        <w:top w:val="none" w:sz="0" w:space="0" w:color="auto"/>
        <w:left w:val="none" w:sz="0" w:space="0" w:color="auto"/>
        <w:bottom w:val="none" w:sz="0" w:space="0" w:color="auto"/>
        <w:right w:val="none" w:sz="0" w:space="0" w:color="auto"/>
      </w:divBdr>
    </w:div>
    <w:div w:id="725646320">
      <w:marLeft w:val="0"/>
      <w:marRight w:val="0"/>
      <w:marTop w:val="0"/>
      <w:marBottom w:val="0"/>
      <w:divBdr>
        <w:top w:val="none" w:sz="0" w:space="0" w:color="auto"/>
        <w:left w:val="none" w:sz="0" w:space="0" w:color="auto"/>
        <w:bottom w:val="none" w:sz="0" w:space="0" w:color="auto"/>
        <w:right w:val="none" w:sz="0" w:space="0" w:color="auto"/>
      </w:divBdr>
    </w:div>
    <w:div w:id="742070031">
      <w:marLeft w:val="0"/>
      <w:marRight w:val="0"/>
      <w:marTop w:val="0"/>
      <w:marBottom w:val="0"/>
      <w:divBdr>
        <w:top w:val="none" w:sz="0" w:space="0" w:color="auto"/>
        <w:left w:val="none" w:sz="0" w:space="0" w:color="auto"/>
        <w:bottom w:val="none" w:sz="0" w:space="0" w:color="auto"/>
        <w:right w:val="none" w:sz="0" w:space="0" w:color="auto"/>
      </w:divBdr>
    </w:div>
    <w:div w:id="746536231">
      <w:marLeft w:val="0"/>
      <w:marRight w:val="0"/>
      <w:marTop w:val="0"/>
      <w:marBottom w:val="0"/>
      <w:divBdr>
        <w:top w:val="none" w:sz="0" w:space="0" w:color="auto"/>
        <w:left w:val="none" w:sz="0" w:space="0" w:color="auto"/>
        <w:bottom w:val="none" w:sz="0" w:space="0" w:color="auto"/>
        <w:right w:val="none" w:sz="0" w:space="0" w:color="auto"/>
      </w:divBdr>
      <w:divsChild>
        <w:div w:id="467672187">
          <w:marLeft w:val="0"/>
          <w:marRight w:val="0"/>
          <w:marTop w:val="0"/>
          <w:marBottom w:val="0"/>
          <w:divBdr>
            <w:top w:val="none" w:sz="0" w:space="0" w:color="auto"/>
            <w:left w:val="none" w:sz="0" w:space="0" w:color="auto"/>
            <w:bottom w:val="none" w:sz="0" w:space="0" w:color="auto"/>
            <w:right w:val="none" w:sz="0" w:space="0" w:color="auto"/>
          </w:divBdr>
        </w:div>
      </w:divsChild>
    </w:div>
    <w:div w:id="763113759">
      <w:marLeft w:val="0"/>
      <w:marRight w:val="0"/>
      <w:marTop w:val="0"/>
      <w:marBottom w:val="0"/>
      <w:divBdr>
        <w:top w:val="none" w:sz="0" w:space="0" w:color="auto"/>
        <w:left w:val="none" w:sz="0" w:space="0" w:color="auto"/>
        <w:bottom w:val="none" w:sz="0" w:space="0" w:color="auto"/>
        <w:right w:val="none" w:sz="0" w:space="0" w:color="auto"/>
      </w:divBdr>
    </w:div>
    <w:div w:id="766535655">
      <w:marLeft w:val="0"/>
      <w:marRight w:val="0"/>
      <w:marTop w:val="0"/>
      <w:marBottom w:val="0"/>
      <w:divBdr>
        <w:top w:val="none" w:sz="0" w:space="0" w:color="auto"/>
        <w:left w:val="none" w:sz="0" w:space="0" w:color="auto"/>
        <w:bottom w:val="none" w:sz="0" w:space="0" w:color="auto"/>
        <w:right w:val="none" w:sz="0" w:space="0" w:color="auto"/>
      </w:divBdr>
      <w:divsChild>
        <w:div w:id="1174031033">
          <w:marLeft w:val="0"/>
          <w:marRight w:val="0"/>
          <w:marTop w:val="0"/>
          <w:marBottom w:val="0"/>
          <w:divBdr>
            <w:top w:val="none" w:sz="0" w:space="0" w:color="auto"/>
            <w:left w:val="none" w:sz="0" w:space="0" w:color="auto"/>
            <w:bottom w:val="none" w:sz="0" w:space="0" w:color="auto"/>
            <w:right w:val="none" w:sz="0" w:space="0" w:color="auto"/>
          </w:divBdr>
        </w:div>
      </w:divsChild>
    </w:div>
    <w:div w:id="777717085">
      <w:marLeft w:val="0"/>
      <w:marRight w:val="0"/>
      <w:marTop w:val="0"/>
      <w:marBottom w:val="0"/>
      <w:divBdr>
        <w:top w:val="none" w:sz="0" w:space="0" w:color="auto"/>
        <w:left w:val="none" w:sz="0" w:space="0" w:color="auto"/>
        <w:bottom w:val="none" w:sz="0" w:space="0" w:color="auto"/>
        <w:right w:val="none" w:sz="0" w:space="0" w:color="auto"/>
      </w:divBdr>
      <w:divsChild>
        <w:div w:id="1124426523">
          <w:marLeft w:val="0"/>
          <w:marRight w:val="0"/>
          <w:marTop w:val="0"/>
          <w:marBottom w:val="0"/>
          <w:divBdr>
            <w:top w:val="none" w:sz="0" w:space="0" w:color="auto"/>
            <w:left w:val="none" w:sz="0" w:space="0" w:color="auto"/>
            <w:bottom w:val="none" w:sz="0" w:space="0" w:color="auto"/>
            <w:right w:val="none" w:sz="0" w:space="0" w:color="auto"/>
          </w:divBdr>
        </w:div>
      </w:divsChild>
    </w:div>
    <w:div w:id="785467644">
      <w:marLeft w:val="0"/>
      <w:marRight w:val="0"/>
      <w:marTop w:val="0"/>
      <w:marBottom w:val="0"/>
      <w:divBdr>
        <w:top w:val="none" w:sz="0" w:space="0" w:color="auto"/>
        <w:left w:val="none" w:sz="0" w:space="0" w:color="auto"/>
        <w:bottom w:val="none" w:sz="0" w:space="0" w:color="auto"/>
        <w:right w:val="none" w:sz="0" w:space="0" w:color="auto"/>
      </w:divBdr>
      <w:divsChild>
        <w:div w:id="1338969507">
          <w:marLeft w:val="0"/>
          <w:marRight w:val="0"/>
          <w:marTop w:val="0"/>
          <w:marBottom w:val="0"/>
          <w:divBdr>
            <w:top w:val="none" w:sz="0" w:space="0" w:color="auto"/>
            <w:left w:val="none" w:sz="0" w:space="0" w:color="auto"/>
            <w:bottom w:val="none" w:sz="0" w:space="0" w:color="auto"/>
            <w:right w:val="none" w:sz="0" w:space="0" w:color="auto"/>
          </w:divBdr>
        </w:div>
      </w:divsChild>
    </w:div>
    <w:div w:id="807281553">
      <w:marLeft w:val="0"/>
      <w:marRight w:val="0"/>
      <w:marTop w:val="0"/>
      <w:marBottom w:val="0"/>
      <w:divBdr>
        <w:top w:val="none" w:sz="0" w:space="0" w:color="auto"/>
        <w:left w:val="none" w:sz="0" w:space="0" w:color="auto"/>
        <w:bottom w:val="none" w:sz="0" w:space="0" w:color="auto"/>
        <w:right w:val="none" w:sz="0" w:space="0" w:color="auto"/>
      </w:divBdr>
      <w:divsChild>
        <w:div w:id="139541666">
          <w:marLeft w:val="0"/>
          <w:marRight w:val="0"/>
          <w:marTop w:val="0"/>
          <w:marBottom w:val="0"/>
          <w:divBdr>
            <w:top w:val="none" w:sz="0" w:space="0" w:color="auto"/>
            <w:left w:val="none" w:sz="0" w:space="0" w:color="auto"/>
            <w:bottom w:val="none" w:sz="0" w:space="0" w:color="auto"/>
            <w:right w:val="none" w:sz="0" w:space="0" w:color="auto"/>
          </w:divBdr>
        </w:div>
      </w:divsChild>
    </w:div>
    <w:div w:id="809322409">
      <w:marLeft w:val="0"/>
      <w:marRight w:val="0"/>
      <w:marTop w:val="0"/>
      <w:marBottom w:val="0"/>
      <w:divBdr>
        <w:top w:val="none" w:sz="0" w:space="0" w:color="auto"/>
        <w:left w:val="none" w:sz="0" w:space="0" w:color="auto"/>
        <w:bottom w:val="none" w:sz="0" w:space="0" w:color="auto"/>
        <w:right w:val="none" w:sz="0" w:space="0" w:color="auto"/>
      </w:divBdr>
      <w:divsChild>
        <w:div w:id="310672040">
          <w:marLeft w:val="0"/>
          <w:marRight w:val="0"/>
          <w:marTop w:val="0"/>
          <w:marBottom w:val="0"/>
          <w:divBdr>
            <w:top w:val="none" w:sz="0" w:space="0" w:color="auto"/>
            <w:left w:val="none" w:sz="0" w:space="0" w:color="auto"/>
            <w:bottom w:val="none" w:sz="0" w:space="0" w:color="auto"/>
            <w:right w:val="none" w:sz="0" w:space="0" w:color="auto"/>
          </w:divBdr>
        </w:div>
      </w:divsChild>
    </w:div>
    <w:div w:id="845554808">
      <w:marLeft w:val="0"/>
      <w:marRight w:val="0"/>
      <w:marTop w:val="0"/>
      <w:marBottom w:val="0"/>
      <w:divBdr>
        <w:top w:val="none" w:sz="0" w:space="0" w:color="auto"/>
        <w:left w:val="none" w:sz="0" w:space="0" w:color="auto"/>
        <w:bottom w:val="none" w:sz="0" w:space="0" w:color="auto"/>
        <w:right w:val="none" w:sz="0" w:space="0" w:color="auto"/>
      </w:divBdr>
      <w:divsChild>
        <w:div w:id="508258820">
          <w:marLeft w:val="0"/>
          <w:marRight w:val="0"/>
          <w:marTop w:val="0"/>
          <w:marBottom w:val="0"/>
          <w:divBdr>
            <w:top w:val="none" w:sz="0" w:space="0" w:color="auto"/>
            <w:left w:val="none" w:sz="0" w:space="0" w:color="auto"/>
            <w:bottom w:val="none" w:sz="0" w:space="0" w:color="auto"/>
            <w:right w:val="none" w:sz="0" w:space="0" w:color="auto"/>
          </w:divBdr>
          <w:divsChild>
            <w:div w:id="1327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7071">
      <w:marLeft w:val="0"/>
      <w:marRight w:val="0"/>
      <w:marTop w:val="0"/>
      <w:marBottom w:val="0"/>
      <w:divBdr>
        <w:top w:val="none" w:sz="0" w:space="0" w:color="auto"/>
        <w:left w:val="none" w:sz="0" w:space="0" w:color="auto"/>
        <w:bottom w:val="none" w:sz="0" w:space="0" w:color="auto"/>
        <w:right w:val="none" w:sz="0" w:space="0" w:color="auto"/>
      </w:divBdr>
    </w:div>
    <w:div w:id="865338087">
      <w:marLeft w:val="0"/>
      <w:marRight w:val="0"/>
      <w:marTop w:val="0"/>
      <w:marBottom w:val="0"/>
      <w:divBdr>
        <w:top w:val="none" w:sz="0" w:space="0" w:color="auto"/>
        <w:left w:val="none" w:sz="0" w:space="0" w:color="auto"/>
        <w:bottom w:val="none" w:sz="0" w:space="0" w:color="auto"/>
        <w:right w:val="none" w:sz="0" w:space="0" w:color="auto"/>
      </w:divBdr>
    </w:div>
    <w:div w:id="876435415">
      <w:marLeft w:val="0"/>
      <w:marRight w:val="0"/>
      <w:marTop w:val="0"/>
      <w:marBottom w:val="0"/>
      <w:divBdr>
        <w:top w:val="none" w:sz="0" w:space="0" w:color="auto"/>
        <w:left w:val="none" w:sz="0" w:space="0" w:color="auto"/>
        <w:bottom w:val="none" w:sz="0" w:space="0" w:color="auto"/>
        <w:right w:val="none" w:sz="0" w:space="0" w:color="auto"/>
      </w:divBdr>
    </w:div>
    <w:div w:id="909072101">
      <w:marLeft w:val="0"/>
      <w:marRight w:val="0"/>
      <w:marTop w:val="0"/>
      <w:marBottom w:val="0"/>
      <w:divBdr>
        <w:top w:val="none" w:sz="0" w:space="0" w:color="auto"/>
        <w:left w:val="none" w:sz="0" w:space="0" w:color="auto"/>
        <w:bottom w:val="none" w:sz="0" w:space="0" w:color="auto"/>
        <w:right w:val="none" w:sz="0" w:space="0" w:color="auto"/>
      </w:divBdr>
    </w:div>
    <w:div w:id="911232264">
      <w:marLeft w:val="0"/>
      <w:marRight w:val="0"/>
      <w:marTop w:val="0"/>
      <w:marBottom w:val="0"/>
      <w:divBdr>
        <w:top w:val="none" w:sz="0" w:space="0" w:color="auto"/>
        <w:left w:val="none" w:sz="0" w:space="0" w:color="auto"/>
        <w:bottom w:val="none" w:sz="0" w:space="0" w:color="auto"/>
        <w:right w:val="none" w:sz="0" w:space="0" w:color="auto"/>
      </w:divBdr>
    </w:div>
    <w:div w:id="924341964">
      <w:marLeft w:val="0"/>
      <w:marRight w:val="0"/>
      <w:marTop w:val="0"/>
      <w:marBottom w:val="0"/>
      <w:divBdr>
        <w:top w:val="none" w:sz="0" w:space="0" w:color="auto"/>
        <w:left w:val="none" w:sz="0" w:space="0" w:color="auto"/>
        <w:bottom w:val="none" w:sz="0" w:space="0" w:color="auto"/>
        <w:right w:val="none" w:sz="0" w:space="0" w:color="auto"/>
      </w:divBdr>
    </w:div>
    <w:div w:id="941494741">
      <w:marLeft w:val="0"/>
      <w:marRight w:val="0"/>
      <w:marTop w:val="0"/>
      <w:marBottom w:val="0"/>
      <w:divBdr>
        <w:top w:val="none" w:sz="0" w:space="0" w:color="auto"/>
        <w:left w:val="none" w:sz="0" w:space="0" w:color="auto"/>
        <w:bottom w:val="none" w:sz="0" w:space="0" w:color="auto"/>
        <w:right w:val="none" w:sz="0" w:space="0" w:color="auto"/>
      </w:divBdr>
    </w:div>
    <w:div w:id="943926192">
      <w:marLeft w:val="0"/>
      <w:marRight w:val="0"/>
      <w:marTop w:val="0"/>
      <w:marBottom w:val="0"/>
      <w:divBdr>
        <w:top w:val="none" w:sz="0" w:space="0" w:color="auto"/>
        <w:left w:val="none" w:sz="0" w:space="0" w:color="auto"/>
        <w:bottom w:val="none" w:sz="0" w:space="0" w:color="auto"/>
        <w:right w:val="none" w:sz="0" w:space="0" w:color="auto"/>
      </w:divBdr>
    </w:div>
    <w:div w:id="947548168">
      <w:marLeft w:val="0"/>
      <w:marRight w:val="0"/>
      <w:marTop w:val="0"/>
      <w:marBottom w:val="0"/>
      <w:divBdr>
        <w:top w:val="none" w:sz="0" w:space="0" w:color="auto"/>
        <w:left w:val="none" w:sz="0" w:space="0" w:color="auto"/>
        <w:bottom w:val="none" w:sz="0" w:space="0" w:color="auto"/>
        <w:right w:val="none" w:sz="0" w:space="0" w:color="auto"/>
      </w:divBdr>
      <w:divsChild>
        <w:div w:id="1375811626">
          <w:marLeft w:val="0"/>
          <w:marRight w:val="0"/>
          <w:marTop w:val="0"/>
          <w:marBottom w:val="0"/>
          <w:divBdr>
            <w:top w:val="none" w:sz="0" w:space="0" w:color="auto"/>
            <w:left w:val="none" w:sz="0" w:space="0" w:color="auto"/>
            <w:bottom w:val="none" w:sz="0" w:space="0" w:color="auto"/>
            <w:right w:val="none" w:sz="0" w:space="0" w:color="auto"/>
          </w:divBdr>
        </w:div>
      </w:divsChild>
    </w:div>
    <w:div w:id="970862326">
      <w:marLeft w:val="0"/>
      <w:marRight w:val="0"/>
      <w:marTop w:val="0"/>
      <w:marBottom w:val="0"/>
      <w:divBdr>
        <w:top w:val="none" w:sz="0" w:space="0" w:color="auto"/>
        <w:left w:val="none" w:sz="0" w:space="0" w:color="auto"/>
        <w:bottom w:val="none" w:sz="0" w:space="0" w:color="auto"/>
        <w:right w:val="none" w:sz="0" w:space="0" w:color="auto"/>
      </w:divBdr>
    </w:div>
    <w:div w:id="995034439">
      <w:marLeft w:val="0"/>
      <w:marRight w:val="0"/>
      <w:marTop w:val="0"/>
      <w:marBottom w:val="0"/>
      <w:divBdr>
        <w:top w:val="none" w:sz="0" w:space="0" w:color="auto"/>
        <w:left w:val="none" w:sz="0" w:space="0" w:color="auto"/>
        <w:bottom w:val="none" w:sz="0" w:space="0" w:color="auto"/>
        <w:right w:val="none" w:sz="0" w:space="0" w:color="auto"/>
      </w:divBdr>
    </w:div>
    <w:div w:id="999505092">
      <w:marLeft w:val="0"/>
      <w:marRight w:val="0"/>
      <w:marTop w:val="0"/>
      <w:marBottom w:val="0"/>
      <w:divBdr>
        <w:top w:val="none" w:sz="0" w:space="0" w:color="auto"/>
        <w:left w:val="none" w:sz="0" w:space="0" w:color="auto"/>
        <w:bottom w:val="none" w:sz="0" w:space="0" w:color="auto"/>
        <w:right w:val="none" w:sz="0" w:space="0" w:color="auto"/>
      </w:divBdr>
    </w:div>
    <w:div w:id="1011101774">
      <w:marLeft w:val="0"/>
      <w:marRight w:val="0"/>
      <w:marTop w:val="0"/>
      <w:marBottom w:val="0"/>
      <w:divBdr>
        <w:top w:val="none" w:sz="0" w:space="0" w:color="auto"/>
        <w:left w:val="none" w:sz="0" w:space="0" w:color="auto"/>
        <w:bottom w:val="none" w:sz="0" w:space="0" w:color="auto"/>
        <w:right w:val="none" w:sz="0" w:space="0" w:color="auto"/>
      </w:divBdr>
      <w:divsChild>
        <w:div w:id="1842349688">
          <w:marLeft w:val="0"/>
          <w:marRight w:val="0"/>
          <w:marTop w:val="0"/>
          <w:marBottom w:val="0"/>
          <w:divBdr>
            <w:top w:val="none" w:sz="0" w:space="0" w:color="auto"/>
            <w:left w:val="none" w:sz="0" w:space="0" w:color="auto"/>
            <w:bottom w:val="none" w:sz="0" w:space="0" w:color="auto"/>
            <w:right w:val="none" w:sz="0" w:space="0" w:color="auto"/>
          </w:divBdr>
        </w:div>
      </w:divsChild>
    </w:div>
    <w:div w:id="1023743684">
      <w:marLeft w:val="0"/>
      <w:marRight w:val="0"/>
      <w:marTop w:val="0"/>
      <w:marBottom w:val="0"/>
      <w:divBdr>
        <w:top w:val="none" w:sz="0" w:space="0" w:color="auto"/>
        <w:left w:val="none" w:sz="0" w:space="0" w:color="auto"/>
        <w:bottom w:val="none" w:sz="0" w:space="0" w:color="auto"/>
        <w:right w:val="none" w:sz="0" w:space="0" w:color="auto"/>
      </w:divBdr>
      <w:divsChild>
        <w:div w:id="636834166">
          <w:marLeft w:val="0"/>
          <w:marRight w:val="0"/>
          <w:marTop w:val="0"/>
          <w:marBottom w:val="0"/>
          <w:divBdr>
            <w:top w:val="none" w:sz="0" w:space="0" w:color="auto"/>
            <w:left w:val="none" w:sz="0" w:space="0" w:color="auto"/>
            <w:bottom w:val="none" w:sz="0" w:space="0" w:color="auto"/>
            <w:right w:val="none" w:sz="0" w:space="0" w:color="auto"/>
          </w:divBdr>
        </w:div>
      </w:divsChild>
    </w:div>
    <w:div w:id="1030496512">
      <w:marLeft w:val="0"/>
      <w:marRight w:val="0"/>
      <w:marTop w:val="0"/>
      <w:marBottom w:val="0"/>
      <w:divBdr>
        <w:top w:val="none" w:sz="0" w:space="0" w:color="auto"/>
        <w:left w:val="none" w:sz="0" w:space="0" w:color="auto"/>
        <w:bottom w:val="none" w:sz="0" w:space="0" w:color="auto"/>
        <w:right w:val="none" w:sz="0" w:space="0" w:color="auto"/>
      </w:divBdr>
    </w:div>
    <w:div w:id="1032652774">
      <w:marLeft w:val="0"/>
      <w:marRight w:val="0"/>
      <w:marTop w:val="0"/>
      <w:marBottom w:val="0"/>
      <w:divBdr>
        <w:top w:val="none" w:sz="0" w:space="0" w:color="auto"/>
        <w:left w:val="none" w:sz="0" w:space="0" w:color="auto"/>
        <w:bottom w:val="none" w:sz="0" w:space="0" w:color="auto"/>
        <w:right w:val="none" w:sz="0" w:space="0" w:color="auto"/>
      </w:divBdr>
    </w:div>
    <w:div w:id="1042562735">
      <w:marLeft w:val="0"/>
      <w:marRight w:val="0"/>
      <w:marTop w:val="0"/>
      <w:marBottom w:val="0"/>
      <w:divBdr>
        <w:top w:val="none" w:sz="0" w:space="0" w:color="auto"/>
        <w:left w:val="none" w:sz="0" w:space="0" w:color="auto"/>
        <w:bottom w:val="none" w:sz="0" w:space="0" w:color="auto"/>
        <w:right w:val="none" w:sz="0" w:space="0" w:color="auto"/>
      </w:divBdr>
    </w:div>
    <w:div w:id="1050416782">
      <w:marLeft w:val="0"/>
      <w:marRight w:val="0"/>
      <w:marTop w:val="0"/>
      <w:marBottom w:val="0"/>
      <w:divBdr>
        <w:top w:val="none" w:sz="0" w:space="0" w:color="auto"/>
        <w:left w:val="none" w:sz="0" w:space="0" w:color="auto"/>
        <w:bottom w:val="none" w:sz="0" w:space="0" w:color="auto"/>
        <w:right w:val="none" w:sz="0" w:space="0" w:color="auto"/>
      </w:divBdr>
    </w:div>
    <w:div w:id="1051657462">
      <w:marLeft w:val="0"/>
      <w:marRight w:val="0"/>
      <w:marTop w:val="0"/>
      <w:marBottom w:val="0"/>
      <w:divBdr>
        <w:top w:val="none" w:sz="0" w:space="0" w:color="auto"/>
        <w:left w:val="none" w:sz="0" w:space="0" w:color="auto"/>
        <w:bottom w:val="none" w:sz="0" w:space="0" w:color="auto"/>
        <w:right w:val="none" w:sz="0" w:space="0" w:color="auto"/>
      </w:divBdr>
    </w:div>
    <w:div w:id="1057900659">
      <w:marLeft w:val="0"/>
      <w:marRight w:val="0"/>
      <w:marTop w:val="0"/>
      <w:marBottom w:val="0"/>
      <w:divBdr>
        <w:top w:val="none" w:sz="0" w:space="0" w:color="auto"/>
        <w:left w:val="none" w:sz="0" w:space="0" w:color="auto"/>
        <w:bottom w:val="none" w:sz="0" w:space="0" w:color="auto"/>
        <w:right w:val="none" w:sz="0" w:space="0" w:color="auto"/>
      </w:divBdr>
    </w:div>
    <w:div w:id="1071661572">
      <w:marLeft w:val="0"/>
      <w:marRight w:val="0"/>
      <w:marTop w:val="0"/>
      <w:marBottom w:val="0"/>
      <w:divBdr>
        <w:top w:val="none" w:sz="0" w:space="0" w:color="auto"/>
        <w:left w:val="none" w:sz="0" w:space="0" w:color="auto"/>
        <w:bottom w:val="none" w:sz="0" w:space="0" w:color="auto"/>
        <w:right w:val="none" w:sz="0" w:space="0" w:color="auto"/>
      </w:divBdr>
    </w:div>
    <w:div w:id="1076974436">
      <w:marLeft w:val="0"/>
      <w:marRight w:val="0"/>
      <w:marTop w:val="0"/>
      <w:marBottom w:val="0"/>
      <w:divBdr>
        <w:top w:val="none" w:sz="0" w:space="0" w:color="auto"/>
        <w:left w:val="none" w:sz="0" w:space="0" w:color="auto"/>
        <w:bottom w:val="none" w:sz="0" w:space="0" w:color="auto"/>
        <w:right w:val="none" w:sz="0" w:space="0" w:color="auto"/>
      </w:divBdr>
    </w:div>
    <w:div w:id="1098410288">
      <w:marLeft w:val="0"/>
      <w:marRight w:val="0"/>
      <w:marTop w:val="0"/>
      <w:marBottom w:val="0"/>
      <w:divBdr>
        <w:top w:val="none" w:sz="0" w:space="0" w:color="auto"/>
        <w:left w:val="none" w:sz="0" w:space="0" w:color="auto"/>
        <w:bottom w:val="none" w:sz="0" w:space="0" w:color="auto"/>
        <w:right w:val="none" w:sz="0" w:space="0" w:color="auto"/>
      </w:divBdr>
    </w:div>
    <w:div w:id="1103839910">
      <w:marLeft w:val="0"/>
      <w:marRight w:val="0"/>
      <w:marTop w:val="0"/>
      <w:marBottom w:val="0"/>
      <w:divBdr>
        <w:top w:val="none" w:sz="0" w:space="0" w:color="auto"/>
        <w:left w:val="none" w:sz="0" w:space="0" w:color="auto"/>
        <w:bottom w:val="none" w:sz="0" w:space="0" w:color="auto"/>
        <w:right w:val="none" w:sz="0" w:space="0" w:color="auto"/>
      </w:divBdr>
      <w:divsChild>
        <w:div w:id="1093352774">
          <w:marLeft w:val="0"/>
          <w:marRight w:val="0"/>
          <w:marTop w:val="0"/>
          <w:marBottom w:val="0"/>
          <w:divBdr>
            <w:top w:val="none" w:sz="0" w:space="0" w:color="auto"/>
            <w:left w:val="none" w:sz="0" w:space="0" w:color="auto"/>
            <w:bottom w:val="none" w:sz="0" w:space="0" w:color="auto"/>
            <w:right w:val="none" w:sz="0" w:space="0" w:color="auto"/>
          </w:divBdr>
        </w:div>
      </w:divsChild>
    </w:div>
    <w:div w:id="1115060794">
      <w:marLeft w:val="0"/>
      <w:marRight w:val="0"/>
      <w:marTop w:val="0"/>
      <w:marBottom w:val="0"/>
      <w:divBdr>
        <w:top w:val="none" w:sz="0" w:space="0" w:color="auto"/>
        <w:left w:val="none" w:sz="0" w:space="0" w:color="auto"/>
        <w:bottom w:val="none" w:sz="0" w:space="0" w:color="auto"/>
        <w:right w:val="none" w:sz="0" w:space="0" w:color="auto"/>
      </w:divBdr>
    </w:div>
    <w:div w:id="1118644115">
      <w:marLeft w:val="0"/>
      <w:marRight w:val="0"/>
      <w:marTop w:val="0"/>
      <w:marBottom w:val="0"/>
      <w:divBdr>
        <w:top w:val="none" w:sz="0" w:space="0" w:color="auto"/>
        <w:left w:val="none" w:sz="0" w:space="0" w:color="auto"/>
        <w:bottom w:val="none" w:sz="0" w:space="0" w:color="auto"/>
        <w:right w:val="none" w:sz="0" w:space="0" w:color="auto"/>
      </w:divBdr>
    </w:div>
    <w:div w:id="1120956819">
      <w:marLeft w:val="0"/>
      <w:marRight w:val="0"/>
      <w:marTop w:val="0"/>
      <w:marBottom w:val="0"/>
      <w:divBdr>
        <w:top w:val="none" w:sz="0" w:space="0" w:color="auto"/>
        <w:left w:val="none" w:sz="0" w:space="0" w:color="auto"/>
        <w:bottom w:val="none" w:sz="0" w:space="0" w:color="auto"/>
        <w:right w:val="none" w:sz="0" w:space="0" w:color="auto"/>
      </w:divBdr>
    </w:div>
    <w:div w:id="1122573813">
      <w:marLeft w:val="0"/>
      <w:marRight w:val="0"/>
      <w:marTop w:val="0"/>
      <w:marBottom w:val="0"/>
      <w:divBdr>
        <w:top w:val="none" w:sz="0" w:space="0" w:color="auto"/>
        <w:left w:val="none" w:sz="0" w:space="0" w:color="auto"/>
        <w:bottom w:val="none" w:sz="0" w:space="0" w:color="auto"/>
        <w:right w:val="none" w:sz="0" w:space="0" w:color="auto"/>
      </w:divBdr>
    </w:div>
    <w:div w:id="1146093912">
      <w:marLeft w:val="0"/>
      <w:marRight w:val="0"/>
      <w:marTop w:val="0"/>
      <w:marBottom w:val="0"/>
      <w:divBdr>
        <w:top w:val="none" w:sz="0" w:space="0" w:color="auto"/>
        <w:left w:val="none" w:sz="0" w:space="0" w:color="auto"/>
        <w:bottom w:val="none" w:sz="0" w:space="0" w:color="auto"/>
        <w:right w:val="none" w:sz="0" w:space="0" w:color="auto"/>
      </w:divBdr>
    </w:div>
    <w:div w:id="1152285743">
      <w:marLeft w:val="0"/>
      <w:marRight w:val="0"/>
      <w:marTop w:val="0"/>
      <w:marBottom w:val="0"/>
      <w:divBdr>
        <w:top w:val="none" w:sz="0" w:space="0" w:color="auto"/>
        <w:left w:val="none" w:sz="0" w:space="0" w:color="auto"/>
        <w:bottom w:val="none" w:sz="0" w:space="0" w:color="auto"/>
        <w:right w:val="none" w:sz="0" w:space="0" w:color="auto"/>
      </w:divBdr>
    </w:div>
    <w:div w:id="1188562107">
      <w:marLeft w:val="0"/>
      <w:marRight w:val="0"/>
      <w:marTop w:val="0"/>
      <w:marBottom w:val="0"/>
      <w:divBdr>
        <w:top w:val="none" w:sz="0" w:space="0" w:color="auto"/>
        <w:left w:val="none" w:sz="0" w:space="0" w:color="auto"/>
        <w:bottom w:val="none" w:sz="0" w:space="0" w:color="auto"/>
        <w:right w:val="none" w:sz="0" w:space="0" w:color="auto"/>
      </w:divBdr>
      <w:divsChild>
        <w:div w:id="736636459">
          <w:marLeft w:val="0"/>
          <w:marRight w:val="0"/>
          <w:marTop w:val="0"/>
          <w:marBottom w:val="0"/>
          <w:divBdr>
            <w:top w:val="none" w:sz="0" w:space="0" w:color="auto"/>
            <w:left w:val="none" w:sz="0" w:space="0" w:color="auto"/>
            <w:bottom w:val="none" w:sz="0" w:space="0" w:color="auto"/>
            <w:right w:val="none" w:sz="0" w:space="0" w:color="auto"/>
          </w:divBdr>
        </w:div>
      </w:divsChild>
    </w:div>
    <w:div w:id="1196042021">
      <w:marLeft w:val="0"/>
      <w:marRight w:val="0"/>
      <w:marTop w:val="0"/>
      <w:marBottom w:val="0"/>
      <w:divBdr>
        <w:top w:val="none" w:sz="0" w:space="0" w:color="auto"/>
        <w:left w:val="none" w:sz="0" w:space="0" w:color="auto"/>
        <w:bottom w:val="none" w:sz="0" w:space="0" w:color="auto"/>
        <w:right w:val="none" w:sz="0" w:space="0" w:color="auto"/>
      </w:divBdr>
    </w:div>
    <w:div w:id="1197428199">
      <w:marLeft w:val="0"/>
      <w:marRight w:val="0"/>
      <w:marTop w:val="0"/>
      <w:marBottom w:val="0"/>
      <w:divBdr>
        <w:top w:val="none" w:sz="0" w:space="0" w:color="auto"/>
        <w:left w:val="none" w:sz="0" w:space="0" w:color="auto"/>
        <w:bottom w:val="none" w:sz="0" w:space="0" w:color="auto"/>
        <w:right w:val="none" w:sz="0" w:space="0" w:color="auto"/>
      </w:divBdr>
      <w:divsChild>
        <w:div w:id="1346597077">
          <w:marLeft w:val="0"/>
          <w:marRight w:val="0"/>
          <w:marTop w:val="0"/>
          <w:marBottom w:val="0"/>
          <w:divBdr>
            <w:top w:val="none" w:sz="0" w:space="0" w:color="auto"/>
            <w:left w:val="none" w:sz="0" w:space="0" w:color="auto"/>
            <w:bottom w:val="none" w:sz="0" w:space="0" w:color="auto"/>
            <w:right w:val="none" w:sz="0" w:space="0" w:color="auto"/>
          </w:divBdr>
        </w:div>
      </w:divsChild>
    </w:div>
    <w:div w:id="1207520579">
      <w:marLeft w:val="0"/>
      <w:marRight w:val="0"/>
      <w:marTop w:val="0"/>
      <w:marBottom w:val="0"/>
      <w:divBdr>
        <w:top w:val="none" w:sz="0" w:space="0" w:color="auto"/>
        <w:left w:val="none" w:sz="0" w:space="0" w:color="auto"/>
        <w:bottom w:val="none" w:sz="0" w:space="0" w:color="auto"/>
        <w:right w:val="none" w:sz="0" w:space="0" w:color="auto"/>
      </w:divBdr>
    </w:div>
    <w:div w:id="1221555211">
      <w:marLeft w:val="0"/>
      <w:marRight w:val="0"/>
      <w:marTop w:val="0"/>
      <w:marBottom w:val="0"/>
      <w:divBdr>
        <w:top w:val="none" w:sz="0" w:space="0" w:color="auto"/>
        <w:left w:val="none" w:sz="0" w:space="0" w:color="auto"/>
        <w:bottom w:val="none" w:sz="0" w:space="0" w:color="auto"/>
        <w:right w:val="none" w:sz="0" w:space="0" w:color="auto"/>
      </w:divBdr>
      <w:divsChild>
        <w:div w:id="1650749209">
          <w:marLeft w:val="0"/>
          <w:marRight w:val="0"/>
          <w:marTop w:val="0"/>
          <w:marBottom w:val="0"/>
          <w:divBdr>
            <w:top w:val="none" w:sz="0" w:space="0" w:color="auto"/>
            <w:left w:val="none" w:sz="0" w:space="0" w:color="auto"/>
            <w:bottom w:val="none" w:sz="0" w:space="0" w:color="auto"/>
            <w:right w:val="none" w:sz="0" w:space="0" w:color="auto"/>
          </w:divBdr>
        </w:div>
      </w:divsChild>
    </w:div>
    <w:div w:id="1238051821">
      <w:marLeft w:val="0"/>
      <w:marRight w:val="0"/>
      <w:marTop w:val="0"/>
      <w:marBottom w:val="0"/>
      <w:divBdr>
        <w:top w:val="none" w:sz="0" w:space="0" w:color="auto"/>
        <w:left w:val="none" w:sz="0" w:space="0" w:color="auto"/>
        <w:bottom w:val="none" w:sz="0" w:space="0" w:color="auto"/>
        <w:right w:val="none" w:sz="0" w:space="0" w:color="auto"/>
      </w:divBdr>
    </w:div>
    <w:div w:id="1250845220">
      <w:marLeft w:val="0"/>
      <w:marRight w:val="0"/>
      <w:marTop w:val="0"/>
      <w:marBottom w:val="0"/>
      <w:divBdr>
        <w:top w:val="none" w:sz="0" w:space="0" w:color="auto"/>
        <w:left w:val="none" w:sz="0" w:space="0" w:color="auto"/>
        <w:bottom w:val="none" w:sz="0" w:space="0" w:color="auto"/>
        <w:right w:val="none" w:sz="0" w:space="0" w:color="auto"/>
      </w:divBdr>
    </w:div>
    <w:div w:id="1256940163">
      <w:marLeft w:val="0"/>
      <w:marRight w:val="0"/>
      <w:marTop w:val="0"/>
      <w:marBottom w:val="0"/>
      <w:divBdr>
        <w:top w:val="none" w:sz="0" w:space="0" w:color="auto"/>
        <w:left w:val="none" w:sz="0" w:space="0" w:color="auto"/>
        <w:bottom w:val="none" w:sz="0" w:space="0" w:color="auto"/>
        <w:right w:val="none" w:sz="0" w:space="0" w:color="auto"/>
      </w:divBdr>
    </w:div>
    <w:div w:id="1290478788">
      <w:marLeft w:val="0"/>
      <w:marRight w:val="0"/>
      <w:marTop w:val="0"/>
      <w:marBottom w:val="0"/>
      <w:divBdr>
        <w:top w:val="none" w:sz="0" w:space="0" w:color="auto"/>
        <w:left w:val="none" w:sz="0" w:space="0" w:color="auto"/>
        <w:bottom w:val="none" w:sz="0" w:space="0" w:color="auto"/>
        <w:right w:val="none" w:sz="0" w:space="0" w:color="auto"/>
      </w:divBdr>
    </w:div>
    <w:div w:id="1315186727">
      <w:marLeft w:val="0"/>
      <w:marRight w:val="0"/>
      <w:marTop w:val="0"/>
      <w:marBottom w:val="0"/>
      <w:divBdr>
        <w:top w:val="none" w:sz="0" w:space="0" w:color="auto"/>
        <w:left w:val="none" w:sz="0" w:space="0" w:color="auto"/>
        <w:bottom w:val="none" w:sz="0" w:space="0" w:color="auto"/>
        <w:right w:val="none" w:sz="0" w:space="0" w:color="auto"/>
      </w:divBdr>
    </w:div>
    <w:div w:id="1316109435">
      <w:marLeft w:val="0"/>
      <w:marRight w:val="0"/>
      <w:marTop w:val="0"/>
      <w:marBottom w:val="0"/>
      <w:divBdr>
        <w:top w:val="none" w:sz="0" w:space="0" w:color="auto"/>
        <w:left w:val="none" w:sz="0" w:space="0" w:color="auto"/>
        <w:bottom w:val="none" w:sz="0" w:space="0" w:color="auto"/>
        <w:right w:val="none" w:sz="0" w:space="0" w:color="auto"/>
      </w:divBdr>
    </w:div>
    <w:div w:id="1343974024">
      <w:marLeft w:val="0"/>
      <w:marRight w:val="0"/>
      <w:marTop w:val="0"/>
      <w:marBottom w:val="0"/>
      <w:divBdr>
        <w:top w:val="none" w:sz="0" w:space="0" w:color="auto"/>
        <w:left w:val="none" w:sz="0" w:space="0" w:color="auto"/>
        <w:bottom w:val="none" w:sz="0" w:space="0" w:color="auto"/>
        <w:right w:val="none" w:sz="0" w:space="0" w:color="auto"/>
      </w:divBdr>
    </w:div>
    <w:div w:id="1346249101">
      <w:marLeft w:val="0"/>
      <w:marRight w:val="0"/>
      <w:marTop w:val="0"/>
      <w:marBottom w:val="0"/>
      <w:divBdr>
        <w:top w:val="none" w:sz="0" w:space="0" w:color="auto"/>
        <w:left w:val="none" w:sz="0" w:space="0" w:color="auto"/>
        <w:bottom w:val="none" w:sz="0" w:space="0" w:color="auto"/>
        <w:right w:val="none" w:sz="0" w:space="0" w:color="auto"/>
      </w:divBdr>
    </w:div>
    <w:div w:id="1349717060">
      <w:marLeft w:val="0"/>
      <w:marRight w:val="0"/>
      <w:marTop w:val="0"/>
      <w:marBottom w:val="0"/>
      <w:divBdr>
        <w:top w:val="none" w:sz="0" w:space="0" w:color="auto"/>
        <w:left w:val="none" w:sz="0" w:space="0" w:color="auto"/>
        <w:bottom w:val="none" w:sz="0" w:space="0" w:color="auto"/>
        <w:right w:val="none" w:sz="0" w:space="0" w:color="auto"/>
      </w:divBdr>
    </w:div>
    <w:div w:id="1355575486">
      <w:marLeft w:val="0"/>
      <w:marRight w:val="0"/>
      <w:marTop w:val="0"/>
      <w:marBottom w:val="0"/>
      <w:divBdr>
        <w:top w:val="none" w:sz="0" w:space="0" w:color="auto"/>
        <w:left w:val="none" w:sz="0" w:space="0" w:color="auto"/>
        <w:bottom w:val="none" w:sz="0" w:space="0" w:color="auto"/>
        <w:right w:val="none" w:sz="0" w:space="0" w:color="auto"/>
      </w:divBdr>
      <w:divsChild>
        <w:div w:id="36323414">
          <w:marLeft w:val="0"/>
          <w:marRight w:val="0"/>
          <w:marTop w:val="0"/>
          <w:marBottom w:val="0"/>
          <w:divBdr>
            <w:top w:val="none" w:sz="0" w:space="0" w:color="auto"/>
            <w:left w:val="none" w:sz="0" w:space="0" w:color="auto"/>
            <w:bottom w:val="none" w:sz="0" w:space="0" w:color="auto"/>
            <w:right w:val="none" w:sz="0" w:space="0" w:color="auto"/>
          </w:divBdr>
        </w:div>
      </w:divsChild>
    </w:div>
    <w:div w:id="1362895906">
      <w:marLeft w:val="0"/>
      <w:marRight w:val="0"/>
      <w:marTop w:val="0"/>
      <w:marBottom w:val="0"/>
      <w:divBdr>
        <w:top w:val="none" w:sz="0" w:space="0" w:color="auto"/>
        <w:left w:val="none" w:sz="0" w:space="0" w:color="auto"/>
        <w:bottom w:val="none" w:sz="0" w:space="0" w:color="auto"/>
        <w:right w:val="none" w:sz="0" w:space="0" w:color="auto"/>
      </w:divBdr>
    </w:div>
    <w:div w:id="1375621625">
      <w:marLeft w:val="0"/>
      <w:marRight w:val="0"/>
      <w:marTop w:val="0"/>
      <w:marBottom w:val="0"/>
      <w:divBdr>
        <w:top w:val="none" w:sz="0" w:space="0" w:color="auto"/>
        <w:left w:val="none" w:sz="0" w:space="0" w:color="auto"/>
        <w:bottom w:val="none" w:sz="0" w:space="0" w:color="auto"/>
        <w:right w:val="none" w:sz="0" w:space="0" w:color="auto"/>
      </w:divBdr>
      <w:divsChild>
        <w:div w:id="1654597360">
          <w:marLeft w:val="0"/>
          <w:marRight w:val="0"/>
          <w:marTop w:val="0"/>
          <w:marBottom w:val="0"/>
          <w:divBdr>
            <w:top w:val="none" w:sz="0" w:space="0" w:color="auto"/>
            <w:left w:val="none" w:sz="0" w:space="0" w:color="auto"/>
            <w:bottom w:val="none" w:sz="0" w:space="0" w:color="auto"/>
            <w:right w:val="none" w:sz="0" w:space="0" w:color="auto"/>
          </w:divBdr>
        </w:div>
      </w:divsChild>
    </w:div>
    <w:div w:id="1376155636">
      <w:marLeft w:val="0"/>
      <w:marRight w:val="0"/>
      <w:marTop w:val="0"/>
      <w:marBottom w:val="0"/>
      <w:divBdr>
        <w:top w:val="none" w:sz="0" w:space="0" w:color="auto"/>
        <w:left w:val="none" w:sz="0" w:space="0" w:color="auto"/>
        <w:bottom w:val="none" w:sz="0" w:space="0" w:color="auto"/>
        <w:right w:val="none" w:sz="0" w:space="0" w:color="auto"/>
      </w:divBdr>
    </w:div>
    <w:div w:id="1383871779">
      <w:marLeft w:val="0"/>
      <w:marRight w:val="0"/>
      <w:marTop w:val="0"/>
      <w:marBottom w:val="0"/>
      <w:divBdr>
        <w:top w:val="none" w:sz="0" w:space="0" w:color="auto"/>
        <w:left w:val="none" w:sz="0" w:space="0" w:color="auto"/>
        <w:bottom w:val="none" w:sz="0" w:space="0" w:color="auto"/>
        <w:right w:val="none" w:sz="0" w:space="0" w:color="auto"/>
      </w:divBdr>
      <w:divsChild>
        <w:div w:id="536354246">
          <w:marLeft w:val="0"/>
          <w:marRight w:val="0"/>
          <w:marTop w:val="0"/>
          <w:marBottom w:val="0"/>
          <w:divBdr>
            <w:top w:val="none" w:sz="0" w:space="0" w:color="auto"/>
            <w:left w:val="none" w:sz="0" w:space="0" w:color="auto"/>
            <w:bottom w:val="none" w:sz="0" w:space="0" w:color="auto"/>
            <w:right w:val="none" w:sz="0" w:space="0" w:color="auto"/>
          </w:divBdr>
        </w:div>
      </w:divsChild>
    </w:div>
    <w:div w:id="1393845114">
      <w:marLeft w:val="0"/>
      <w:marRight w:val="0"/>
      <w:marTop w:val="0"/>
      <w:marBottom w:val="0"/>
      <w:divBdr>
        <w:top w:val="none" w:sz="0" w:space="0" w:color="auto"/>
        <w:left w:val="none" w:sz="0" w:space="0" w:color="auto"/>
        <w:bottom w:val="none" w:sz="0" w:space="0" w:color="auto"/>
        <w:right w:val="none" w:sz="0" w:space="0" w:color="auto"/>
      </w:divBdr>
    </w:div>
    <w:div w:id="1415203634">
      <w:marLeft w:val="0"/>
      <w:marRight w:val="0"/>
      <w:marTop w:val="0"/>
      <w:marBottom w:val="0"/>
      <w:divBdr>
        <w:top w:val="none" w:sz="0" w:space="0" w:color="auto"/>
        <w:left w:val="none" w:sz="0" w:space="0" w:color="auto"/>
        <w:bottom w:val="none" w:sz="0" w:space="0" w:color="auto"/>
        <w:right w:val="none" w:sz="0" w:space="0" w:color="auto"/>
      </w:divBdr>
    </w:div>
    <w:div w:id="1435444724">
      <w:marLeft w:val="0"/>
      <w:marRight w:val="0"/>
      <w:marTop w:val="0"/>
      <w:marBottom w:val="0"/>
      <w:divBdr>
        <w:top w:val="none" w:sz="0" w:space="0" w:color="auto"/>
        <w:left w:val="none" w:sz="0" w:space="0" w:color="auto"/>
        <w:bottom w:val="none" w:sz="0" w:space="0" w:color="auto"/>
        <w:right w:val="none" w:sz="0" w:space="0" w:color="auto"/>
      </w:divBdr>
    </w:div>
    <w:div w:id="1440834447">
      <w:marLeft w:val="0"/>
      <w:marRight w:val="0"/>
      <w:marTop w:val="0"/>
      <w:marBottom w:val="0"/>
      <w:divBdr>
        <w:top w:val="none" w:sz="0" w:space="0" w:color="auto"/>
        <w:left w:val="none" w:sz="0" w:space="0" w:color="auto"/>
        <w:bottom w:val="none" w:sz="0" w:space="0" w:color="auto"/>
        <w:right w:val="none" w:sz="0" w:space="0" w:color="auto"/>
      </w:divBdr>
      <w:divsChild>
        <w:div w:id="312102036">
          <w:marLeft w:val="0"/>
          <w:marRight w:val="0"/>
          <w:marTop w:val="0"/>
          <w:marBottom w:val="0"/>
          <w:divBdr>
            <w:top w:val="none" w:sz="0" w:space="0" w:color="auto"/>
            <w:left w:val="none" w:sz="0" w:space="0" w:color="auto"/>
            <w:bottom w:val="none" w:sz="0" w:space="0" w:color="auto"/>
            <w:right w:val="none" w:sz="0" w:space="0" w:color="auto"/>
          </w:divBdr>
        </w:div>
      </w:divsChild>
    </w:div>
    <w:div w:id="1456025442">
      <w:marLeft w:val="0"/>
      <w:marRight w:val="0"/>
      <w:marTop w:val="0"/>
      <w:marBottom w:val="0"/>
      <w:divBdr>
        <w:top w:val="none" w:sz="0" w:space="0" w:color="auto"/>
        <w:left w:val="none" w:sz="0" w:space="0" w:color="auto"/>
        <w:bottom w:val="none" w:sz="0" w:space="0" w:color="auto"/>
        <w:right w:val="none" w:sz="0" w:space="0" w:color="auto"/>
      </w:divBdr>
    </w:div>
    <w:div w:id="1487018433">
      <w:marLeft w:val="0"/>
      <w:marRight w:val="0"/>
      <w:marTop w:val="0"/>
      <w:marBottom w:val="0"/>
      <w:divBdr>
        <w:top w:val="none" w:sz="0" w:space="0" w:color="auto"/>
        <w:left w:val="none" w:sz="0" w:space="0" w:color="auto"/>
        <w:bottom w:val="none" w:sz="0" w:space="0" w:color="auto"/>
        <w:right w:val="none" w:sz="0" w:space="0" w:color="auto"/>
      </w:divBdr>
      <w:divsChild>
        <w:div w:id="405877956">
          <w:marLeft w:val="0"/>
          <w:marRight w:val="0"/>
          <w:marTop w:val="0"/>
          <w:marBottom w:val="0"/>
          <w:divBdr>
            <w:top w:val="none" w:sz="0" w:space="0" w:color="auto"/>
            <w:left w:val="none" w:sz="0" w:space="0" w:color="auto"/>
            <w:bottom w:val="none" w:sz="0" w:space="0" w:color="auto"/>
            <w:right w:val="none" w:sz="0" w:space="0" w:color="auto"/>
          </w:divBdr>
        </w:div>
      </w:divsChild>
    </w:div>
    <w:div w:id="1494223287">
      <w:marLeft w:val="0"/>
      <w:marRight w:val="0"/>
      <w:marTop w:val="0"/>
      <w:marBottom w:val="0"/>
      <w:divBdr>
        <w:top w:val="none" w:sz="0" w:space="0" w:color="auto"/>
        <w:left w:val="none" w:sz="0" w:space="0" w:color="auto"/>
        <w:bottom w:val="none" w:sz="0" w:space="0" w:color="auto"/>
        <w:right w:val="none" w:sz="0" w:space="0" w:color="auto"/>
      </w:divBdr>
      <w:divsChild>
        <w:div w:id="2004428708">
          <w:marLeft w:val="0"/>
          <w:marRight w:val="0"/>
          <w:marTop w:val="0"/>
          <w:marBottom w:val="0"/>
          <w:divBdr>
            <w:top w:val="none" w:sz="0" w:space="0" w:color="auto"/>
            <w:left w:val="none" w:sz="0" w:space="0" w:color="auto"/>
            <w:bottom w:val="none" w:sz="0" w:space="0" w:color="auto"/>
            <w:right w:val="none" w:sz="0" w:space="0" w:color="auto"/>
          </w:divBdr>
        </w:div>
      </w:divsChild>
    </w:div>
    <w:div w:id="1520385449">
      <w:marLeft w:val="0"/>
      <w:marRight w:val="0"/>
      <w:marTop w:val="0"/>
      <w:marBottom w:val="0"/>
      <w:divBdr>
        <w:top w:val="none" w:sz="0" w:space="0" w:color="auto"/>
        <w:left w:val="none" w:sz="0" w:space="0" w:color="auto"/>
        <w:bottom w:val="none" w:sz="0" w:space="0" w:color="auto"/>
        <w:right w:val="none" w:sz="0" w:space="0" w:color="auto"/>
      </w:divBdr>
      <w:divsChild>
        <w:div w:id="327948522">
          <w:marLeft w:val="0"/>
          <w:marRight w:val="0"/>
          <w:marTop w:val="0"/>
          <w:marBottom w:val="0"/>
          <w:divBdr>
            <w:top w:val="none" w:sz="0" w:space="0" w:color="auto"/>
            <w:left w:val="none" w:sz="0" w:space="0" w:color="auto"/>
            <w:bottom w:val="none" w:sz="0" w:space="0" w:color="auto"/>
            <w:right w:val="none" w:sz="0" w:space="0" w:color="auto"/>
          </w:divBdr>
        </w:div>
      </w:divsChild>
    </w:div>
    <w:div w:id="1530098779">
      <w:marLeft w:val="0"/>
      <w:marRight w:val="0"/>
      <w:marTop w:val="0"/>
      <w:marBottom w:val="0"/>
      <w:divBdr>
        <w:top w:val="none" w:sz="0" w:space="0" w:color="auto"/>
        <w:left w:val="none" w:sz="0" w:space="0" w:color="auto"/>
        <w:bottom w:val="none" w:sz="0" w:space="0" w:color="auto"/>
        <w:right w:val="none" w:sz="0" w:space="0" w:color="auto"/>
      </w:divBdr>
    </w:div>
    <w:div w:id="1547788478">
      <w:marLeft w:val="0"/>
      <w:marRight w:val="0"/>
      <w:marTop w:val="0"/>
      <w:marBottom w:val="0"/>
      <w:divBdr>
        <w:top w:val="none" w:sz="0" w:space="0" w:color="auto"/>
        <w:left w:val="none" w:sz="0" w:space="0" w:color="auto"/>
        <w:bottom w:val="none" w:sz="0" w:space="0" w:color="auto"/>
        <w:right w:val="none" w:sz="0" w:space="0" w:color="auto"/>
      </w:divBdr>
      <w:divsChild>
        <w:div w:id="810444930">
          <w:marLeft w:val="0"/>
          <w:marRight w:val="0"/>
          <w:marTop w:val="0"/>
          <w:marBottom w:val="0"/>
          <w:divBdr>
            <w:top w:val="none" w:sz="0" w:space="0" w:color="auto"/>
            <w:left w:val="none" w:sz="0" w:space="0" w:color="auto"/>
            <w:bottom w:val="none" w:sz="0" w:space="0" w:color="auto"/>
            <w:right w:val="none" w:sz="0" w:space="0" w:color="auto"/>
          </w:divBdr>
        </w:div>
      </w:divsChild>
    </w:div>
    <w:div w:id="1558779342">
      <w:marLeft w:val="0"/>
      <w:marRight w:val="0"/>
      <w:marTop w:val="0"/>
      <w:marBottom w:val="0"/>
      <w:divBdr>
        <w:top w:val="none" w:sz="0" w:space="0" w:color="auto"/>
        <w:left w:val="none" w:sz="0" w:space="0" w:color="auto"/>
        <w:bottom w:val="none" w:sz="0" w:space="0" w:color="auto"/>
        <w:right w:val="none" w:sz="0" w:space="0" w:color="auto"/>
      </w:divBdr>
      <w:divsChild>
        <w:div w:id="1162165648">
          <w:marLeft w:val="0"/>
          <w:marRight w:val="0"/>
          <w:marTop w:val="0"/>
          <w:marBottom w:val="0"/>
          <w:divBdr>
            <w:top w:val="none" w:sz="0" w:space="0" w:color="auto"/>
            <w:left w:val="none" w:sz="0" w:space="0" w:color="auto"/>
            <w:bottom w:val="none" w:sz="0" w:space="0" w:color="auto"/>
            <w:right w:val="none" w:sz="0" w:space="0" w:color="auto"/>
          </w:divBdr>
        </w:div>
      </w:divsChild>
    </w:div>
    <w:div w:id="1564365155">
      <w:marLeft w:val="0"/>
      <w:marRight w:val="0"/>
      <w:marTop w:val="0"/>
      <w:marBottom w:val="0"/>
      <w:divBdr>
        <w:top w:val="none" w:sz="0" w:space="0" w:color="auto"/>
        <w:left w:val="none" w:sz="0" w:space="0" w:color="auto"/>
        <w:bottom w:val="none" w:sz="0" w:space="0" w:color="auto"/>
        <w:right w:val="none" w:sz="0" w:space="0" w:color="auto"/>
      </w:divBdr>
    </w:div>
    <w:div w:id="1568419167">
      <w:marLeft w:val="0"/>
      <w:marRight w:val="0"/>
      <w:marTop w:val="120"/>
      <w:marBottom w:val="120"/>
      <w:divBdr>
        <w:top w:val="none" w:sz="0" w:space="0" w:color="auto"/>
        <w:left w:val="none" w:sz="0" w:space="0" w:color="auto"/>
        <w:bottom w:val="none" w:sz="0" w:space="0" w:color="auto"/>
        <w:right w:val="none" w:sz="0" w:space="0" w:color="auto"/>
      </w:divBdr>
    </w:div>
    <w:div w:id="1579434698">
      <w:marLeft w:val="0"/>
      <w:marRight w:val="0"/>
      <w:marTop w:val="0"/>
      <w:marBottom w:val="0"/>
      <w:divBdr>
        <w:top w:val="none" w:sz="0" w:space="0" w:color="auto"/>
        <w:left w:val="none" w:sz="0" w:space="0" w:color="auto"/>
        <w:bottom w:val="none" w:sz="0" w:space="0" w:color="auto"/>
        <w:right w:val="none" w:sz="0" w:space="0" w:color="auto"/>
      </w:divBdr>
    </w:div>
    <w:div w:id="1593319095">
      <w:marLeft w:val="0"/>
      <w:marRight w:val="0"/>
      <w:marTop w:val="0"/>
      <w:marBottom w:val="0"/>
      <w:divBdr>
        <w:top w:val="none" w:sz="0" w:space="0" w:color="auto"/>
        <w:left w:val="none" w:sz="0" w:space="0" w:color="auto"/>
        <w:bottom w:val="none" w:sz="0" w:space="0" w:color="auto"/>
        <w:right w:val="none" w:sz="0" w:space="0" w:color="auto"/>
      </w:divBdr>
    </w:div>
    <w:div w:id="1602831074">
      <w:marLeft w:val="0"/>
      <w:marRight w:val="0"/>
      <w:marTop w:val="0"/>
      <w:marBottom w:val="0"/>
      <w:divBdr>
        <w:top w:val="none" w:sz="0" w:space="0" w:color="auto"/>
        <w:left w:val="none" w:sz="0" w:space="0" w:color="auto"/>
        <w:bottom w:val="none" w:sz="0" w:space="0" w:color="auto"/>
        <w:right w:val="none" w:sz="0" w:space="0" w:color="auto"/>
      </w:divBdr>
      <w:divsChild>
        <w:div w:id="755982592">
          <w:marLeft w:val="0"/>
          <w:marRight w:val="0"/>
          <w:marTop w:val="0"/>
          <w:marBottom w:val="0"/>
          <w:divBdr>
            <w:top w:val="none" w:sz="0" w:space="0" w:color="auto"/>
            <w:left w:val="none" w:sz="0" w:space="0" w:color="auto"/>
            <w:bottom w:val="none" w:sz="0" w:space="0" w:color="auto"/>
            <w:right w:val="none" w:sz="0" w:space="0" w:color="auto"/>
          </w:divBdr>
        </w:div>
      </w:divsChild>
    </w:div>
    <w:div w:id="1609502695">
      <w:marLeft w:val="0"/>
      <w:marRight w:val="0"/>
      <w:marTop w:val="0"/>
      <w:marBottom w:val="0"/>
      <w:divBdr>
        <w:top w:val="none" w:sz="0" w:space="0" w:color="auto"/>
        <w:left w:val="none" w:sz="0" w:space="0" w:color="auto"/>
        <w:bottom w:val="none" w:sz="0" w:space="0" w:color="auto"/>
        <w:right w:val="none" w:sz="0" w:space="0" w:color="auto"/>
      </w:divBdr>
    </w:div>
    <w:div w:id="1612977999">
      <w:marLeft w:val="0"/>
      <w:marRight w:val="0"/>
      <w:marTop w:val="0"/>
      <w:marBottom w:val="0"/>
      <w:divBdr>
        <w:top w:val="none" w:sz="0" w:space="0" w:color="auto"/>
        <w:left w:val="none" w:sz="0" w:space="0" w:color="auto"/>
        <w:bottom w:val="none" w:sz="0" w:space="0" w:color="auto"/>
        <w:right w:val="none" w:sz="0" w:space="0" w:color="auto"/>
      </w:divBdr>
    </w:div>
    <w:div w:id="1617177235">
      <w:marLeft w:val="0"/>
      <w:marRight w:val="0"/>
      <w:marTop w:val="0"/>
      <w:marBottom w:val="0"/>
      <w:divBdr>
        <w:top w:val="none" w:sz="0" w:space="0" w:color="auto"/>
        <w:left w:val="none" w:sz="0" w:space="0" w:color="auto"/>
        <w:bottom w:val="none" w:sz="0" w:space="0" w:color="auto"/>
        <w:right w:val="none" w:sz="0" w:space="0" w:color="auto"/>
      </w:divBdr>
    </w:div>
    <w:div w:id="1617953759">
      <w:marLeft w:val="0"/>
      <w:marRight w:val="0"/>
      <w:marTop w:val="0"/>
      <w:marBottom w:val="0"/>
      <w:divBdr>
        <w:top w:val="none" w:sz="0" w:space="0" w:color="auto"/>
        <w:left w:val="none" w:sz="0" w:space="0" w:color="auto"/>
        <w:bottom w:val="none" w:sz="0" w:space="0" w:color="auto"/>
        <w:right w:val="none" w:sz="0" w:space="0" w:color="auto"/>
      </w:divBdr>
    </w:div>
    <w:div w:id="1625388392">
      <w:marLeft w:val="0"/>
      <w:marRight w:val="0"/>
      <w:marTop w:val="0"/>
      <w:marBottom w:val="0"/>
      <w:divBdr>
        <w:top w:val="none" w:sz="0" w:space="0" w:color="auto"/>
        <w:left w:val="none" w:sz="0" w:space="0" w:color="auto"/>
        <w:bottom w:val="none" w:sz="0" w:space="0" w:color="auto"/>
        <w:right w:val="none" w:sz="0" w:space="0" w:color="auto"/>
      </w:divBdr>
      <w:divsChild>
        <w:div w:id="205144434">
          <w:marLeft w:val="0"/>
          <w:marRight w:val="0"/>
          <w:marTop w:val="0"/>
          <w:marBottom w:val="0"/>
          <w:divBdr>
            <w:top w:val="none" w:sz="0" w:space="0" w:color="auto"/>
            <w:left w:val="none" w:sz="0" w:space="0" w:color="auto"/>
            <w:bottom w:val="none" w:sz="0" w:space="0" w:color="auto"/>
            <w:right w:val="none" w:sz="0" w:space="0" w:color="auto"/>
          </w:divBdr>
        </w:div>
      </w:divsChild>
    </w:div>
    <w:div w:id="1650401115">
      <w:marLeft w:val="0"/>
      <w:marRight w:val="0"/>
      <w:marTop w:val="0"/>
      <w:marBottom w:val="0"/>
      <w:divBdr>
        <w:top w:val="none" w:sz="0" w:space="0" w:color="auto"/>
        <w:left w:val="none" w:sz="0" w:space="0" w:color="auto"/>
        <w:bottom w:val="none" w:sz="0" w:space="0" w:color="auto"/>
        <w:right w:val="none" w:sz="0" w:space="0" w:color="auto"/>
      </w:divBdr>
      <w:divsChild>
        <w:div w:id="1850482399">
          <w:marLeft w:val="0"/>
          <w:marRight w:val="0"/>
          <w:marTop w:val="0"/>
          <w:marBottom w:val="0"/>
          <w:divBdr>
            <w:top w:val="none" w:sz="0" w:space="0" w:color="auto"/>
            <w:left w:val="none" w:sz="0" w:space="0" w:color="auto"/>
            <w:bottom w:val="none" w:sz="0" w:space="0" w:color="auto"/>
            <w:right w:val="none" w:sz="0" w:space="0" w:color="auto"/>
          </w:divBdr>
        </w:div>
      </w:divsChild>
    </w:div>
    <w:div w:id="1657804172">
      <w:marLeft w:val="0"/>
      <w:marRight w:val="0"/>
      <w:marTop w:val="0"/>
      <w:marBottom w:val="0"/>
      <w:divBdr>
        <w:top w:val="none" w:sz="0" w:space="0" w:color="auto"/>
        <w:left w:val="none" w:sz="0" w:space="0" w:color="auto"/>
        <w:bottom w:val="none" w:sz="0" w:space="0" w:color="auto"/>
        <w:right w:val="none" w:sz="0" w:space="0" w:color="auto"/>
      </w:divBdr>
    </w:div>
    <w:div w:id="1658415142">
      <w:marLeft w:val="0"/>
      <w:marRight w:val="0"/>
      <w:marTop w:val="0"/>
      <w:marBottom w:val="0"/>
      <w:divBdr>
        <w:top w:val="none" w:sz="0" w:space="0" w:color="auto"/>
        <w:left w:val="none" w:sz="0" w:space="0" w:color="auto"/>
        <w:bottom w:val="none" w:sz="0" w:space="0" w:color="auto"/>
        <w:right w:val="none" w:sz="0" w:space="0" w:color="auto"/>
      </w:divBdr>
    </w:div>
    <w:div w:id="1662464840">
      <w:marLeft w:val="0"/>
      <w:marRight w:val="0"/>
      <w:marTop w:val="0"/>
      <w:marBottom w:val="0"/>
      <w:divBdr>
        <w:top w:val="none" w:sz="0" w:space="0" w:color="auto"/>
        <w:left w:val="none" w:sz="0" w:space="0" w:color="auto"/>
        <w:bottom w:val="none" w:sz="0" w:space="0" w:color="auto"/>
        <w:right w:val="none" w:sz="0" w:space="0" w:color="auto"/>
      </w:divBdr>
    </w:div>
    <w:div w:id="1666979502">
      <w:marLeft w:val="0"/>
      <w:marRight w:val="0"/>
      <w:marTop w:val="0"/>
      <w:marBottom w:val="0"/>
      <w:divBdr>
        <w:top w:val="none" w:sz="0" w:space="0" w:color="auto"/>
        <w:left w:val="none" w:sz="0" w:space="0" w:color="auto"/>
        <w:bottom w:val="none" w:sz="0" w:space="0" w:color="auto"/>
        <w:right w:val="none" w:sz="0" w:space="0" w:color="auto"/>
      </w:divBdr>
      <w:divsChild>
        <w:div w:id="1610045495">
          <w:marLeft w:val="0"/>
          <w:marRight w:val="0"/>
          <w:marTop w:val="0"/>
          <w:marBottom w:val="0"/>
          <w:divBdr>
            <w:top w:val="none" w:sz="0" w:space="0" w:color="auto"/>
            <w:left w:val="none" w:sz="0" w:space="0" w:color="auto"/>
            <w:bottom w:val="none" w:sz="0" w:space="0" w:color="auto"/>
            <w:right w:val="none" w:sz="0" w:space="0" w:color="auto"/>
          </w:divBdr>
        </w:div>
      </w:divsChild>
    </w:div>
    <w:div w:id="1669751550">
      <w:marLeft w:val="0"/>
      <w:marRight w:val="0"/>
      <w:marTop w:val="0"/>
      <w:marBottom w:val="0"/>
      <w:divBdr>
        <w:top w:val="none" w:sz="0" w:space="0" w:color="auto"/>
        <w:left w:val="none" w:sz="0" w:space="0" w:color="auto"/>
        <w:bottom w:val="none" w:sz="0" w:space="0" w:color="auto"/>
        <w:right w:val="none" w:sz="0" w:space="0" w:color="auto"/>
      </w:divBdr>
    </w:div>
    <w:div w:id="1686052801">
      <w:marLeft w:val="0"/>
      <w:marRight w:val="0"/>
      <w:marTop w:val="0"/>
      <w:marBottom w:val="0"/>
      <w:divBdr>
        <w:top w:val="none" w:sz="0" w:space="0" w:color="auto"/>
        <w:left w:val="none" w:sz="0" w:space="0" w:color="auto"/>
        <w:bottom w:val="none" w:sz="0" w:space="0" w:color="auto"/>
        <w:right w:val="none" w:sz="0" w:space="0" w:color="auto"/>
      </w:divBdr>
    </w:div>
    <w:div w:id="1691905203">
      <w:marLeft w:val="0"/>
      <w:marRight w:val="0"/>
      <w:marTop w:val="0"/>
      <w:marBottom w:val="0"/>
      <w:divBdr>
        <w:top w:val="none" w:sz="0" w:space="0" w:color="auto"/>
        <w:left w:val="none" w:sz="0" w:space="0" w:color="auto"/>
        <w:bottom w:val="none" w:sz="0" w:space="0" w:color="auto"/>
        <w:right w:val="none" w:sz="0" w:space="0" w:color="auto"/>
      </w:divBdr>
    </w:div>
    <w:div w:id="1692804261">
      <w:marLeft w:val="0"/>
      <w:marRight w:val="0"/>
      <w:marTop w:val="0"/>
      <w:marBottom w:val="0"/>
      <w:divBdr>
        <w:top w:val="none" w:sz="0" w:space="0" w:color="auto"/>
        <w:left w:val="none" w:sz="0" w:space="0" w:color="auto"/>
        <w:bottom w:val="none" w:sz="0" w:space="0" w:color="auto"/>
        <w:right w:val="none" w:sz="0" w:space="0" w:color="auto"/>
      </w:divBdr>
    </w:div>
    <w:div w:id="1700816738">
      <w:marLeft w:val="0"/>
      <w:marRight w:val="0"/>
      <w:marTop w:val="0"/>
      <w:marBottom w:val="0"/>
      <w:divBdr>
        <w:top w:val="none" w:sz="0" w:space="0" w:color="auto"/>
        <w:left w:val="none" w:sz="0" w:space="0" w:color="auto"/>
        <w:bottom w:val="none" w:sz="0" w:space="0" w:color="auto"/>
        <w:right w:val="none" w:sz="0" w:space="0" w:color="auto"/>
      </w:divBdr>
    </w:div>
    <w:div w:id="1701590051">
      <w:marLeft w:val="0"/>
      <w:marRight w:val="0"/>
      <w:marTop w:val="0"/>
      <w:marBottom w:val="0"/>
      <w:divBdr>
        <w:top w:val="none" w:sz="0" w:space="0" w:color="auto"/>
        <w:left w:val="none" w:sz="0" w:space="0" w:color="auto"/>
        <w:bottom w:val="none" w:sz="0" w:space="0" w:color="auto"/>
        <w:right w:val="none" w:sz="0" w:space="0" w:color="auto"/>
      </w:divBdr>
      <w:divsChild>
        <w:div w:id="1559322526">
          <w:marLeft w:val="0"/>
          <w:marRight w:val="0"/>
          <w:marTop w:val="0"/>
          <w:marBottom w:val="0"/>
          <w:divBdr>
            <w:top w:val="none" w:sz="0" w:space="0" w:color="auto"/>
            <w:left w:val="none" w:sz="0" w:space="0" w:color="auto"/>
            <w:bottom w:val="none" w:sz="0" w:space="0" w:color="auto"/>
            <w:right w:val="none" w:sz="0" w:space="0" w:color="auto"/>
          </w:divBdr>
        </w:div>
      </w:divsChild>
    </w:div>
    <w:div w:id="1706522866">
      <w:marLeft w:val="0"/>
      <w:marRight w:val="0"/>
      <w:marTop w:val="0"/>
      <w:marBottom w:val="0"/>
      <w:divBdr>
        <w:top w:val="none" w:sz="0" w:space="0" w:color="auto"/>
        <w:left w:val="none" w:sz="0" w:space="0" w:color="auto"/>
        <w:bottom w:val="none" w:sz="0" w:space="0" w:color="auto"/>
        <w:right w:val="none" w:sz="0" w:space="0" w:color="auto"/>
      </w:divBdr>
    </w:div>
    <w:div w:id="1719015389">
      <w:marLeft w:val="0"/>
      <w:marRight w:val="0"/>
      <w:marTop w:val="0"/>
      <w:marBottom w:val="0"/>
      <w:divBdr>
        <w:top w:val="none" w:sz="0" w:space="0" w:color="auto"/>
        <w:left w:val="none" w:sz="0" w:space="0" w:color="auto"/>
        <w:bottom w:val="none" w:sz="0" w:space="0" w:color="auto"/>
        <w:right w:val="none" w:sz="0" w:space="0" w:color="auto"/>
      </w:divBdr>
      <w:divsChild>
        <w:div w:id="1800680608">
          <w:marLeft w:val="0"/>
          <w:marRight w:val="0"/>
          <w:marTop w:val="0"/>
          <w:marBottom w:val="0"/>
          <w:divBdr>
            <w:top w:val="none" w:sz="0" w:space="0" w:color="auto"/>
            <w:left w:val="none" w:sz="0" w:space="0" w:color="auto"/>
            <w:bottom w:val="none" w:sz="0" w:space="0" w:color="auto"/>
            <w:right w:val="none" w:sz="0" w:space="0" w:color="auto"/>
          </w:divBdr>
        </w:div>
      </w:divsChild>
    </w:div>
    <w:div w:id="1726946445">
      <w:marLeft w:val="0"/>
      <w:marRight w:val="0"/>
      <w:marTop w:val="0"/>
      <w:marBottom w:val="0"/>
      <w:divBdr>
        <w:top w:val="none" w:sz="0" w:space="0" w:color="auto"/>
        <w:left w:val="none" w:sz="0" w:space="0" w:color="auto"/>
        <w:bottom w:val="none" w:sz="0" w:space="0" w:color="auto"/>
        <w:right w:val="none" w:sz="0" w:space="0" w:color="auto"/>
      </w:divBdr>
    </w:div>
    <w:div w:id="1760328448">
      <w:marLeft w:val="0"/>
      <w:marRight w:val="0"/>
      <w:marTop w:val="0"/>
      <w:marBottom w:val="0"/>
      <w:divBdr>
        <w:top w:val="none" w:sz="0" w:space="0" w:color="auto"/>
        <w:left w:val="none" w:sz="0" w:space="0" w:color="auto"/>
        <w:bottom w:val="none" w:sz="0" w:space="0" w:color="auto"/>
        <w:right w:val="none" w:sz="0" w:space="0" w:color="auto"/>
      </w:divBdr>
      <w:divsChild>
        <w:div w:id="60031259">
          <w:marLeft w:val="0"/>
          <w:marRight w:val="0"/>
          <w:marTop w:val="0"/>
          <w:marBottom w:val="0"/>
          <w:divBdr>
            <w:top w:val="none" w:sz="0" w:space="0" w:color="auto"/>
            <w:left w:val="none" w:sz="0" w:space="0" w:color="auto"/>
            <w:bottom w:val="none" w:sz="0" w:space="0" w:color="auto"/>
            <w:right w:val="none" w:sz="0" w:space="0" w:color="auto"/>
          </w:divBdr>
        </w:div>
      </w:divsChild>
    </w:div>
    <w:div w:id="1767723804">
      <w:marLeft w:val="0"/>
      <w:marRight w:val="0"/>
      <w:marTop w:val="0"/>
      <w:marBottom w:val="0"/>
      <w:divBdr>
        <w:top w:val="none" w:sz="0" w:space="0" w:color="auto"/>
        <w:left w:val="none" w:sz="0" w:space="0" w:color="auto"/>
        <w:bottom w:val="none" w:sz="0" w:space="0" w:color="auto"/>
        <w:right w:val="none" w:sz="0" w:space="0" w:color="auto"/>
      </w:divBdr>
      <w:divsChild>
        <w:div w:id="1736659950">
          <w:marLeft w:val="0"/>
          <w:marRight w:val="0"/>
          <w:marTop w:val="0"/>
          <w:marBottom w:val="0"/>
          <w:divBdr>
            <w:top w:val="none" w:sz="0" w:space="0" w:color="auto"/>
            <w:left w:val="none" w:sz="0" w:space="0" w:color="auto"/>
            <w:bottom w:val="none" w:sz="0" w:space="0" w:color="auto"/>
            <w:right w:val="none" w:sz="0" w:space="0" w:color="auto"/>
          </w:divBdr>
        </w:div>
      </w:divsChild>
    </w:div>
    <w:div w:id="1805728957">
      <w:marLeft w:val="0"/>
      <w:marRight w:val="0"/>
      <w:marTop w:val="0"/>
      <w:marBottom w:val="0"/>
      <w:divBdr>
        <w:top w:val="none" w:sz="0" w:space="0" w:color="auto"/>
        <w:left w:val="none" w:sz="0" w:space="0" w:color="auto"/>
        <w:bottom w:val="none" w:sz="0" w:space="0" w:color="auto"/>
        <w:right w:val="none" w:sz="0" w:space="0" w:color="auto"/>
      </w:divBdr>
      <w:divsChild>
        <w:div w:id="109278249">
          <w:marLeft w:val="0"/>
          <w:marRight w:val="0"/>
          <w:marTop w:val="0"/>
          <w:marBottom w:val="0"/>
          <w:divBdr>
            <w:top w:val="none" w:sz="0" w:space="0" w:color="auto"/>
            <w:left w:val="none" w:sz="0" w:space="0" w:color="auto"/>
            <w:bottom w:val="none" w:sz="0" w:space="0" w:color="auto"/>
            <w:right w:val="none" w:sz="0" w:space="0" w:color="auto"/>
          </w:divBdr>
        </w:div>
      </w:divsChild>
    </w:div>
    <w:div w:id="1806118695">
      <w:marLeft w:val="0"/>
      <w:marRight w:val="0"/>
      <w:marTop w:val="0"/>
      <w:marBottom w:val="0"/>
      <w:divBdr>
        <w:top w:val="none" w:sz="0" w:space="0" w:color="auto"/>
        <w:left w:val="none" w:sz="0" w:space="0" w:color="auto"/>
        <w:bottom w:val="none" w:sz="0" w:space="0" w:color="auto"/>
        <w:right w:val="none" w:sz="0" w:space="0" w:color="auto"/>
      </w:divBdr>
    </w:div>
    <w:div w:id="1809545987">
      <w:marLeft w:val="0"/>
      <w:marRight w:val="0"/>
      <w:marTop w:val="0"/>
      <w:marBottom w:val="0"/>
      <w:divBdr>
        <w:top w:val="none" w:sz="0" w:space="0" w:color="auto"/>
        <w:left w:val="none" w:sz="0" w:space="0" w:color="auto"/>
        <w:bottom w:val="none" w:sz="0" w:space="0" w:color="auto"/>
        <w:right w:val="none" w:sz="0" w:space="0" w:color="auto"/>
      </w:divBdr>
    </w:div>
    <w:div w:id="1812094754">
      <w:marLeft w:val="0"/>
      <w:marRight w:val="0"/>
      <w:marTop w:val="0"/>
      <w:marBottom w:val="0"/>
      <w:divBdr>
        <w:top w:val="none" w:sz="0" w:space="0" w:color="auto"/>
        <w:left w:val="none" w:sz="0" w:space="0" w:color="auto"/>
        <w:bottom w:val="none" w:sz="0" w:space="0" w:color="auto"/>
        <w:right w:val="none" w:sz="0" w:space="0" w:color="auto"/>
      </w:divBdr>
      <w:divsChild>
        <w:div w:id="1397242753">
          <w:marLeft w:val="0"/>
          <w:marRight w:val="0"/>
          <w:marTop w:val="0"/>
          <w:marBottom w:val="0"/>
          <w:divBdr>
            <w:top w:val="none" w:sz="0" w:space="0" w:color="auto"/>
            <w:left w:val="none" w:sz="0" w:space="0" w:color="auto"/>
            <w:bottom w:val="none" w:sz="0" w:space="0" w:color="auto"/>
            <w:right w:val="none" w:sz="0" w:space="0" w:color="auto"/>
          </w:divBdr>
        </w:div>
      </w:divsChild>
    </w:div>
    <w:div w:id="1857160156">
      <w:marLeft w:val="0"/>
      <w:marRight w:val="0"/>
      <w:marTop w:val="0"/>
      <w:marBottom w:val="0"/>
      <w:divBdr>
        <w:top w:val="none" w:sz="0" w:space="0" w:color="auto"/>
        <w:left w:val="none" w:sz="0" w:space="0" w:color="auto"/>
        <w:bottom w:val="none" w:sz="0" w:space="0" w:color="auto"/>
        <w:right w:val="none" w:sz="0" w:space="0" w:color="auto"/>
      </w:divBdr>
    </w:div>
    <w:div w:id="1915042522">
      <w:marLeft w:val="0"/>
      <w:marRight w:val="0"/>
      <w:marTop w:val="0"/>
      <w:marBottom w:val="0"/>
      <w:divBdr>
        <w:top w:val="none" w:sz="0" w:space="0" w:color="auto"/>
        <w:left w:val="none" w:sz="0" w:space="0" w:color="auto"/>
        <w:bottom w:val="none" w:sz="0" w:space="0" w:color="auto"/>
        <w:right w:val="none" w:sz="0" w:space="0" w:color="auto"/>
      </w:divBdr>
    </w:div>
    <w:div w:id="1923686563">
      <w:marLeft w:val="0"/>
      <w:marRight w:val="0"/>
      <w:marTop w:val="0"/>
      <w:marBottom w:val="0"/>
      <w:divBdr>
        <w:top w:val="none" w:sz="0" w:space="0" w:color="auto"/>
        <w:left w:val="none" w:sz="0" w:space="0" w:color="auto"/>
        <w:bottom w:val="none" w:sz="0" w:space="0" w:color="auto"/>
        <w:right w:val="none" w:sz="0" w:space="0" w:color="auto"/>
      </w:divBdr>
    </w:div>
    <w:div w:id="1923950027">
      <w:marLeft w:val="0"/>
      <w:marRight w:val="0"/>
      <w:marTop w:val="0"/>
      <w:marBottom w:val="0"/>
      <w:divBdr>
        <w:top w:val="none" w:sz="0" w:space="0" w:color="auto"/>
        <w:left w:val="none" w:sz="0" w:space="0" w:color="auto"/>
        <w:bottom w:val="none" w:sz="0" w:space="0" w:color="auto"/>
        <w:right w:val="none" w:sz="0" w:space="0" w:color="auto"/>
      </w:divBdr>
    </w:div>
    <w:div w:id="1924605605">
      <w:marLeft w:val="0"/>
      <w:marRight w:val="0"/>
      <w:marTop w:val="0"/>
      <w:marBottom w:val="0"/>
      <w:divBdr>
        <w:top w:val="none" w:sz="0" w:space="0" w:color="auto"/>
        <w:left w:val="none" w:sz="0" w:space="0" w:color="auto"/>
        <w:bottom w:val="none" w:sz="0" w:space="0" w:color="auto"/>
        <w:right w:val="none" w:sz="0" w:space="0" w:color="auto"/>
      </w:divBdr>
    </w:div>
    <w:div w:id="1944065676">
      <w:marLeft w:val="0"/>
      <w:marRight w:val="0"/>
      <w:marTop w:val="0"/>
      <w:marBottom w:val="0"/>
      <w:divBdr>
        <w:top w:val="none" w:sz="0" w:space="0" w:color="auto"/>
        <w:left w:val="none" w:sz="0" w:space="0" w:color="auto"/>
        <w:bottom w:val="none" w:sz="0" w:space="0" w:color="auto"/>
        <w:right w:val="none" w:sz="0" w:space="0" w:color="auto"/>
      </w:divBdr>
    </w:div>
    <w:div w:id="1948849581">
      <w:marLeft w:val="0"/>
      <w:marRight w:val="0"/>
      <w:marTop w:val="0"/>
      <w:marBottom w:val="0"/>
      <w:divBdr>
        <w:top w:val="none" w:sz="0" w:space="0" w:color="auto"/>
        <w:left w:val="none" w:sz="0" w:space="0" w:color="auto"/>
        <w:bottom w:val="none" w:sz="0" w:space="0" w:color="auto"/>
        <w:right w:val="none" w:sz="0" w:space="0" w:color="auto"/>
      </w:divBdr>
    </w:div>
    <w:div w:id="1950307600">
      <w:marLeft w:val="0"/>
      <w:marRight w:val="0"/>
      <w:marTop w:val="0"/>
      <w:marBottom w:val="0"/>
      <w:divBdr>
        <w:top w:val="none" w:sz="0" w:space="0" w:color="auto"/>
        <w:left w:val="none" w:sz="0" w:space="0" w:color="auto"/>
        <w:bottom w:val="none" w:sz="0" w:space="0" w:color="auto"/>
        <w:right w:val="none" w:sz="0" w:space="0" w:color="auto"/>
      </w:divBdr>
    </w:div>
    <w:div w:id="1956718048">
      <w:marLeft w:val="0"/>
      <w:marRight w:val="0"/>
      <w:marTop w:val="0"/>
      <w:marBottom w:val="20"/>
      <w:divBdr>
        <w:top w:val="none" w:sz="0" w:space="0" w:color="auto"/>
        <w:left w:val="none" w:sz="0" w:space="0" w:color="auto"/>
        <w:bottom w:val="none" w:sz="0" w:space="0" w:color="auto"/>
        <w:right w:val="none" w:sz="0" w:space="0" w:color="auto"/>
      </w:divBdr>
    </w:div>
    <w:div w:id="1971740849">
      <w:marLeft w:val="0"/>
      <w:marRight w:val="0"/>
      <w:marTop w:val="0"/>
      <w:marBottom w:val="0"/>
      <w:divBdr>
        <w:top w:val="none" w:sz="0" w:space="0" w:color="auto"/>
        <w:left w:val="none" w:sz="0" w:space="0" w:color="auto"/>
        <w:bottom w:val="none" w:sz="0" w:space="0" w:color="auto"/>
        <w:right w:val="none" w:sz="0" w:space="0" w:color="auto"/>
      </w:divBdr>
    </w:div>
    <w:div w:id="1981809825">
      <w:marLeft w:val="0"/>
      <w:marRight w:val="0"/>
      <w:marTop w:val="0"/>
      <w:marBottom w:val="0"/>
      <w:divBdr>
        <w:top w:val="none" w:sz="0" w:space="0" w:color="auto"/>
        <w:left w:val="none" w:sz="0" w:space="0" w:color="auto"/>
        <w:bottom w:val="none" w:sz="0" w:space="0" w:color="auto"/>
        <w:right w:val="none" w:sz="0" w:space="0" w:color="auto"/>
      </w:divBdr>
    </w:div>
    <w:div w:id="1986467850">
      <w:marLeft w:val="0"/>
      <w:marRight w:val="0"/>
      <w:marTop w:val="120"/>
      <w:marBottom w:val="120"/>
      <w:divBdr>
        <w:top w:val="none" w:sz="0" w:space="0" w:color="auto"/>
        <w:left w:val="none" w:sz="0" w:space="0" w:color="auto"/>
        <w:bottom w:val="none" w:sz="0" w:space="0" w:color="auto"/>
        <w:right w:val="none" w:sz="0" w:space="0" w:color="auto"/>
      </w:divBdr>
    </w:div>
    <w:div w:id="1995210082">
      <w:marLeft w:val="0"/>
      <w:marRight w:val="0"/>
      <w:marTop w:val="0"/>
      <w:marBottom w:val="0"/>
      <w:divBdr>
        <w:top w:val="none" w:sz="0" w:space="0" w:color="auto"/>
        <w:left w:val="none" w:sz="0" w:space="0" w:color="auto"/>
        <w:bottom w:val="none" w:sz="0" w:space="0" w:color="auto"/>
        <w:right w:val="none" w:sz="0" w:space="0" w:color="auto"/>
      </w:divBdr>
      <w:divsChild>
        <w:div w:id="1003312527">
          <w:marLeft w:val="0"/>
          <w:marRight w:val="0"/>
          <w:marTop w:val="0"/>
          <w:marBottom w:val="0"/>
          <w:divBdr>
            <w:top w:val="none" w:sz="0" w:space="0" w:color="auto"/>
            <w:left w:val="none" w:sz="0" w:space="0" w:color="auto"/>
            <w:bottom w:val="none" w:sz="0" w:space="0" w:color="auto"/>
            <w:right w:val="none" w:sz="0" w:space="0" w:color="auto"/>
          </w:divBdr>
        </w:div>
      </w:divsChild>
    </w:div>
    <w:div w:id="2010400026">
      <w:marLeft w:val="0"/>
      <w:marRight w:val="0"/>
      <w:marTop w:val="0"/>
      <w:marBottom w:val="0"/>
      <w:divBdr>
        <w:top w:val="none" w:sz="0" w:space="0" w:color="auto"/>
        <w:left w:val="none" w:sz="0" w:space="0" w:color="auto"/>
        <w:bottom w:val="none" w:sz="0" w:space="0" w:color="auto"/>
        <w:right w:val="none" w:sz="0" w:space="0" w:color="auto"/>
      </w:divBdr>
    </w:div>
    <w:div w:id="2011444967">
      <w:marLeft w:val="0"/>
      <w:marRight w:val="0"/>
      <w:marTop w:val="0"/>
      <w:marBottom w:val="0"/>
      <w:divBdr>
        <w:top w:val="none" w:sz="0" w:space="0" w:color="auto"/>
        <w:left w:val="none" w:sz="0" w:space="0" w:color="auto"/>
        <w:bottom w:val="none" w:sz="0" w:space="0" w:color="auto"/>
        <w:right w:val="none" w:sz="0" w:space="0" w:color="auto"/>
      </w:divBdr>
    </w:div>
    <w:div w:id="2013995798">
      <w:marLeft w:val="0"/>
      <w:marRight w:val="0"/>
      <w:marTop w:val="0"/>
      <w:marBottom w:val="0"/>
      <w:divBdr>
        <w:top w:val="none" w:sz="0" w:space="0" w:color="auto"/>
        <w:left w:val="none" w:sz="0" w:space="0" w:color="auto"/>
        <w:bottom w:val="none" w:sz="0" w:space="0" w:color="auto"/>
        <w:right w:val="none" w:sz="0" w:space="0" w:color="auto"/>
      </w:divBdr>
    </w:div>
    <w:div w:id="2014796365">
      <w:marLeft w:val="0"/>
      <w:marRight w:val="0"/>
      <w:marTop w:val="0"/>
      <w:marBottom w:val="0"/>
      <w:divBdr>
        <w:top w:val="none" w:sz="0" w:space="0" w:color="auto"/>
        <w:left w:val="none" w:sz="0" w:space="0" w:color="auto"/>
        <w:bottom w:val="none" w:sz="0" w:space="0" w:color="auto"/>
        <w:right w:val="none" w:sz="0" w:space="0" w:color="auto"/>
      </w:divBdr>
    </w:div>
    <w:div w:id="2020110609">
      <w:marLeft w:val="0"/>
      <w:marRight w:val="0"/>
      <w:marTop w:val="0"/>
      <w:marBottom w:val="0"/>
      <w:divBdr>
        <w:top w:val="none" w:sz="0" w:space="0" w:color="auto"/>
        <w:left w:val="none" w:sz="0" w:space="0" w:color="auto"/>
        <w:bottom w:val="none" w:sz="0" w:space="0" w:color="auto"/>
        <w:right w:val="none" w:sz="0" w:space="0" w:color="auto"/>
      </w:divBdr>
    </w:div>
    <w:div w:id="2030526255">
      <w:marLeft w:val="0"/>
      <w:marRight w:val="0"/>
      <w:marTop w:val="0"/>
      <w:marBottom w:val="0"/>
      <w:divBdr>
        <w:top w:val="none" w:sz="0" w:space="0" w:color="auto"/>
        <w:left w:val="none" w:sz="0" w:space="0" w:color="auto"/>
        <w:bottom w:val="none" w:sz="0" w:space="0" w:color="auto"/>
        <w:right w:val="none" w:sz="0" w:space="0" w:color="auto"/>
      </w:divBdr>
      <w:divsChild>
        <w:div w:id="1516920605">
          <w:marLeft w:val="0"/>
          <w:marRight w:val="0"/>
          <w:marTop w:val="0"/>
          <w:marBottom w:val="0"/>
          <w:divBdr>
            <w:top w:val="none" w:sz="0" w:space="0" w:color="auto"/>
            <w:left w:val="none" w:sz="0" w:space="0" w:color="auto"/>
            <w:bottom w:val="none" w:sz="0" w:space="0" w:color="auto"/>
            <w:right w:val="none" w:sz="0" w:space="0" w:color="auto"/>
          </w:divBdr>
        </w:div>
      </w:divsChild>
    </w:div>
    <w:div w:id="2046786356">
      <w:marLeft w:val="0"/>
      <w:marRight w:val="0"/>
      <w:marTop w:val="0"/>
      <w:marBottom w:val="0"/>
      <w:divBdr>
        <w:top w:val="none" w:sz="0" w:space="0" w:color="auto"/>
        <w:left w:val="none" w:sz="0" w:space="0" w:color="auto"/>
        <w:bottom w:val="none" w:sz="0" w:space="0" w:color="auto"/>
        <w:right w:val="none" w:sz="0" w:space="0" w:color="auto"/>
      </w:divBdr>
    </w:div>
    <w:div w:id="2065180355">
      <w:marLeft w:val="0"/>
      <w:marRight w:val="0"/>
      <w:marTop w:val="0"/>
      <w:marBottom w:val="0"/>
      <w:divBdr>
        <w:top w:val="none" w:sz="0" w:space="0" w:color="auto"/>
        <w:left w:val="none" w:sz="0" w:space="0" w:color="auto"/>
        <w:bottom w:val="none" w:sz="0" w:space="0" w:color="auto"/>
        <w:right w:val="none" w:sz="0" w:space="0" w:color="auto"/>
      </w:divBdr>
      <w:divsChild>
        <w:div w:id="525483699">
          <w:marLeft w:val="0"/>
          <w:marRight w:val="0"/>
          <w:marTop w:val="0"/>
          <w:marBottom w:val="0"/>
          <w:divBdr>
            <w:top w:val="none" w:sz="0" w:space="0" w:color="auto"/>
            <w:left w:val="none" w:sz="0" w:space="0" w:color="auto"/>
            <w:bottom w:val="none" w:sz="0" w:space="0" w:color="auto"/>
            <w:right w:val="none" w:sz="0" w:space="0" w:color="auto"/>
          </w:divBdr>
        </w:div>
      </w:divsChild>
    </w:div>
    <w:div w:id="2069910470">
      <w:marLeft w:val="0"/>
      <w:marRight w:val="0"/>
      <w:marTop w:val="0"/>
      <w:marBottom w:val="0"/>
      <w:divBdr>
        <w:top w:val="none" w:sz="0" w:space="0" w:color="auto"/>
        <w:left w:val="none" w:sz="0" w:space="0" w:color="auto"/>
        <w:bottom w:val="none" w:sz="0" w:space="0" w:color="auto"/>
        <w:right w:val="none" w:sz="0" w:space="0" w:color="auto"/>
      </w:divBdr>
    </w:div>
    <w:div w:id="2088380946">
      <w:marLeft w:val="0"/>
      <w:marRight w:val="0"/>
      <w:marTop w:val="0"/>
      <w:marBottom w:val="0"/>
      <w:divBdr>
        <w:top w:val="none" w:sz="0" w:space="0" w:color="auto"/>
        <w:left w:val="none" w:sz="0" w:space="0" w:color="auto"/>
        <w:bottom w:val="none" w:sz="0" w:space="0" w:color="auto"/>
        <w:right w:val="none" w:sz="0" w:space="0" w:color="auto"/>
      </w:divBdr>
    </w:div>
    <w:div w:id="2108653479">
      <w:marLeft w:val="0"/>
      <w:marRight w:val="0"/>
      <w:marTop w:val="0"/>
      <w:marBottom w:val="0"/>
      <w:divBdr>
        <w:top w:val="none" w:sz="0" w:space="0" w:color="auto"/>
        <w:left w:val="none" w:sz="0" w:space="0" w:color="auto"/>
        <w:bottom w:val="none" w:sz="0" w:space="0" w:color="auto"/>
        <w:right w:val="none" w:sz="0" w:space="0" w:color="auto"/>
      </w:divBdr>
    </w:div>
    <w:div w:id="212383858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916365/000091636522000049/tsco-20211225.htm" TargetMode="External"/><Relationship Id="rId13" Type="http://schemas.openxmlformats.org/officeDocument/2006/relationships/hyperlink" Target="https://www.sec.gov/ix?doc=/Archives/edgar/data/916365/000091636522000049/tsco-20211225.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ix?doc=/Archives/edgar/data/916365/000091636522000049/tsco-20211225.htm" TargetMode="External"/><Relationship Id="rId12" Type="http://schemas.openxmlformats.org/officeDocument/2006/relationships/hyperlink" Target="https://www.sec.gov/ix?doc=/Archives/edgar/data/916365/000091636522000049/tsco-20211225.htm" TargetMode="External"/><Relationship Id="rId17" Type="http://schemas.openxmlformats.org/officeDocument/2006/relationships/hyperlink" Target="q1202210qex321.htm" TargetMode="External"/><Relationship Id="rId2" Type="http://schemas.openxmlformats.org/officeDocument/2006/relationships/settings" Target="settings.xml"/><Relationship Id="rId16" Type="http://schemas.openxmlformats.org/officeDocument/2006/relationships/hyperlink" Target="q1202210qex312.htm" TargetMode="External"/><Relationship Id="rId1" Type="http://schemas.openxmlformats.org/officeDocument/2006/relationships/styles" Target="styles.xml"/><Relationship Id="rId6" Type="http://schemas.openxmlformats.org/officeDocument/2006/relationships/hyperlink" Target="https://www.sec.gov/ix?doc=/Archives/edgar/data/916365/000091636522000049/tsco-20211225.htm" TargetMode="External"/><Relationship Id="rId11" Type="http://schemas.openxmlformats.org/officeDocument/2006/relationships/hyperlink" Target="https://www.sec.gov/ix?doc=/Archives/edgar/data/916365/000091636522000049/tsco-20211225.htm" TargetMode="External"/><Relationship Id="rId5" Type="http://schemas.openxmlformats.org/officeDocument/2006/relationships/hyperlink" Target="https://www.sec.gov/ix?doc=/Archives/edgar/data/916365/000091636522000049/tsco-20211225.htm" TargetMode="External"/><Relationship Id="rId15" Type="http://schemas.openxmlformats.org/officeDocument/2006/relationships/hyperlink" Target="q1202210qex311.htm" TargetMode="External"/><Relationship Id="rId10" Type="http://schemas.openxmlformats.org/officeDocument/2006/relationships/hyperlink" Target="https://www.sec.gov/ix?doc=/Archives/edgar/data/916365/000091636522000049/tsco-20211225.htm" TargetMode="External"/><Relationship Id="rId19" Type="http://schemas.openxmlformats.org/officeDocument/2006/relationships/theme" Target="theme/theme1.xml"/><Relationship Id="rId4" Type="http://schemas.openxmlformats.org/officeDocument/2006/relationships/image" Target="file:///E:\projects\LLMs\new_data_collection\data_new\htm\TRACTOR%20SUPPLY%20CO\tsco-20220326_g1.jpg" TargetMode="External"/><Relationship Id="rId9" Type="http://schemas.openxmlformats.org/officeDocument/2006/relationships/hyperlink" Target="https://www.sec.gov/ix?doc=/Archives/edgar/data/916365/000091636522000049/tsco-20211225.htm" TargetMode="External"/><Relationship Id="rId14" Type="http://schemas.openxmlformats.org/officeDocument/2006/relationships/hyperlink" Target="https://www.sec.gov/ix?doc=/Archives/edgar/data/916365/000091636522000049/tsco-202112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13270</Words>
  <Characters>75639</Characters>
  <Application>Microsoft Office Word</Application>
  <DocSecurity>0</DocSecurity>
  <Lines>630</Lines>
  <Paragraphs>177</Paragraphs>
  <ScaleCrop>false</ScaleCrop>
  <Company/>
  <LinksUpToDate>false</LinksUpToDate>
  <CharactersWithSpaces>88732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tsco-20220326</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