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613AEB">
      <w:pPr>
        <w:divId w:val="1050155642"/>
        <w:rPr>
          <w:rFonts w:eastAsia="Times New Roman"/>
          <w:vanish/>
        </w:rPr>
      </w:pPr>
      <w:r>
        <w:rPr>
          <w:rFonts w:eastAsia="Times New Roman"/>
          <w:vanish/>
        </w:rPr>
        <w:t>TRACTOR SUPPLY CO /DE/000091636512-31False2022Q2FALSE00009163652021-12-262022-06-2500009163652022-07-23xbrli:shares00009163652022-06-25iso4217:USD00009163652021-12-2500009163652021-06-26iso4217:USDxbrli:shares00009163652022-03-272022-06-25</w:t>
      </w:r>
      <w:r>
        <w:rPr>
          <w:rFonts w:eastAsia="Times New Roman"/>
          <w:vanish/>
        </w:rPr>
        <w:t>00009163652021-03-282021-06-2600009163652020-12-272021-06-260000916365us-gaap:CommonStockMember2021-12-250000916365us-gaap:AdditionalPaidInCapitalMember2021-12-250000916365us-gaap:TreasuryStockMember2021-12-250000916365us-gaap:AccumulatedOtherComprehensive</w:t>
      </w:r>
      <w:r>
        <w:rPr>
          <w:rFonts w:eastAsia="Times New Roman"/>
          <w:vanish/>
        </w:rPr>
        <w:t>IncomeMember2021-12-250000916365us-gaap:RetainedEarningsMember2021-12-250000916365us-gaap:CommonStockMember2021-12-262022-03-260000916365us-gaap:AdditionalPaidInCapitalMember2021-12-262022-03-2600009163652021-12-262022-03-260000916365us-gaap:TreasuryStockM</w:t>
      </w:r>
      <w:r>
        <w:rPr>
          <w:rFonts w:eastAsia="Times New Roman"/>
          <w:vanish/>
        </w:rPr>
        <w:t>ember2021-12-262022-03-260000916365us-gaap:RetainedEarningsMember2021-12-262022-03-260000916365us-gaap:AccumulatedOtherComprehensiveIncomeMember2021-12-262022-03-260000916365us-gaap:CommonStockMember2022-03-260000916365us-gaap:AdditionalPaidInCapitalMember</w:t>
      </w:r>
      <w:r>
        <w:rPr>
          <w:rFonts w:eastAsia="Times New Roman"/>
          <w:vanish/>
        </w:rPr>
        <w:t>2022-03-260000916365us-gaap:TreasuryStockMember2022-03-260000916365us-gaap:AccumulatedOtherComprehensiveIncomeMember2022-03-260000916365us-gaap:RetainedEarningsMember2022-03-2600009163652022-03-260000916365us-gaap:CommonStockMember2022-03-272022-06-2500009</w:t>
      </w:r>
      <w:r>
        <w:rPr>
          <w:rFonts w:eastAsia="Times New Roman"/>
          <w:vanish/>
        </w:rPr>
        <w:t>16365us-gaap:AdditionalPaidInCapitalMember2022-03-272022-06-250000916365us-gaap:TreasuryStockMember2022-03-272022-06-250000916365us-gaap:RetainedEarningsMember2022-03-272022-06-250000916365us-gaap:AccumulatedOtherComprehensiveIncomeMember2022-03-272022-06-</w:t>
      </w:r>
      <w:r>
        <w:rPr>
          <w:rFonts w:eastAsia="Times New Roman"/>
          <w:vanish/>
        </w:rPr>
        <w:t>250000916365us-gaap:CommonStockMember2022-06-250000916365us-gaap:AdditionalPaidInCapitalMember2022-06-250000916365us-gaap:TreasuryStockMember2022-06-250000916365us-gaap:AccumulatedOtherComprehensiveIncomeMember2022-06-250000916365us-gaap:RetainedEarningsMe</w:t>
      </w:r>
      <w:r>
        <w:rPr>
          <w:rFonts w:eastAsia="Times New Roman"/>
          <w:vanish/>
        </w:rPr>
        <w:t>mber2022-06-250000916365us-gaap:CommonStockMember2020-12-260000916365us-gaap:AdditionalPaidInCapitalMember2020-12-260000916365us-gaap:TreasuryStockMember2020-12-260000916365us-gaap:AccumulatedOtherComprehensiveIncomeMember2020-12-260000916365us-gaap:Retain</w:t>
      </w:r>
      <w:r>
        <w:rPr>
          <w:rFonts w:eastAsia="Times New Roman"/>
          <w:vanish/>
        </w:rPr>
        <w:t>edEarningsMember2020-12-2600009163652020-12-260000916365us-gaap:CommonStockMember2020-12-272021-03-270000916365us-gaap:AdditionalPaidInCapitalMember2020-12-272021-03-2700009163652020-12-272021-03-270000916365us-gaap:TreasuryStockMember2020-12-272021-03-270</w:t>
      </w:r>
      <w:r>
        <w:rPr>
          <w:rFonts w:eastAsia="Times New Roman"/>
          <w:vanish/>
        </w:rPr>
        <w:t>000916365us-gaap:RetainedEarningsMember2020-12-272021-03-270000916365us-gaap:AccumulatedOtherComprehensiveIncomeMember2020-12-272021-03-270000916365us-gaap:CommonStockMember2021-03-270000916365us-gaap:AdditionalPaidInCapitalMember2021-03-270000916365us-gaa</w:t>
      </w:r>
      <w:r>
        <w:rPr>
          <w:rFonts w:eastAsia="Times New Roman"/>
          <w:vanish/>
        </w:rPr>
        <w:t>p:TreasuryStockMember2021-03-270000916365us-gaap:AccumulatedOtherComprehensiveIncomeMember2021-03-270000916365us-gaap:RetainedEarningsMember2021-03-2700009163652021-03-270000916365us-gaap:CommonStockMember2021-03-282021-06-260000916365us-gaap:AdditionalPai</w:t>
      </w:r>
      <w:r>
        <w:rPr>
          <w:rFonts w:eastAsia="Times New Roman"/>
          <w:vanish/>
        </w:rPr>
        <w:t>dInCapitalMember2021-03-282021-06-260000916365us-gaap:TreasuryStockMember2021-03-282021-06-260000916365us-gaap:RetainedEarningsMember2021-03-282021-06-260000916365us-gaap:AccumulatedOtherComprehensiveIncomeMember2021-03-282021-06-260000916365us-gaap:Common</w:t>
      </w:r>
      <w:r>
        <w:rPr>
          <w:rFonts w:eastAsia="Times New Roman"/>
          <w:vanish/>
        </w:rPr>
        <w:t>StockMember2021-06-260000916365us-gaap:AdditionalPaidInCapitalMember2021-06-260000916365us-gaap:TreasuryStockMember2021-06-260000916365us-gaap:AccumulatedOtherComprehensiveIncomeMember2021-06-260000916365us-gaap:RetainedEarningsMember2021-06-260000916365sr</w:t>
      </w:r>
      <w:r>
        <w:rPr>
          <w:rFonts w:eastAsia="Times New Roman"/>
          <w:vanish/>
        </w:rPr>
        <w:t>t:ParentCompanyMember2022-06-25tsco:storetsco:state0000916365tsco:TSCOStoresMember2022-06-250000916365tsco:PetsenseStoresMember2022-06-250000916365tsco:OrschelnFarmAndHomeLLCMember2021-02-170000916365tsco:OrschelnFarmAndHomeLLCMember2021-02-172021-02-17000</w:t>
      </w:r>
      <w:r>
        <w:rPr>
          <w:rFonts w:eastAsia="Times New Roman"/>
          <w:vanish/>
        </w:rPr>
        <w:t>0916365us-gaap:BondsMember2022-06-25xbrli:pure0000916365us-gaap:EmployeeStockOptionMember2021-12-262022-06-250000916365us-gaap:EmployeeStockOptionMember2022-06-250000916365us-gaap:RestrictedStockUnitsRSUMember2021-12-262022-06-250000916365tsco:RestrictedSt</w:t>
      </w:r>
      <w:r>
        <w:rPr>
          <w:rFonts w:eastAsia="Times New Roman"/>
          <w:vanish/>
        </w:rPr>
        <w:t>ockUnitsMember2021-12-262022-06-250000916365us-gaap:PerformanceSharesMember2021-12-262022-06-250000916365tsco:PerformanceBasedRestrictedShareUnitsMember2021-12-262022-06-250000916365tsco:RestrictedStockUnitsandPerformanceBasedRestrictedShareUnitsMember2022</w:t>
      </w:r>
      <w:r>
        <w:rPr>
          <w:rFonts w:eastAsia="Times New Roman"/>
          <w:vanish/>
        </w:rPr>
        <w:t>-06-250000916365tsco:RestrictedStockUnitsandPerformanceBasedRestrictedShareUnitsMember2021-12-262022-06-250000916365us-gaap:BondsMember2021-12-250000916365us-gaap:BondsMember2021-06-260000916365us-gaap:NotesPayableToBanksMember2022-06-250000916365us-gaap:N</w:t>
      </w:r>
      <w:r>
        <w:rPr>
          <w:rFonts w:eastAsia="Times New Roman"/>
          <w:vanish/>
        </w:rPr>
        <w:t>otesPayableToBanksMember2021-12-250000916365us-gaap:NotesPayableToBanksMember2021-06-260000916365tsco:November2020TermLoanMember2022-06-250000916365tsco:November2020TermLoanMember2021-12-250000916365tsco:November2020TermLoanMember2021-06-260000916365tsco:A</w:t>
      </w:r>
      <w:r>
        <w:rPr>
          <w:rFonts w:eastAsia="Times New Roman"/>
          <w:vanish/>
        </w:rPr>
        <w:t>2016SeniorCreditFacilityMember2022-03-272022-06-250000916365tsco:A2016SeniorCreditFacilityMember2020-12-272021-09-250000916365tsco:A2016SeniorCreditFacilityMember2021-03-282021-06-2600009163652016-02-190000916365us-gaap:BaseRateMember2022-06-250000916365sr</w:t>
      </w:r>
      <w:r>
        <w:rPr>
          <w:rFonts w:eastAsia="Times New Roman"/>
          <w:vanish/>
        </w:rPr>
        <w:t>t:MinimumMember2021-12-262022-06-250000916365srt:MaximumMember2021-12-262022-06-250000916365us-gaap:LondonInterbankOfferedRateLIBORMember2022-06-250000916365tsco:November2020TermLoanMember2020-11-042020-11-040000916365tsco:NumberofFinancialCovenantsMember2</w:t>
      </w:r>
      <w:r>
        <w:rPr>
          <w:rFonts w:eastAsia="Times New Roman"/>
          <w:vanish/>
        </w:rPr>
        <w:t>021-12-262022-06-250000916365tsco:FixedChargeCoverageRatioMinimumRequirementMember2021-12-262022-06-250000916365tsco:LeverageRatioMaximumRequirementMember2021-12-262022-06-2500009163652022-05-102022-05-1000009163652022-01-262022-01-2600009163652021-05-0520</w:t>
      </w:r>
      <w:r>
        <w:rPr>
          <w:rFonts w:eastAsia="Times New Roman"/>
          <w:vanish/>
        </w:rPr>
        <w:t>21-05-0500009163652021-01-272021-01-2700009163652022-08-042022-08-040000916365tsco:RepurchaseProgramIncreaseMember2022-01-260000916365tsco:MaumelleARDCMember2022-06-250000916365tsco:NavarreOHDCMember2022-06-25tsco:segment0000916365tsco:LivestockAndPetMembe</w:t>
      </w:r>
      <w:r>
        <w:rPr>
          <w:rFonts w:eastAsia="Times New Roman"/>
          <w:vanish/>
        </w:rPr>
        <w:t>r2022-03-272022-06-250000916365tsco:LivestockAndPetMember2021-03-282021-06-260000916365tsco:LivestockAndPetMember2021-12-262022-06-250000916365tsco:LivestockAndPetMember2020-12-272021-06-260000916365tsco:SeasonalGiftAndToyProductsMember2022-03-272022-06-25</w:t>
      </w:r>
      <w:r>
        <w:rPr>
          <w:rFonts w:eastAsia="Times New Roman"/>
          <w:vanish/>
        </w:rPr>
        <w:t>0000916365tsco:SeasonalGiftAndToyProductsMember2021-03-282021-06-260000916365tsco:SeasonalGiftAndToyProductsMember2021-12-262022-06-250000916365tsco:SeasonalGiftAndToyProductsMember2020-12-272021-06-260000916365tsco:HardwareToolsAndTruckMember2022-03-27202</w:t>
      </w:r>
      <w:r>
        <w:rPr>
          <w:rFonts w:eastAsia="Times New Roman"/>
          <w:vanish/>
        </w:rPr>
        <w:t>2-06-250000916365tsco:HardwareToolsAndTruckMember2021-03-282021-06-260000916365tsco:HardwareToolsAndTruckMember2021-12-262022-06-250000916365tsco:HardwareToolsAndTruckMember2020-12-272021-06-260000916365tsco:ClothingAndFootwareMember2022-03-272022-06-25000</w:t>
      </w:r>
      <w:r>
        <w:rPr>
          <w:rFonts w:eastAsia="Times New Roman"/>
          <w:vanish/>
        </w:rPr>
        <w:t>0916365tsco:ClothingAndFootwareMember2021-03-282021-06-260000916365tsco:ClothingAndFootwareMember2021-12-262022-06-250000916365tsco:ClothingAndFootwareMember2020-12-272021-06-260000916365tsco:AgricultureMember2022-03-272022-06-250000916365tsco:AgricultureM</w:t>
      </w:r>
      <w:r>
        <w:rPr>
          <w:rFonts w:eastAsia="Times New Roman"/>
          <w:vanish/>
        </w:rPr>
        <w:t>ember2021-03-282021-06-260000916365tsco:AgricultureMember2021-12-262022-06-250000916365tsco:AgricultureMember2020-12-272021-06-260000916365tsco:TotalMember2022-03-272022-06-250000916365tsco:TotalMember2021-03-282021-06-260000916365tsco:TotalMember2021-12-2</w:t>
      </w:r>
      <w:r>
        <w:rPr>
          <w:rFonts w:eastAsia="Times New Roman"/>
          <w:vanish/>
        </w:rPr>
        <w:t>62022-06-250000916365tsco:TotalMember2020-12-272021-06-26</w:t>
      </w:r>
    </w:p>
    <w:p w:rsidR="00000000" w:rsidRDefault="00613AEB">
      <w:pPr>
        <w:divId w:val="1375231780"/>
        <w:rPr>
          <w:rFonts w:eastAsia="Times New Roman"/>
        </w:rPr>
      </w:pPr>
    </w:p>
    <w:p w:rsidR="00000000" w:rsidRDefault="00613AEB">
      <w:pPr>
        <w:jc w:val="center"/>
        <w:rPr>
          <w:rFonts w:eastAsia="Times New Roman"/>
        </w:rPr>
      </w:pPr>
      <w:r>
        <w:rPr>
          <w:rFonts w:eastAsia="Times New Roman"/>
          <w:b/>
          <w:bCs/>
          <w:color w:val="000000"/>
          <w:sz w:val="20"/>
          <w:szCs w:val="20"/>
        </w:rPr>
        <w:t>UNITED STATES</w:t>
      </w:r>
    </w:p>
    <w:p w:rsidR="00000000" w:rsidRDefault="00613AEB">
      <w:pPr>
        <w:jc w:val="center"/>
        <w:rPr>
          <w:rFonts w:eastAsia="Times New Roman"/>
        </w:rPr>
      </w:pPr>
      <w:r>
        <w:rPr>
          <w:rFonts w:eastAsia="Times New Roman"/>
          <w:b/>
          <w:bCs/>
          <w:color w:val="000000"/>
          <w:sz w:val="20"/>
          <w:szCs w:val="20"/>
        </w:rPr>
        <w:t>SECURITIES AND EXCHANGE COMMISSION</w:t>
      </w:r>
    </w:p>
    <w:p w:rsidR="00000000" w:rsidRDefault="00613AEB">
      <w:pPr>
        <w:jc w:val="center"/>
        <w:rPr>
          <w:rFonts w:eastAsia="Times New Roman"/>
        </w:rPr>
      </w:pPr>
      <w:r>
        <w:rPr>
          <w:rFonts w:eastAsia="Times New Roman"/>
          <w:b/>
          <w:bCs/>
          <w:color w:val="000000"/>
          <w:sz w:val="20"/>
          <w:szCs w:val="20"/>
        </w:rPr>
        <w:t>Washington, D.C.  20549</w:t>
      </w:r>
    </w:p>
    <w:p w:rsidR="00000000" w:rsidRDefault="00613AEB">
      <w:pPr>
        <w:jc w:val="center"/>
        <w:rPr>
          <w:rFonts w:eastAsia="Times New Roman"/>
        </w:rPr>
      </w:pPr>
      <w:r>
        <w:rPr>
          <w:rFonts w:eastAsia="Times New Roman"/>
          <w:b/>
          <w:bCs/>
          <w:color w:val="000000"/>
          <w:sz w:val="20"/>
          <w:szCs w:val="20"/>
        </w:rPr>
        <w:t xml:space="preserve">FORM 10-Q </w:t>
      </w:r>
    </w:p>
    <w:p w:rsidR="00000000" w:rsidRDefault="00613AEB">
      <w:pPr>
        <w:divId w:val="1781610084"/>
        <w:rPr>
          <w:rFonts w:eastAsia="Times New Roman"/>
        </w:rPr>
      </w:pPr>
      <w:r>
        <w:rPr>
          <w:rFonts w:eastAsia="Times New Roman"/>
          <w:color w:val="000000"/>
          <w:sz w:val="20"/>
          <w:szCs w:val="20"/>
        </w:rPr>
        <w:t>(Mark One)</w:t>
      </w:r>
    </w:p>
    <w:tbl>
      <w:tblPr>
        <w:tblW w:w="5000" w:type="pct"/>
        <w:tblCellMar>
          <w:top w:w="15" w:type="dxa"/>
          <w:left w:w="15" w:type="dxa"/>
          <w:bottom w:w="15" w:type="dxa"/>
          <w:right w:w="15" w:type="dxa"/>
        </w:tblCellMar>
        <w:tblLook w:val="04A0" w:firstRow="1" w:lastRow="0" w:firstColumn="1" w:lastColumn="0" w:noHBand="0" w:noVBand="1"/>
      </w:tblPr>
      <w:tblGrid>
        <w:gridCol w:w="70"/>
        <w:gridCol w:w="334"/>
        <w:gridCol w:w="36"/>
        <w:gridCol w:w="69"/>
        <w:gridCol w:w="7761"/>
        <w:gridCol w:w="36"/>
      </w:tblGrid>
      <w:tr w:rsidR="00000000">
        <w:trPr>
          <w:divId w:val="1781610084"/>
        </w:trPr>
        <w:tc>
          <w:tcPr>
            <w:tcW w:w="50" w:type="pct"/>
            <w:vAlign w:val="center"/>
            <w:hideMark/>
          </w:tcPr>
          <w:p w:rsidR="00000000" w:rsidRDefault="00613AEB">
            <w:pPr>
              <w:rPr>
                <w:rFonts w:eastAsia="Times New Roman"/>
              </w:rPr>
            </w:pPr>
          </w:p>
        </w:tc>
        <w:tc>
          <w:tcPr>
            <w:tcW w:w="210"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0" w:type="pct"/>
            <w:vAlign w:val="center"/>
            <w:hideMark/>
          </w:tcPr>
          <w:p w:rsidR="00000000" w:rsidRDefault="00613AEB">
            <w:pPr>
              <w:spacing w:after="100"/>
              <w:rPr>
                <w:rFonts w:eastAsia="Times New Roman"/>
                <w:sz w:val="20"/>
                <w:szCs w:val="20"/>
              </w:rPr>
            </w:pPr>
          </w:p>
        </w:tc>
        <w:tc>
          <w:tcPr>
            <w:tcW w:w="4679"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r>
      <w:tr w:rsidR="00000000">
        <w:trPr>
          <w:divId w:val="1781610084"/>
        </w:trPr>
        <w:tc>
          <w:tcPr>
            <w:tcW w:w="0" w:type="auto"/>
            <w:gridSpan w:val="3"/>
            <w:tcMar>
              <w:top w:w="30" w:type="dxa"/>
              <w:left w:w="20" w:type="dxa"/>
              <w:bottom w:w="30" w:type="dxa"/>
              <w:right w:w="20" w:type="dxa"/>
            </w:tcMar>
            <w:hideMark/>
          </w:tcPr>
          <w:p w:rsidR="00000000" w:rsidRDefault="00613AEB">
            <w:pPr>
              <w:spacing w:after="100"/>
              <w:jc w:val="center"/>
              <w:rPr>
                <w:rFonts w:eastAsia="Times New Roman"/>
              </w:rPr>
            </w:pPr>
            <w:r>
              <w:rPr>
                <w:rFonts w:ascii="Segoe UI Emoji" w:eastAsia="Times New Roman" w:hAnsi="Segoe UI Emoji" w:cs="Segoe UI Emoji"/>
                <w:color w:val="000000"/>
              </w:rPr>
              <w:t>☑</w:t>
            </w:r>
          </w:p>
        </w:tc>
        <w:tc>
          <w:tcPr>
            <w:tcW w:w="0" w:type="auto"/>
            <w:gridSpan w:val="3"/>
            <w:tcMar>
              <w:top w:w="30" w:type="dxa"/>
              <w:left w:w="20" w:type="dxa"/>
              <w:bottom w:w="30" w:type="dxa"/>
              <w:right w:w="20" w:type="dxa"/>
            </w:tcMar>
            <w:hideMark/>
          </w:tcPr>
          <w:p w:rsidR="00000000" w:rsidRDefault="00613AEB">
            <w:pPr>
              <w:spacing w:after="100"/>
              <w:rPr>
                <w:rFonts w:eastAsia="Times New Roman"/>
              </w:rPr>
            </w:pPr>
            <w:r>
              <w:rPr>
                <w:rFonts w:eastAsia="Times New Roman"/>
                <w:color w:val="000000"/>
                <w:sz w:val="20"/>
                <w:szCs w:val="20"/>
              </w:rPr>
              <w:t>QUARTERLY REPORT PURSUANT TO SECTION 13 OR 15(d) OF THE SECURITIES EXCHANGE ACT OF 1934</w:t>
            </w:r>
          </w:p>
        </w:tc>
      </w:tr>
    </w:tbl>
    <w:tbl>
      <w:tblPr>
        <w:tblW w:w="5000" w:type="pct"/>
        <w:tblCellMar>
          <w:top w:w="15" w:type="dxa"/>
          <w:left w:w="15" w:type="dxa"/>
          <w:bottom w:w="15" w:type="dxa"/>
          <w:right w:w="15" w:type="dxa"/>
        </w:tblCellMar>
        <w:tblLook w:val="04A0" w:firstRow="1" w:lastRow="0" w:firstColumn="1" w:lastColumn="0" w:noHBand="0" w:noVBand="1"/>
      </w:tblPr>
      <w:tblGrid>
        <w:gridCol w:w="69"/>
        <w:gridCol w:w="2174"/>
        <w:gridCol w:w="36"/>
        <w:gridCol w:w="69"/>
        <w:gridCol w:w="5922"/>
        <w:gridCol w:w="36"/>
      </w:tblGrid>
      <w:tr w:rsidR="00000000">
        <w:tc>
          <w:tcPr>
            <w:tcW w:w="50" w:type="pct"/>
            <w:vAlign w:val="center"/>
            <w:hideMark/>
          </w:tcPr>
          <w:p w:rsidR="00000000" w:rsidRDefault="00613AEB">
            <w:pPr>
              <w:rPr>
                <w:rFonts w:eastAsia="Times New Roman"/>
              </w:rPr>
            </w:pPr>
          </w:p>
        </w:tc>
        <w:tc>
          <w:tcPr>
            <w:tcW w:w="1317"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0" w:type="pct"/>
            <w:vAlign w:val="center"/>
            <w:hideMark/>
          </w:tcPr>
          <w:p w:rsidR="00000000" w:rsidRDefault="00613AEB">
            <w:pPr>
              <w:spacing w:after="100"/>
              <w:rPr>
                <w:rFonts w:eastAsia="Times New Roman"/>
                <w:sz w:val="20"/>
                <w:szCs w:val="20"/>
              </w:rPr>
            </w:pPr>
          </w:p>
        </w:tc>
        <w:tc>
          <w:tcPr>
            <w:tcW w:w="3572"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613AEB">
            <w:pPr>
              <w:spacing w:after="100"/>
              <w:rPr>
                <w:rFonts w:eastAsia="Times New Roman"/>
              </w:rPr>
            </w:pPr>
            <w:r>
              <w:rPr>
                <w:rFonts w:eastAsia="Times New Roman"/>
                <w:color w:val="000000"/>
                <w:sz w:val="20"/>
                <w:szCs w:val="20"/>
              </w:rPr>
              <w:t>For the quarterly period ended</w:t>
            </w:r>
          </w:p>
        </w:tc>
        <w:tc>
          <w:tcPr>
            <w:tcW w:w="0" w:type="auto"/>
            <w:gridSpan w:val="3"/>
            <w:tcBorders>
              <w:bottom w:val="single" w:sz="18" w:space="0" w:color="000000"/>
            </w:tcBorders>
            <w:tcMar>
              <w:top w:w="30" w:type="dxa"/>
              <w:left w:w="20" w:type="dxa"/>
              <w:bottom w:w="30" w:type="dxa"/>
              <w:right w:w="20" w:type="dxa"/>
            </w:tcMar>
            <w:hideMark/>
          </w:tcPr>
          <w:p w:rsidR="00000000" w:rsidRDefault="00613AEB">
            <w:pPr>
              <w:spacing w:after="100"/>
              <w:jc w:val="center"/>
              <w:rPr>
                <w:rFonts w:eastAsia="Times New Roman"/>
              </w:rPr>
            </w:pPr>
            <w:r>
              <w:rPr>
                <w:rFonts w:eastAsia="Times New Roman"/>
                <w:color w:val="000000"/>
                <w:sz w:val="20"/>
                <w:szCs w:val="20"/>
              </w:rPr>
              <w:t>June 25, 2022</w:t>
            </w:r>
          </w:p>
        </w:tc>
      </w:tr>
    </w:tbl>
    <w:p w:rsidR="00000000" w:rsidRDefault="00613AEB">
      <w:pPr>
        <w:jc w:val="center"/>
        <w:rPr>
          <w:rFonts w:eastAsia="Times New Roman"/>
        </w:rPr>
      </w:pPr>
      <w:r>
        <w:rPr>
          <w:rFonts w:eastAsia="Times New Roman"/>
          <w:color w:val="000000"/>
          <w:sz w:val="20"/>
          <w:szCs w:val="20"/>
        </w:rPr>
        <w:t>or</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335"/>
        <w:gridCol w:w="36"/>
        <w:gridCol w:w="69"/>
        <w:gridCol w:w="7761"/>
        <w:gridCol w:w="36"/>
      </w:tblGrid>
      <w:tr w:rsidR="00000000">
        <w:trPr>
          <w:jc w:val="center"/>
        </w:trPr>
        <w:tc>
          <w:tcPr>
            <w:tcW w:w="50" w:type="pct"/>
            <w:vAlign w:val="center"/>
            <w:hideMark/>
          </w:tcPr>
          <w:p w:rsidR="00000000" w:rsidRDefault="00613AEB">
            <w:pPr>
              <w:jc w:val="center"/>
              <w:rPr>
                <w:rFonts w:eastAsia="Times New Roman"/>
              </w:rPr>
            </w:pPr>
          </w:p>
        </w:tc>
        <w:tc>
          <w:tcPr>
            <w:tcW w:w="210"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0" w:type="pct"/>
            <w:vAlign w:val="center"/>
            <w:hideMark/>
          </w:tcPr>
          <w:p w:rsidR="00000000" w:rsidRDefault="00613AEB">
            <w:pPr>
              <w:spacing w:after="100"/>
              <w:rPr>
                <w:rFonts w:eastAsia="Times New Roman"/>
                <w:sz w:val="20"/>
                <w:szCs w:val="20"/>
              </w:rPr>
            </w:pPr>
          </w:p>
        </w:tc>
        <w:tc>
          <w:tcPr>
            <w:tcW w:w="4679"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613AEB">
            <w:pPr>
              <w:spacing w:after="100"/>
              <w:jc w:val="center"/>
              <w:rPr>
                <w:rFonts w:eastAsia="Times New Roman"/>
              </w:rPr>
            </w:pPr>
            <w:r>
              <w:rPr>
                <w:rFonts w:ascii="Segoe UI Symbol" w:eastAsia="Times New Roman" w:hAnsi="Segoe UI Symbol" w:cs="Segoe UI Symbol"/>
                <w:color w:val="000000"/>
              </w:rPr>
              <w:t>☐</w:t>
            </w:r>
          </w:p>
        </w:tc>
        <w:tc>
          <w:tcPr>
            <w:tcW w:w="0" w:type="auto"/>
            <w:gridSpan w:val="3"/>
            <w:tcMar>
              <w:top w:w="30" w:type="dxa"/>
              <w:left w:w="20" w:type="dxa"/>
              <w:bottom w:w="30" w:type="dxa"/>
              <w:right w:w="20" w:type="dxa"/>
            </w:tcMar>
            <w:hideMark/>
          </w:tcPr>
          <w:p w:rsidR="00000000" w:rsidRDefault="00613AEB">
            <w:pPr>
              <w:spacing w:after="100"/>
              <w:rPr>
                <w:rFonts w:eastAsia="Times New Roman"/>
              </w:rPr>
            </w:pPr>
            <w:r>
              <w:rPr>
                <w:rFonts w:eastAsia="Times New Roman"/>
                <w:color w:val="000000"/>
                <w:sz w:val="20"/>
                <w:szCs w:val="20"/>
              </w:rPr>
              <w:t>TRANSITION REPORT PURSUANT TO SECTION 13 OR 15(d) OF THE SECURITIES EXCHANGE ACT OF 1934</w:t>
            </w:r>
          </w:p>
        </w:tc>
      </w:tr>
    </w:tbl>
    <w:p w:rsidR="00000000" w:rsidRDefault="00613AEB">
      <w:pPr>
        <w:divId w:val="176773206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174"/>
        <w:gridCol w:w="36"/>
        <w:gridCol w:w="69"/>
        <w:gridCol w:w="1911"/>
        <w:gridCol w:w="36"/>
        <w:gridCol w:w="69"/>
        <w:gridCol w:w="612"/>
        <w:gridCol w:w="36"/>
        <w:gridCol w:w="70"/>
        <w:gridCol w:w="3188"/>
        <w:gridCol w:w="36"/>
      </w:tblGrid>
      <w:tr w:rsidR="00000000">
        <w:trPr>
          <w:divId w:val="1767732062"/>
        </w:trPr>
        <w:tc>
          <w:tcPr>
            <w:tcW w:w="50" w:type="pct"/>
            <w:vAlign w:val="center"/>
            <w:hideMark/>
          </w:tcPr>
          <w:p w:rsidR="00000000" w:rsidRDefault="00613AEB">
            <w:pPr>
              <w:jc w:val="center"/>
              <w:rPr>
                <w:rFonts w:eastAsia="Times New Roman"/>
              </w:rPr>
            </w:pPr>
          </w:p>
        </w:tc>
        <w:tc>
          <w:tcPr>
            <w:tcW w:w="1317"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0" w:type="pct"/>
            <w:vAlign w:val="center"/>
            <w:hideMark/>
          </w:tcPr>
          <w:p w:rsidR="00000000" w:rsidRDefault="00613AEB">
            <w:pPr>
              <w:spacing w:after="100"/>
              <w:rPr>
                <w:rFonts w:eastAsia="Times New Roman"/>
                <w:sz w:val="20"/>
                <w:szCs w:val="20"/>
              </w:rPr>
            </w:pPr>
          </w:p>
        </w:tc>
        <w:tc>
          <w:tcPr>
            <w:tcW w:w="1159"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0" w:type="pct"/>
            <w:vAlign w:val="center"/>
            <w:hideMark/>
          </w:tcPr>
          <w:p w:rsidR="00000000" w:rsidRDefault="00613AEB">
            <w:pPr>
              <w:spacing w:after="100"/>
              <w:rPr>
                <w:rFonts w:eastAsia="Times New Roman"/>
                <w:sz w:val="20"/>
                <w:szCs w:val="20"/>
              </w:rPr>
            </w:pPr>
          </w:p>
        </w:tc>
        <w:tc>
          <w:tcPr>
            <w:tcW w:w="376"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0" w:type="pct"/>
            <w:vAlign w:val="center"/>
            <w:hideMark/>
          </w:tcPr>
          <w:p w:rsidR="00000000" w:rsidRDefault="00613AEB">
            <w:pPr>
              <w:spacing w:after="100"/>
              <w:rPr>
                <w:rFonts w:eastAsia="Times New Roman"/>
                <w:sz w:val="20"/>
                <w:szCs w:val="20"/>
              </w:rPr>
            </w:pPr>
          </w:p>
        </w:tc>
        <w:tc>
          <w:tcPr>
            <w:tcW w:w="1927"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r>
      <w:tr w:rsidR="00000000">
        <w:trPr>
          <w:divId w:val="1767732062"/>
        </w:trPr>
        <w:tc>
          <w:tcPr>
            <w:tcW w:w="0" w:type="auto"/>
            <w:gridSpan w:val="3"/>
            <w:tcMar>
              <w:top w:w="30" w:type="dxa"/>
              <w:left w:w="20" w:type="dxa"/>
              <w:bottom w:w="30" w:type="dxa"/>
              <w:right w:w="20" w:type="dxa"/>
            </w:tcMar>
            <w:hideMark/>
          </w:tcPr>
          <w:p w:rsidR="00000000" w:rsidRDefault="00613AEB">
            <w:pPr>
              <w:spacing w:after="100"/>
              <w:rPr>
                <w:rFonts w:eastAsia="Times New Roman"/>
              </w:rPr>
            </w:pPr>
            <w:r>
              <w:rPr>
                <w:rFonts w:eastAsia="Times New Roman"/>
                <w:color w:val="000000"/>
                <w:sz w:val="20"/>
                <w:szCs w:val="20"/>
              </w:rPr>
              <w:t>For the transition period from</w:t>
            </w:r>
          </w:p>
        </w:tc>
        <w:tc>
          <w:tcPr>
            <w:tcW w:w="0" w:type="auto"/>
            <w:gridSpan w:val="3"/>
            <w:tcBorders>
              <w:bottom w:val="single" w:sz="18" w:space="0" w:color="000000"/>
            </w:tcBorders>
            <w:tcMar>
              <w:top w:w="30" w:type="dxa"/>
              <w:left w:w="20" w:type="dxa"/>
              <w:bottom w:w="30" w:type="dxa"/>
              <w:right w:w="20" w:type="dxa"/>
            </w:tcMar>
            <w:hideMark/>
          </w:tcPr>
          <w:p w:rsidR="00000000" w:rsidRDefault="00613AEB">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613AEB">
            <w:pPr>
              <w:spacing w:after="100"/>
              <w:jc w:val="center"/>
              <w:rPr>
                <w:rFonts w:eastAsia="Times New Roman"/>
              </w:rPr>
            </w:pPr>
            <w:r>
              <w:rPr>
                <w:rFonts w:eastAsia="Times New Roman"/>
                <w:color w:val="000000"/>
                <w:sz w:val="20"/>
                <w:szCs w:val="20"/>
              </w:rPr>
              <w:t>to</w:t>
            </w:r>
          </w:p>
        </w:tc>
        <w:tc>
          <w:tcPr>
            <w:tcW w:w="0" w:type="auto"/>
            <w:gridSpan w:val="3"/>
            <w:tcBorders>
              <w:bottom w:val="single" w:sz="18" w:space="0" w:color="000000"/>
            </w:tcBorders>
            <w:tcMar>
              <w:top w:w="30" w:type="dxa"/>
              <w:left w:w="20" w:type="dxa"/>
              <w:bottom w:w="30" w:type="dxa"/>
              <w:right w:w="20" w:type="dxa"/>
            </w:tcMar>
            <w:hideMark/>
          </w:tcPr>
          <w:p w:rsidR="00000000" w:rsidRDefault="00613AEB">
            <w:pPr>
              <w:spacing w:after="100"/>
              <w:rPr>
                <w:rFonts w:eastAsia="Times New Roman"/>
              </w:rPr>
            </w:pPr>
            <w:r>
              <w:rPr>
                <w:rFonts w:eastAsia="Times New Roman"/>
                <w:color w:val="000000"/>
                <w:sz w:val="20"/>
                <w:szCs w:val="20"/>
              </w:rPr>
              <w:t> </w:t>
            </w:r>
          </w:p>
        </w:tc>
      </w:tr>
    </w:tbl>
    <w:p w:rsidR="00000000" w:rsidRDefault="00613AEB">
      <w:pPr>
        <w:jc w:val="center"/>
        <w:rPr>
          <w:rFonts w:eastAsia="Times New Roman"/>
        </w:rPr>
      </w:pPr>
      <w:r>
        <w:rPr>
          <w:rFonts w:eastAsia="Times New Roman"/>
          <w:color w:val="000000"/>
          <w:sz w:val="20"/>
          <w:szCs w:val="20"/>
        </w:rPr>
        <w:t>Commission file number   </w:t>
      </w:r>
      <w:r>
        <w:rPr>
          <w:rFonts w:eastAsia="Times New Roman"/>
          <w:color w:val="000000"/>
          <w:sz w:val="20"/>
          <w:szCs w:val="20"/>
          <w:u w:val="single"/>
        </w:rPr>
        <w:t>000-23314</w:t>
      </w:r>
      <w:r>
        <w:rPr>
          <w:rFonts w:eastAsia="Times New Roman"/>
          <w:color w:val="000000"/>
          <w:sz w:val="20"/>
          <w:szCs w:val="20"/>
        </w:rPr>
        <w:t xml:space="preserve"> </w:t>
      </w:r>
    </w:p>
    <w:p w:rsidR="00000000" w:rsidRDefault="00613AEB">
      <w:pPr>
        <w:jc w:val="center"/>
        <w:rPr>
          <w:rFonts w:eastAsia="Times New Roman"/>
        </w:rPr>
      </w:pPr>
      <w:r>
        <w:rPr>
          <w:rFonts w:eastAsia="Times New Roman"/>
          <w:noProof/>
        </w:rPr>
        <w:drawing>
          <wp:inline distT="0" distB="0" distL="0" distR="0">
            <wp:extent cx="30480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613AEB">
      <w:pPr>
        <w:jc w:val="center"/>
        <w:rPr>
          <w:rFonts w:eastAsia="Times New Roman"/>
        </w:rPr>
      </w:pPr>
      <w:r>
        <w:rPr>
          <w:rFonts w:eastAsia="Times New Roman"/>
          <w:b/>
          <w:bCs/>
          <w:color w:val="000000"/>
        </w:rPr>
        <w:t>TRACTOR SUPPLY COMPANY</w:t>
      </w:r>
    </w:p>
    <w:p w:rsidR="00000000" w:rsidRDefault="00613AEB">
      <w:pPr>
        <w:jc w:val="center"/>
        <w:rPr>
          <w:rFonts w:eastAsia="Times New Roman"/>
        </w:rPr>
      </w:pPr>
      <w:r>
        <w:rPr>
          <w:rFonts w:eastAsia="Times New Roman"/>
          <w:color w:val="000000"/>
          <w:sz w:val="20"/>
          <w:szCs w:val="20"/>
        </w:rPr>
        <w:t>(Exact Name of Registrant as Specified in Its Charter)</w:t>
      </w:r>
    </w:p>
    <w:tbl>
      <w:tblPr>
        <w:tblW w:w="5000" w:type="pct"/>
        <w:jc w:val="center"/>
        <w:tblCellMar>
          <w:top w:w="15" w:type="dxa"/>
          <w:left w:w="15" w:type="dxa"/>
          <w:bottom w:w="15" w:type="dxa"/>
          <w:right w:w="15" w:type="dxa"/>
        </w:tblCellMar>
        <w:tblLook w:val="04A0" w:firstRow="1" w:lastRow="0" w:firstColumn="1" w:lastColumn="0" w:noHBand="0" w:noVBand="1"/>
      </w:tblPr>
      <w:tblGrid>
        <w:gridCol w:w="65"/>
        <w:gridCol w:w="1896"/>
        <w:gridCol w:w="38"/>
        <w:gridCol w:w="65"/>
        <w:gridCol w:w="701"/>
        <w:gridCol w:w="36"/>
        <w:gridCol w:w="65"/>
        <w:gridCol w:w="1515"/>
        <w:gridCol w:w="36"/>
        <w:gridCol w:w="36"/>
        <w:gridCol w:w="36"/>
        <w:gridCol w:w="36"/>
        <w:gridCol w:w="53"/>
        <w:gridCol w:w="1215"/>
        <w:gridCol w:w="37"/>
        <w:gridCol w:w="65"/>
        <w:gridCol w:w="2375"/>
        <w:gridCol w:w="36"/>
      </w:tblGrid>
      <w:tr w:rsidR="00000000">
        <w:trPr>
          <w:jc w:val="center"/>
        </w:trPr>
        <w:tc>
          <w:tcPr>
            <w:tcW w:w="50" w:type="pct"/>
            <w:vAlign w:val="center"/>
            <w:hideMark/>
          </w:tcPr>
          <w:p w:rsidR="00000000" w:rsidRDefault="00613AEB">
            <w:pPr>
              <w:jc w:val="center"/>
              <w:rPr>
                <w:rFonts w:eastAsia="Times New Roman"/>
              </w:rPr>
            </w:pPr>
          </w:p>
        </w:tc>
        <w:tc>
          <w:tcPr>
            <w:tcW w:w="1151"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0" w:type="pct"/>
            <w:vAlign w:val="center"/>
            <w:hideMark/>
          </w:tcPr>
          <w:p w:rsidR="00000000" w:rsidRDefault="00613AEB">
            <w:pPr>
              <w:spacing w:after="100"/>
              <w:rPr>
                <w:rFonts w:eastAsia="Times New Roman"/>
                <w:sz w:val="20"/>
                <w:szCs w:val="20"/>
              </w:rPr>
            </w:pPr>
          </w:p>
        </w:tc>
        <w:tc>
          <w:tcPr>
            <w:tcW w:w="433"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0" w:type="pct"/>
            <w:vAlign w:val="center"/>
            <w:hideMark/>
          </w:tcPr>
          <w:p w:rsidR="00000000" w:rsidRDefault="00613AEB">
            <w:pPr>
              <w:spacing w:after="100"/>
              <w:rPr>
                <w:rFonts w:eastAsia="Times New Roman"/>
                <w:sz w:val="20"/>
                <w:szCs w:val="20"/>
              </w:rPr>
            </w:pPr>
          </w:p>
        </w:tc>
        <w:tc>
          <w:tcPr>
            <w:tcW w:w="922"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25"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0" w:type="pct"/>
            <w:vAlign w:val="center"/>
            <w:hideMark/>
          </w:tcPr>
          <w:p w:rsidR="00000000" w:rsidRDefault="00613AEB">
            <w:pPr>
              <w:spacing w:after="100"/>
              <w:rPr>
                <w:rFonts w:eastAsia="Times New Roman"/>
                <w:sz w:val="20"/>
                <w:szCs w:val="20"/>
              </w:rPr>
            </w:pPr>
          </w:p>
        </w:tc>
        <w:tc>
          <w:tcPr>
            <w:tcW w:w="742"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0" w:type="pct"/>
            <w:vAlign w:val="center"/>
            <w:hideMark/>
          </w:tcPr>
          <w:p w:rsidR="00000000" w:rsidRDefault="00613AEB">
            <w:pPr>
              <w:spacing w:after="100"/>
              <w:rPr>
                <w:rFonts w:eastAsia="Times New Roman"/>
                <w:sz w:val="20"/>
                <w:szCs w:val="20"/>
              </w:rPr>
            </w:pPr>
          </w:p>
        </w:tc>
        <w:tc>
          <w:tcPr>
            <w:tcW w:w="1439"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r>
      <w:tr w:rsidR="00000000">
        <w:trPr>
          <w:jc w:val="center"/>
        </w:trPr>
        <w:tc>
          <w:tcPr>
            <w:tcW w:w="0" w:type="auto"/>
            <w:gridSpan w:val="9"/>
            <w:tcMar>
              <w:top w:w="30" w:type="dxa"/>
              <w:left w:w="20" w:type="dxa"/>
              <w:bottom w:w="30" w:type="dxa"/>
              <w:right w:w="20" w:type="dxa"/>
            </w:tcMar>
            <w:hideMark/>
          </w:tcPr>
          <w:p w:rsidR="00000000" w:rsidRDefault="00613AEB">
            <w:pPr>
              <w:spacing w:after="100"/>
              <w:jc w:val="center"/>
              <w:rPr>
                <w:rFonts w:eastAsia="Times New Roman"/>
              </w:rPr>
            </w:pPr>
            <w:r>
              <w:rPr>
                <w:rFonts w:eastAsia="Times New Roman"/>
                <w:color w:val="000000"/>
                <w:sz w:val="20"/>
                <w:szCs w:val="20"/>
                <w:u w:val="single"/>
              </w:rPr>
              <w:t>Delaware</w:t>
            </w:r>
          </w:p>
        </w:tc>
        <w:tc>
          <w:tcPr>
            <w:tcW w:w="0" w:type="auto"/>
            <w:gridSpan w:val="3"/>
            <w:tcMar>
              <w:top w:w="0" w:type="dxa"/>
              <w:left w:w="20" w:type="dxa"/>
              <w:bottom w:w="0" w:type="dxa"/>
              <w:right w:w="20" w:type="dxa"/>
            </w:tcMar>
            <w:vAlign w:val="center"/>
            <w:hideMark/>
          </w:tcPr>
          <w:p w:rsidR="00000000" w:rsidRDefault="00613AEB">
            <w:pPr>
              <w:spacing w:after="100"/>
              <w:jc w:val="center"/>
              <w:rPr>
                <w:rFonts w:eastAsia="Times New Roman"/>
              </w:rPr>
            </w:pPr>
          </w:p>
        </w:tc>
        <w:tc>
          <w:tcPr>
            <w:tcW w:w="0" w:type="auto"/>
            <w:gridSpan w:val="6"/>
            <w:tcMar>
              <w:top w:w="30" w:type="dxa"/>
              <w:left w:w="20" w:type="dxa"/>
              <w:bottom w:w="30" w:type="dxa"/>
              <w:right w:w="20" w:type="dxa"/>
            </w:tcMar>
            <w:hideMark/>
          </w:tcPr>
          <w:p w:rsidR="00000000" w:rsidRDefault="00613AEB">
            <w:pPr>
              <w:spacing w:after="100"/>
              <w:jc w:val="center"/>
              <w:rPr>
                <w:rFonts w:eastAsia="Times New Roman"/>
              </w:rPr>
            </w:pPr>
            <w:r>
              <w:rPr>
                <w:rFonts w:eastAsia="Times New Roman"/>
                <w:color w:val="000000"/>
                <w:sz w:val="20"/>
                <w:szCs w:val="20"/>
                <w:u w:val="single"/>
              </w:rPr>
              <w:t>13-3139732</w:t>
            </w:r>
          </w:p>
        </w:tc>
      </w:tr>
      <w:tr w:rsidR="00000000">
        <w:trPr>
          <w:jc w:val="center"/>
        </w:trPr>
        <w:tc>
          <w:tcPr>
            <w:tcW w:w="0" w:type="auto"/>
            <w:gridSpan w:val="9"/>
            <w:tcMar>
              <w:top w:w="30" w:type="dxa"/>
              <w:left w:w="20" w:type="dxa"/>
              <w:bottom w:w="30" w:type="dxa"/>
              <w:right w:w="20" w:type="dxa"/>
            </w:tcMar>
            <w:hideMark/>
          </w:tcPr>
          <w:p w:rsidR="00000000" w:rsidRDefault="00613AEB">
            <w:pPr>
              <w:spacing w:after="100"/>
              <w:jc w:val="center"/>
              <w:rPr>
                <w:rFonts w:eastAsia="Times New Roman"/>
              </w:rPr>
            </w:pPr>
            <w:r>
              <w:rPr>
                <w:rFonts w:eastAsia="Times New Roman"/>
                <w:color w:val="000000"/>
                <w:sz w:val="20"/>
                <w:szCs w:val="20"/>
              </w:rPr>
              <w:t>(State or Other Jurisdiction of Incorporation or Organization)</w:t>
            </w:r>
          </w:p>
        </w:tc>
        <w:tc>
          <w:tcPr>
            <w:tcW w:w="0" w:type="auto"/>
            <w:gridSpan w:val="3"/>
            <w:tcMar>
              <w:top w:w="0" w:type="dxa"/>
              <w:left w:w="20" w:type="dxa"/>
              <w:bottom w:w="0" w:type="dxa"/>
              <w:right w:w="20" w:type="dxa"/>
            </w:tcMar>
            <w:vAlign w:val="center"/>
            <w:hideMark/>
          </w:tcPr>
          <w:p w:rsidR="00000000" w:rsidRDefault="00613AEB">
            <w:pPr>
              <w:spacing w:after="100"/>
              <w:jc w:val="center"/>
              <w:rPr>
                <w:rFonts w:eastAsia="Times New Roman"/>
              </w:rPr>
            </w:pPr>
          </w:p>
        </w:tc>
        <w:tc>
          <w:tcPr>
            <w:tcW w:w="0" w:type="auto"/>
            <w:gridSpan w:val="6"/>
            <w:tcMar>
              <w:top w:w="30" w:type="dxa"/>
              <w:left w:w="20" w:type="dxa"/>
              <w:bottom w:w="30" w:type="dxa"/>
              <w:right w:w="20" w:type="dxa"/>
            </w:tcMar>
            <w:hideMark/>
          </w:tcPr>
          <w:p w:rsidR="00000000" w:rsidRDefault="00613AEB">
            <w:pPr>
              <w:spacing w:after="100"/>
              <w:jc w:val="center"/>
              <w:rPr>
                <w:rFonts w:eastAsia="Times New Roman"/>
              </w:rPr>
            </w:pPr>
            <w:r>
              <w:rPr>
                <w:rFonts w:eastAsia="Times New Roman"/>
                <w:color w:val="000000"/>
                <w:sz w:val="20"/>
                <w:szCs w:val="20"/>
              </w:rPr>
              <w:t>(I.R.S. Employer Identification No.)</w:t>
            </w:r>
          </w:p>
        </w:tc>
      </w:tr>
      <w:tr w:rsidR="00000000">
        <w:trPr>
          <w:jc w:val="center"/>
        </w:trPr>
        <w:tc>
          <w:tcPr>
            <w:tcW w:w="0" w:type="auto"/>
            <w:gridSpan w:val="3"/>
            <w:vAlign w:val="center"/>
            <w:hideMark/>
          </w:tcPr>
          <w:p w:rsidR="00000000" w:rsidRDefault="00613AEB">
            <w:pPr>
              <w:spacing w:after="100"/>
              <w:jc w:val="center"/>
              <w:rPr>
                <w:rFonts w:eastAsia="Times New Roman"/>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vAlign w:val="center"/>
            <w:hideMark/>
          </w:tcPr>
          <w:p w:rsidR="00000000" w:rsidRDefault="00613AEB">
            <w:pPr>
              <w:spacing w:after="100"/>
              <w:rPr>
                <w:rFonts w:eastAsia="Times New Roman"/>
                <w:sz w:val="20"/>
                <w:szCs w:val="20"/>
              </w:rPr>
            </w:pPr>
          </w:p>
        </w:tc>
        <w:tc>
          <w:tcPr>
            <w:tcW w:w="0" w:type="auto"/>
            <w:vAlign w:val="center"/>
            <w:hideMark/>
          </w:tcPr>
          <w:p w:rsidR="00000000" w:rsidRDefault="00613AEB">
            <w:pPr>
              <w:spacing w:after="100"/>
              <w:rPr>
                <w:rFonts w:eastAsia="Times New Roman"/>
                <w:sz w:val="20"/>
                <w:szCs w:val="20"/>
              </w:rPr>
            </w:pPr>
          </w:p>
        </w:tc>
        <w:tc>
          <w:tcPr>
            <w:tcW w:w="0" w:type="auto"/>
            <w:vAlign w:val="center"/>
            <w:hideMark/>
          </w:tcPr>
          <w:p w:rsidR="00000000" w:rsidRDefault="00613AEB">
            <w:pPr>
              <w:spacing w:after="100"/>
              <w:rPr>
                <w:rFonts w:eastAsia="Times New Roman"/>
                <w:sz w:val="20"/>
                <w:szCs w:val="20"/>
              </w:rPr>
            </w:pPr>
          </w:p>
        </w:tc>
      </w:tr>
      <w:tr w:rsidR="00000000">
        <w:trPr>
          <w:jc w:val="center"/>
        </w:trPr>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vAlign w:val="center"/>
            <w:hideMark/>
          </w:tcPr>
          <w:p w:rsidR="00000000" w:rsidRDefault="00613AEB">
            <w:pPr>
              <w:spacing w:after="100"/>
              <w:rPr>
                <w:rFonts w:eastAsia="Times New Roman"/>
                <w:sz w:val="20"/>
                <w:szCs w:val="20"/>
              </w:rPr>
            </w:pPr>
          </w:p>
        </w:tc>
        <w:tc>
          <w:tcPr>
            <w:tcW w:w="0" w:type="auto"/>
            <w:vAlign w:val="center"/>
            <w:hideMark/>
          </w:tcPr>
          <w:p w:rsidR="00000000" w:rsidRDefault="00613AEB">
            <w:pPr>
              <w:spacing w:after="100"/>
              <w:rPr>
                <w:rFonts w:eastAsia="Times New Roman"/>
                <w:sz w:val="20"/>
                <w:szCs w:val="20"/>
              </w:rPr>
            </w:pPr>
          </w:p>
        </w:tc>
        <w:tc>
          <w:tcPr>
            <w:tcW w:w="0" w:type="auto"/>
            <w:vAlign w:val="center"/>
            <w:hideMark/>
          </w:tcPr>
          <w:p w:rsidR="00000000" w:rsidRDefault="00613AEB">
            <w:pPr>
              <w:spacing w:after="100"/>
              <w:rPr>
                <w:rFonts w:eastAsia="Times New Roman"/>
                <w:sz w:val="20"/>
                <w:szCs w:val="20"/>
              </w:rPr>
            </w:pPr>
          </w:p>
        </w:tc>
      </w:tr>
      <w:tr w:rsidR="00000000">
        <w:trPr>
          <w:jc w:val="center"/>
        </w:trPr>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r>
      <w:tr w:rsidR="00000000">
        <w:trPr>
          <w:jc w:val="center"/>
        </w:trPr>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vAlign w:val="center"/>
            <w:hideMark/>
          </w:tcPr>
          <w:p w:rsidR="00000000" w:rsidRDefault="00613AEB">
            <w:pPr>
              <w:spacing w:after="100"/>
              <w:rPr>
                <w:rFonts w:eastAsia="Times New Roman"/>
                <w:sz w:val="20"/>
                <w:szCs w:val="20"/>
              </w:rPr>
            </w:pPr>
          </w:p>
        </w:tc>
        <w:tc>
          <w:tcPr>
            <w:tcW w:w="0" w:type="auto"/>
            <w:vAlign w:val="center"/>
            <w:hideMark/>
          </w:tcPr>
          <w:p w:rsidR="00000000" w:rsidRDefault="00613AEB">
            <w:pPr>
              <w:spacing w:after="100"/>
              <w:rPr>
                <w:rFonts w:eastAsia="Times New Roman"/>
                <w:sz w:val="20"/>
                <w:szCs w:val="20"/>
              </w:rPr>
            </w:pPr>
          </w:p>
        </w:tc>
        <w:tc>
          <w:tcPr>
            <w:tcW w:w="0" w:type="auto"/>
            <w:vAlign w:val="center"/>
            <w:hideMark/>
          </w:tcPr>
          <w:p w:rsidR="00000000" w:rsidRDefault="00613AEB">
            <w:pPr>
              <w:spacing w:after="100"/>
              <w:rPr>
                <w:rFonts w:eastAsia="Times New Roman"/>
                <w:sz w:val="20"/>
                <w:szCs w:val="20"/>
              </w:rPr>
            </w:pPr>
          </w:p>
        </w:tc>
      </w:tr>
      <w:tr w:rsidR="00000000">
        <w:trPr>
          <w:jc w:val="center"/>
        </w:trPr>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vAlign w:val="center"/>
            <w:hideMark/>
          </w:tcPr>
          <w:p w:rsidR="00000000" w:rsidRDefault="00613AEB">
            <w:pPr>
              <w:spacing w:after="100"/>
              <w:rPr>
                <w:rFonts w:eastAsia="Times New Roman"/>
                <w:sz w:val="20"/>
                <w:szCs w:val="20"/>
              </w:rPr>
            </w:pPr>
          </w:p>
        </w:tc>
        <w:tc>
          <w:tcPr>
            <w:tcW w:w="0" w:type="auto"/>
            <w:vAlign w:val="center"/>
            <w:hideMark/>
          </w:tcPr>
          <w:p w:rsidR="00000000" w:rsidRDefault="00613AEB">
            <w:pPr>
              <w:spacing w:after="100"/>
              <w:rPr>
                <w:rFonts w:eastAsia="Times New Roman"/>
                <w:sz w:val="20"/>
                <w:szCs w:val="20"/>
              </w:rPr>
            </w:pPr>
          </w:p>
        </w:tc>
        <w:tc>
          <w:tcPr>
            <w:tcW w:w="0" w:type="auto"/>
            <w:vAlign w:val="center"/>
            <w:hideMark/>
          </w:tcPr>
          <w:p w:rsidR="00000000" w:rsidRDefault="00613AEB">
            <w:pPr>
              <w:spacing w:after="100"/>
              <w:rPr>
                <w:rFonts w:eastAsia="Times New Roman"/>
                <w:sz w:val="20"/>
                <w:szCs w:val="20"/>
              </w:rPr>
            </w:pPr>
          </w:p>
        </w:tc>
      </w:tr>
    </w:tbl>
    <w:p w:rsidR="00000000" w:rsidRDefault="00613AEB">
      <w:pPr>
        <w:jc w:val="center"/>
        <w:rPr>
          <w:rFonts w:eastAsia="Times New Roman"/>
        </w:rPr>
      </w:pPr>
      <w:r>
        <w:rPr>
          <w:rFonts w:eastAsia="Times New Roman"/>
          <w:color w:val="000000"/>
          <w:sz w:val="20"/>
          <w:szCs w:val="20"/>
          <w:u w:val="single"/>
        </w:rPr>
        <w:t>5401 Virginia Way, Brentwood, Tennessee 37027</w:t>
      </w:r>
      <w:r>
        <w:rPr>
          <w:rFonts w:eastAsia="Times New Roman"/>
          <w:color w:val="000000"/>
          <w:sz w:val="20"/>
          <w:szCs w:val="20"/>
        </w:rPr>
        <w:t xml:space="preserve"> </w:t>
      </w:r>
    </w:p>
    <w:p w:rsidR="00000000" w:rsidRDefault="00613AEB">
      <w:pPr>
        <w:jc w:val="center"/>
        <w:rPr>
          <w:rFonts w:eastAsia="Times New Roman"/>
        </w:rPr>
      </w:pPr>
      <w:r>
        <w:rPr>
          <w:rFonts w:eastAsia="Times New Roman"/>
          <w:color w:val="000000"/>
          <w:sz w:val="20"/>
          <w:szCs w:val="20"/>
        </w:rPr>
        <w:t>(Address of Principal Executive Offices and Zip Code)</w:t>
      </w:r>
    </w:p>
    <w:p w:rsidR="00000000" w:rsidRDefault="00613AEB">
      <w:pPr>
        <w:jc w:val="center"/>
        <w:rPr>
          <w:rFonts w:eastAsia="Times New Roman"/>
        </w:rPr>
      </w:pPr>
      <w:r>
        <w:rPr>
          <w:rFonts w:eastAsia="Times New Roman"/>
          <w:color w:val="000000"/>
          <w:sz w:val="20"/>
          <w:szCs w:val="20"/>
          <w:u w:val="single"/>
        </w:rPr>
        <w:t>(615) 440-4000</w:t>
      </w:r>
      <w:r>
        <w:rPr>
          <w:rFonts w:eastAsia="Times New Roman"/>
          <w:color w:val="000000"/>
          <w:sz w:val="20"/>
          <w:szCs w:val="20"/>
        </w:rPr>
        <w:t xml:space="preserve"> </w:t>
      </w:r>
    </w:p>
    <w:p w:rsidR="00000000" w:rsidRDefault="00613AEB">
      <w:pPr>
        <w:jc w:val="center"/>
        <w:rPr>
          <w:rFonts w:eastAsia="Times New Roman"/>
        </w:rPr>
      </w:pPr>
      <w:r>
        <w:rPr>
          <w:rFonts w:eastAsia="Times New Roman"/>
          <w:color w:val="000000"/>
          <w:sz w:val="20"/>
          <w:szCs w:val="20"/>
        </w:rPr>
        <w:t>(Registrant’s Telephone Number, Including Area Code)</w:t>
      </w:r>
    </w:p>
    <w:p w:rsidR="00000000" w:rsidRDefault="00613AEB">
      <w:pPr>
        <w:jc w:val="center"/>
        <w:rPr>
          <w:rFonts w:eastAsia="Times New Roman"/>
        </w:rPr>
      </w:pPr>
      <w:r>
        <w:rPr>
          <w:rFonts w:eastAsia="Times New Roman"/>
          <w:color w:val="000000"/>
          <w:sz w:val="20"/>
          <w:szCs w:val="20"/>
          <w:u w:val="single"/>
        </w:rPr>
        <w:t>Not Applicable</w:t>
      </w:r>
    </w:p>
    <w:p w:rsidR="00000000" w:rsidRDefault="00613AEB">
      <w:pPr>
        <w:jc w:val="center"/>
        <w:rPr>
          <w:rFonts w:eastAsia="Times New Roman"/>
        </w:rPr>
      </w:pPr>
      <w:r>
        <w:rPr>
          <w:rFonts w:eastAsia="Times New Roman"/>
          <w:color w:val="000000"/>
          <w:sz w:val="20"/>
          <w:szCs w:val="20"/>
        </w:rPr>
        <w:t xml:space="preserve">(Former name, former address, and former fiscal year, if changed since last report) </w:t>
      </w:r>
    </w:p>
    <w:p w:rsidR="00000000" w:rsidRDefault="00613AEB">
      <w:pPr>
        <w:jc w:val="center"/>
        <w:rPr>
          <w:rFonts w:eastAsia="Times New Roman"/>
        </w:rPr>
      </w:pPr>
    </w:p>
    <w:p w:rsidR="00000000" w:rsidRDefault="00613AEB">
      <w:pPr>
        <w:divId w:val="341399017"/>
        <w:rPr>
          <w:rFonts w:eastAsia="Times New Roman"/>
        </w:rPr>
      </w:pPr>
      <w:r>
        <w:rPr>
          <w:rFonts w:eastAsia="Times New Roman"/>
          <w:color w:val="000000"/>
          <w:sz w:val="20"/>
          <w:szCs w:val="20"/>
        </w:rPr>
        <w:t>Securities registered pursuant to Section 12(b) of the Act:</w:t>
      </w:r>
    </w:p>
    <w:tbl>
      <w:tblPr>
        <w:tblW w:w="5000" w:type="pct"/>
        <w:tblCellMar>
          <w:top w:w="15" w:type="dxa"/>
          <w:left w:w="15" w:type="dxa"/>
          <w:bottom w:w="15" w:type="dxa"/>
          <w:right w:w="15" w:type="dxa"/>
        </w:tblCellMar>
        <w:tblLook w:val="04A0" w:firstRow="1" w:lastRow="0" w:firstColumn="1" w:lastColumn="0" w:noHBand="0" w:noVBand="1"/>
      </w:tblPr>
      <w:tblGrid>
        <w:gridCol w:w="58"/>
        <w:gridCol w:w="2975"/>
        <w:gridCol w:w="37"/>
        <w:gridCol w:w="36"/>
        <w:gridCol w:w="36"/>
        <w:gridCol w:w="36"/>
        <w:gridCol w:w="41"/>
        <w:gridCol w:w="1890"/>
        <w:gridCol w:w="36"/>
        <w:gridCol w:w="36"/>
        <w:gridCol w:w="36"/>
        <w:gridCol w:w="36"/>
        <w:gridCol w:w="41"/>
        <w:gridCol w:w="2976"/>
        <w:gridCol w:w="36"/>
      </w:tblGrid>
      <w:tr w:rsidR="00000000">
        <w:trPr>
          <w:divId w:val="341399017"/>
        </w:trPr>
        <w:tc>
          <w:tcPr>
            <w:tcW w:w="50" w:type="pct"/>
            <w:vAlign w:val="center"/>
            <w:hideMark/>
          </w:tcPr>
          <w:p w:rsidR="00000000" w:rsidRDefault="00613AEB">
            <w:pPr>
              <w:rPr>
                <w:rFonts w:eastAsia="Times New Roman"/>
              </w:rPr>
            </w:pPr>
          </w:p>
        </w:tc>
        <w:tc>
          <w:tcPr>
            <w:tcW w:w="1805"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25"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0" w:type="pct"/>
            <w:vAlign w:val="center"/>
            <w:hideMark/>
          </w:tcPr>
          <w:p w:rsidR="00000000" w:rsidRDefault="00613AEB">
            <w:pPr>
              <w:spacing w:after="100"/>
              <w:rPr>
                <w:rFonts w:eastAsia="Times New Roman"/>
                <w:sz w:val="20"/>
                <w:szCs w:val="20"/>
              </w:rPr>
            </w:pPr>
          </w:p>
        </w:tc>
        <w:tc>
          <w:tcPr>
            <w:tcW w:w="1151"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25"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0" w:type="pct"/>
            <w:vAlign w:val="center"/>
            <w:hideMark/>
          </w:tcPr>
          <w:p w:rsidR="00000000" w:rsidRDefault="00613AEB">
            <w:pPr>
              <w:spacing w:after="100"/>
              <w:rPr>
                <w:rFonts w:eastAsia="Times New Roman"/>
                <w:sz w:val="20"/>
                <w:szCs w:val="20"/>
              </w:rPr>
            </w:pPr>
          </w:p>
        </w:tc>
        <w:tc>
          <w:tcPr>
            <w:tcW w:w="1805"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r>
      <w:tr w:rsidR="00000000">
        <w:trPr>
          <w:divId w:val="341399017"/>
        </w:trPr>
        <w:tc>
          <w:tcPr>
            <w:tcW w:w="0" w:type="auto"/>
            <w:gridSpan w:val="3"/>
            <w:tcMar>
              <w:top w:w="30" w:type="dxa"/>
              <w:left w:w="20" w:type="dxa"/>
              <w:bottom w:w="30" w:type="dxa"/>
              <w:right w:w="20" w:type="dxa"/>
            </w:tcMar>
            <w:vAlign w:val="bottom"/>
            <w:hideMark/>
          </w:tcPr>
          <w:p w:rsidR="00000000" w:rsidRDefault="00613AEB">
            <w:pPr>
              <w:spacing w:after="100"/>
              <w:jc w:val="center"/>
              <w:rPr>
                <w:rFonts w:eastAsia="Times New Roman"/>
              </w:rPr>
            </w:pPr>
            <w:r>
              <w:rPr>
                <w:rFonts w:eastAsia="Times New Roman"/>
                <w:color w:val="000000"/>
                <w:sz w:val="20"/>
                <w:szCs w:val="20"/>
                <w:u w:val="single"/>
              </w:rPr>
              <w:t>Title of each class</w:t>
            </w:r>
          </w:p>
        </w:tc>
        <w:tc>
          <w:tcPr>
            <w:tcW w:w="0" w:type="auto"/>
            <w:gridSpan w:val="3"/>
            <w:tcMar>
              <w:top w:w="0" w:type="dxa"/>
              <w:left w:w="20" w:type="dxa"/>
              <w:bottom w:w="0" w:type="dxa"/>
              <w:right w:w="20" w:type="dxa"/>
            </w:tcMar>
            <w:vAlign w:val="center"/>
            <w:hideMark/>
          </w:tcPr>
          <w:p w:rsidR="00000000" w:rsidRDefault="00613AE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13AEB">
            <w:pPr>
              <w:spacing w:after="100"/>
              <w:jc w:val="center"/>
              <w:rPr>
                <w:rFonts w:eastAsia="Times New Roman"/>
              </w:rPr>
            </w:pPr>
            <w:r>
              <w:rPr>
                <w:rFonts w:eastAsia="Times New Roman"/>
                <w:color w:val="000000"/>
                <w:sz w:val="20"/>
                <w:szCs w:val="20"/>
                <w:u w:val="single"/>
              </w:rPr>
              <w:t>Trading Symbol(s)</w:t>
            </w:r>
          </w:p>
        </w:tc>
        <w:tc>
          <w:tcPr>
            <w:tcW w:w="0" w:type="auto"/>
            <w:gridSpan w:val="3"/>
            <w:tcMar>
              <w:top w:w="0" w:type="dxa"/>
              <w:left w:w="20" w:type="dxa"/>
              <w:bottom w:w="0" w:type="dxa"/>
              <w:right w:w="20" w:type="dxa"/>
            </w:tcMar>
            <w:vAlign w:val="center"/>
            <w:hideMark/>
          </w:tcPr>
          <w:p w:rsidR="00000000" w:rsidRDefault="00613AE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13AEB">
            <w:pPr>
              <w:spacing w:after="100"/>
              <w:jc w:val="center"/>
              <w:rPr>
                <w:rFonts w:eastAsia="Times New Roman"/>
              </w:rPr>
            </w:pPr>
            <w:r>
              <w:rPr>
                <w:rFonts w:eastAsia="Times New Roman"/>
                <w:color w:val="000000"/>
                <w:sz w:val="20"/>
                <w:szCs w:val="20"/>
                <w:u w:val="single"/>
              </w:rPr>
              <w:t>Name of each exchange on which registered</w:t>
            </w:r>
          </w:p>
        </w:tc>
      </w:tr>
      <w:tr w:rsidR="00000000">
        <w:trPr>
          <w:divId w:val="341399017"/>
        </w:trPr>
        <w:tc>
          <w:tcPr>
            <w:tcW w:w="0" w:type="auto"/>
            <w:gridSpan w:val="3"/>
            <w:tcMar>
              <w:top w:w="30" w:type="dxa"/>
              <w:left w:w="20" w:type="dxa"/>
              <w:bottom w:w="30" w:type="dxa"/>
              <w:right w:w="20" w:type="dxa"/>
            </w:tcMar>
            <w:vAlign w:val="bottom"/>
            <w:hideMark/>
          </w:tcPr>
          <w:p w:rsidR="00000000" w:rsidRDefault="00613AEB">
            <w:pPr>
              <w:spacing w:after="100"/>
              <w:jc w:val="center"/>
              <w:rPr>
                <w:rFonts w:eastAsia="Times New Roman"/>
              </w:rPr>
            </w:pPr>
            <w:r>
              <w:rPr>
                <w:rFonts w:eastAsia="Times New Roman"/>
                <w:color w:val="000000"/>
                <w:sz w:val="20"/>
                <w:szCs w:val="20"/>
              </w:rPr>
              <w:t>Common Stock, $0.008 par value</w:t>
            </w:r>
          </w:p>
        </w:tc>
        <w:tc>
          <w:tcPr>
            <w:tcW w:w="0" w:type="auto"/>
            <w:gridSpan w:val="3"/>
            <w:tcMar>
              <w:top w:w="0" w:type="dxa"/>
              <w:left w:w="20" w:type="dxa"/>
              <w:bottom w:w="0" w:type="dxa"/>
              <w:right w:w="20" w:type="dxa"/>
            </w:tcMar>
            <w:vAlign w:val="center"/>
            <w:hideMark/>
          </w:tcPr>
          <w:p w:rsidR="00000000" w:rsidRDefault="00613AE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13AEB">
            <w:pPr>
              <w:spacing w:after="100"/>
              <w:jc w:val="center"/>
              <w:rPr>
                <w:rFonts w:eastAsia="Times New Roman"/>
              </w:rPr>
            </w:pPr>
            <w:r>
              <w:rPr>
                <w:rFonts w:eastAsia="Times New Roman"/>
                <w:color w:val="000000"/>
                <w:sz w:val="20"/>
                <w:szCs w:val="20"/>
              </w:rPr>
              <w:t>TSCO</w:t>
            </w:r>
          </w:p>
        </w:tc>
        <w:tc>
          <w:tcPr>
            <w:tcW w:w="0" w:type="auto"/>
            <w:gridSpan w:val="3"/>
            <w:tcMar>
              <w:top w:w="0" w:type="dxa"/>
              <w:left w:w="20" w:type="dxa"/>
              <w:bottom w:w="0" w:type="dxa"/>
              <w:right w:w="20" w:type="dxa"/>
            </w:tcMar>
            <w:vAlign w:val="center"/>
            <w:hideMark/>
          </w:tcPr>
          <w:p w:rsidR="00000000" w:rsidRDefault="00613AE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13AEB">
            <w:pPr>
              <w:spacing w:after="100"/>
              <w:jc w:val="center"/>
              <w:rPr>
                <w:rFonts w:eastAsia="Times New Roman"/>
              </w:rPr>
            </w:pPr>
            <w:r>
              <w:rPr>
                <w:rFonts w:eastAsia="Times New Roman"/>
                <w:color w:val="000000"/>
                <w:sz w:val="20"/>
                <w:szCs w:val="20"/>
              </w:rPr>
              <w:t>NASDAQ Global Select Market</w:t>
            </w:r>
          </w:p>
        </w:tc>
      </w:tr>
    </w:tbl>
    <w:p w:rsidR="00000000" w:rsidRDefault="00613AEB">
      <w:pPr>
        <w:jc w:val="both"/>
        <w:rPr>
          <w:rFonts w:eastAsia="Times New Roman"/>
        </w:rPr>
      </w:pPr>
      <w:r>
        <w:rPr>
          <w:rFonts w:eastAsia="Times New Roman"/>
          <w:color w:val="000000"/>
          <w:sz w:val="20"/>
          <w:szCs w:val="20"/>
        </w:rPr>
        <w:t>Indicate by check mark whether the registrant (1) has filed all reports required to be filed by Section 13 or 15(d) of the Securities Exchange Act of 1934 during the preceding 12 months (or for such shorter period that the registrant was required to file s</w:t>
      </w:r>
      <w:r>
        <w:rPr>
          <w:rFonts w:eastAsia="Times New Roman"/>
          <w:color w:val="000000"/>
          <w:sz w:val="20"/>
          <w:szCs w:val="20"/>
        </w:rPr>
        <w:t>uch reports), and (2) has been subject to such filing requirements for the past 90 days.</w:t>
      </w:r>
    </w:p>
    <w:p w:rsidR="00000000" w:rsidRDefault="00613AEB">
      <w:pPr>
        <w:jc w:val="center"/>
        <w:divId w:val="1625228106"/>
        <w:rPr>
          <w:rFonts w:eastAsia="Times New Roman"/>
        </w:rPr>
      </w:pPr>
      <w:r>
        <w:rPr>
          <w:rFonts w:eastAsia="Times New Roman"/>
          <w:color w:val="000000"/>
          <w:sz w:val="20"/>
          <w:szCs w:val="20"/>
        </w:rPr>
        <w:t>Yes </w:t>
      </w:r>
      <w:r>
        <w:rPr>
          <w:rFonts w:ascii="Segoe UI Emoji" w:eastAsia="Times New Roman" w:hAnsi="Segoe UI Emoji" w:cs="Segoe UI Emoji"/>
          <w:color w:val="000000"/>
          <w:sz w:val="20"/>
          <w:szCs w:val="20"/>
        </w:rPr>
        <w:t>☑</w:t>
      </w:r>
      <w:r>
        <w:rPr>
          <w:rFonts w:eastAsia="Times New Roman"/>
          <w:color w:val="000000"/>
          <w:sz w:val="20"/>
          <w:szCs w:val="20"/>
        </w:rPr>
        <w:t xml:space="preserve">    No </w:t>
      </w:r>
      <w:r>
        <w:rPr>
          <w:rFonts w:ascii="Segoe UI Symbol" w:eastAsia="Times New Roman" w:hAnsi="Segoe UI Symbol" w:cs="Segoe UI Symbol"/>
          <w:color w:val="000000"/>
          <w:sz w:val="20"/>
          <w:szCs w:val="20"/>
        </w:rPr>
        <w:t>☐</w:t>
      </w:r>
    </w:p>
    <w:p w:rsidR="00000000" w:rsidRDefault="00613AEB">
      <w:pPr>
        <w:jc w:val="both"/>
        <w:rPr>
          <w:rFonts w:eastAsia="Times New Roman"/>
        </w:rPr>
      </w:pPr>
      <w:r>
        <w:rPr>
          <w:rFonts w:eastAsia="Times New Roman"/>
          <w:color w:val="000000"/>
          <w:sz w:val="20"/>
          <w:szCs w:val="20"/>
        </w:rPr>
        <w:t>Indicate by check mark whether the registrant has submitted electronically every Interactive Data File required to be submitted pursuant to Rule 405 of Regulation S-T (§232.405 of this chapter) during the preceding 12 months (or for such shorter period tha</w:t>
      </w:r>
      <w:r>
        <w:rPr>
          <w:rFonts w:eastAsia="Times New Roman"/>
          <w:color w:val="000000"/>
          <w:sz w:val="20"/>
          <w:szCs w:val="20"/>
        </w:rPr>
        <w:t>t the registrant was required to submit such files).</w:t>
      </w:r>
    </w:p>
    <w:p w:rsidR="00000000" w:rsidRDefault="00613AEB">
      <w:pPr>
        <w:jc w:val="center"/>
        <w:divId w:val="986713202"/>
        <w:rPr>
          <w:rFonts w:eastAsia="Times New Roman"/>
        </w:rPr>
      </w:pPr>
      <w:r>
        <w:rPr>
          <w:rFonts w:eastAsia="Times New Roman"/>
          <w:color w:val="000000"/>
          <w:sz w:val="20"/>
          <w:szCs w:val="20"/>
        </w:rPr>
        <w:t>Yes </w:t>
      </w:r>
      <w:r>
        <w:rPr>
          <w:rFonts w:ascii="Segoe UI Emoji" w:eastAsia="Times New Roman" w:hAnsi="Segoe UI Emoji" w:cs="Segoe UI Emoji"/>
          <w:color w:val="000000"/>
          <w:sz w:val="20"/>
          <w:szCs w:val="20"/>
        </w:rPr>
        <w:t>☑</w:t>
      </w:r>
      <w:r>
        <w:rPr>
          <w:rFonts w:eastAsia="Times New Roman"/>
          <w:color w:val="000000"/>
          <w:sz w:val="20"/>
          <w:szCs w:val="20"/>
        </w:rPr>
        <w:t xml:space="preserve">    No </w:t>
      </w:r>
      <w:r>
        <w:rPr>
          <w:rFonts w:ascii="Segoe UI Symbol" w:eastAsia="Times New Roman" w:hAnsi="Segoe UI Symbol" w:cs="Segoe UI Symbol"/>
          <w:color w:val="000000"/>
          <w:sz w:val="20"/>
          <w:szCs w:val="20"/>
        </w:rPr>
        <w:t>☐</w:t>
      </w:r>
    </w:p>
    <w:p w:rsidR="00000000" w:rsidRDefault="00613AEB">
      <w:pPr>
        <w:jc w:val="both"/>
        <w:rPr>
          <w:rFonts w:eastAsia="Times New Roman"/>
        </w:rPr>
      </w:pPr>
      <w:r>
        <w:rPr>
          <w:rFonts w:eastAsia="Times New Roman"/>
          <w:color w:val="000000"/>
          <w:sz w:val="20"/>
          <w:szCs w:val="20"/>
        </w:rPr>
        <w:t>Indicate by check mark whether the registrant is a large accelerated filer, an accelerated filer, a non-accelerated filer, a smaller reporting company, or an emerging growth company.  See t</w:t>
      </w:r>
      <w:r>
        <w:rPr>
          <w:rFonts w:eastAsia="Times New Roman"/>
          <w:color w:val="000000"/>
          <w:sz w:val="20"/>
          <w:szCs w:val="20"/>
        </w:rPr>
        <w:t>he definitions of “large accelerated filer,” “accelerated filer,” “smaller reporting company,” and “emerging growth company” in Rule 12b-2 of the Exchange Act.</w:t>
      </w:r>
    </w:p>
    <w:tbl>
      <w:tblPr>
        <w:tblW w:w="4913" w:type="pct"/>
        <w:tblCellMar>
          <w:top w:w="15" w:type="dxa"/>
          <w:left w:w="15" w:type="dxa"/>
          <w:bottom w:w="15" w:type="dxa"/>
          <w:right w:w="15" w:type="dxa"/>
        </w:tblCellMar>
        <w:tblLook w:val="04A0" w:firstRow="1" w:lastRow="0" w:firstColumn="1" w:lastColumn="0" w:noHBand="0" w:noVBand="1"/>
      </w:tblPr>
      <w:tblGrid>
        <w:gridCol w:w="67"/>
        <w:gridCol w:w="217"/>
        <w:gridCol w:w="36"/>
        <w:gridCol w:w="68"/>
        <w:gridCol w:w="1721"/>
        <w:gridCol w:w="36"/>
        <w:gridCol w:w="68"/>
        <w:gridCol w:w="3298"/>
        <w:gridCol w:w="36"/>
        <w:gridCol w:w="68"/>
        <w:gridCol w:w="2033"/>
        <w:gridCol w:w="36"/>
        <w:gridCol w:w="68"/>
        <w:gridCol w:w="373"/>
        <w:gridCol w:w="36"/>
      </w:tblGrid>
      <w:tr w:rsidR="00000000">
        <w:tc>
          <w:tcPr>
            <w:tcW w:w="50" w:type="pct"/>
            <w:vAlign w:val="center"/>
            <w:hideMark/>
          </w:tcPr>
          <w:p w:rsidR="00000000" w:rsidRDefault="00613AEB">
            <w:pPr>
              <w:jc w:val="both"/>
              <w:rPr>
                <w:rFonts w:eastAsia="Times New Roman"/>
              </w:rPr>
            </w:pPr>
          </w:p>
        </w:tc>
        <w:tc>
          <w:tcPr>
            <w:tcW w:w="142"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0" w:type="pct"/>
            <w:vAlign w:val="center"/>
            <w:hideMark/>
          </w:tcPr>
          <w:p w:rsidR="00000000" w:rsidRDefault="00613AEB">
            <w:pPr>
              <w:spacing w:after="100"/>
              <w:rPr>
                <w:rFonts w:eastAsia="Times New Roman"/>
                <w:sz w:val="20"/>
                <w:szCs w:val="20"/>
              </w:rPr>
            </w:pPr>
          </w:p>
        </w:tc>
        <w:tc>
          <w:tcPr>
            <w:tcW w:w="1063"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0" w:type="pct"/>
            <w:vAlign w:val="center"/>
            <w:hideMark/>
          </w:tcPr>
          <w:p w:rsidR="00000000" w:rsidRDefault="00613AEB">
            <w:pPr>
              <w:spacing w:after="100"/>
              <w:rPr>
                <w:rFonts w:eastAsia="Times New Roman"/>
                <w:sz w:val="20"/>
                <w:szCs w:val="20"/>
              </w:rPr>
            </w:pPr>
          </w:p>
        </w:tc>
        <w:tc>
          <w:tcPr>
            <w:tcW w:w="2028"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0" w:type="pct"/>
            <w:vAlign w:val="center"/>
            <w:hideMark/>
          </w:tcPr>
          <w:p w:rsidR="00000000" w:rsidRDefault="00613AEB">
            <w:pPr>
              <w:spacing w:after="100"/>
              <w:rPr>
                <w:rFonts w:eastAsia="Times New Roman"/>
                <w:sz w:val="20"/>
                <w:szCs w:val="20"/>
              </w:rPr>
            </w:pPr>
          </w:p>
        </w:tc>
        <w:tc>
          <w:tcPr>
            <w:tcW w:w="1253"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0" w:type="pct"/>
            <w:vAlign w:val="center"/>
            <w:hideMark/>
          </w:tcPr>
          <w:p w:rsidR="00000000" w:rsidRDefault="00613AEB">
            <w:pPr>
              <w:spacing w:after="100"/>
              <w:rPr>
                <w:rFonts w:eastAsia="Times New Roman"/>
                <w:sz w:val="20"/>
                <w:szCs w:val="20"/>
              </w:rPr>
            </w:pPr>
          </w:p>
        </w:tc>
        <w:tc>
          <w:tcPr>
            <w:tcW w:w="237"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613AEB">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Large accelerated filer</w:t>
            </w:r>
          </w:p>
        </w:tc>
        <w:tc>
          <w:tcPr>
            <w:tcW w:w="0" w:type="auto"/>
            <w:gridSpan w:val="3"/>
            <w:tcMar>
              <w:top w:w="30" w:type="dxa"/>
              <w:left w:w="20" w:type="dxa"/>
              <w:bottom w:w="30" w:type="dxa"/>
              <w:right w:w="20" w:type="dxa"/>
            </w:tcMar>
            <w:hideMark/>
          </w:tcPr>
          <w:p w:rsidR="00000000" w:rsidRDefault="00613AEB">
            <w:pPr>
              <w:spacing w:after="100"/>
              <w:rPr>
                <w:rFonts w:eastAsia="Times New Roman"/>
              </w:rPr>
            </w:pPr>
            <w:r>
              <w:rPr>
                <w:rFonts w:ascii="Segoe UI Emoji" w:eastAsia="Times New Roman" w:hAnsi="Segoe UI Emoji" w:cs="Segoe UI Emoji"/>
                <w:color w:val="000000"/>
                <w:sz w:val="20"/>
                <w:szCs w:val="20"/>
              </w:rPr>
              <w:t>☑</w:t>
            </w:r>
          </w:p>
        </w:tc>
        <w:tc>
          <w:tcPr>
            <w:tcW w:w="0" w:type="auto"/>
            <w:gridSpan w:val="3"/>
            <w:tcMar>
              <w:top w:w="30" w:type="dxa"/>
              <w:left w:w="20" w:type="dxa"/>
              <w:bottom w:w="30" w:type="dxa"/>
              <w:right w:w="20" w:type="dxa"/>
            </w:tcMar>
            <w:vAlign w:val="bottom"/>
            <w:hideMark/>
          </w:tcPr>
          <w:p w:rsidR="00000000" w:rsidRDefault="00613AEB">
            <w:pPr>
              <w:spacing w:after="100"/>
              <w:jc w:val="both"/>
              <w:divId w:val="1956906040"/>
              <w:rPr>
                <w:rFonts w:eastAsia="Times New Roman"/>
              </w:rPr>
            </w:pPr>
            <w:r>
              <w:rPr>
                <w:rFonts w:eastAsia="Times New Roman"/>
                <w:color w:val="000000"/>
                <w:sz w:val="20"/>
                <w:szCs w:val="20"/>
              </w:rPr>
              <w:t>Accelerated filer</w:t>
            </w:r>
          </w:p>
        </w:tc>
        <w:tc>
          <w:tcPr>
            <w:tcW w:w="0" w:type="auto"/>
            <w:gridSpan w:val="3"/>
            <w:tcMar>
              <w:top w:w="30" w:type="dxa"/>
              <w:left w:w="20" w:type="dxa"/>
              <w:bottom w:w="30" w:type="dxa"/>
              <w:right w:w="20" w:type="dxa"/>
            </w:tcMar>
            <w:vAlign w:val="bottom"/>
            <w:hideMark/>
          </w:tcPr>
          <w:p w:rsidR="00000000" w:rsidRDefault="00613AEB">
            <w:pPr>
              <w:spacing w:after="100"/>
              <w:jc w:val="both"/>
              <w:divId w:val="1438673542"/>
              <w:rPr>
                <w:rFonts w:eastAsia="Times New Roman"/>
              </w:rPr>
            </w:pPr>
            <w:r>
              <w:rPr>
                <w:rFonts w:ascii="Segoe UI Symbol" w:eastAsia="Times New Roman" w:hAnsi="Segoe UI Symbol" w:cs="Segoe UI Symbol"/>
                <w:color w:val="000000"/>
                <w:sz w:val="20"/>
                <w:szCs w:val="20"/>
              </w:rPr>
              <w:t>☐</w:t>
            </w:r>
          </w:p>
        </w:tc>
      </w:tr>
      <w:tr w:rsidR="00000000">
        <w:tc>
          <w:tcPr>
            <w:tcW w:w="0" w:type="auto"/>
            <w:gridSpan w:val="3"/>
            <w:tcMar>
              <w:top w:w="30" w:type="dxa"/>
              <w:left w:w="20" w:type="dxa"/>
              <w:bottom w:w="30" w:type="dxa"/>
              <w:right w:w="20" w:type="dxa"/>
            </w:tcMar>
            <w:hideMark/>
          </w:tcPr>
          <w:p w:rsidR="00000000" w:rsidRDefault="00613AEB">
            <w:pPr>
              <w:spacing w:after="100"/>
              <w:rPr>
                <w:rFonts w:eastAsia="Times New Roman"/>
              </w:rPr>
            </w:pPr>
            <w:r>
              <w:rPr>
                <w:rFonts w:eastAsia="Times New Roman"/>
                <w:color w:val="000000"/>
                <w:sz w:val="20"/>
                <w:szCs w:val="20"/>
              </w:rPr>
              <w:lastRenderedPageBreak/>
              <w:t> </w:t>
            </w:r>
          </w:p>
        </w:tc>
        <w:tc>
          <w:tcPr>
            <w:tcW w:w="0" w:type="auto"/>
            <w:gridSpan w:val="3"/>
            <w:tcMar>
              <w:top w:w="30" w:type="dxa"/>
              <w:left w:w="20" w:type="dxa"/>
              <w:bottom w:w="30" w:type="dxa"/>
              <w:right w:w="20" w:type="dxa"/>
            </w:tcMar>
            <w:hideMark/>
          </w:tcPr>
          <w:p w:rsidR="00000000" w:rsidRDefault="00613AEB">
            <w:pPr>
              <w:spacing w:after="100"/>
              <w:rPr>
                <w:rFonts w:eastAsia="Times New Roman"/>
              </w:rPr>
            </w:pPr>
            <w:r>
              <w:rPr>
                <w:rFonts w:eastAsia="Times New Roman"/>
                <w:color w:val="000000"/>
                <w:sz w:val="20"/>
                <w:szCs w:val="20"/>
              </w:rPr>
              <w:t>Non-accelerated filer</w:t>
            </w:r>
          </w:p>
        </w:tc>
        <w:tc>
          <w:tcPr>
            <w:tcW w:w="0" w:type="auto"/>
            <w:gridSpan w:val="3"/>
            <w:tcMar>
              <w:top w:w="30" w:type="dxa"/>
              <w:left w:w="20" w:type="dxa"/>
              <w:bottom w:w="30" w:type="dxa"/>
              <w:right w:w="20" w:type="dxa"/>
            </w:tcMar>
            <w:vAlign w:val="bottom"/>
            <w:hideMark/>
          </w:tcPr>
          <w:p w:rsidR="00000000" w:rsidRDefault="00613AEB">
            <w:pPr>
              <w:spacing w:after="100"/>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vAlign w:val="bottom"/>
            <w:hideMark/>
          </w:tcPr>
          <w:p w:rsidR="00000000" w:rsidRDefault="00613AEB">
            <w:pPr>
              <w:spacing w:after="100"/>
              <w:jc w:val="both"/>
              <w:divId w:val="743718904"/>
              <w:rPr>
                <w:rFonts w:eastAsia="Times New Roman"/>
              </w:rPr>
            </w:pPr>
            <w:r>
              <w:rPr>
                <w:rFonts w:eastAsia="Times New Roman"/>
                <w:color w:val="000000"/>
                <w:sz w:val="20"/>
                <w:szCs w:val="20"/>
              </w:rPr>
              <w:t>Smaller reporting company</w:t>
            </w:r>
          </w:p>
        </w:tc>
        <w:tc>
          <w:tcPr>
            <w:tcW w:w="0" w:type="auto"/>
            <w:gridSpan w:val="3"/>
            <w:tcMar>
              <w:top w:w="30" w:type="dxa"/>
              <w:left w:w="20" w:type="dxa"/>
              <w:bottom w:w="30" w:type="dxa"/>
              <w:right w:w="20" w:type="dxa"/>
            </w:tcMar>
            <w:vAlign w:val="bottom"/>
            <w:hideMark/>
          </w:tcPr>
          <w:p w:rsidR="00000000" w:rsidRDefault="00613AEB">
            <w:pPr>
              <w:spacing w:after="100"/>
              <w:jc w:val="both"/>
              <w:divId w:val="729116575"/>
              <w:rPr>
                <w:rFonts w:eastAsia="Times New Roman"/>
              </w:rPr>
            </w:pPr>
            <w:r>
              <w:rPr>
                <w:rFonts w:ascii="Segoe UI Symbol" w:eastAsia="Times New Roman" w:hAnsi="Segoe UI Symbol" w:cs="Segoe UI Symbol"/>
                <w:color w:val="000000"/>
                <w:sz w:val="20"/>
                <w:szCs w:val="20"/>
              </w:rPr>
              <w:t>☐</w:t>
            </w:r>
          </w:p>
        </w:tc>
      </w:tr>
      <w:tr w:rsidR="00000000">
        <w:tc>
          <w:tcPr>
            <w:tcW w:w="0" w:type="auto"/>
            <w:gridSpan w:val="3"/>
            <w:tcMar>
              <w:top w:w="0" w:type="dxa"/>
              <w:left w:w="20" w:type="dxa"/>
              <w:bottom w:w="0" w:type="dxa"/>
              <w:right w:w="20" w:type="dxa"/>
            </w:tcMar>
            <w:vAlign w:val="center"/>
            <w:hideMark/>
          </w:tcPr>
          <w:p w:rsidR="00000000" w:rsidRDefault="00613AEB">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613AEB">
            <w:pPr>
              <w:spacing w:after="100"/>
              <w:jc w:val="both"/>
              <w:divId w:val="1066336354"/>
              <w:rPr>
                <w:rFonts w:eastAsia="Times New Roman"/>
              </w:rPr>
            </w:pPr>
            <w:r>
              <w:rPr>
                <w:rFonts w:eastAsia="Times New Roman"/>
                <w:color w:val="000000"/>
                <w:sz w:val="20"/>
                <w:szCs w:val="20"/>
              </w:rPr>
              <w:t>Emerging growth company</w:t>
            </w:r>
          </w:p>
        </w:tc>
        <w:tc>
          <w:tcPr>
            <w:tcW w:w="0" w:type="auto"/>
            <w:gridSpan w:val="3"/>
            <w:tcMar>
              <w:top w:w="30" w:type="dxa"/>
              <w:left w:w="20" w:type="dxa"/>
              <w:bottom w:w="30" w:type="dxa"/>
              <w:right w:w="20" w:type="dxa"/>
            </w:tcMar>
            <w:vAlign w:val="bottom"/>
            <w:hideMark/>
          </w:tcPr>
          <w:p w:rsidR="00000000" w:rsidRDefault="00613AEB">
            <w:pPr>
              <w:spacing w:after="100"/>
              <w:jc w:val="both"/>
              <w:divId w:val="831215943"/>
              <w:rPr>
                <w:rFonts w:eastAsia="Times New Roman"/>
              </w:rPr>
            </w:pPr>
            <w:r>
              <w:rPr>
                <w:rFonts w:ascii="Segoe UI Symbol" w:eastAsia="Times New Roman" w:hAnsi="Segoe UI Symbol" w:cs="Segoe UI Symbol"/>
                <w:color w:val="000000"/>
                <w:sz w:val="20"/>
                <w:szCs w:val="20"/>
              </w:rPr>
              <w:t>☐</w:t>
            </w:r>
          </w:p>
        </w:tc>
      </w:tr>
    </w:tbl>
    <w:p w:rsidR="00000000" w:rsidRDefault="00613AEB">
      <w:pPr>
        <w:jc w:val="both"/>
        <w:rPr>
          <w:rFonts w:eastAsia="Times New Roman"/>
        </w:rPr>
      </w:pPr>
      <w:r>
        <w:rPr>
          <w:rFonts w:eastAsia="Times New Roman"/>
          <w:color w:val="000000"/>
          <w:sz w:val="20"/>
          <w:szCs w:val="20"/>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eastAsia="Times New Roman" w:hAnsi="Segoe UI Symbol" w:cs="Segoe UI Symbol"/>
          <w:color w:val="000000"/>
          <w:sz w:val="20"/>
          <w:szCs w:val="20"/>
        </w:rPr>
        <w:t>☐</w:t>
      </w:r>
    </w:p>
    <w:p w:rsidR="00000000" w:rsidRDefault="00613AEB">
      <w:pPr>
        <w:jc w:val="both"/>
        <w:rPr>
          <w:rFonts w:eastAsia="Times New Roman"/>
        </w:rPr>
      </w:pPr>
    </w:p>
    <w:p w:rsidR="00000000" w:rsidRDefault="00613AEB">
      <w:pPr>
        <w:jc w:val="both"/>
        <w:rPr>
          <w:rFonts w:eastAsia="Times New Roman"/>
        </w:rPr>
      </w:pPr>
      <w:r>
        <w:rPr>
          <w:rFonts w:eastAsia="Times New Roman"/>
          <w:color w:val="000000"/>
          <w:sz w:val="20"/>
          <w:szCs w:val="20"/>
        </w:rPr>
        <w:t>I</w:t>
      </w:r>
      <w:r>
        <w:rPr>
          <w:rFonts w:eastAsia="Times New Roman"/>
          <w:color w:val="000000"/>
          <w:sz w:val="20"/>
          <w:szCs w:val="20"/>
        </w:rPr>
        <w:t>ndicate by check mark whether the registrant is a shell company (as defined in Rule 12b-2 of the Exchange Act.)</w:t>
      </w:r>
    </w:p>
    <w:p w:rsidR="00000000" w:rsidRDefault="00613AEB">
      <w:pPr>
        <w:jc w:val="center"/>
        <w:divId w:val="93289587"/>
        <w:rPr>
          <w:rFonts w:eastAsia="Times New Roman"/>
        </w:rPr>
      </w:pPr>
      <w:r>
        <w:rPr>
          <w:rFonts w:eastAsia="Times New Roman"/>
          <w:color w:val="000000"/>
          <w:sz w:val="20"/>
          <w:szCs w:val="20"/>
        </w:rPr>
        <w:t xml:space="preserve">Yes </w:t>
      </w:r>
      <w:r>
        <w:rPr>
          <w:rFonts w:ascii="Segoe UI Symbol" w:eastAsia="Times New Roman" w:hAnsi="Segoe UI Symbol" w:cs="Segoe UI Symbol"/>
          <w:color w:val="000000"/>
          <w:sz w:val="20"/>
          <w:szCs w:val="20"/>
        </w:rPr>
        <w:t>☐</w:t>
      </w:r>
      <w:r>
        <w:rPr>
          <w:rFonts w:eastAsia="Times New Roman"/>
          <w:color w:val="000000"/>
          <w:sz w:val="20"/>
          <w:szCs w:val="20"/>
        </w:rPr>
        <w:t xml:space="preserve">   No </w:t>
      </w:r>
      <w:r>
        <w:rPr>
          <w:rFonts w:ascii="Segoe UI Emoji" w:eastAsia="Times New Roman" w:hAnsi="Segoe UI Emoji" w:cs="Segoe UI Emoji"/>
          <w:color w:val="000000"/>
          <w:sz w:val="20"/>
          <w:szCs w:val="20"/>
        </w:rPr>
        <w:t>☑</w:t>
      </w:r>
    </w:p>
    <w:p w:rsidR="00000000" w:rsidRDefault="00613AEB">
      <w:pPr>
        <w:divId w:val="2093575068"/>
        <w:rPr>
          <w:rFonts w:eastAsia="Times New Roman"/>
        </w:rPr>
      </w:pPr>
      <w:r>
        <w:rPr>
          <w:rFonts w:eastAsia="Times New Roman"/>
          <w:color w:val="000000"/>
          <w:sz w:val="20"/>
          <w:szCs w:val="20"/>
        </w:rPr>
        <w:t>Indicate the number of shares outstanding of each of the issuer’s classes of common stock as of the latest practicable date.</w:t>
      </w:r>
    </w:p>
    <w:tbl>
      <w:tblPr>
        <w:tblW w:w="4913" w:type="pct"/>
        <w:tblCellMar>
          <w:top w:w="15" w:type="dxa"/>
          <w:left w:w="15" w:type="dxa"/>
          <w:bottom w:w="15" w:type="dxa"/>
          <w:right w:w="15" w:type="dxa"/>
        </w:tblCellMar>
        <w:tblLook w:val="04A0" w:firstRow="1" w:lastRow="0" w:firstColumn="1" w:lastColumn="0" w:noHBand="0" w:noVBand="1"/>
      </w:tblPr>
      <w:tblGrid>
        <w:gridCol w:w="59"/>
        <w:gridCol w:w="4745"/>
        <w:gridCol w:w="36"/>
        <w:gridCol w:w="36"/>
        <w:gridCol w:w="36"/>
        <w:gridCol w:w="36"/>
        <w:gridCol w:w="44"/>
        <w:gridCol w:w="3133"/>
        <w:gridCol w:w="36"/>
      </w:tblGrid>
      <w:tr w:rsidR="00000000">
        <w:trPr>
          <w:divId w:val="2093575068"/>
        </w:trPr>
        <w:tc>
          <w:tcPr>
            <w:tcW w:w="50" w:type="pct"/>
            <w:vAlign w:val="center"/>
            <w:hideMark/>
          </w:tcPr>
          <w:p w:rsidR="00000000" w:rsidRDefault="00613AEB">
            <w:pPr>
              <w:rPr>
                <w:rFonts w:eastAsia="Times New Roman"/>
              </w:rPr>
            </w:pPr>
          </w:p>
        </w:tc>
        <w:tc>
          <w:tcPr>
            <w:tcW w:w="2920"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26"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0" w:type="pct"/>
            <w:vAlign w:val="center"/>
            <w:hideMark/>
          </w:tcPr>
          <w:p w:rsidR="00000000" w:rsidRDefault="00613AEB">
            <w:pPr>
              <w:spacing w:after="100"/>
              <w:rPr>
                <w:rFonts w:eastAsia="Times New Roman"/>
                <w:sz w:val="20"/>
                <w:szCs w:val="20"/>
              </w:rPr>
            </w:pPr>
          </w:p>
        </w:tc>
        <w:tc>
          <w:tcPr>
            <w:tcW w:w="1933"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r>
      <w:tr w:rsidR="00000000">
        <w:trPr>
          <w:divId w:val="2093575068"/>
        </w:trPr>
        <w:tc>
          <w:tcPr>
            <w:tcW w:w="0" w:type="auto"/>
            <w:gridSpan w:val="3"/>
            <w:tcMar>
              <w:top w:w="30" w:type="dxa"/>
              <w:left w:w="20" w:type="dxa"/>
              <w:bottom w:w="30" w:type="dxa"/>
              <w:right w:w="20" w:type="dxa"/>
            </w:tcMar>
            <w:vAlign w:val="bottom"/>
            <w:hideMark/>
          </w:tcPr>
          <w:p w:rsidR="00000000" w:rsidRDefault="00613AEB">
            <w:pPr>
              <w:spacing w:after="100"/>
              <w:jc w:val="center"/>
              <w:rPr>
                <w:rFonts w:eastAsia="Times New Roman"/>
              </w:rPr>
            </w:pPr>
            <w:r>
              <w:rPr>
                <w:rFonts w:eastAsia="Times New Roman"/>
                <w:color w:val="000000"/>
                <w:sz w:val="20"/>
                <w:szCs w:val="20"/>
              </w:rPr>
              <w:t>Class</w:t>
            </w:r>
          </w:p>
        </w:tc>
        <w:tc>
          <w:tcPr>
            <w:tcW w:w="0" w:type="auto"/>
            <w:gridSpan w:val="3"/>
            <w:tcMar>
              <w:top w:w="0" w:type="dxa"/>
              <w:left w:w="20" w:type="dxa"/>
              <w:bottom w:w="0" w:type="dxa"/>
              <w:right w:w="20" w:type="dxa"/>
            </w:tcMar>
            <w:vAlign w:val="center"/>
            <w:hideMark/>
          </w:tcPr>
          <w:p w:rsidR="00000000" w:rsidRDefault="00613AE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13AEB">
            <w:pPr>
              <w:spacing w:after="100"/>
              <w:jc w:val="center"/>
              <w:rPr>
                <w:rFonts w:eastAsia="Times New Roman"/>
              </w:rPr>
            </w:pPr>
            <w:r>
              <w:rPr>
                <w:rFonts w:eastAsia="Times New Roman"/>
                <w:color w:val="000000"/>
                <w:sz w:val="20"/>
                <w:szCs w:val="20"/>
              </w:rPr>
              <w:t>Outstanding at July 23, 2022</w:t>
            </w:r>
          </w:p>
        </w:tc>
      </w:tr>
      <w:tr w:rsidR="00000000">
        <w:trPr>
          <w:divId w:val="2093575068"/>
        </w:trPr>
        <w:tc>
          <w:tcPr>
            <w:tcW w:w="0" w:type="auto"/>
            <w:gridSpan w:val="3"/>
            <w:tcBorders>
              <w:top w:val="single" w:sz="18" w:space="0" w:color="000000"/>
            </w:tcBorders>
            <w:tcMar>
              <w:top w:w="30" w:type="dxa"/>
              <w:left w:w="20" w:type="dxa"/>
              <w:bottom w:w="30" w:type="dxa"/>
              <w:right w:w="20" w:type="dxa"/>
            </w:tcMar>
            <w:vAlign w:val="bottom"/>
            <w:hideMark/>
          </w:tcPr>
          <w:p w:rsidR="00000000" w:rsidRDefault="00613AEB">
            <w:pPr>
              <w:spacing w:after="100"/>
              <w:jc w:val="center"/>
              <w:rPr>
                <w:rFonts w:eastAsia="Times New Roman"/>
              </w:rPr>
            </w:pPr>
            <w:r>
              <w:rPr>
                <w:rFonts w:eastAsia="Times New Roman"/>
                <w:color w:val="000000"/>
                <w:sz w:val="20"/>
                <w:szCs w:val="20"/>
              </w:rPr>
              <w:t>Common Stock, $0.008 par value</w:t>
            </w:r>
          </w:p>
        </w:tc>
        <w:tc>
          <w:tcPr>
            <w:tcW w:w="0" w:type="auto"/>
            <w:gridSpan w:val="3"/>
            <w:tcMar>
              <w:top w:w="0" w:type="dxa"/>
              <w:left w:w="20" w:type="dxa"/>
              <w:bottom w:w="0" w:type="dxa"/>
              <w:right w:w="20" w:type="dxa"/>
            </w:tcMar>
            <w:vAlign w:val="center"/>
            <w:hideMark/>
          </w:tcPr>
          <w:p w:rsidR="00000000" w:rsidRDefault="00613AEB">
            <w:pPr>
              <w:spacing w:after="100"/>
              <w:jc w:val="center"/>
              <w:rPr>
                <w:rFonts w:eastAsia="Times New Roman"/>
              </w:rPr>
            </w:pPr>
          </w:p>
        </w:tc>
        <w:tc>
          <w:tcPr>
            <w:tcW w:w="0" w:type="auto"/>
            <w:gridSpan w:val="3"/>
            <w:tcBorders>
              <w:top w:val="single" w:sz="18" w:space="0" w:color="000000"/>
            </w:tcBorders>
            <w:tcMar>
              <w:top w:w="30" w:type="dxa"/>
              <w:left w:w="20" w:type="dxa"/>
              <w:bottom w:w="30" w:type="dxa"/>
              <w:right w:w="20" w:type="dxa"/>
            </w:tcMar>
            <w:vAlign w:val="bottom"/>
            <w:hideMark/>
          </w:tcPr>
          <w:p w:rsidR="00000000" w:rsidRDefault="00613AEB">
            <w:pPr>
              <w:spacing w:after="100"/>
              <w:jc w:val="center"/>
              <w:rPr>
                <w:rFonts w:eastAsia="Times New Roman"/>
              </w:rPr>
            </w:pPr>
            <w:r>
              <w:rPr>
                <w:rFonts w:eastAsia="Times New Roman"/>
                <w:color w:val="000000"/>
                <w:sz w:val="20"/>
                <w:szCs w:val="20"/>
              </w:rPr>
              <w:t>111,000,088</w:t>
            </w:r>
          </w:p>
        </w:tc>
      </w:tr>
    </w:tbl>
    <w:p w:rsidR="00000000" w:rsidRDefault="00613AEB">
      <w:pPr>
        <w:jc w:val="both"/>
        <w:rPr>
          <w:rFonts w:eastAsia="Times New Roman"/>
        </w:rPr>
      </w:pPr>
    </w:p>
    <w:p w:rsidR="00000000" w:rsidRDefault="00613AEB">
      <w:pPr>
        <w:divId w:val="2049718808"/>
        <w:rPr>
          <w:rFonts w:eastAsia="Times New Roman"/>
        </w:rPr>
      </w:pPr>
    </w:p>
    <w:p w:rsidR="00000000" w:rsidRDefault="00613AEB">
      <w:pPr>
        <w:rPr>
          <w:rFonts w:eastAsia="Times New Roman"/>
        </w:rPr>
      </w:pPr>
      <w:r>
        <w:rPr>
          <w:rFonts w:eastAsia="Times New Roman"/>
        </w:rPr>
        <w:pict>
          <v:rect id="_x0000_i1026" style="width:0;height:1.5pt" o:hralign="center" o:hrstd="t" o:hr="t" fillcolor="#a0a0a0" stroked="f"/>
        </w:pict>
      </w:r>
    </w:p>
    <w:p w:rsidR="00000000" w:rsidRDefault="00613AEB">
      <w:pPr>
        <w:divId w:val="1828981256"/>
        <w:rPr>
          <w:rFonts w:eastAsia="Times New Roman"/>
        </w:rPr>
      </w:pPr>
    </w:p>
    <w:p w:rsidR="00000000" w:rsidRDefault="00613AEB">
      <w:pPr>
        <w:jc w:val="center"/>
        <w:rPr>
          <w:rFonts w:eastAsia="Times New Roman"/>
        </w:rPr>
      </w:pPr>
      <w:r>
        <w:rPr>
          <w:rFonts w:eastAsia="Times New Roman"/>
          <w:b/>
          <w:bCs/>
          <w:color w:val="000000"/>
          <w:sz w:val="20"/>
          <w:szCs w:val="20"/>
        </w:rPr>
        <w:t>TRACTOR SUPPLY COMPANY</w:t>
      </w:r>
    </w:p>
    <w:p w:rsidR="00000000" w:rsidRDefault="00613AEB">
      <w:pPr>
        <w:jc w:val="center"/>
        <w:rPr>
          <w:rFonts w:eastAsia="Times New Roman"/>
        </w:rPr>
      </w:pPr>
    </w:p>
    <w:p w:rsidR="00000000" w:rsidRDefault="00613AEB">
      <w:pPr>
        <w:jc w:val="center"/>
        <w:rPr>
          <w:rFonts w:eastAsia="Times New Roman"/>
        </w:rPr>
      </w:pPr>
      <w:r>
        <w:rPr>
          <w:rFonts w:eastAsia="Times New Roman"/>
          <w:b/>
          <w:bCs/>
          <w:color w:val="000000"/>
          <w:sz w:val="20"/>
          <w:szCs w:val="20"/>
        </w:rPr>
        <w:t>INDEX</w:t>
      </w:r>
    </w:p>
    <w:p w:rsidR="00000000" w:rsidRDefault="00613AEB">
      <w:pPr>
        <w:divId w:val="648170914"/>
        <w:rPr>
          <w:rFonts w:eastAsia="Times New Roman"/>
        </w:rPr>
      </w:pPr>
    </w:p>
    <w:tbl>
      <w:tblPr>
        <w:tblW w:w="4985" w:type="pct"/>
        <w:jc w:val="center"/>
        <w:tblCellMar>
          <w:top w:w="15" w:type="dxa"/>
          <w:left w:w="15" w:type="dxa"/>
          <w:bottom w:w="15" w:type="dxa"/>
          <w:right w:w="15" w:type="dxa"/>
        </w:tblCellMar>
        <w:tblLook w:val="04A0" w:firstRow="1" w:lastRow="0" w:firstColumn="1" w:lastColumn="0" w:noHBand="0" w:noVBand="1"/>
      </w:tblPr>
      <w:tblGrid>
        <w:gridCol w:w="68"/>
        <w:gridCol w:w="1205"/>
        <w:gridCol w:w="37"/>
        <w:gridCol w:w="69"/>
        <w:gridCol w:w="6174"/>
        <w:gridCol w:w="37"/>
        <w:gridCol w:w="69"/>
        <w:gridCol w:w="586"/>
        <w:gridCol w:w="36"/>
      </w:tblGrid>
      <w:tr w:rsidR="00000000">
        <w:trPr>
          <w:jc w:val="center"/>
        </w:trPr>
        <w:tc>
          <w:tcPr>
            <w:tcW w:w="50" w:type="pct"/>
            <w:vAlign w:val="center"/>
            <w:hideMark/>
          </w:tcPr>
          <w:p w:rsidR="00000000" w:rsidRDefault="00613AEB">
            <w:pPr>
              <w:rPr>
                <w:rFonts w:eastAsia="Times New Roman"/>
              </w:rPr>
            </w:pPr>
          </w:p>
        </w:tc>
        <w:tc>
          <w:tcPr>
            <w:tcW w:w="736"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0" w:type="pct"/>
            <w:vAlign w:val="center"/>
            <w:hideMark/>
          </w:tcPr>
          <w:p w:rsidR="00000000" w:rsidRDefault="00613AEB">
            <w:pPr>
              <w:spacing w:after="100"/>
              <w:rPr>
                <w:rFonts w:eastAsia="Times New Roman"/>
                <w:sz w:val="20"/>
                <w:szCs w:val="20"/>
              </w:rPr>
            </w:pPr>
          </w:p>
        </w:tc>
        <w:tc>
          <w:tcPr>
            <w:tcW w:w="3735"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0" w:type="pct"/>
            <w:vAlign w:val="center"/>
            <w:hideMark/>
          </w:tcPr>
          <w:p w:rsidR="00000000" w:rsidRDefault="00613AEB">
            <w:pPr>
              <w:spacing w:after="100"/>
              <w:rPr>
                <w:rFonts w:eastAsia="Times New Roman"/>
                <w:sz w:val="20"/>
                <w:szCs w:val="20"/>
              </w:rPr>
            </w:pPr>
          </w:p>
        </w:tc>
        <w:tc>
          <w:tcPr>
            <w:tcW w:w="362"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613AEB">
            <w:pPr>
              <w:spacing w:after="100"/>
              <w:jc w:val="both"/>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613AEB">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center"/>
            <w:hideMark/>
          </w:tcPr>
          <w:p w:rsidR="00000000" w:rsidRDefault="00613AEB">
            <w:pPr>
              <w:spacing w:after="100"/>
              <w:jc w:val="center"/>
              <w:rPr>
                <w:rFonts w:eastAsia="Times New Roman"/>
              </w:rPr>
            </w:pPr>
            <w:r>
              <w:rPr>
                <w:rFonts w:eastAsia="Times New Roman"/>
                <w:b/>
                <w:bCs/>
                <w:color w:val="000000"/>
                <w:sz w:val="20"/>
                <w:szCs w:val="20"/>
              </w:rPr>
              <w:t>Page No.</w:t>
            </w:r>
          </w:p>
        </w:tc>
      </w:tr>
      <w:tr w:rsidR="00000000">
        <w:trPr>
          <w:jc w:val="center"/>
        </w:trPr>
        <w:tc>
          <w:tcPr>
            <w:tcW w:w="0" w:type="auto"/>
            <w:gridSpan w:val="3"/>
            <w:vAlign w:val="center"/>
            <w:hideMark/>
          </w:tcPr>
          <w:p w:rsidR="00000000" w:rsidRDefault="00613AEB">
            <w:pPr>
              <w:spacing w:after="100"/>
              <w:jc w:val="center"/>
              <w:rPr>
                <w:rFonts w:eastAsia="Times New Roman"/>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613AEB">
            <w:pPr>
              <w:spacing w:after="100"/>
              <w:divId w:val="1363092473"/>
              <w:rPr>
                <w:rFonts w:eastAsia="Times New Roman"/>
              </w:rPr>
            </w:pPr>
            <w:hyperlink w:anchor="i7b244a6903fc440faaf2365d228fe4ba_10" w:history="1">
              <w:r>
                <w:rPr>
                  <w:rStyle w:val="a3"/>
                  <w:rFonts w:eastAsia="Times New Roman"/>
                  <w:b/>
                  <w:bCs/>
                  <w:sz w:val="20"/>
                  <w:szCs w:val="20"/>
                </w:rPr>
                <w:t>PART I.</w:t>
              </w:r>
            </w:hyperlink>
          </w:p>
        </w:tc>
        <w:tc>
          <w:tcPr>
            <w:tcW w:w="0" w:type="auto"/>
            <w:gridSpan w:val="3"/>
            <w:shd w:val="clear" w:color="auto" w:fill="CCEEFF"/>
            <w:tcMar>
              <w:top w:w="30" w:type="dxa"/>
              <w:left w:w="20" w:type="dxa"/>
              <w:bottom w:w="30" w:type="dxa"/>
              <w:right w:w="20" w:type="dxa"/>
            </w:tcMar>
            <w:hideMark/>
          </w:tcPr>
          <w:p w:rsidR="00000000" w:rsidRDefault="00613AEB">
            <w:pPr>
              <w:spacing w:after="100"/>
              <w:divId w:val="634988000"/>
              <w:rPr>
                <w:rFonts w:eastAsia="Times New Roman"/>
              </w:rPr>
            </w:pPr>
            <w:hyperlink w:anchor="i7b244a6903fc440faaf2365d228fe4ba_10" w:history="1">
              <w:r>
                <w:rPr>
                  <w:rStyle w:val="a3"/>
                  <w:rFonts w:eastAsia="Times New Roman"/>
                  <w:b/>
                  <w:bCs/>
                  <w:sz w:val="20"/>
                  <w:szCs w:val="20"/>
                </w:rPr>
                <w:t>Financial Information</w:t>
              </w:r>
            </w:hyperlink>
          </w:p>
        </w:tc>
        <w:tc>
          <w:tcPr>
            <w:tcW w:w="0" w:type="auto"/>
            <w:gridSpan w:val="3"/>
            <w:tcBorders>
              <w:top w:val="single" w:sz="18" w:space="0" w:color="000000"/>
            </w:tcBorders>
            <w:shd w:val="clear" w:color="auto" w:fill="CCEEFF"/>
            <w:tcMar>
              <w:top w:w="30" w:type="dxa"/>
              <w:left w:w="20" w:type="dxa"/>
              <w:bottom w:w="30" w:type="dxa"/>
              <w:right w:w="20" w:type="dxa"/>
            </w:tcMar>
            <w:hideMark/>
          </w:tcPr>
          <w:p w:rsidR="00000000" w:rsidRDefault="00613AEB">
            <w:pPr>
              <w:spacing w:after="100"/>
              <w:jc w:val="right"/>
              <w:rPr>
                <w:rFonts w:eastAsia="Times New Roman"/>
              </w:rPr>
            </w:pPr>
            <w:hyperlink w:anchor="i7b244a6903fc440faaf2365d228fe4ba_10" w:history="1">
              <w:r>
                <w:rPr>
                  <w:rStyle w:val="a3"/>
                  <w:rFonts w:eastAsia="Times New Roman"/>
                  <w:sz w:val="20"/>
                  <w:szCs w:val="20"/>
                </w:rPr>
                <w:t>3</w:t>
              </w:r>
            </w:hyperlink>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613AEB">
            <w:pPr>
              <w:spacing w:after="100"/>
              <w:divId w:val="134875752"/>
              <w:rPr>
                <w:rFonts w:eastAsia="Times New Roman"/>
              </w:rPr>
            </w:pPr>
            <w:hyperlink w:anchor="i7b244a6903fc440faaf2365d228fe4ba_13" w:history="1">
              <w:r>
                <w:rPr>
                  <w:rStyle w:val="a3"/>
                  <w:rFonts w:eastAsia="Times New Roman"/>
                  <w:sz w:val="20"/>
                  <w:szCs w:val="20"/>
                </w:rPr>
                <w:t>Item 1.</w:t>
              </w:r>
            </w:hyperlink>
          </w:p>
        </w:tc>
        <w:tc>
          <w:tcPr>
            <w:tcW w:w="0" w:type="auto"/>
            <w:gridSpan w:val="3"/>
            <w:shd w:val="clear" w:color="auto" w:fill="FFFFFF"/>
            <w:tcMar>
              <w:top w:w="30" w:type="dxa"/>
              <w:left w:w="20" w:type="dxa"/>
              <w:bottom w:w="30" w:type="dxa"/>
              <w:right w:w="20" w:type="dxa"/>
            </w:tcMar>
            <w:hideMark/>
          </w:tcPr>
          <w:p w:rsidR="00000000" w:rsidRDefault="00613AEB">
            <w:pPr>
              <w:spacing w:after="100"/>
              <w:divId w:val="964778011"/>
              <w:rPr>
                <w:rFonts w:eastAsia="Times New Roman"/>
              </w:rPr>
            </w:pPr>
            <w:hyperlink w:anchor="i7b244a6903fc440faaf2365d228fe4ba_13" w:history="1">
              <w:r>
                <w:rPr>
                  <w:rStyle w:val="a3"/>
                  <w:rFonts w:eastAsia="Times New Roman"/>
                  <w:sz w:val="20"/>
                  <w:szCs w:val="20"/>
                </w:rPr>
                <w:t>Financial Statements</w:t>
              </w:r>
            </w:hyperlink>
          </w:p>
        </w:tc>
        <w:tc>
          <w:tcPr>
            <w:tcW w:w="0" w:type="auto"/>
            <w:gridSpan w:val="3"/>
            <w:shd w:val="clear" w:color="auto" w:fill="FFFFFF"/>
            <w:tcMar>
              <w:top w:w="30" w:type="dxa"/>
              <w:left w:w="20" w:type="dxa"/>
              <w:bottom w:w="30" w:type="dxa"/>
              <w:right w:w="20" w:type="dxa"/>
            </w:tcMar>
            <w:hideMark/>
          </w:tcPr>
          <w:p w:rsidR="00000000" w:rsidRDefault="00613AEB">
            <w:pPr>
              <w:spacing w:after="100"/>
              <w:jc w:val="right"/>
              <w:rPr>
                <w:rFonts w:eastAsia="Times New Roman"/>
              </w:rPr>
            </w:pPr>
            <w:hyperlink w:anchor="i7b244a6903fc440faaf2365d228fe4ba_13" w:history="1">
              <w:r>
                <w:rPr>
                  <w:rStyle w:val="a3"/>
                  <w:rFonts w:eastAsia="Times New Roman"/>
                  <w:sz w:val="20"/>
                  <w:szCs w:val="20"/>
                </w:rPr>
                <w:t>3</w:t>
              </w:r>
            </w:hyperlink>
          </w:p>
        </w:tc>
      </w:tr>
      <w:tr w:rsidR="00000000">
        <w:trPr>
          <w:jc w:val="center"/>
        </w:trPr>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613AEB">
            <w:pPr>
              <w:spacing w:after="100"/>
              <w:divId w:val="944578686"/>
              <w:rPr>
                <w:rFonts w:eastAsia="Times New Roman"/>
              </w:rPr>
            </w:pPr>
            <w:hyperlink w:anchor="i7b244a6903fc440faaf2365d228fe4ba_16" w:history="1">
              <w:r>
                <w:rPr>
                  <w:rStyle w:val="a3"/>
                  <w:rFonts w:eastAsia="Times New Roman"/>
                  <w:sz w:val="20"/>
                  <w:szCs w:val="20"/>
                </w:rPr>
                <w:t xml:space="preserve">Condensed Consolidated Balance Sheets (unaudited) – </w:t>
              </w:r>
            </w:hyperlink>
            <w:hyperlink w:anchor="i7b244a6903fc440faaf2365d228fe4ba_16" w:history="1">
              <w:r>
                <w:rPr>
                  <w:rStyle w:val="a3"/>
                  <w:rFonts w:eastAsia="Times New Roman"/>
                  <w:sz w:val="20"/>
                  <w:szCs w:val="20"/>
                </w:rPr>
                <w:t>June 25</w:t>
              </w:r>
            </w:hyperlink>
            <w:hyperlink w:anchor="i7b244a6903fc440faaf2365d228fe4ba_16" w:history="1">
              <w:r>
                <w:rPr>
                  <w:rStyle w:val="a3"/>
                  <w:rFonts w:eastAsia="Times New Roman"/>
                  <w:sz w:val="20"/>
                  <w:szCs w:val="20"/>
                </w:rPr>
                <w:t xml:space="preserve">, 2022, December 25, 2021 and </w:t>
              </w:r>
            </w:hyperlink>
            <w:hyperlink w:anchor="i7b244a6903fc440faaf2365d228fe4ba_16" w:history="1">
              <w:r>
                <w:rPr>
                  <w:rStyle w:val="a3"/>
                  <w:rFonts w:eastAsia="Times New Roman"/>
                  <w:sz w:val="20"/>
                  <w:szCs w:val="20"/>
                </w:rPr>
                <w:t>June 26</w:t>
              </w:r>
            </w:hyperlink>
            <w:hyperlink w:anchor="i7b244a6903fc440faaf2365d228fe4ba_16" w:history="1">
              <w:r>
                <w:rPr>
                  <w:rStyle w:val="a3"/>
                  <w:rFonts w:eastAsia="Times New Roman"/>
                  <w:sz w:val="20"/>
                  <w:szCs w:val="20"/>
                </w:rPr>
                <w:t>, 2021</w:t>
              </w:r>
            </w:hyperlink>
          </w:p>
        </w:tc>
        <w:tc>
          <w:tcPr>
            <w:tcW w:w="0" w:type="auto"/>
            <w:gridSpan w:val="3"/>
            <w:shd w:val="clear" w:color="auto" w:fill="CCEEFF"/>
            <w:tcMar>
              <w:top w:w="30" w:type="dxa"/>
              <w:left w:w="20" w:type="dxa"/>
              <w:bottom w:w="30" w:type="dxa"/>
              <w:right w:w="20" w:type="dxa"/>
            </w:tcMar>
            <w:hideMark/>
          </w:tcPr>
          <w:p w:rsidR="00000000" w:rsidRDefault="00613AEB">
            <w:pPr>
              <w:spacing w:after="100"/>
              <w:jc w:val="right"/>
              <w:rPr>
                <w:rFonts w:eastAsia="Times New Roman"/>
              </w:rPr>
            </w:pPr>
            <w:hyperlink w:anchor="i7b244a6903fc440faaf2365d228fe4ba_16" w:history="1">
              <w:r>
                <w:rPr>
                  <w:rStyle w:val="a3"/>
                  <w:rFonts w:eastAsia="Times New Roman"/>
                  <w:sz w:val="20"/>
                  <w:szCs w:val="20"/>
                </w:rPr>
                <w:t>3</w:t>
              </w:r>
            </w:hyperlink>
          </w:p>
        </w:tc>
      </w:tr>
      <w:tr w:rsidR="00000000">
        <w:trPr>
          <w:jc w:val="center"/>
        </w:trPr>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613AEB">
            <w:pPr>
              <w:spacing w:after="100"/>
              <w:divId w:val="71506821"/>
              <w:rPr>
                <w:rFonts w:eastAsia="Times New Roman"/>
              </w:rPr>
            </w:pPr>
            <w:hyperlink w:anchor="i7b244a6903fc440faaf2365d228fe4ba_19" w:history="1">
              <w:r>
                <w:rPr>
                  <w:rStyle w:val="a3"/>
                  <w:rFonts w:eastAsia="Times New Roman"/>
                  <w:sz w:val="20"/>
                  <w:szCs w:val="20"/>
                </w:rPr>
                <w:t>Condensed Consolidated Statements of Income (</w:t>
              </w:r>
              <w:r>
                <w:rPr>
                  <w:rStyle w:val="a3"/>
                  <w:rFonts w:eastAsia="Times New Roman"/>
                  <w:sz w:val="20"/>
                  <w:szCs w:val="20"/>
                </w:rPr>
                <w:t xml:space="preserve">unaudited) – For the Fiscal Three </w:t>
              </w:r>
            </w:hyperlink>
            <w:hyperlink w:anchor="i7b244a6903fc440faaf2365d228fe4ba_19" w:history="1">
              <w:r>
                <w:rPr>
                  <w:rStyle w:val="a3"/>
                  <w:rFonts w:eastAsia="Times New Roman"/>
                  <w:sz w:val="20"/>
                  <w:szCs w:val="20"/>
                </w:rPr>
                <w:t>and Si</w:t>
              </w:r>
            </w:hyperlink>
            <w:hyperlink w:anchor="i7b244a6903fc440faaf2365d228fe4ba_19" w:history="1">
              <w:r>
                <w:rPr>
                  <w:rStyle w:val="a3"/>
                  <w:rFonts w:eastAsia="Times New Roman"/>
                  <w:sz w:val="20"/>
                  <w:szCs w:val="20"/>
                </w:rPr>
                <w:t xml:space="preserve">x </w:t>
              </w:r>
            </w:hyperlink>
            <w:hyperlink w:anchor="i7b244a6903fc440faaf2365d228fe4ba_19" w:history="1">
              <w:r>
                <w:rPr>
                  <w:rStyle w:val="a3"/>
                  <w:rFonts w:eastAsia="Times New Roman"/>
                  <w:sz w:val="20"/>
                  <w:szCs w:val="20"/>
                </w:rPr>
                <w:t>Months Ended</w:t>
              </w:r>
            </w:hyperlink>
            <w:hyperlink w:anchor="i7b244a6903fc440faaf2365d228fe4ba_19" w:history="1">
              <w:r>
                <w:rPr>
                  <w:rStyle w:val="a3"/>
                  <w:rFonts w:eastAsia="Times New Roman"/>
                  <w:sz w:val="20"/>
                  <w:szCs w:val="20"/>
                </w:rPr>
                <w:t xml:space="preserve"> June</w:t>
              </w:r>
            </w:hyperlink>
            <w:hyperlink w:anchor="i7b244a6903fc440faaf2365d228fe4ba_19" w:history="1">
              <w:r>
                <w:rPr>
                  <w:rStyle w:val="a3"/>
                  <w:rFonts w:eastAsia="Times New Roman"/>
                  <w:sz w:val="20"/>
                  <w:szCs w:val="20"/>
                </w:rPr>
                <w:t> 2</w:t>
              </w:r>
            </w:hyperlink>
            <w:hyperlink w:anchor="i7b244a6903fc440faaf2365d228fe4ba_19" w:history="1">
              <w:r>
                <w:rPr>
                  <w:rStyle w:val="a3"/>
                  <w:rFonts w:eastAsia="Times New Roman"/>
                  <w:sz w:val="20"/>
                  <w:szCs w:val="20"/>
                </w:rPr>
                <w:t>5</w:t>
              </w:r>
            </w:hyperlink>
            <w:hyperlink w:anchor="i7b244a6903fc440faaf2365d228fe4ba_19" w:history="1">
              <w:r>
                <w:rPr>
                  <w:rStyle w:val="a3"/>
                  <w:rFonts w:eastAsia="Times New Roman"/>
                  <w:sz w:val="20"/>
                  <w:szCs w:val="20"/>
                </w:rPr>
                <w:t xml:space="preserve">, 2022 and </w:t>
              </w:r>
            </w:hyperlink>
            <w:hyperlink w:anchor="i7b244a6903fc440faaf2365d228fe4ba_19" w:history="1">
              <w:r>
                <w:rPr>
                  <w:rStyle w:val="a3"/>
                  <w:rFonts w:eastAsia="Times New Roman"/>
                  <w:sz w:val="20"/>
                  <w:szCs w:val="20"/>
                </w:rPr>
                <w:t>June 26</w:t>
              </w:r>
            </w:hyperlink>
            <w:hyperlink w:anchor="i7b244a6903fc440faaf2365d228fe4ba_19" w:history="1">
              <w:r>
                <w:rPr>
                  <w:rStyle w:val="a3"/>
                  <w:rFonts w:eastAsia="Times New Roman"/>
                  <w:sz w:val="20"/>
                  <w:szCs w:val="20"/>
                </w:rPr>
                <w:t>, 2021</w:t>
              </w:r>
            </w:hyperlink>
          </w:p>
        </w:tc>
        <w:tc>
          <w:tcPr>
            <w:tcW w:w="0" w:type="auto"/>
            <w:gridSpan w:val="3"/>
            <w:shd w:val="clear" w:color="auto" w:fill="FFFFFF"/>
            <w:tcMar>
              <w:top w:w="30" w:type="dxa"/>
              <w:left w:w="20" w:type="dxa"/>
              <w:bottom w:w="30" w:type="dxa"/>
              <w:right w:w="20" w:type="dxa"/>
            </w:tcMar>
            <w:hideMark/>
          </w:tcPr>
          <w:p w:rsidR="00000000" w:rsidRDefault="00613AEB">
            <w:pPr>
              <w:spacing w:after="100"/>
              <w:jc w:val="right"/>
              <w:rPr>
                <w:rFonts w:eastAsia="Times New Roman"/>
              </w:rPr>
            </w:pPr>
            <w:hyperlink w:anchor="i7b244a6903fc440faaf2365d228fe4ba_19" w:history="1">
              <w:r>
                <w:rPr>
                  <w:rStyle w:val="a3"/>
                  <w:rFonts w:eastAsia="Times New Roman"/>
                  <w:sz w:val="20"/>
                  <w:szCs w:val="20"/>
                </w:rPr>
                <w:t>4</w:t>
              </w:r>
            </w:hyperlink>
          </w:p>
        </w:tc>
      </w:tr>
      <w:tr w:rsidR="00000000">
        <w:trPr>
          <w:jc w:val="center"/>
        </w:trPr>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613AEB">
            <w:pPr>
              <w:spacing w:after="100"/>
              <w:divId w:val="1531215567"/>
              <w:rPr>
                <w:rFonts w:eastAsia="Times New Roman"/>
              </w:rPr>
            </w:pPr>
            <w:hyperlink w:anchor="i7b244a6903fc440faaf2365d228fe4ba_22" w:history="1">
              <w:r>
                <w:rPr>
                  <w:rStyle w:val="a3"/>
                  <w:rFonts w:eastAsia="Times New Roman"/>
                  <w:sz w:val="20"/>
                  <w:szCs w:val="20"/>
                </w:rPr>
                <w:t>Condensed Consolidated Statements of Comprehensive Income (unaudited) – For the Fiscal Three</w:t>
              </w:r>
            </w:hyperlink>
            <w:hyperlink w:anchor="i7b244a6903fc440faaf2365d228fe4ba_22" w:history="1">
              <w:r>
                <w:rPr>
                  <w:rStyle w:val="a3"/>
                  <w:rFonts w:eastAsia="Times New Roman"/>
                  <w:sz w:val="20"/>
                  <w:szCs w:val="20"/>
                </w:rPr>
                <w:t xml:space="preserve"> and Si</w:t>
              </w:r>
            </w:hyperlink>
            <w:hyperlink w:anchor="i7b244a6903fc440faaf2365d228fe4ba_22" w:history="1">
              <w:r>
                <w:rPr>
                  <w:rStyle w:val="a3"/>
                  <w:rFonts w:eastAsia="Times New Roman"/>
                  <w:sz w:val="20"/>
                  <w:szCs w:val="20"/>
                </w:rPr>
                <w:t>x</w:t>
              </w:r>
            </w:hyperlink>
            <w:hyperlink w:anchor="i7b244a6903fc440faaf2365d228fe4ba_22" w:history="1">
              <w:r>
                <w:rPr>
                  <w:rStyle w:val="a3"/>
                  <w:rFonts w:eastAsia="Times New Roman"/>
                  <w:sz w:val="20"/>
                  <w:szCs w:val="20"/>
                </w:rPr>
                <w:t xml:space="preserve"> Months Ended </w:t>
              </w:r>
            </w:hyperlink>
            <w:hyperlink w:anchor="i7b244a6903fc440faaf2365d228fe4ba_22" w:history="1">
              <w:r>
                <w:rPr>
                  <w:rStyle w:val="a3"/>
                  <w:rFonts w:eastAsia="Times New Roman"/>
                  <w:sz w:val="20"/>
                  <w:szCs w:val="20"/>
                </w:rPr>
                <w:t>June 25</w:t>
              </w:r>
            </w:hyperlink>
            <w:hyperlink w:anchor="i7b244a6903fc440faaf2365d228fe4ba_22" w:history="1">
              <w:r>
                <w:rPr>
                  <w:rStyle w:val="a3"/>
                  <w:rFonts w:eastAsia="Times New Roman"/>
                  <w:sz w:val="20"/>
                  <w:szCs w:val="20"/>
                </w:rPr>
                <w:t xml:space="preserve">, 2022 and </w:t>
              </w:r>
            </w:hyperlink>
            <w:hyperlink w:anchor="i7b244a6903fc440faaf2365d228fe4ba_22" w:history="1">
              <w:r>
                <w:rPr>
                  <w:rStyle w:val="a3"/>
                  <w:rFonts w:eastAsia="Times New Roman"/>
                  <w:sz w:val="20"/>
                  <w:szCs w:val="20"/>
                </w:rPr>
                <w:t>June 26</w:t>
              </w:r>
            </w:hyperlink>
            <w:hyperlink w:anchor="i7b244a6903fc440faaf2365d228fe4ba_22" w:history="1">
              <w:r>
                <w:rPr>
                  <w:rStyle w:val="a3"/>
                  <w:rFonts w:eastAsia="Times New Roman"/>
                  <w:sz w:val="20"/>
                  <w:szCs w:val="20"/>
                </w:rPr>
                <w:t>, 2021</w:t>
              </w:r>
            </w:hyperlink>
          </w:p>
        </w:tc>
        <w:tc>
          <w:tcPr>
            <w:tcW w:w="0" w:type="auto"/>
            <w:gridSpan w:val="3"/>
            <w:shd w:val="clear" w:color="auto" w:fill="CCEEFF"/>
            <w:tcMar>
              <w:top w:w="30" w:type="dxa"/>
              <w:left w:w="20" w:type="dxa"/>
              <w:bottom w:w="30" w:type="dxa"/>
              <w:right w:w="20" w:type="dxa"/>
            </w:tcMar>
            <w:hideMark/>
          </w:tcPr>
          <w:p w:rsidR="00000000" w:rsidRDefault="00613AEB">
            <w:pPr>
              <w:spacing w:after="100"/>
              <w:jc w:val="right"/>
              <w:rPr>
                <w:rFonts w:eastAsia="Times New Roman"/>
              </w:rPr>
            </w:pPr>
            <w:hyperlink w:anchor="i7b244a6903fc440faaf2365d228fe4ba_22" w:history="1">
              <w:r>
                <w:rPr>
                  <w:rStyle w:val="a3"/>
                  <w:rFonts w:eastAsia="Times New Roman"/>
                  <w:sz w:val="20"/>
                  <w:szCs w:val="20"/>
                </w:rPr>
                <w:t>5</w:t>
              </w:r>
            </w:hyperlink>
          </w:p>
        </w:tc>
      </w:tr>
      <w:tr w:rsidR="00000000">
        <w:trPr>
          <w:jc w:val="center"/>
        </w:trPr>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613AEB">
            <w:pPr>
              <w:spacing w:after="100"/>
              <w:divId w:val="2070764789"/>
              <w:rPr>
                <w:rFonts w:eastAsia="Times New Roman"/>
              </w:rPr>
            </w:pPr>
            <w:hyperlink w:anchor="i7b244a6903fc440faaf2365d228fe4ba_25" w:history="1">
              <w:r>
                <w:rPr>
                  <w:rStyle w:val="a3"/>
                  <w:rFonts w:eastAsia="Times New Roman"/>
                  <w:sz w:val="20"/>
                  <w:szCs w:val="20"/>
                </w:rPr>
                <w:t xml:space="preserve">Condensed Consolidated Statements of Stockholders’ Equity (unaudited) – For the Fiscal Three </w:t>
              </w:r>
            </w:hyperlink>
            <w:hyperlink w:anchor="i7b244a6903fc440faaf2365d228fe4ba_25" w:history="1">
              <w:r>
                <w:rPr>
                  <w:rStyle w:val="a3"/>
                  <w:rFonts w:eastAsia="Times New Roman"/>
                  <w:sz w:val="20"/>
                  <w:szCs w:val="20"/>
                </w:rPr>
                <w:t xml:space="preserve">and Six </w:t>
              </w:r>
            </w:hyperlink>
            <w:hyperlink w:anchor="i7b244a6903fc440faaf2365d228fe4ba_25" w:history="1">
              <w:r>
                <w:rPr>
                  <w:rStyle w:val="a3"/>
                  <w:rFonts w:eastAsia="Times New Roman"/>
                  <w:sz w:val="20"/>
                  <w:szCs w:val="20"/>
                </w:rPr>
                <w:t xml:space="preserve">Months Ended </w:t>
              </w:r>
            </w:hyperlink>
            <w:hyperlink w:anchor="i7b244a6903fc440faaf2365d228fe4ba_25" w:history="1">
              <w:r>
                <w:rPr>
                  <w:rStyle w:val="a3"/>
                  <w:rFonts w:eastAsia="Times New Roman"/>
                  <w:sz w:val="20"/>
                  <w:szCs w:val="20"/>
                </w:rPr>
                <w:t>June 25</w:t>
              </w:r>
            </w:hyperlink>
            <w:hyperlink w:anchor="i7b244a6903fc440faaf2365d228fe4ba_25" w:history="1">
              <w:r>
                <w:rPr>
                  <w:rStyle w:val="a3"/>
                  <w:rFonts w:eastAsia="Times New Roman"/>
                  <w:sz w:val="20"/>
                  <w:szCs w:val="20"/>
                </w:rPr>
                <w:t xml:space="preserve">, 2022 and </w:t>
              </w:r>
            </w:hyperlink>
            <w:hyperlink w:anchor="i7b244a6903fc440faaf2365d228fe4ba_25" w:history="1">
              <w:r>
                <w:rPr>
                  <w:rStyle w:val="a3"/>
                  <w:rFonts w:eastAsia="Times New Roman"/>
                  <w:sz w:val="20"/>
                  <w:szCs w:val="20"/>
                </w:rPr>
                <w:t>June 26</w:t>
              </w:r>
            </w:hyperlink>
            <w:hyperlink w:anchor="i7b244a6903fc440faaf2365d228fe4ba_25" w:history="1">
              <w:r>
                <w:rPr>
                  <w:rStyle w:val="a3"/>
                  <w:rFonts w:eastAsia="Times New Roman"/>
                  <w:sz w:val="20"/>
                  <w:szCs w:val="20"/>
                </w:rPr>
                <w:t>, 2021</w:t>
              </w:r>
            </w:hyperlink>
          </w:p>
        </w:tc>
        <w:tc>
          <w:tcPr>
            <w:tcW w:w="0" w:type="auto"/>
            <w:gridSpan w:val="3"/>
            <w:shd w:val="clear" w:color="auto" w:fill="FFFFFF"/>
            <w:tcMar>
              <w:top w:w="30" w:type="dxa"/>
              <w:left w:w="20" w:type="dxa"/>
              <w:bottom w:w="30" w:type="dxa"/>
              <w:right w:w="20" w:type="dxa"/>
            </w:tcMar>
            <w:hideMark/>
          </w:tcPr>
          <w:p w:rsidR="00000000" w:rsidRDefault="00613AEB">
            <w:pPr>
              <w:spacing w:after="100"/>
              <w:jc w:val="right"/>
              <w:rPr>
                <w:rFonts w:eastAsia="Times New Roman"/>
              </w:rPr>
            </w:pPr>
            <w:hyperlink w:anchor="i7b244a6903fc440faaf2365d228fe4ba_25" w:history="1">
              <w:r>
                <w:rPr>
                  <w:rStyle w:val="a3"/>
                  <w:rFonts w:eastAsia="Times New Roman"/>
                  <w:sz w:val="20"/>
                  <w:szCs w:val="20"/>
                </w:rPr>
                <w:t>6</w:t>
              </w:r>
            </w:hyperlink>
          </w:p>
        </w:tc>
      </w:tr>
      <w:tr w:rsidR="00000000">
        <w:trPr>
          <w:jc w:val="center"/>
        </w:trPr>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613AEB">
            <w:pPr>
              <w:spacing w:after="100"/>
              <w:divId w:val="1191800277"/>
              <w:rPr>
                <w:rFonts w:eastAsia="Times New Roman"/>
              </w:rPr>
            </w:pPr>
            <w:hyperlink w:anchor="i7b244a6903fc440faaf2365d228fe4ba_28" w:history="1">
              <w:r>
                <w:rPr>
                  <w:rStyle w:val="a3"/>
                  <w:rFonts w:eastAsia="Times New Roman"/>
                  <w:sz w:val="20"/>
                  <w:szCs w:val="20"/>
                </w:rPr>
                <w:t xml:space="preserve">Condensed Consolidated Statements of Cash Flows (unaudited) – For the Fiscal </w:t>
              </w:r>
            </w:hyperlink>
            <w:hyperlink w:anchor="i7b244a6903fc440faaf2365d228fe4ba_28" w:history="1">
              <w:r>
                <w:rPr>
                  <w:rStyle w:val="a3"/>
                  <w:rFonts w:eastAsia="Times New Roman"/>
                  <w:sz w:val="20"/>
                  <w:szCs w:val="20"/>
                </w:rPr>
                <w:t>Six</w:t>
              </w:r>
            </w:hyperlink>
            <w:hyperlink w:anchor="i7b244a6903fc440faaf2365d228fe4ba_28" w:history="1">
              <w:r>
                <w:rPr>
                  <w:rStyle w:val="a3"/>
                  <w:rFonts w:eastAsia="Times New Roman"/>
                  <w:sz w:val="20"/>
                  <w:szCs w:val="20"/>
                </w:rPr>
                <w:t xml:space="preserve"> Months Ended </w:t>
              </w:r>
            </w:hyperlink>
            <w:hyperlink w:anchor="i7b244a6903fc440faaf2365d228fe4ba_28" w:history="1">
              <w:r>
                <w:rPr>
                  <w:rStyle w:val="a3"/>
                  <w:rFonts w:eastAsia="Times New Roman"/>
                  <w:sz w:val="20"/>
                  <w:szCs w:val="20"/>
                </w:rPr>
                <w:t>June 25</w:t>
              </w:r>
            </w:hyperlink>
            <w:hyperlink w:anchor="i7b244a6903fc440faaf2365d228fe4ba_28" w:history="1">
              <w:r>
                <w:rPr>
                  <w:rStyle w:val="a3"/>
                  <w:rFonts w:eastAsia="Times New Roman"/>
                  <w:sz w:val="20"/>
                  <w:szCs w:val="20"/>
                </w:rPr>
                <w:t xml:space="preserve">, 2022 and </w:t>
              </w:r>
            </w:hyperlink>
            <w:hyperlink w:anchor="i7b244a6903fc440faaf2365d228fe4ba_28" w:history="1">
              <w:r>
                <w:rPr>
                  <w:rStyle w:val="a3"/>
                  <w:rFonts w:eastAsia="Times New Roman"/>
                  <w:sz w:val="20"/>
                  <w:szCs w:val="20"/>
                </w:rPr>
                <w:t>June 26</w:t>
              </w:r>
            </w:hyperlink>
            <w:hyperlink w:anchor="i7b244a6903fc440faaf2365d228fe4ba_28" w:history="1">
              <w:r>
                <w:rPr>
                  <w:rStyle w:val="a3"/>
                  <w:rFonts w:eastAsia="Times New Roman"/>
                  <w:sz w:val="20"/>
                  <w:szCs w:val="20"/>
                </w:rPr>
                <w:t>, 2021</w:t>
              </w:r>
            </w:hyperlink>
          </w:p>
        </w:tc>
        <w:tc>
          <w:tcPr>
            <w:tcW w:w="0" w:type="auto"/>
            <w:gridSpan w:val="3"/>
            <w:shd w:val="clear" w:color="auto" w:fill="CCEEFF"/>
            <w:tcMar>
              <w:top w:w="30" w:type="dxa"/>
              <w:left w:w="20" w:type="dxa"/>
              <w:bottom w:w="30" w:type="dxa"/>
              <w:right w:w="20" w:type="dxa"/>
            </w:tcMar>
            <w:hideMark/>
          </w:tcPr>
          <w:p w:rsidR="00000000" w:rsidRDefault="00613AEB">
            <w:pPr>
              <w:spacing w:after="100"/>
              <w:jc w:val="right"/>
              <w:rPr>
                <w:rFonts w:eastAsia="Times New Roman"/>
              </w:rPr>
            </w:pPr>
            <w:hyperlink w:anchor="i7b244a6903fc440faaf2365d228fe4ba_28" w:history="1">
              <w:r>
                <w:rPr>
                  <w:rStyle w:val="a3"/>
                  <w:rFonts w:eastAsia="Times New Roman"/>
                  <w:sz w:val="20"/>
                  <w:szCs w:val="20"/>
                </w:rPr>
                <w:t>8</w:t>
              </w:r>
            </w:hyperlink>
          </w:p>
        </w:tc>
      </w:tr>
      <w:tr w:rsidR="00000000">
        <w:trPr>
          <w:jc w:val="center"/>
        </w:trPr>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613AEB">
            <w:pPr>
              <w:spacing w:after="100"/>
              <w:divId w:val="821389644"/>
              <w:rPr>
                <w:rFonts w:eastAsia="Times New Roman"/>
              </w:rPr>
            </w:pPr>
            <w:hyperlink w:anchor="i7b244a6903fc440faaf2365d228fe4ba_31" w:history="1">
              <w:r>
                <w:rPr>
                  <w:rStyle w:val="a3"/>
                  <w:rFonts w:eastAsia="Times New Roman"/>
                  <w:sz w:val="20"/>
                  <w:szCs w:val="20"/>
                </w:rPr>
                <w:t>Notes to Unaudited Condensed Consolidated Financial Statements</w:t>
              </w:r>
            </w:hyperlink>
          </w:p>
        </w:tc>
        <w:tc>
          <w:tcPr>
            <w:tcW w:w="0" w:type="auto"/>
            <w:gridSpan w:val="3"/>
            <w:shd w:val="clear" w:color="auto" w:fill="FFFFFF"/>
            <w:tcMar>
              <w:top w:w="30" w:type="dxa"/>
              <w:left w:w="20" w:type="dxa"/>
              <w:bottom w:w="30" w:type="dxa"/>
              <w:right w:w="20" w:type="dxa"/>
            </w:tcMar>
            <w:hideMark/>
          </w:tcPr>
          <w:p w:rsidR="00000000" w:rsidRDefault="00613AEB">
            <w:pPr>
              <w:spacing w:after="100"/>
              <w:jc w:val="right"/>
              <w:rPr>
                <w:rFonts w:eastAsia="Times New Roman"/>
              </w:rPr>
            </w:pPr>
            <w:hyperlink w:anchor="i7b244a6903fc440faaf2365d228fe4ba_31" w:history="1">
              <w:r>
                <w:rPr>
                  <w:rStyle w:val="a3"/>
                  <w:rFonts w:eastAsia="Times New Roman"/>
                  <w:sz w:val="20"/>
                  <w:szCs w:val="20"/>
                </w:rPr>
                <w:t>9</w:t>
              </w:r>
            </w:hyperlink>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613AEB">
            <w:pPr>
              <w:spacing w:after="100"/>
              <w:divId w:val="634718054"/>
              <w:rPr>
                <w:rFonts w:eastAsia="Times New Roman"/>
              </w:rPr>
            </w:pPr>
            <w:hyperlink w:anchor="i7b244a6903fc440faaf2365d228fe4ba_64" w:history="1">
              <w:r>
                <w:rPr>
                  <w:rStyle w:val="a3"/>
                  <w:rFonts w:eastAsia="Times New Roman"/>
                  <w:sz w:val="20"/>
                  <w:szCs w:val="20"/>
                </w:rPr>
                <w:t>Item 2.</w:t>
              </w:r>
            </w:hyperlink>
          </w:p>
        </w:tc>
        <w:tc>
          <w:tcPr>
            <w:tcW w:w="0" w:type="auto"/>
            <w:gridSpan w:val="3"/>
            <w:shd w:val="clear" w:color="auto" w:fill="CCEEFF"/>
            <w:tcMar>
              <w:top w:w="30" w:type="dxa"/>
              <w:left w:w="20" w:type="dxa"/>
              <w:bottom w:w="30" w:type="dxa"/>
              <w:right w:w="20" w:type="dxa"/>
            </w:tcMar>
            <w:hideMark/>
          </w:tcPr>
          <w:p w:rsidR="00000000" w:rsidRDefault="00613AEB">
            <w:pPr>
              <w:spacing w:after="100"/>
              <w:divId w:val="1295139562"/>
              <w:rPr>
                <w:rFonts w:eastAsia="Times New Roman"/>
              </w:rPr>
            </w:pPr>
            <w:hyperlink w:anchor="i7b244a6903fc440faaf2365d228fe4ba_64" w:history="1">
              <w:r>
                <w:rPr>
                  <w:rStyle w:val="a3"/>
                  <w:rFonts w:eastAsia="Times New Roman"/>
                  <w:sz w:val="20"/>
                  <w:szCs w:val="20"/>
                </w:rPr>
                <w:t>Management's Discussion and Analysis of Financial Condition and Results of Operations</w:t>
              </w:r>
            </w:hyperlink>
          </w:p>
        </w:tc>
        <w:tc>
          <w:tcPr>
            <w:tcW w:w="0" w:type="auto"/>
            <w:gridSpan w:val="3"/>
            <w:shd w:val="clear" w:color="auto" w:fill="CCEEFF"/>
            <w:tcMar>
              <w:top w:w="30" w:type="dxa"/>
              <w:left w:w="20" w:type="dxa"/>
              <w:bottom w:w="30" w:type="dxa"/>
              <w:right w:w="20" w:type="dxa"/>
            </w:tcMar>
            <w:hideMark/>
          </w:tcPr>
          <w:p w:rsidR="00000000" w:rsidRDefault="00613AEB">
            <w:pPr>
              <w:spacing w:after="100"/>
              <w:jc w:val="right"/>
              <w:rPr>
                <w:rFonts w:eastAsia="Times New Roman"/>
              </w:rPr>
            </w:pPr>
            <w:hyperlink w:anchor="i7b244a6903fc440faaf2365d228fe4ba_64" w:history="1">
              <w:r>
                <w:rPr>
                  <w:rStyle w:val="a3"/>
                  <w:rFonts w:eastAsia="Times New Roman"/>
                  <w:sz w:val="20"/>
                  <w:szCs w:val="20"/>
                </w:rPr>
                <w:t>16</w:t>
              </w:r>
            </w:hyperlink>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613AEB">
            <w:pPr>
              <w:spacing w:after="100"/>
              <w:divId w:val="903756371"/>
              <w:rPr>
                <w:rFonts w:eastAsia="Times New Roman"/>
              </w:rPr>
            </w:pPr>
            <w:hyperlink w:anchor="i7b244a6903fc440faaf2365d228fe4ba_94" w:history="1">
              <w:r>
                <w:rPr>
                  <w:rStyle w:val="a3"/>
                  <w:rFonts w:eastAsia="Times New Roman"/>
                  <w:sz w:val="20"/>
                  <w:szCs w:val="20"/>
                </w:rPr>
                <w:t>Item 3.</w:t>
              </w:r>
            </w:hyperlink>
          </w:p>
        </w:tc>
        <w:tc>
          <w:tcPr>
            <w:tcW w:w="0" w:type="auto"/>
            <w:gridSpan w:val="3"/>
            <w:shd w:val="clear" w:color="auto" w:fill="FFFFFF"/>
            <w:tcMar>
              <w:top w:w="30" w:type="dxa"/>
              <w:left w:w="20" w:type="dxa"/>
              <w:bottom w:w="30" w:type="dxa"/>
              <w:right w:w="20" w:type="dxa"/>
            </w:tcMar>
            <w:hideMark/>
          </w:tcPr>
          <w:p w:rsidR="00000000" w:rsidRDefault="00613AEB">
            <w:pPr>
              <w:spacing w:after="100"/>
              <w:divId w:val="317392015"/>
              <w:rPr>
                <w:rFonts w:eastAsia="Times New Roman"/>
              </w:rPr>
            </w:pPr>
            <w:hyperlink w:anchor="i7b244a6903fc440faaf2365d228fe4ba_94" w:history="1">
              <w:r>
                <w:rPr>
                  <w:rStyle w:val="a3"/>
                  <w:rFonts w:eastAsia="Times New Roman"/>
                  <w:sz w:val="20"/>
                  <w:szCs w:val="20"/>
                </w:rPr>
                <w:t>Quantitative and Qualitative Disclosures About Market Risk</w:t>
              </w:r>
            </w:hyperlink>
          </w:p>
        </w:tc>
        <w:tc>
          <w:tcPr>
            <w:tcW w:w="0" w:type="auto"/>
            <w:gridSpan w:val="3"/>
            <w:shd w:val="clear" w:color="auto" w:fill="FFFFFF"/>
            <w:tcMar>
              <w:top w:w="30" w:type="dxa"/>
              <w:left w:w="20" w:type="dxa"/>
              <w:bottom w:w="30" w:type="dxa"/>
              <w:right w:w="20" w:type="dxa"/>
            </w:tcMar>
            <w:hideMark/>
          </w:tcPr>
          <w:p w:rsidR="00000000" w:rsidRDefault="00613AEB">
            <w:pPr>
              <w:spacing w:after="100"/>
              <w:jc w:val="right"/>
              <w:rPr>
                <w:rFonts w:eastAsia="Times New Roman"/>
              </w:rPr>
            </w:pPr>
            <w:hyperlink w:anchor="i7b244a6903fc440faaf2365d228fe4ba_94" w:history="1">
              <w:r>
                <w:rPr>
                  <w:rStyle w:val="a3"/>
                  <w:rFonts w:eastAsia="Times New Roman"/>
                  <w:sz w:val="20"/>
                  <w:szCs w:val="20"/>
                </w:rPr>
                <w:t>26</w:t>
              </w:r>
            </w:hyperlink>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613AEB">
            <w:pPr>
              <w:spacing w:after="100"/>
              <w:divId w:val="1761022814"/>
              <w:rPr>
                <w:rFonts w:eastAsia="Times New Roman"/>
              </w:rPr>
            </w:pPr>
            <w:hyperlink w:anchor="i7b244a6903fc440faaf2365d228fe4ba_97" w:history="1">
              <w:r>
                <w:rPr>
                  <w:rStyle w:val="a3"/>
                  <w:rFonts w:eastAsia="Times New Roman"/>
                  <w:sz w:val="20"/>
                  <w:szCs w:val="20"/>
                </w:rPr>
                <w:t>Item 4.</w:t>
              </w:r>
            </w:hyperlink>
          </w:p>
        </w:tc>
        <w:tc>
          <w:tcPr>
            <w:tcW w:w="0" w:type="auto"/>
            <w:gridSpan w:val="3"/>
            <w:shd w:val="clear" w:color="auto" w:fill="CCEEFF"/>
            <w:tcMar>
              <w:top w:w="30" w:type="dxa"/>
              <w:left w:w="20" w:type="dxa"/>
              <w:bottom w:w="30" w:type="dxa"/>
              <w:right w:w="20" w:type="dxa"/>
            </w:tcMar>
            <w:hideMark/>
          </w:tcPr>
          <w:p w:rsidR="00000000" w:rsidRDefault="00613AEB">
            <w:pPr>
              <w:spacing w:after="100"/>
              <w:divId w:val="477963608"/>
              <w:rPr>
                <w:rFonts w:eastAsia="Times New Roman"/>
              </w:rPr>
            </w:pPr>
            <w:hyperlink w:anchor="i7b244a6903fc440faaf2365d228fe4ba_97" w:history="1">
              <w:r>
                <w:rPr>
                  <w:rStyle w:val="a3"/>
                  <w:rFonts w:eastAsia="Times New Roman"/>
                  <w:sz w:val="20"/>
                  <w:szCs w:val="20"/>
                </w:rPr>
                <w:t>Controls and Procedures</w:t>
              </w:r>
            </w:hyperlink>
          </w:p>
        </w:tc>
        <w:tc>
          <w:tcPr>
            <w:tcW w:w="0" w:type="auto"/>
            <w:gridSpan w:val="3"/>
            <w:shd w:val="clear" w:color="auto" w:fill="CCEEFF"/>
            <w:tcMar>
              <w:top w:w="30" w:type="dxa"/>
              <w:left w:w="20" w:type="dxa"/>
              <w:bottom w:w="30" w:type="dxa"/>
              <w:right w:w="20" w:type="dxa"/>
            </w:tcMar>
            <w:hideMark/>
          </w:tcPr>
          <w:p w:rsidR="00000000" w:rsidRDefault="00613AEB">
            <w:pPr>
              <w:spacing w:after="100"/>
              <w:jc w:val="right"/>
              <w:rPr>
                <w:rFonts w:eastAsia="Times New Roman"/>
              </w:rPr>
            </w:pPr>
            <w:hyperlink w:anchor="i7b244a6903fc440faaf2365d228fe4ba_97" w:history="1">
              <w:r>
                <w:rPr>
                  <w:rStyle w:val="a3"/>
                  <w:rFonts w:eastAsia="Times New Roman"/>
                  <w:sz w:val="20"/>
                  <w:szCs w:val="20"/>
                </w:rPr>
                <w:t>26</w:t>
              </w:r>
            </w:hyperlink>
          </w:p>
        </w:tc>
      </w:tr>
      <w:tr w:rsidR="00000000">
        <w:trPr>
          <w:trHeight w:val="280"/>
          <w:jc w:val="center"/>
        </w:trPr>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613AEB">
            <w:pPr>
              <w:spacing w:after="100"/>
              <w:divId w:val="701636702"/>
              <w:rPr>
                <w:rFonts w:eastAsia="Times New Roman"/>
              </w:rPr>
            </w:pPr>
            <w:hyperlink w:anchor="i7b244a6903fc440faaf2365d228fe4ba_100" w:history="1">
              <w:r>
                <w:rPr>
                  <w:rStyle w:val="a3"/>
                  <w:rFonts w:eastAsia="Times New Roman"/>
                  <w:b/>
                  <w:bCs/>
                  <w:sz w:val="20"/>
                  <w:szCs w:val="20"/>
                </w:rPr>
                <w:t>PART II.</w:t>
              </w:r>
            </w:hyperlink>
          </w:p>
        </w:tc>
        <w:tc>
          <w:tcPr>
            <w:tcW w:w="0" w:type="auto"/>
            <w:gridSpan w:val="3"/>
            <w:shd w:val="clear" w:color="auto" w:fill="CCEEFF"/>
            <w:tcMar>
              <w:top w:w="30" w:type="dxa"/>
              <w:left w:w="20" w:type="dxa"/>
              <w:bottom w:w="30" w:type="dxa"/>
              <w:right w:w="20" w:type="dxa"/>
            </w:tcMar>
            <w:hideMark/>
          </w:tcPr>
          <w:p w:rsidR="00000000" w:rsidRDefault="00613AEB">
            <w:pPr>
              <w:spacing w:after="100"/>
              <w:divId w:val="1104374542"/>
              <w:rPr>
                <w:rFonts w:eastAsia="Times New Roman"/>
              </w:rPr>
            </w:pPr>
            <w:hyperlink w:anchor="i7b244a6903fc440faaf2365d228fe4ba_100" w:history="1">
              <w:r>
                <w:rPr>
                  <w:rStyle w:val="a3"/>
                  <w:rFonts w:eastAsia="Times New Roman"/>
                  <w:b/>
                  <w:bCs/>
                  <w:sz w:val="20"/>
                  <w:szCs w:val="20"/>
                </w:rPr>
                <w:t>Other Information</w:t>
              </w:r>
            </w:hyperlink>
          </w:p>
        </w:tc>
        <w:tc>
          <w:tcPr>
            <w:tcW w:w="0" w:type="auto"/>
            <w:gridSpan w:val="3"/>
            <w:shd w:val="clear" w:color="auto" w:fill="CCEEFF"/>
            <w:tcMar>
              <w:top w:w="30" w:type="dxa"/>
              <w:left w:w="20" w:type="dxa"/>
              <w:bottom w:w="30" w:type="dxa"/>
              <w:right w:w="20" w:type="dxa"/>
            </w:tcMar>
            <w:hideMark/>
          </w:tcPr>
          <w:p w:rsidR="00000000" w:rsidRDefault="00613AEB">
            <w:pPr>
              <w:spacing w:after="100"/>
              <w:jc w:val="right"/>
              <w:rPr>
                <w:rFonts w:eastAsia="Times New Roman"/>
              </w:rPr>
            </w:pPr>
            <w:hyperlink w:anchor="i7b244a6903fc440faaf2365d228fe4ba_100" w:history="1">
              <w:r>
                <w:rPr>
                  <w:rStyle w:val="a3"/>
                  <w:rFonts w:eastAsia="Times New Roman"/>
                  <w:sz w:val="20"/>
                  <w:szCs w:val="20"/>
                </w:rPr>
                <w:t>27</w:t>
              </w:r>
            </w:hyperlink>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613AEB">
            <w:pPr>
              <w:spacing w:after="100"/>
              <w:divId w:val="539708654"/>
              <w:rPr>
                <w:rFonts w:eastAsia="Times New Roman"/>
              </w:rPr>
            </w:pPr>
            <w:hyperlink w:anchor="i7b244a6903fc440faaf2365d228fe4ba_103" w:history="1">
              <w:r>
                <w:rPr>
                  <w:rStyle w:val="a3"/>
                  <w:rFonts w:eastAsia="Times New Roman"/>
                  <w:sz w:val="20"/>
                  <w:szCs w:val="20"/>
                </w:rPr>
                <w:t>Item 1.</w:t>
              </w:r>
            </w:hyperlink>
          </w:p>
        </w:tc>
        <w:tc>
          <w:tcPr>
            <w:tcW w:w="0" w:type="auto"/>
            <w:gridSpan w:val="3"/>
            <w:shd w:val="clear" w:color="auto" w:fill="FFFFFF"/>
            <w:tcMar>
              <w:top w:w="30" w:type="dxa"/>
              <w:left w:w="20" w:type="dxa"/>
              <w:bottom w:w="30" w:type="dxa"/>
              <w:right w:w="20" w:type="dxa"/>
            </w:tcMar>
            <w:hideMark/>
          </w:tcPr>
          <w:p w:rsidR="00000000" w:rsidRDefault="00613AEB">
            <w:pPr>
              <w:spacing w:after="100"/>
              <w:divId w:val="1710717857"/>
              <w:rPr>
                <w:rFonts w:eastAsia="Times New Roman"/>
              </w:rPr>
            </w:pPr>
            <w:hyperlink w:anchor="i7b244a6903fc440faaf2365d228fe4ba_103" w:history="1">
              <w:r>
                <w:rPr>
                  <w:rStyle w:val="a3"/>
                  <w:rFonts w:eastAsia="Times New Roman"/>
                  <w:sz w:val="20"/>
                  <w:szCs w:val="20"/>
                </w:rPr>
                <w:t>Legal Proceedings</w:t>
              </w:r>
            </w:hyperlink>
          </w:p>
        </w:tc>
        <w:tc>
          <w:tcPr>
            <w:tcW w:w="0" w:type="auto"/>
            <w:gridSpan w:val="3"/>
            <w:shd w:val="clear" w:color="auto" w:fill="FFFFFF"/>
            <w:tcMar>
              <w:top w:w="30" w:type="dxa"/>
              <w:left w:w="20" w:type="dxa"/>
              <w:bottom w:w="30" w:type="dxa"/>
              <w:right w:w="20" w:type="dxa"/>
            </w:tcMar>
            <w:hideMark/>
          </w:tcPr>
          <w:p w:rsidR="00000000" w:rsidRDefault="00613AEB">
            <w:pPr>
              <w:spacing w:after="100"/>
              <w:jc w:val="right"/>
              <w:rPr>
                <w:rFonts w:eastAsia="Times New Roman"/>
              </w:rPr>
            </w:pPr>
            <w:hyperlink w:anchor="i7b244a6903fc440faaf2365d228fe4ba_103" w:history="1">
              <w:r>
                <w:rPr>
                  <w:rStyle w:val="a3"/>
                  <w:rFonts w:eastAsia="Times New Roman"/>
                  <w:sz w:val="20"/>
                  <w:szCs w:val="20"/>
                </w:rPr>
                <w:t>27</w:t>
              </w:r>
            </w:hyperlink>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613AEB">
            <w:pPr>
              <w:spacing w:after="100"/>
              <w:divId w:val="45616485"/>
              <w:rPr>
                <w:rFonts w:eastAsia="Times New Roman"/>
              </w:rPr>
            </w:pPr>
            <w:hyperlink w:anchor="i7b244a6903fc440faaf2365d228fe4ba_106" w:history="1">
              <w:r>
                <w:rPr>
                  <w:rStyle w:val="a3"/>
                  <w:rFonts w:eastAsia="Times New Roman"/>
                  <w:sz w:val="20"/>
                  <w:szCs w:val="20"/>
                </w:rPr>
                <w:t>Item 1A.</w:t>
              </w:r>
            </w:hyperlink>
          </w:p>
        </w:tc>
        <w:tc>
          <w:tcPr>
            <w:tcW w:w="0" w:type="auto"/>
            <w:gridSpan w:val="3"/>
            <w:shd w:val="clear" w:color="auto" w:fill="CCEEFF"/>
            <w:tcMar>
              <w:top w:w="30" w:type="dxa"/>
              <w:left w:w="20" w:type="dxa"/>
              <w:bottom w:w="30" w:type="dxa"/>
              <w:right w:w="20" w:type="dxa"/>
            </w:tcMar>
            <w:hideMark/>
          </w:tcPr>
          <w:p w:rsidR="00000000" w:rsidRDefault="00613AEB">
            <w:pPr>
              <w:spacing w:after="100"/>
              <w:divId w:val="1599369822"/>
              <w:rPr>
                <w:rFonts w:eastAsia="Times New Roman"/>
              </w:rPr>
            </w:pPr>
            <w:hyperlink w:anchor="i7b244a6903fc440faaf2365d228fe4ba_106" w:history="1">
              <w:r>
                <w:rPr>
                  <w:rStyle w:val="a3"/>
                  <w:rFonts w:eastAsia="Times New Roman"/>
                  <w:sz w:val="20"/>
                  <w:szCs w:val="20"/>
                </w:rPr>
                <w:t>Risk Factors</w:t>
              </w:r>
            </w:hyperlink>
          </w:p>
        </w:tc>
        <w:tc>
          <w:tcPr>
            <w:tcW w:w="0" w:type="auto"/>
            <w:gridSpan w:val="3"/>
            <w:shd w:val="clear" w:color="auto" w:fill="CCEEFF"/>
            <w:tcMar>
              <w:top w:w="30" w:type="dxa"/>
              <w:left w:w="20" w:type="dxa"/>
              <w:bottom w:w="30" w:type="dxa"/>
              <w:right w:w="20" w:type="dxa"/>
            </w:tcMar>
            <w:hideMark/>
          </w:tcPr>
          <w:p w:rsidR="00000000" w:rsidRDefault="00613AEB">
            <w:pPr>
              <w:spacing w:after="100"/>
              <w:jc w:val="right"/>
              <w:rPr>
                <w:rFonts w:eastAsia="Times New Roman"/>
              </w:rPr>
            </w:pPr>
            <w:hyperlink w:anchor="i7b244a6903fc440faaf2365d228fe4ba_106" w:history="1">
              <w:r>
                <w:rPr>
                  <w:rStyle w:val="a3"/>
                  <w:rFonts w:eastAsia="Times New Roman"/>
                  <w:sz w:val="20"/>
                  <w:szCs w:val="20"/>
                </w:rPr>
                <w:t>27</w:t>
              </w:r>
            </w:hyperlink>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613AEB">
            <w:pPr>
              <w:spacing w:after="100"/>
              <w:divId w:val="883063428"/>
              <w:rPr>
                <w:rFonts w:eastAsia="Times New Roman"/>
              </w:rPr>
            </w:pPr>
            <w:hyperlink w:anchor="i7b244a6903fc440faaf2365d228fe4ba_109" w:history="1">
              <w:r>
                <w:rPr>
                  <w:rStyle w:val="a3"/>
                  <w:rFonts w:eastAsia="Times New Roman"/>
                  <w:sz w:val="20"/>
                  <w:szCs w:val="20"/>
                </w:rPr>
                <w:t>Item 2.</w:t>
              </w:r>
            </w:hyperlink>
          </w:p>
        </w:tc>
        <w:tc>
          <w:tcPr>
            <w:tcW w:w="0" w:type="auto"/>
            <w:gridSpan w:val="3"/>
            <w:shd w:val="clear" w:color="auto" w:fill="FFFFFF"/>
            <w:tcMar>
              <w:top w:w="30" w:type="dxa"/>
              <w:left w:w="20" w:type="dxa"/>
              <w:bottom w:w="30" w:type="dxa"/>
              <w:right w:w="20" w:type="dxa"/>
            </w:tcMar>
            <w:hideMark/>
          </w:tcPr>
          <w:p w:rsidR="00000000" w:rsidRDefault="00613AEB">
            <w:pPr>
              <w:spacing w:after="100"/>
              <w:divId w:val="1076171721"/>
              <w:rPr>
                <w:rFonts w:eastAsia="Times New Roman"/>
              </w:rPr>
            </w:pPr>
            <w:hyperlink w:anchor="i7b244a6903fc440faaf2365d228fe4ba_109" w:history="1">
              <w:r>
                <w:rPr>
                  <w:rStyle w:val="a3"/>
                  <w:rFonts w:eastAsia="Times New Roman"/>
                  <w:sz w:val="20"/>
                  <w:szCs w:val="20"/>
                </w:rPr>
                <w:t>Unregistered Sales of Equity Securities and Use of Proceeds</w:t>
              </w:r>
            </w:hyperlink>
          </w:p>
        </w:tc>
        <w:tc>
          <w:tcPr>
            <w:tcW w:w="0" w:type="auto"/>
            <w:gridSpan w:val="3"/>
            <w:shd w:val="clear" w:color="auto" w:fill="FFFFFF"/>
            <w:tcMar>
              <w:top w:w="30" w:type="dxa"/>
              <w:left w:w="20" w:type="dxa"/>
              <w:bottom w:w="30" w:type="dxa"/>
              <w:right w:w="20" w:type="dxa"/>
            </w:tcMar>
            <w:hideMark/>
          </w:tcPr>
          <w:p w:rsidR="00000000" w:rsidRDefault="00613AEB">
            <w:pPr>
              <w:spacing w:after="100"/>
              <w:jc w:val="right"/>
              <w:rPr>
                <w:rFonts w:eastAsia="Times New Roman"/>
              </w:rPr>
            </w:pPr>
            <w:hyperlink w:anchor="i7b244a6903fc440faaf2365d228fe4ba_109" w:history="1">
              <w:r>
                <w:rPr>
                  <w:rStyle w:val="a3"/>
                  <w:rFonts w:eastAsia="Times New Roman"/>
                  <w:sz w:val="20"/>
                  <w:szCs w:val="20"/>
                </w:rPr>
                <w:t>27</w:t>
              </w:r>
            </w:hyperlink>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613AEB">
            <w:pPr>
              <w:spacing w:after="100"/>
              <w:divId w:val="15616769"/>
              <w:rPr>
                <w:rFonts w:eastAsia="Times New Roman"/>
              </w:rPr>
            </w:pPr>
            <w:hyperlink w:anchor="i7b244a6903fc440faaf2365d228fe4ba_112" w:history="1">
              <w:r>
                <w:rPr>
                  <w:rStyle w:val="a3"/>
                  <w:rFonts w:eastAsia="Times New Roman"/>
                  <w:sz w:val="20"/>
                  <w:szCs w:val="20"/>
                </w:rPr>
                <w:t>Item 3.</w:t>
              </w:r>
            </w:hyperlink>
          </w:p>
        </w:tc>
        <w:tc>
          <w:tcPr>
            <w:tcW w:w="0" w:type="auto"/>
            <w:gridSpan w:val="3"/>
            <w:shd w:val="clear" w:color="auto" w:fill="CCEEFF"/>
            <w:tcMar>
              <w:top w:w="30" w:type="dxa"/>
              <w:left w:w="20" w:type="dxa"/>
              <w:bottom w:w="30" w:type="dxa"/>
              <w:right w:w="20" w:type="dxa"/>
            </w:tcMar>
            <w:hideMark/>
          </w:tcPr>
          <w:p w:rsidR="00000000" w:rsidRDefault="00613AEB">
            <w:pPr>
              <w:spacing w:after="100"/>
              <w:divId w:val="315960969"/>
              <w:rPr>
                <w:rFonts w:eastAsia="Times New Roman"/>
              </w:rPr>
            </w:pPr>
            <w:hyperlink w:anchor="i7b244a6903fc440faaf2365d228fe4ba_112" w:history="1">
              <w:r>
                <w:rPr>
                  <w:rStyle w:val="a3"/>
                  <w:rFonts w:eastAsia="Times New Roman"/>
                  <w:sz w:val="20"/>
                  <w:szCs w:val="20"/>
                </w:rPr>
                <w:t>Defaults Upon Senior Securities</w:t>
              </w:r>
            </w:hyperlink>
          </w:p>
        </w:tc>
        <w:tc>
          <w:tcPr>
            <w:tcW w:w="0" w:type="auto"/>
            <w:gridSpan w:val="3"/>
            <w:shd w:val="clear" w:color="auto" w:fill="CCEEFF"/>
            <w:tcMar>
              <w:top w:w="30" w:type="dxa"/>
              <w:left w:w="20" w:type="dxa"/>
              <w:bottom w:w="30" w:type="dxa"/>
              <w:right w:w="20" w:type="dxa"/>
            </w:tcMar>
            <w:hideMark/>
          </w:tcPr>
          <w:p w:rsidR="00000000" w:rsidRDefault="00613AEB">
            <w:pPr>
              <w:spacing w:after="100"/>
              <w:jc w:val="right"/>
              <w:rPr>
                <w:rFonts w:eastAsia="Times New Roman"/>
              </w:rPr>
            </w:pPr>
            <w:hyperlink w:anchor="i7b244a6903fc440faaf2365d228fe4ba_112" w:history="1">
              <w:r>
                <w:rPr>
                  <w:rStyle w:val="a3"/>
                  <w:rFonts w:eastAsia="Times New Roman"/>
                  <w:sz w:val="20"/>
                  <w:szCs w:val="20"/>
                </w:rPr>
                <w:t>27</w:t>
              </w:r>
            </w:hyperlink>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613AEB">
            <w:pPr>
              <w:spacing w:after="100"/>
              <w:divId w:val="1239292663"/>
              <w:rPr>
                <w:rFonts w:eastAsia="Times New Roman"/>
              </w:rPr>
            </w:pPr>
            <w:hyperlink w:anchor="i7b244a6903fc440faaf2365d228fe4ba_115" w:history="1">
              <w:r>
                <w:rPr>
                  <w:rStyle w:val="a3"/>
                  <w:rFonts w:eastAsia="Times New Roman"/>
                  <w:sz w:val="20"/>
                  <w:szCs w:val="20"/>
                </w:rPr>
                <w:t>Item 4.</w:t>
              </w:r>
            </w:hyperlink>
          </w:p>
        </w:tc>
        <w:tc>
          <w:tcPr>
            <w:tcW w:w="0" w:type="auto"/>
            <w:gridSpan w:val="3"/>
            <w:shd w:val="clear" w:color="auto" w:fill="FFFFFF"/>
            <w:tcMar>
              <w:top w:w="30" w:type="dxa"/>
              <w:left w:w="20" w:type="dxa"/>
              <w:bottom w:w="30" w:type="dxa"/>
              <w:right w:w="20" w:type="dxa"/>
            </w:tcMar>
            <w:hideMark/>
          </w:tcPr>
          <w:p w:rsidR="00000000" w:rsidRDefault="00613AEB">
            <w:pPr>
              <w:spacing w:after="100"/>
              <w:divId w:val="140927658"/>
              <w:rPr>
                <w:rFonts w:eastAsia="Times New Roman"/>
              </w:rPr>
            </w:pPr>
            <w:hyperlink w:anchor="i7b244a6903fc440faaf2365d228fe4ba_115" w:history="1">
              <w:r>
                <w:rPr>
                  <w:rStyle w:val="a3"/>
                  <w:rFonts w:eastAsia="Times New Roman"/>
                  <w:sz w:val="20"/>
                  <w:szCs w:val="20"/>
                </w:rPr>
                <w:t>Mine Safety Disclosures</w:t>
              </w:r>
            </w:hyperlink>
          </w:p>
        </w:tc>
        <w:tc>
          <w:tcPr>
            <w:tcW w:w="0" w:type="auto"/>
            <w:gridSpan w:val="3"/>
            <w:shd w:val="clear" w:color="auto" w:fill="FFFFFF"/>
            <w:tcMar>
              <w:top w:w="30" w:type="dxa"/>
              <w:left w:w="20" w:type="dxa"/>
              <w:bottom w:w="30" w:type="dxa"/>
              <w:right w:w="20" w:type="dxa"/>
            </w:tcMar>
            <w:hideMark/>
          </w:tcPr>
          <w:p w:rsidR="00000000" w:rsidRDefault="00613AEB">
            <w:pPr>
              <w:spacing w:after="100"/>
              <w:jc w:val="right"/>
              <w:rPr>
                <w:rFonts w:eastAsia="Times New Roman"/>
              </w:rPr>
            </w:pPr>
            <w:hyperlink w:anchor="i7b244a6903fc440faaf2365d228fe4ba_115" w:history="1">
              <w:r>
                <w:rPr>
                  <w:rStyle w:val="a3"/>
                  <w:rFonts w:eastAsia="Times New Roman"/>
                  <w:sz w:val="20"/>
                  <w:szCs w:val="20"/>
                </w:rPr>
                <w:t>27</w:t>
              </w:r>
            </w:hyperlink>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613AEB">
            <w:pPr>
              <w:spacing w:after="100"/>
              <w:divId w:val="678392205"/>
              <w:rPr>
                <w:rFonts w:eastAsia="Times New Roman"/>
              </w:rPr>
            </w:pPr>
            <w:hyperlink w:anchor="i7b244a6903fc440faaf2365d228fe4ba_118" w:history="1">
              <w:r>
                <w:rPr>
                  <w:rStyle w:val="a3"/>
                  <w:rFonts w:eastAsia="Times New Roman"/>
                  <w:sz w:val="20"/>
                  <w:szCs w:val="20"/>
                </w:rPr>
                <w:t>Item 5.</w:t>
              </w:r>
            </w:hyperlink>
          </w:p>
        </w:tc>
        <w:tc>
          <w:tcPr>
            <w:tcW w:w="0" w:type="auto"/>
            <w:gridSpan w:val="3"/>
            <w:shd w:val="clear" w:color="auto" w:fill="CCEEFF"/>
            <w:tcMar>
              <w:top w:w="30" w:type="dxa"/>
              <w:left w:w="20" w:type="dxa"/>
              <w:bottom w:w="30" w:type="dxa"/>
              <w:right w:w="20" w:type="dxa"/>
            </w:tcMar>
            <w:hideMark/>
          </w:tcPr>
          <w:p w:rsidR="00000000" w:rsidRDefault="00613AEB">
            <w:pPr>
              <w:spacing w:after="100"/>
              <w:divId w:val="1518692522"/>
              <w:rPr>
                <w:rFonts w:eastAsia="Times New Roman"/>
              </w:rPr>
            </w:pPr>
            <w:hyperlink w:anchor="i7b244a6903fc440faaf2365d228fe4ba_118" w:history="1">
              <w:r>
                <w:rPr>
                  <w:rStyle w:val="a3"/>
                  <w:rFonts w:eastAsia="Times New Roman"/>
                  <w:sz w:val="20"/>
                  <w:szCs w:val="20"/>
                </w:rPr>
                <w:t>Other Information</w:t>
              </w:r>
            </w:hyperlink>
          </w:p>
        </w:tc>
        <w:tc>
          <w:tcPr>
            <w:tcW w:w="0" w:type="auto"/>
            <w:gridSpan w:val="3"/>
            <w:shd w:val="clear" w:color="auto" w:fill="CCEEFF"/>
            <w:tcMar>
              <w:top w:w="30" w:type="dxa"/>
              <w:left w:w="20" w:type="dxa"/>
              <w:bottom w:w="30" w:type="dxa"/>
              <w:right w:w="20" w:type="dxa"/>
            </w:tcMar>
            <w:hideMark/>
          </w:tcPr>
          <w:p w:rsidR="00000000" w:rsidRDefault="00613AEB">
            <w:pPr>
              <w:spacing w:after="100"/>
              <w:jc w:val="right"/>
              <w:rPr>
                <w:rFonts w:eastAsia="Times New Roman"/>
              </w:rPr>
            </w:pPr>
            <w:hyperlink w:anchor="i7b244a6903fc440faaf2365d228fe4ba_118" w:history="1">
              <w:r>
                <w:rPr>
                  <w:rStyle w:val="a3"/>
                  <w:rFonts w:eastAsia="Times New Roman"/>
                  <w:sz w:val="20"/>
                  <w:szCs w:val="20"/>
                </w:rPr>
                <w:t>28</w:t>
              </w:r>
            </w:hyperlink>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613AEB">
            <w:pPr>
              <w:spacing w:after="100"/>
              <w:divId w:val="1593005690"/>
              <w:rPr>
                <w:rFonts w:eastAsia="Times New Roman"/>
              </w:rPr>
            </w:pPr>
            <w:hyperlink w:anchor="i7b244a6903fc440faaf2365d228fe4ba_121" w:history="1">
              <w:r>
                <w:rPr>
                  <w:rStyle w:val="a3"/>
                  <w:rFonts w:eastAsia="Times New Roman"/>
                  <w:sz w:val="20"/>
                  <w:szCs w:val="20"/>
                </w:rPr>
                <w:t>Item 6.</w:t>
              </w:r>
            </w:hyperlink>
          </w:p>
        </w:tc>
        <w:tc>
          <w:tcPr>
            <w:tcW w:w="0" w:type="auto"/>
            <w:gridSpan w:val="3"/>
            <w:shd w:val="clear" w:color="auto" w:fill="FFFFFF"/>
            <w:tcMar>
              <w:top w:w="30" w:type="dxa"/>
              <w:left w:w="20" w:type="dxa"/>
              <w:bottom w:w="30" w:type="dxa"/>
              <w:right w:w="20" w:type="dxa"/>
            </w:tcMar>
            <w:hideMark/>
          </w:tcPr>
          <w:p w:rsidR="00000000" w:rsidRDefault="00613AEB">
            <w:pPr>
              <w:spacing w:after="100"/>
              <w:divId w:val="367533676"/>
              <w:rPr>
                <w:rFonts w:eastAsia="Times New Roman"/>
              </w:rPr>
            </w:pPr>
            <w:hyperlink w:anchor="i7b244a6903fc440faaf2365d228fe4ba_121" w:history="1">
              <w:r>
                <w:rPr>
                  <w:rStyle w:val="a3"/>
                  <w:rFonts w:eastAsia="Times New Roman"/>
                  <w:sz w:val="20"/>
                  <w:szCs w:val="20"/>
                </w:rPr>
                <w:t>Exhibits</w:t>
              </w:r>
            </w:hyperlink>
          </w:p>
        </w:tc>
        <w:tc>
          <w:tcPr>
            <w:tcW w:w="0" w:type="auto"/>
            <w:gridSpan w:val="3"/>
            <w:shd w:val="clear" w:color="auto" w:fill="FFFFFF"/>
            <w:tcMar>
              <w:top w:w="30" w:type="dxa"/>
              <w:left w:w="20" w:type="dxa"/>
              <w:bottom w:w="30" w:type="dxa"/>
              <w:right w:w="20" w:type="dxa"/>
            </w:tcMar>
            <w:hideMark/>
          </w:tcPr>
          <w:p w:rsidR="00000000" w:rsidRDefault="00613AEB">
            <w:pPr>
              <w:spacing w:after="100"/>
              <w:jc w:val="right"/>
              <w:rPr>
                <w:rFonts w:eastAsia="Times New Roman"/>
              </w:rPr>
            </w:pPr>
            <w:hyperlink w:anchor="i7b244a6903fc440faaf2365d228fe4ba_121" w:history="1">
              <w:r>
                <w:rPr>
                  <w:rStyle w:val="a3"/>
                  <w:rFonts w:eastAsia="Times New Roman"/>
                  <w:sz w:val="20"/>
                  <w:szCs w:val="20"/>
                </w:rPr>
                <w:t>29</w:t>
              </w:r>
            </w:hyperlink>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613AEB">
            <w:pPr>
              <w:spacing w:after="100"/>
              <w:divId w:val="604384050"/>
              <w:rPr>
                <w:rFonts w:eastAsia="Times New Roman"/>
              </w:rPr>
            </w:pPr>
            <w:hyperlink w:anchor="i7b244a6903fc440faaf2365d228fe4ba_124" w:history="1">
              <w:r>
                <w:rPr>
                  <w:rStyle w:val="a3"/>
                  <w:rFonts w:eastAsia="Times New Roman"/>
                  <w:sz w:val="20"/>
                  <w:szCs w:val="20"/>
                </w:rPr>
                <w:t>Signature</w:t>
              </w:r>
            </w:hyperlink>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613AEB">
            <w:pPr>
              <w:spacing w:after="100"/>
              <w:jc w:val="right"/>
              <w:rPr>
                <w:rFonts w:eastAsia="Times New Roman"/>
              </w:rPr>
            </w:pPr>
            <w:hyperlink w:anchor="i7b244a6903fc440faaf2365d228fe4ba_124" w:history="1">
              <w:r>
                <w:rPr>
                  <w:rStyle w:val="a3"/>
                  <w:rFonts w:eastAsia="Times New Roman"/>
                  <w:sz w:val="20"/>
                  <w:szCs w:val="20"/>
                </w:rPr>
                <w:t>30</w:t>
              </w:r>
            </w:hyperlink>
          </w:p>
        </w:tc>
      </w:tr>
    </w:tbl>
    <w:p w:rsidR="00000000" w:rsidRDefault="00613AEB">
      <w:pPr>
        <w:divId w:val="462428806"/>
        <w:rPr>
          <w:rFonts w:eastAsia="Times New Roman"/>
        </w:rPr>
      </w:pPr>
    </w:p>
    <w:p w:rsidR="00000000" w:rsidRDefault="00613AEB">
      <w:pPr>
        <w:divId w:val="91511316"/>
        <w:rPr>
          <w:rFonts w:eastAsia="Times New Roman"/>
        </w:rPr>
      </w:pPr>
    </w:p>
    <w:p w:rsidR="00000000" w:rsidRDefault="00613AEB">
      <w:pPr>
        <w:jc w:val="center"/>
        <w:rPr>
          <w:rFonts w:eastAsia="Times New Roman"/>
        </w:rPr>
      </w:pPr>
    </w:p>
    <w:p w:rsidR="00000000" w:rsidRDefault="00613AEB">
      <w:pPr>
        <w:jc w:val="center"/>
        <w:divId w:val="1156914600"/>
        <w:rPr>
          <w:rFonts w:eastAsia="Times New Roman"/>
        </w:rPr>
      </w:pPr>
      <w:r>
        <w:rPr>
          <w:rFonts w:eastAsia="Times New Roman"/>
          <w:color w:val="000000"/>
          <w:sz w:val="20"/>
          <w:szCs w:val="20"/>
        </w:rPr>
        <w:t>Page 2</w:t>
      </w:r>
    </w:p>
    <w:p w:rsidR="00000000" w:rsidRDefault="00613AEB">
      <w:pPr>
        <w:rPr>
          <w:rFonts w:eastAsia="Times New Roman"/>
        </w:rPr>
      </w:pPr>
      <w:r>
        <w:rPr>
          <w:rFonts w:eastAsia="Times New Roman"/>
        </w:rPr>
        <w:pict>
          <v:rect id="_x0000_i1027" style="width:0;height:1.5pt" o:hralign="center" o:hrstd="t" o:hr="t" fillcolor="#a0a0a0" stroked="f"/>
        </w:pict>
      </w:r>
    </w:p>
    <w:p w:rsidR="00000000" w:rsidRDefault="00613AEB">
      <w:pPr>
        <w:divId w:val="1956666993"/>
        <w:rPr>
          <w:rFonts w:eastAsia="Times New Roman"/>
        </w:rPr>
      </w:pPr>
      <w:hyperlink w:anchor="i7b244a6903fc440faaf2365d228fe4ba_7" w:history="1">
        <w:r>
          <w:rPr>
            <w:rStyle w:val="a3"/>
            <w:rFonts w:eastAsia="Times New Roman"/>
            <w:sz w:val="16"/>
            <w:szCs w:val="16"/>
          </w:rPr>
          <w:t>Index</w:t>
        </w:r>
      </w:hyperlink>
    </w:p>
    <w:p w:rsidR="00000000" w:rsidRDefault="00613AEB">
      <w:pPr>
        <w:jc w:val="center"/>
        <w:rPr>
          <w:rFonts w:eastAsia="Times New Roman"/>
        </w:rPr>
      </w:pPr>
      <w:r>
        <w:rPr>
          <w:rFonts w:eastAsia="Times New Roman"/>
          <w:b/>
          <w:bCs/>
          <w:color w:val="000000"/>
          <w:sz w:val="20"/>
          <w:szCs w:val="20"/>
          <w:u w:val="single"/>
        </w:rPr>
        <w:t>PART I.  FINANCIAL INFORMATION</w:t>
      </w:r>
    </w:p>
    <w:p w:rsidR="00000000" w:rsidRDefault="00613AEB">
      <w:pPr>
        <w:divId w:val="1795517193"/>
        <w:rPr>
          <w:rFonts w:eastAsia="Times New Roman"/>
        </w:rPr>
      </w:pPr>
      <w:r>
        <w:rPr>
          <w:rFonts w:eastAsia="Times New Roman"/>
          <w:b/>
          <w:bCs/>
          <w:color w:val="000000"/>
          <w:sz w:val="20"/>
          <w:szCs w:val="20"/>
          <w:u w:val="single"/>
        </w:rPr>
        <w:t>Item 1. Financial Statements</w:t>
      </w:r>
    </w:p>
    <w:p w:rsidR="00000000" w:rsidRDefault="00613AEB">
      <w:pPr>
        <w:jc w:val="center"/>
        <w:rPr>
          <w:rFonts w:eastAsia="Times New Roman"/>
        </w:rPr>
      </w:pPr>
      <w:r>
        <w:rPr>
          <w:rFonts w:eastAsia="Times New Roman"/>
          <w:b/>
          <w:bCs/>
          <w:color w:val="000000"/>
          <w:sz w:val="20"/>
          <w:szCs w:val="20"/>
        </w:rPr>
        <w:t>TRACTOR SUPPLY COMPANY</w:t>
      </w:r>
    </w:p>
    <w:p w:rsidR="00000000" w:rsidRDefault="00613AEB">
      <w:pPr>
        <w:jc w:val="center"/>
        <w:rPr>
          <w:rFonts w:eastAsia="Times New Roman"/>
        </w:rPr>
      </w:pPr>
      <w:r>
        <w:rPr>
          <w:rFonts w:eastAsia="Times New Roman"/>
          <w:b/>
          <w:bCs/>
          <w:color w:val="000000"/>
          <w:sz w:val="20"/>
          <w:szCs w:val="20"/>
        </w:rPr>
        <w:t>CONDENSED CONSOLIDATED BALANCE SHEETS</w:t>
      </w:r>
    </w:p>
    <w:p w:rsidR="00000000" w:rsidRDefault="00613AEB">
      <w:pPr>
        <w:jc w:val="center"/>
        <w:rPr>
          <w:rFonts w:eastAsia="Times New Roman"/>
        </w:rPr>
      </w:pPr>
      <w:r>
        <w:rPr>
          <w:rFonts w:eastAsia="Times New Roman"/>
          <w:b/>
          <w:bCs/>
          <w:color w:val="000000"/>
          <w:sz w:val="20"/>
          <w:szCs w:val="20"/>
        </w:rPr>
        <w:t>(in thousands, except per share amounts)</w:t>
      </w:r>
    </w:p>
    <w:p w:rsidR="00000000" w:rsidRDefault="00613AEB">
      <w:pPr>
        <w:jc w:val="center"/>
        <w:rPr>
          <w:rFonts w:eastAsia="Times New Roman"/>
        </w:rPr>
      </w:pPr>
      <w:r>
        <w:rPr>
          <w:rFonts w:eastAsia="Times New Roman"/>
          <w:b/>
          <w:bCs/>
          <w:i/>
          <w:iCs/>
          <w:color w:val="000000"/>
          <w:sz w:val="20"/>
          <w:szCs w:val="20"/>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4581"/>
        <w:gridCol w:w="40"/>
        <w:gridCol w:w="120"/>
        <w:gridCol w:w="1014"/>
        <w:gridCol w:w="36"/>
        <w:gridCol w:w="36"/>
        <w:gridCol w:w="36"/>
        <w:gridCol w:w="36"/>
        <w:gridCol w:w="120"/>
        <w:gridCol w:w="973"/>
        <w:gridCol w:w="36"/>
        <w:gridCol w:w="36"/>
        <w:gridCol w:w="36"/>
        <w:gridCol w:w="36"/>
        <w:gridCol w:w="120"/>
        <w:gridCol w:w="973"/>
        <w:gridCol w:w="36"/>
      </w:tblGrid>
      <w:tr w:rsidR="00000000">
        <w:trPr>
          <w:jc w:val="center"/>
        </w:trPr>
        <w:tc>
          <w:tcPr>
            <w:tcW w:w="50" w:type="pct"/>
            <w:vAlign w:val="center"/>
            <w:hideMark/>
          </w:tcPr>
          <w:p w:rsidR="00000000" w:rsidRDefault="00613AEB">
            <w:pPr>
              <w:jc w:val="center"/>
              <w:rPr>
                <w:rFonts w:eastAsia="Times New Roman"/>
              </w:rPr>
            </w:pPr>
          </w:p>
        </w:tc>
        <w:tc>
          <w:tcPr>
            <w:tcW w:w="2788"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0" w:type="pct"/>
            <w:vAlign w:val="center"/>
            <w:hideMark/>
          </w:tcPr>
          <w:p w:rsidR="00000000" w:rsidRDefault="00613AEB">
            <w:pPr>
              <w:spacing w:after="100"/>
              <w:rPr>
                <w:rFonts w:eastAsia="Times New Roman"/>
                <w:sz w:val="20"/>
                <w:szCs w:val="20"/>
              </w:rPr>
            </w:pPr>
          </w:p>
        </w:tc>
        <w:tc>
          <w:tcPr>
            <w:tcW w:w="639"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26"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0" w:type="pct"/>
            <w:vAlign w:val="center"/>
            <w:hideMark/>
          </w:tcPr>
          <w:p w:rsidR="00000000" w:rsidRDefault="00613AEB">
            <w:pPr>
              <w:spacing w:after="100"/>
              <w:rPr>
                <w:rFonts w:eastAsia="Times New Roman"/>
                <w:sz w:val="20"/>
                <w:szCs w:val="20"/>
              </w:rPr>
            </w:pPr>
          </w:p>
        </w:tc>
        <w:tc>
          <w:tcPr>
            <w:tcW w:w="639"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26"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0" w:type="pct"/>
            <w:vAlign w:val="center"/>
            <w:hideMark/>
          </w:tcPr>
          <w:p w:rsidR="00000000" w:rsidRDefault="00613AEB">
            <w:pPr>
              <w:spacing w:after="100"/>
              <w:rPr>
                <w:rFonts w:eastAsia="Times New Roman"/>
                <w:sz w:val="20"/>
                <w:szCs w:val="20"/>
              </w:rPr>
            </w:pPr>
          </w:p>
        </w:tc>
        <w:tc>
          <w:tcPr>
            <w:tcW w:w="639"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613AEB">
            <w:pPr>
              <w:spacing w:after="100"/>
              <w:jc w:val="center"/>
              <w:rPr>
                <w:rFonts w:eastAsia="Times New Roman"/>
              </w:rPr>
            </w:pPr>
            <w:r>
              <w:rPr>
                <w:rFonts w:eastAsia="Times New Roman"/>
                <w:b/>
                <w:bCs/>
                <w:color w:val="000000"/>
                <w:sz w:val="20"/>
                <w:szCs w:val="20"/>
              </w:rPr>
              <w:t>June 25,</w:t>
            </w:r>
          </w:p>
        </w:tc>
        <w:tc>
          <w:tcPr>
            <w:tcW w:w="0" w:type="auto"/>
            <w:gridSpan w:val="3"/>
            <w:tcMar>
              <w:top w:w="0" w:type="dxa"/>
              <w:left w:w="20" w:type="dxa"/>
              <w:bottom w:w="0" w:type="dxa"/>
              <w:right w:w="20" w:type="dxa"/>
            </w:tcMar>
            <w:vAlign w:val="center"/>
            <w:hideMark/>
          </w:tcPr>
          <w:p w:rsidR="00000000" w:rsidRDefault="00613AEB">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613AEB">
            <w:pPr>
              <w:spacing w:after="100"/>
              <w:jc w:val="center"/>
              <w:rPr>
                <w:rFonts w:eastAsia="Times New Roman"/>
              </w:rPr>
            </w:pPr>
            <w:r>
              <w:rPr>
                <w:rFonts w:eastAsia="Times New Roman"/>
                <w:b/>
                <w:bCs/>
                <w:color w:val="000000"/>
                <w:sz w:val="20"/>
                <w:szCs w:val="20"/>
              </w:rPr>
              <w:t>December 25,</w:t>
            </w:r>
          </w:p>
        </w:tc>
        <w:tc>
          <w:tcPr>
            <w:tcW w:w="0" w:type="auto"/>
            <w:gridSpan w:val="3"/>
            <w:tcMar>
              <w:top w:w="0" w:type="dxa"/>
              <w:left w:w="20" w:type="dxa"/>
              <w:bottom w:w="0" w:type="dxa"/>
              <w:right w:w="20" w:type="dxa"/>
            </w:tcMar>
            <w:vAlign w:val="center"/>
            <w:hideMark/>
          </w:tcPr>
          <w:p w:rsidR="00000000" w:rsidRDefault="00613AEB">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613AEB">
            <w:pPr>
              <w:spacing w:after="100"/>
              <w:jc w:val="center"/>
              <w:rPr>
                <w:rFonts w:eastAsia="Times New Roman"/>
              </w:rPr>
            </w:pPr>
            <w:r>
              <w:rPr>
                <w:rFonts w:eastAsia="Times New Roman"/>
                <w:b/>
                <w:bCs/>
                <w:color w:val="000000"/>
                <w:sz w:val="20"/>
                <w:szCs w:val="20"/>
              </w:rPr>
              <w:t>June 26,</w:t>
            </w:r>
          </w:p>
        </w:tc>
      </w:tr>
      <w:tr w:rsidR="00000000">
        <w:trPr>
          <w:jc w:val="center"/>
        </w:trPr>
        <w:tc>
          <w:tcPr>
            <w:tcW w:w="0" w:type="auto"/>
            <w:gridSpan w:val="3"/>
            <w:tcMar>
              <w:top w:w="0" w:type="dxa"/>
              <w:left w:w="20" w:type="dxa"/>
              <w:bottom w:w="0" w:type="dxa"/>
              <w:right w:w="20" w:type="dxa"/>
            </w:tcMar>
            <w:vAlign w:val="center"/>
            <w:hideMark/>
          </w:tcPr>
          <w:p w:rsidR="00000000" w:rsidRDefault="00613AE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13AEB">
            <w:pPr>
              <w:spacing w:after="100"/>
              <w:jc w:val="center"/>
              <w:rPr>
                <w:rFonts w:eastAsia="Times New Roman"/>
              </w:rPr>
            </w:pPr>
            <w:r>
              <w:rPr>
                <w:rFonts w:eastAsia="Times New Roman"/>
                <w:b/>
                <w:bCs/>
                <w:color w:val="000000"/>
                <w:sz w:val="20"/>
                <w:szCs w:val="20"/>
              </w:rPr>
              <w:t>2022</w:t>
            </w:r>
          </w:p>
        </w:tc>
        <w:tc>
          <w:tcPr>
            <w:tcW w:w="0" w:type="auto"/>
            <w:gridSpan w:val="3"/>
            <w:tcMar>
              <w:top w:w="0" w:type="dxa"/>
              <w:left w:w="20" w:type="dxa"/>
              <w:bottom w:w="0" w:type="dxa"/>
              <w:right w:w="20" w:type="dxa"/>
            </w:tcMar>
            <w:vAlign w:val="center"/>
            <w:hideMark/>
          </w:tcPr>
          <w:p w:rsidR="00000000" w:rsidRDefault="00613AE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13AEB">
            <w:pPr>
              <w:spacing w:after="100"/>
              <w:jc w:val="center"/>
              <w:rPr>
                <w:rFonts w:eastAsia="Times New Roman"/>
              </w:rPr>
            </w:pPr>
            <w:r>
              <w:rPr>
                <w:rFonts w:eastAsia="Times New Roman"/>
                <w:b/>
                <w:bCs/>
                <w:color w:val="000000"/>
                <w:sz w:val="20"/>
                <w:szCs w:val="20"/>
              </w:rPr>
              <w:t>2021</w:t>
            </w:r>
          </w:p>
        </w:tc>
        <w:tc>
          <w:tcPr>
            <w:tcW w:w="0" w:type="auto"/>
            <w:gridSpan w:val="3"/>
            <w:tcMar>
              <w:top w:w="0" w:type="dxa"/>
              <w:left w:w="20" w:type="dxa"/>
              <w:bottom w:w="0" w:type="dxa"/>
              <w:right w:w="20" w:type="dxa"/>
            </w:tcMar>
            <w:vAlign w:val="center"/>
            <w:hideMark/>
          </w:tcPr>
          <w:p w:rsidR="00000000" w:rsidRDefault="00613AE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13AEB">
            <w:pPr>
              <w:spacing w:after="100"/>
              <w:jc w:val="center"/>
              <w:rPr>
                <w:rFonts w:eastAsia="Times New Roman"/>
              </w:rPr>
            </w:pPr>
            <w:r>
              <w:rPr>
                <w:rFonts w:eastAsia="Times New Roman"/>
                <w:b/>
                <w:bCs/>
                <w:color w:val="000000"/>
                <w:sz w:val="20"/>
                <w:szCs w:val="20"/>
              </w:rPr>
              <w:t>2021</w:t>
            </w:r>
          </w:p>
        </w:tc>
      </w:tr>
      <w:tr w:rsidR="00000000">
        <w:trPr>
          <w:jc w:val="center"/>
        </w:trPr>
        <w:tc>
          <w:tcPr>
            <w:tcW w:w="0" w:type="auto"/>
            <w:gridSpan w:val="3"/>
            <w:shd w:val="clear" w:color="auto" w:fill="CCEEFF"/>
            <w:tcMar>
              <w:top w:w="30" w:type="dxa"/>
              <w:left w:w="20" w:type="dxa"/>
              <w:bottom w:w="30" w:type="dxa"/>
              <w:right w:w="20" w:type="dxa"/>
            </w:tcMar>
            <w:vAlign w:val="center"/>
            <w:hideMark/>
          </w:tcPr>
          <w:p w:rsidR="00000000" w:rsidRDefault="00613AEB">
            <w:pPr>
              <w:spacing w:after="100"/>
              <w:rPr>
                <w:rFonts w:eastAsia="Times New Roman"/>
              </w:rPr>
            </w:pPr>
            <w:r>
              <w:rPr>
                <w:rFonts w:eastAsia="Times New Roman"/>
                <w:b/>
                <w:bCs/>
                <w:color w:val="000000"/>
                <w:sz w:val="20"/>
                <w:szCs w:val="20"/>
              </w:rPr>
              <w:t>ASSETS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13AE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613AEB">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center"/>
            <w:hideMark/>
          </w:tcPr>
          <w:p w:rsidR="00000000" w:rsidRDefault="00613AEB">
            <w:pPr>
              <w:spacing w:after="100"/>
              <w:rPr>
                <w:rFonts w:eastAsia="Times New Roman"/>
              </w:rPr>
            </w:pPr>
            <w:r>
              <w:rPr>
                <w:rFonts w:eastAsia="Times New Roman"/>
                <w:color w:val="000000"/>
                <w:sz w:val="20"/>
                <w:szCs w:val="20"/>
              </w:rPr>
              <w:t>Current assets:</w:t>
            </w:r>
          </w:p>
        </w:tc>
        <w:tc>
          <w:tcPr>
            <w:tcW w:w="0" w:type="auto"/>
            <w:gridSpan w:val="3"/>
            <w:shd w:val="clear" w:color="auto" w:fill="FFFFFF"/>
            <w:tcMar>
              <w:top w:w="30" w:type="dxa"/>
              <w:left w:w="20" w:type="dxa"/>
              <w:bottom w:w="30" w:type="dxa"/>
              <w:right w:w="20" w:type="dxa"/>
            </w:tcMar>
            <w:vAlign w:val="center"/>
            <w:hideMark/>
          </w:tcPr>
          <w:p w:rsidR="00000000" w:rsidRDefault="00613AEB">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613AEB">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613AEB">
            <w:pPr>
              <w:spacing w:after="100"/>
              <w:rPr>
                <w:rFonts w:eastAsia="Times New Roman"/>
              </w:rPr>
            </w:pPr>
            <w:r>
              <w:rPr>
                <w:rFonts w:eastAsia="Times New Roman"/>
                <w:color w:val="000000"/>
                <w:sz w:val="20"/>
                <w:szCs w:val="20"/>
              </w:rPr>
              <w:t> </w:t>
            </w:r>
          </w:p>
        </w:tc>
      </w:tr>
      <w:tr w:rsidR="00000000">
        <w:trPr>
          <w:jc w:val="center"/>
        </w:trPr>
        <w:tc>
          <w:tcPr>
            <w:tcW w:w="0" w:type="auto"/>
            <w:gridSpan w:val="3"/>
            <w:shd w:val="clear" w:color="auto" w:fill="CCEEFF"/>
            <w:tcMar>
              <w:top w:w="30" w:type="dxa"/>
              <w:left w:w="245" w:type="dxa"/>
              <w:bottom w:w="30" w:type="dxa"/>
              <w:right w:w="20" w:type="dxa"/>
            </w:tcMar>
            <w:vAlign w:val="center"/>
            <w:hideMark/>
          </w:tcPr>
          <w:p w:rsidR="00000000" w:rsidRDefault="00613AEB">
            <w:pPr>
              <w:spacing w:after="100"/>
              <w:rPr>
                <w:rFonts w:eastAsia="Times New Roman"/>
              </w:rPr>
            </w:pPr>
            <w:r>
              <w:rPr>
                <w:rFonts w:eastAsia="Times New Roman"/>
                <w:color w:val="000000"/>
                <w:sz w:val="20"/>
                <w:szCs w:val="20"/>
              </w:rPr>
              <w:t>Cash and cash equivalents</w:t>
            </w:r>
          </w:p>
        </w:tc>
        <w:tc>
          <w:tcPr>
            <w:tcW w:w="0" w:type="auto"/>
            <w:shd w:val="clear" w:color="auto" w:fill="CCEEFF"/>
            <w:tcMar>
              <w:top w:w="30" w:type="dxa"/>
              <w:left w:w="20" w:type="dxa"/>
              <w:bottom w:w="30" w:type="dxa"/>
              <w:right w:w="0" w:type="dxa"/>
            </w:tcMar>
            <w:vAlign w:val="center"/>
            <w:hideMark/>
          </w:tcPr>
          <w:p w:rsidR="00000000" w:rsidRDefault="00613AE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613AEB">
            <w:pPr>
              <w:spacing w:after="100"/>
              <w:jc w:val="right"/>
              <w:rPr>
                <w:rFonts w:eastAsia="Times New Roman"/>
              </w:rPr>
            </w:pPr>
            <w:r>
              <w:rPr>
                <w:rFonts w:eastAsia="Times New Roman"/>
                <w:color w:val="000000"/>
                <w:sz w:val="20"/>
                <w:szCs w:val="20"/>
              </w:rPr>
              <w:t>530,822 </w:t>
            </w:r>
          </w:p>
        </w:tc>
        <w:tc>
          <w:tcPr>
            <w:tcW w:w="0" w:type="auto"/>
            <w:shd w:val="clear" w:color="auto" w:fill="CCEEFF"/>
            <w:tcMar>
              <w:top w:w="30" w:type="dxa"/>
              <w:left w:w="0" w:type="dxa"/>
              <w:bottom w:w="30" w:type="dxa"/>
              <w:right w:w="20" w:type="dxa"/>
            </w:tcMar>
            <w:vAlign w:val="center"/>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613AE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613AEB">
            <w:pPr>
              <w:spacing w:after="100"/>
              <w:jc w:val="right"/>
              <w:rPr>
                <w:rFonts w:eastAsia="Times New Roman"/>
              </w:rPr>
            </w:pPr>
            <w:r>
              <w:rPr>
                <w:rFonts w:eastAsia="Times New Roman"/>
                <w:color w:val="000000"/>
                <w:sz w:val="20"/>
                <w:szCs w:val="20"/>
              </w:rPr>
              <w:t>878,030 </w:t>
            </w:r>
          </w:p>
        </w:tc>
        <w:tc>
          <w:tcPr>
            <w:tcW w:w="0" w:type="auto"/>
            <w:shd w:val="clear" w:color="auto" w:fill="CCEEFF"/>
            <w:tcMar>
              <w:top w:w="30" w:type="dxa"/>
              <w:left w:w="0" w:type="dxa"/>
              <w:bottom w:w="30" w:type="dxa"/>
              <w:right w:w="20" w:type="dxa"/>
            </w:tcMar>
            <w:vAlign w:val="center"/>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613AE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613AEB">
            <w:pPr>
              <w:spacing w:after="100"/>
              <w:jc w:val="right"/>
              <w:rPr>
                <w:rFonts w:eastAsia="Times New Roman"/>
              </w:rPr>
            </w:pPr>
            <w:r>
              <w:rPr>
                <w:rFonts w:eastAsia="Times New Roman"/>
                <w:color w:val="000000"/>
                <w:sz w:val="20"/>
                <w:szCs w:val="20"/>
              </w:rPr>
              <w:t>1,412,001 </w:t>
            </w:r>
          </w:p>
        </w:tc>
        <w:tc>
          <w:tcPr>
            <w:tcW w:w="0" w:type="auto"/>
            <w:shd w:val="clear" w:color="auto" w:fill="CCEEFF"/>
            <w:tcMar>
              <w:top w:w="30" w:type="dxa"/>
              <w:left w:w="0" w:type="dxa"/>
              <w:bottom w:w="30" w:type="dxa"/>
              <w:right w:w="20" w:type="dxa"/>
            </w:tcMar>
            <w:vAlign w:val="center"/>
            <w:hideMark/>
          </w:tcPr>
          <w:p w:rsidR="00000000" w:rsidRDefault="00613AEB">
            <w:pPr>
              <w:spacing w:after="100"/>
              <w:jc w:val="right"/>
              <w:rPr>
                <w:rFonts w:eastAsia="Times New Roman"/>
              </w:rPr>
            </w:pPr>
          </w:p>
        </w:tc>
      </w:tr>
      <w:tr w:rsidR="00000000">
        <w:trPr>
          <w:jc w:val="center"/>
        </w:trPr>
        <w:tc>
          <w:tcPr>
            <w:tcW w:w="0" w:type="auto"/>
            <w:gridSpan w:val="3"/>
            <w:vAlign w:val="center"/>
            <w:hideMark/>
          </w:tcPr>
          <w:p w:rsidR="00000000" w:rsidRDefault="00613AEB">
            <w:pPr>
              <w:spacing w:after="100"/>
              <w:jc w:val="right"/>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r>
      <w:tr w:rsidR="00000000">
        <w:trPr>
          <w:jc w:val="center"/>
        </w:trPr>
        <w:tc>
          <w:tcPr>
            <w:tcW w:w="0" w:type="auto"/>
            <w:gridSpan w:val="3"/>
            <w:shd w:val="clear" w:color="auto" w:fill="FFFFFF"/>
            <w:tcMar>
              <w:top w:w="30" w:type="dxa"/>
              <w:left w:w="245" w:type="dxa"/>
              <w:bottom w:w="30" w:type="dxa"/>
              <w:right w:w="20" w:type="dxa"/>
            </w:tcMar>
            <w:vAlign w:val="center"/>
            <w:hideMark/>
          </w:tcPr>
          <w:p w:rsidR="00000000" w:rsidRDefault="00613AEB">
            <w:pPr>
              <w:spacing w:after="100"/>
              <w:rPr>
                <w:rFonts w:eastAsia="Times New Roman"/>
              </w:rPr>
            </w:pPr>
            <w:r>
              <w:rPr>
                <w:rFonts w:eastAsia="Times New Roman"/>
                <w:color w:val="000000"/>
                <w:sz w:val="20"/>
                <w:szCs w:val="20"/>
              </w:rPr>
              <w:t>Inventories</w:t>
            </w:r>
          </w:p>
        </w:tc>
        <w:tc>
          <w:tcPr>
            <w:tcW w:w="0" w:type="auto"/>
            <w:gridSpan w:val="2"/>
            <w:shd w:val="clear" w:color="auto" w:fill="FFFFFF"/>
            <w:tcMar>
              <w:top w:w="30" w:type="dxa"/>
              <w:left w:w="20" w:type="dxa"/>
              <w:bottom w:w="30" w:type="dxa"/>
              <w:right w:w="0" w:type="dxa"/>
            </w:tcMar>
            <w:vAlign w:val="center"/>
            <w:hideMark/>
          </w:tcPr>
          <w:p w:rsidR="00000000" w:rsidRDefault="00613AEB">
            <w:pPr>
              <w:spacing w:after="100"/>
              <w:jc w:val="right"/>
              <w:rPr>
                <w:rFonts w:eastAsia="Times New Roman"/>
              </w:rPr>
            </w:pPr>
            <w:r>
              <w:rPr>
                <w:rFonts w:eastAsia="Times New Roman"/>
                <w:color w:val="000000"/>
                <w:sz w:val="20"/>
                <w:szCs w:val="20"/>
              </w:rPr>
              <w:t>2,485,138 </w:t>
            </w:r>
          </w:p>
        </w:tc>
        <w:tc>
          <w:tcPr>
            <w:tcW w:w="0" w:type="auto"/>
            <w:shd w:val="clear" w:color="auto" w:fill="FFFFFF"/>
            <w:tcMar>
              <w:top w:w="30" w:type="dxa"/>
              <w:left w:w="0" w:type="dxa"/>
              <w:bottom w:w="30" w:type="dxa"/>
              <w:right w:w="20" w:type="dxa"/>
            </w:tcMar>
            <w:vAlign w:val="center"/>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613AEB">
            <w:pPr>
              <w:spacing w:after="100"/>
              <w:jc w:val="right"/>
              <w:rPr>
                <w:rFonts w:eastAsia="Times New Roman"/>
              </w:rPr>
            </w:pPr>
            <w:r>
              <w:rPr>
                <w:rFonts w:eastAsia="Times New Roman"/>
                <w:color w:val="000000"/>
                <w:sz w:val="20"/>
                <w:szCs w:val="20"/>
              </w:rPr>
              <w:t>2,191,192 </w:t>
            </w:r>
          </w:p>
        </w:tc>
        <w:tc>
          <w:tcPr>
            <w:tcW w:w="0" w:type="auto"/>
            <w:shd w:val="clear" w:color="auto" w:fill="FFFFFF"/>
            <w:tcMar>
              <w:top w:w="30" w:type="dxa"/>
              <w:left w:w="0" w:type="dxa"/>
              <w:bottom w:w="30" w:type="dxa"/>
              <w:right w:w="20" w:type="dxa"/>
            </w:tcMar>
            <w:vAlign w:val="center"/>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613AEB">
            <w:pPr>
              <w:spacing w:after="100"/>
              <w:jc w:val="right"/>
              <w:rPr>
                <w:rFonts w:eastAsia="Times New Roman"/>
              </w:rPr>
            </w:pPr>
            <w:r>
              <w:rPr>
                <w:rFonts w:eastAsia="Times New Roman"/>
                <w:color w:val="000000"/>
                <w:sz w:val="20"/>
                <w:szCs w:val="20"/>
              </w:rPr>
              <w:t>1,992,824 </w:t>
            </w:r>
          </w:p>
        </w:tc>
        <w:tc>
          <w:tcPr>
            <w:tcW w:w="0" w:type="auto"/>
            <w:shd w:val="clear" w:color="auto" w:fill="FFFFFF"/>
            <w:tcMar>
              <w:top w:w="30" w:type="dxa"/>
              <w:left w:w="0" w:type="dxa"/>
              <w:bottom w:w="30" w:type="dxa"/>
              <w:right w:w="20" w:type="dxa"/>
            </w:tcMar>
            <w:vAlign w:val="center"/>
            <w:hideMark/>
          </w:tcPr>
          <w:p w:rsidR="00000000" w:rsidRDefault="00613AEB">
            <w:pPr>
              <w:spacing w:after="100"/>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vAlign w:val="center"/>
            <w:hideMark/>
          </w:tcPr>
          <w:p w:rsidR="00000000" w:rsidRDefault="00613AEB">
            <w:pPr>
              <w:spacing w:after="100"/>
              <w:rPr>
                <w:rFonts w:eastAsia="Times New Roman"/>
              </w:rPr>
            </w:pPr>
            <w:r>
              <w:rPr>
                <w:rFonts w:eastAsia="Times New Roman"/>
                <w:color w:val="000000"/>
                <w:sz w:val="20"/>
                <w:szCs w:val="20"/>
              </w:rPr>
              <w:t>Prepaid expenses and other current assets</w:t>
            </w:r>
          </w:p>
        </w:tc>
        <w:tc>
          <w:tcPr>
            <w:tcW w:w="0" w:type="auto"/>
            <w:gridSpan w:val="2"/>
            <w:shd w:val="clear" w:color="auto" w:fill="CCEEFF"/>
            <w:tcMar>
              <w:top w:w="30" w:type="dxa"/>
              <w:left w:w="20" w:type="dxa"/>
              <w:bottom w:w="30" w:type="dxa"/>
              <w:right w:w="0" w:type="dxa"/>
            </w:tcMar>
            <w:vAlign w:val="center"/>
            <w:hideMark/>
          </w:tcPr>
          <w:p w:rsidR="00000000" w:rsidRDefault="00613AEB">
            <w:pPr>
              <w:spacing w:after="100"/>
              <w:jc w:val="right"/>
              <w:rPr>
                <w:rFonts w:eastAsia="Times New Roman"/>
              </w:rPr>
            </w:pPr>
            <w:r>
              <w:rPr>
                <w:rFonts w:eastAsia="Times New Roman"/>
                <w:color w:val="000000"/>
                <w:sz w:val="20"/>
                <w:szCs w:val="20"/>
              </w:rPr>
              <w:t>214,436 </w:t>
            </w:r>
          </w:p>
        </w:tc>
        <w:tc>
          <w:tcPr>
            <w:tcW w:w="0" w:type="auto"/>
            <w:shd w:val="clear" w:color="auto" w:fill="CCEEFF"/>
            <w:tcMar>
              <w:top w:w="30" w:type="dxa"/>
              <w:left w:w="0" w:type="dxa"/>
              <w:bottom w:w="30" w:type="dxa"/>
              <w:right w:w="20" w:type="dxa"/>
            </w:tcMar>
            <w:vAlign w:val="center"/>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613AEB">
            <w:pPr>
              <w:spacing w:after="100"/>
              <w:jc w:val="right"/>
              <w:rPr>
                <w:rFonts w:eastAsia="Times New Roman"/>
              </w:rPr>
            </w:pPr>
            <w:r>
              <w:rPr>
                <w:rFonts w:eastAsia="Times New Roman"/>
                <w:color w:val="000000"/>
                <w:sz w:val="20"/>
                <w:szCs w:val="20"/>
              </w:rPr>
              <w:t>164,118 </w:t>
            </w:r>
          </w:p>
        </w:tc>
        <w:tc>
          <w:tcPr>
            <w:tcW w:w="0" w:type="auto"/>
            <w:shd w:val="clear" w:color="auto" w:fill="CCEEFF"/>
            <w:tcMar>
              <w:top w:w="30" w:type="dxa"/>
              <w:left w:w="0" w:type="dxa"/>
              <w:bottom w:w="30" w:type="dxa"/>
              <w:right w:w="20" w:type="dxa"/>
            </w:tcMar>
            <w:vAlign w:val="center"/>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613AEB">
            <w:pPr>
              <w:spacing w:after="100"/>
              <w:jc w:val="right"/>
              <w:rPr>
                <w:rFonts w:eastAsia="Times New Roman"/>
              </w:rPr>
            </w:pPr>
            <w:r>
              <w:rPr>
                <w:rFonts w:eastAsia="Times New Roman"/>
                <w:color w:val="000000"/>
                <w:sz w:val="20"/>
                <w:szCs w:val="20"/>
              </w:rPr>
              <w:t>162,318 </w:t>
            </w:r>
          </w:p>
        </w:tc>
        <w:tc>
          <w:tcPr>
            <w:tcW w:w="0" w:type="auto"/>
            <w:shd w:val="clear" w:color="auto" w:fill="CCEEFF"/>
            <w:tcMar>
              <w:top w:w="30" w:type="dxa"/>
              <w:left w:w="0" w:type="dxa"/>
              <w:bottom w:w="30" w:type="dxa"/>
              <w:right w:w="20" w:type="dxa"/>
            </w:tcMar>
            <w:vAlign w:val="center"/>
            <w:hideMark/>
          </w:tcPr>
          <w:p w:rsidR="00000000" w:rsidRDefault="00613AEB">
            <w:pPr>
              <w:spacing w:after="100"/>
              <w:jc w:val="right"/>
              <w:rPr>
                <w:rFonts w:eastAsia="Times New Roman"/>
              </w:rPr>
            </w:pPr>
          </w:p>
        </w:tc>
      </w:tr>
      <w:tr w:rsidR="00000000">
        <w:trPr>
          <w:jc w:val="center"/>
        </w:trPr>
        <w:tc>
          <w:tcPr>
            <w:tcW w:w="0" w:type="auto"/>
            <w:gridSpan w:val="3"/>
            <w:shd w:val="clear" w:color="auto" w:fill="FFFFFF"/>
            <w:tcMar>
              <w:top w:w="30" w:type="dxa"/>
              <w:left w:w="245" w:type="dxa"/>
              <w:bottom w:w="30" w:type="dxa"/>
              <w:right w:w="20" w:type="dxa"/>
            </w:tcMar>
            <w:vAlign w:val="center"/>
            <w:hideMark/>
          </w:tcPr>
          <w:p w:rsidR="00000000" w:rsidRDefault="00613AEB">
            <w:pPr>
              <w:spacing w:after="100"/>
              <w:rPr>
                <w:rFonts w:eastAsia="Times New Roman"/>
              </w:rPr>
            </w:pPr>
            <w:r>
              <w:rPr>
                <w:rFonts w:eastAsia="Times New Roman"/>
                <w:color w:val="000000"/>
                <w:sz w:val="20"/>
                <w:szCs w:val="20"/>
              </w:rPr>
              <w:t>Income taxes receivable</w:t>
            </w:r>
          </w:p>
        </w:tc>
        <w:tc>
          <w:tcPr>
            <w:tcW w:w="0" w:type="auto"/>
            <w:gridSpan w:val="2"/>
            <w:shd w:val="clear" w:color="auto" w:fill="FFFFFF"/>
            <w:tcMar>
              <w:top w:w="30" w:type="dxa"/>
              <w:left w:w="20" w:type="dxa"/>
              <w:bottom w:w="30" w:type="dxa"/>
              <w:right w:w="0" w:type="dxa"/>
            </w:tcMar>
            <w:vAlign w:val="center"/>
            <w:hideMark/>
          </w:tcPr>
          <w:p w:rsidR="00000000" w:rsidRDefault="00613AE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613AEB">
            <w:pPr>
              <w:spacing w:after="100"/>
              <w:jc w:val="right"/>
              <w:rPr>
                <w:rFonts w:eastAsia="Times New Roman"/>
              </w:rPr>
            </w:pPr>
            <w:r>
              <w:rPr>
                <w:rFonts w:eastAsia="Times New Roman"/>
                <w:color w:val="000000"/>
                <w:sz w:val="20"/>
                <w:szCs w:val="20"/>
              </w:rPr>
              <w:t>17,100 </w:t>
            </w:r>
          </w:p>
        </w:tc>
        <w:tc>
          <w:tcPr>
            <w:tcW w:w="0" w:type="auto"/>
            <w:shd w:val="clear" w:color="auto" w:fill="FFFFFF"/>
            <w:tcMar>
              <w:top w:w="30" w:type="dxa"/>
              <w:left w:w="0" w:type="dxa"/>
              <w:bottom w:w="30" w:type="dxa"/>
              <w:right w:w="20" w:type="dxa"/>
            </w:tcMar>
            <w:vAlign w:val="center"/>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613AE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613AEB">
            <w:pPr>
              <w:spacing w:after="100"/>
              <w:jc w:val="right"/>
              <w:rPr>
                <w:rFonts w:eastAsia="Times New Roman"/>
              </w:rPr>
            </w:pPr>
          </w:p>
        </w:tc>
      </w:tr>
      <w:tr w:rsidR="00000000">
        <w:trPr>
          <w:jc w:val="center"/>
        </w:trPr>
        <w:tc>
          <w:tcPr>
            <w:tcW w:w="0" w:type="auto"/>
            <w:gridSpan w:val="3"/>
            <w:shd w:val="clear" w:color="auto" w:fill="CCEEFF"/>
            <w:tcMar>
              <w:top w:w="30" w:type="dxa"/>
              <w:left w:w="740" w:type="dxa"/>
              <w:bottom w:w="30" w:type="dxa"/>
              <w:right w:w="20" w:type="dxa"/>
            </w:tcMar>
            <w:vAlign w:val="center"/>
            <w:hideMark/>
          </w:tcPr>
          <w:p w:rsidR="00000000" w:rsidRDefault="00613AEB">
            <w:pPr>
              <w:spacing w:after="100"/>
              <w:rPr>
                <w:rFonts w:eastAsia="Times New Roman"/>
              </w:rPr>
            </w:pPr>
            <w:r>
              <w:rPr>
                <w:rFonts w:eastAsia="Times New Roman"/>
                <w:color w:val="000000"/>
                <w:sz w:val="20"/>
                <w:szCs w:val="20"/>
              </w:rPr>
              <w:t>Total current assets</w:t>
            </w: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613AEB">
            <w:pPr>
              <w:spacing w:after="100"/>
              <w:jc w:val="right"/>
              <w:rPr>
                <w:rFonts w:eastAsia="Times New Roman"/>
              </w:rPr>
            </w:pPr>
            <w:r>
              <w:rPr>
                <w:rFonts w:eastAsia="Times New Roman"/>
                <w:color w:val="000000"/>
                <w:sz w:val="20"/>
                <w:szCs w:val="20"/>
              </w:rPr>
              <w:t>3,230,396 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613AEB">
            <w:pPr>
              <w:spacing w:after="100"/>
              <w:jc w:val="right"/>
              <w:rPr>
                <w:rFonts w:eastAsia="Times New Roman"/>
              </w:rPr>
            </w:pPr>
            <w:r>
              <w:rPr>
                <w:rFonts w:eastAsia="Times New Roman"/>
                <w:color w:val="000000"/>
                <w:sz w:val="20"/>
                <w:szCs w:val="20"/>
              </w:rPr>
              <w:t>3,250,440 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613AEB">
            <w:pPr>
              <w:spacing w:after="100"/>
              <w:jc w:val="right"/>
              <w:rPr>
                <w:rFonts w:eastAsia="Times New Roman"/>
              </w:rPr>
            </w:pPr>
            <w:r>
              <w:rPr>
                <w:rFonts w:eastAsia="Times New Roman"/>
                <w:color w:val="000000"/>
                <w:sz w:val="20"/>
                <w:szCs w:val="20"/>
              </w:rPr>
              <w:t>3,567,143 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613AEB">
            <w:pPr>
              <w:spacing w:after="100"/>
              <w:jc w:val="right"/>
              <w:rPr>
                <w:rFonts w:eastAsia="Times New Roman"/>
              </w:rPr>
            </w:pPr>
          </w:p>
        </w:tc>
      </w:tr>
      <w:tr w:rsidR="00000000">
        <w:trPr>
          <w:trHeight w:val="60"/>
          <w:jc w:val="center"/>
        </w:trPr>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center"/>
            <w:hideMark/>
          </w:tcPr>
          <w:p w:rsidR="00000000" w:rsidRDefault="00613AEB">
            <w:pPr>
              <w:spacing w:after="100"/>
              <w:rPr>
                <w:rFonts w:eastAsia="Times New Roman"/>
              </w:rPr>
            </w:pPr>
            <w:r>
              <w:rPr>
                <w:rFonts w:eastAsia="Times New Roman"/>
                <w:color w:val="000000"/>
                <w:sz w:val="20"/>
                <w:szCs w:val="20"/>
              </w:rPr>
              <w:t>Property and equipment, net</w:t>
            </w:r>
          </w:p>
        </w:tc>
        <w:tc>
          <w:tcPr>
            <w:tcW w:w="0" w:type="auto"/>
            <w:gridSpan w:val="2"/>
            <w:shd w:val="clear" w:color="auto" w:fill="CCEEFF"/>
            <w:tcMar>
              <w:top w:w="30" w:type="dxa"/>
              <w:left w:w="20" w:type="dxa"/>
              <w:bottom w:w="30" w:type="dxa"/>
              <w:right w:w="0" w:type="dxa"/>
            </w:tcMar>
            <w:vAlign w:val="center"/>
            <w:hideMark/>
          </w:tcPr>
          <w:p w:rsidR="00000000" w:rsidRDefault="00613AEB">
            <w:pPr>
              <w:spacing w:after="100"/>
              <w:jc w:val="right"/>
              <w:rPr>
                <w:rFonts w:eastAsia="Times New Roman"/>
              </w:rPr>
            </w:pPr>
            <w:r>
              <w:rPr>
                <w:rFonts w:eastAsia="Times New Roman"/>
                <w:color w:val="000000"/>
                <w:sz w:val="20"/>
                <w:szCs w:val="20"/>
              </w:rPr>
              <w:t>1,744,556 </w:t>
            </w:r>
          </w:p>
        </w:tc>
        <w:tc>
          <w:tcPr>
            <w:tcW w:w="0" w:type="auto"/>
            <w:shd w:val="clear" w:color="auto" w:fill="CCEEFF"/>
            <w:tcMar>
              <w:top w:w="30" w:type="dxa"/>
              <w:left w:w="0" w:type="dxa"/>
              <w:bottom w:w="30" w:type="dxa"/>
              <w:right w:w="20" w:type="dxa"/>
            </w:tcMar>
            <w:vAlign w:val="center"/>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613AEB">
            <w:pPr>
              <w:spacing w:after="100"/>
              <w:jc w:val="right"/>
              <w:rPr>
                <w:rFonts w:eastAsia="Times New Roman"/>
              </w:rPr>
            </w:pPr>
            <w:r>
              <w:rPr>
                <w:rFonts w:eastAsia="Times New Roman"/>
                <w:color w:val="000000"/>
                <w:sz w:val="20"/>
                <w:szCs w:val="20"/>
              </w:rPr>
              <w:t>1,617,806 </w:t>
            </w:r>
          </w:p>
        </w:tc>
        <w:tc>
          <w:tcPr>
            <w:tcW w:w="0" w:type="auto"/>
            <w:shd w:val="clear" w:color="auto" w:fill="CCEEFF"/>
            <w:tcMar>
              <w:top w:w="30" w:type="dxa"/>
              <w:left w:w="0" w:type="dxa"/>
              <w:bottom w:w="30" w:type="dxa"/>
              <w:right w:w="20" w:type="dxa"/>
            </w:tcMar>
            <w:vAlign w:val="center"/>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613AEB">
            <w:pPr>
              <w:spacing w:after="100"/>
              <w:jc w:val="right"/>
              <w:rPr>
                <w:rFonts w:eastAsia="Times New Roman"/>
              </w:rPr>
            </w:pPr>
            <w:r>
              <w:rPr>
                <w:rFonts w:eastAsia="Times New Roman"/>
                <w:color w:val="000000"/>
                <w:sz w:val="20"/>
                <w:szCs w:val="20"/>
              </w:rPr>
              <w:t>1,333,852 </w:t>
            </w:r>
          </w:p>
        </w:tc>
        <w:tc>
          <w:tcPr>
            <w:tcW w:w="0" w:type="auto"/>
            <w:shd w:val="clear" w:color="auto" w:fill="CCEEFF"/>
            <w:tcMar>
              <w:top w:w="30" w:type="dxa"/>
              <w:left w:w="0" w:type="dxa"/>
              <w:bottom w:w="30" w:type="dxa"/>
              <w:right w:w="20" w:type="dxa"/>
            </w:tcMar>
            <w:vAlign w:val="center"/>
            <w:hideMark/>
          </w:tcPr>
          <w:p w:rsidR="00000000" w:rsidRDefault="00613AEB">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center"/>
            <w:hideMark/>
          </w:tcPr>
          <w:p w:rsidR="00000000" w:rsidRDefault="00613AEB">
            <w:pPr>
              <w:spacing w:after="100"/>
              <w:rPr>
                <w:rFonts w:eastAsia="Times New Roman"/>
              </w:rPr>
            </w:pPr>
            <w:r>
              <w:rPr>
                <w:rFonts w:eastAsia="Times New Roman"/>
                <w:color w:val="000000"/>
                <w:sz w:val="20"/>
                <w:szCs w:val="20"/>
              </w:rPr>
              <w:t>Operating lease right-of-use assets</w:t>
            </w:r>
          </w:p>
        </w:tc>
        <w:tc>
          <w:tcPr>
            <w:tcW w:w="0" w:type="auto"/>
            <w:gridSpan w:val="2"/>
            <w:shd w:val="clear" w:color="auto" w:fill="FFFFFF"/>
            <w:tcMar>
              <w:top w:w="30" w:type="dxa"/>
              <w:left w:w="20" w:type="dxa"/>
              <w:bottom w:w="30" w:type="dxa"/>
              <w:right w:w="0" w:type="dxa"/>
            </w:tcMar>
            <w:vAlign w:val="center"/>
            <w:hideMark/>
          </w:tcPr>
          <w:p w:rsidR="00000000" w:rsidRDefault="00613AEB">
            <w:pPr>
              <w:spacing w:after="100"/>
              <w:jc w:val="right"/>
              <w:rPr>
                <w:rFonts w:eastAsia="Times New Roman"/>
              </w:rPr>
            </w:pPr>
            <w:r>
              <w:rPr>
                <w:rFonts w:eastAsia="Times New Roman"/>
                <w:color w:val="000000"/>
                <w:sz w:val="20"/>
                <w:szCs w:val="20"/>
              </w:rPr>
              <w:t>2,760,148 </w:t>
            </w:r>
          </w:p>
        </w:tc>
        <w:tc>
          <w:tcPr>
            <w:tcW w:w="0" w:type="auto"/>
            <w:shd w:val="clear" w:color="auto" w:fill="FFFFFF"/>
            <w:tcMar>
              <w:top w:w="30" w:type="dxa"/>
              <w:left w:w="0" w:type="dxa"/>
              <w:bottom w:w="30" w:type="dxa"/>
              <w:right w:w="20" w:type="dxa"/>
            </w:tcMar>
            <w:vAlign w:val="center"/>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613AEB">
            <w:pPr>
              <w:spacing w:after="100"/>
              <w:jc w:val="right"/>
              <w:rPr>
                <w:rFonts w:eastAsia="Times New Roman"/>
              </w:rPr>
            </w:pPr>
            <w:r>
              <w:rPr>
                <w:rFonts w:eastAsia="Times New Roman"/>
                <w:color w:val="000000"/>
                <w:sz w:val="20"/>
                <w:szCs w:val="20"/>
              </w:rPr>
              <w:t>2,785,858 </w:t>
            </w:r>
          </w:p>
        </w:tc>
        <w:tc>
          <w:tcPr>
            <w:tcW w:w="0" w:type="auto"/>
            <w:shd w:val="clear" w:color="auto" w:fill="FFFFFF"/>
            <w:tcMar>
              <w:top w:w="30" w:type="dxa"/>
              <w:left w:w="0" w:type="dxa"/>
              <w:bottom w:w="30" w:type="dxa"/>
              <w:right w:w="20" w:type="dxa"/>
            </w:tcMar>
            <w:vAlign w:val="center"/>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613AEB">
            <w:pPr>
              <w:spacing w:after="100"/>
              <w:jc w:val="right"/>
              <w:rPr>
                <w:rFonts w:eastAsia="Times New Roman"/>
              </w:rPr>
            </w:pPr>
            <w:r>
              <w:rPr>
                <w:rFonts w:eastAsia="Times New Roman"/>
                <w:color w:val="000000"/>
                <w:sz w:val="20"/>
                <w:szCs w:val="20"/>
              </w:rPr>
              <w:t>2,675,030 </w:t>
            </w:r>
          </w:p>
        </w:tc>
        <w:tc>
          <w:tcPr>
            <w:tcW w:w="0" w:type="auto"/>
            <w:shd w:val="clear" w:color="auto" w:fill="FFFFFF"/>
            <w:tcMar>
              <w:top w:w="30" w:type="dxa"/>
              <w:left w:w="0" w:type="dxa"/>
              <w:bottom w:w="30" w:type="dxa"/>
              <w:right w:w="20" w:type="dxa"/>
            </w:tcMar>
            <w:vAlign w:val="center"/>
            <w:hideMark/>
          </w:tcPr>
          <w:p w:rsidR="00000000" w:rsidRDefault="00613AEB">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center"/>
            <w:hideMark/>
          </w:tcPr>
          <w:p w:rsidR="00000000" w:rsidRDefault="00613AEB">
            <w:pPr>
              <w:spacing w:after="100"/>
              <w:rPr>
                <w:rFonts w:eastAsia="Times New Roman"/>
              </w:rPr>
            </w:pPr>
            <w:r>
              <w:rPr>
                <w:rFonts w:eastAsia="Times New Roman"/>
                <w:color w:val="000000"/>
                <w:sz w:val="20"/>
                <w:szCs w:val="20"/>
              </w:rPr>
              <w:t>Goodwill and other intangible assets</w:t>
            </w:r>
          </w:p>
        </w:tc>
        <w:tc>
          <w:tcPr>
            <w:tcW w:w="0" w:type="auto"/>
            <w:gridSpan w:val="2"/>
            <w:shd w:val="clear" w:color="auto" w:fill="CCEEFF"/>
            <w:tcMar>
              <w:top w:w="30" w:type="dxa"/>
              <w:left w:w="20" w:type="dxa"/>
              <w:bottom w:w="30" w:type="dxa"/>
              <w:right w:w="0" w:type="dxa"/>
            </w:tcMar>
            <w:vAlign w:val="center"/>
            <w:hideMark/>
          </w:tcPr>
          <w:p w:rsidR="00000000" w:rsidRDefault="00613AEB">
            <w:pPr>
              <w:spacing w:after="100"/>
              <w:jc w:val="right"/>
              <w:rPr>
                <w:rFonts w:eastAsia="Times New Roman"/>
              </w:rPr>
            </w:pPr>
            <w:r>
              <w:rPr>
                <w:rFonts w:eastAsia="Times New Roman"/>
                <w:color w:val="000000"/>
                <w:sz w:val="20"/>
                <w:szCs w:val="20"/>
              </w:rPr>
              <w:t>55,520 </w:t>
            </w:r>
          </w:p>
        </w:tc>
        <w:tc>
          <w:tcPr>
            <w:tcW w:w="0" w:type="auto"/>
            <w:shd w:val="clear" w:color="auto" w:fill="CCEEFF"/>
            <w:tcMar>
              <w:top w:w="30" w:type="dxa"/>
              <w:left w:w="0" w:type="dxa"/>
              <w:bottom w:w="30" w:type="dxa"/>
              <w:right w:w="20" w:type="dxa"/>
            </w:tcMar>
            <w:vAlign w:val="center"/>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613AEB">
            <w:pPr>
              <w:spacing w:after="100"/>
              <w:jc w:val="right"/>
              <w:rPr>
                <w:rFonts w:eastAsia="Times New Roman"/>
              </w:rPr>
            </w:pPr>
            <w:r>
              <w:rPr>
                <w:rFonts w:eastAsia="Times New Roman"/>
                <w:color w:val="000000"/>
                <w:sz w:val="20"/>
                <w:szCs w:val="20"/>
              </w:rPr>
              <w:t>55,520 </w:t>
            </w:r>
          </w:p>
        </w:tc>
        <w:tc>
          <w:tcPr>
            <w:tcW w:w="0" w:type="auto"/>
            <w:shd w:val="clear" w:color="auto" w:fill="CCEEFF"/>
            <w:tcMar>
              <w:top w:w="30" w:type="dxa"/>
              <w:left w:w="0" w:type="dxa"/>
              <w:bottom w:w="30" w:type="dxa"/>
              <w:right w:w="20" w:type="dxa"/>
            </w:tcMar>
            <w:vAlign w:val="center"/>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613AEB">
            <w:pPr>
              <w:spacing w:after="100"/>
              <w:jc w:val="right"/>
              <w:rPr>
                <w:rFonts w:eastAsia="Times New Roman"/>
              </w:rPr>
            </w:pPr>
            <w:r>
              <w:rPr>
                <w:rFonts w:eastAsia="Times New Roman"/>
                <w:color w:val="000000"/>
                <w:sz w:val="20"/>
                <w:szCs w:val="20"/>
              </w:rPr>
              <w:t>55,520 </w:t>
            </w:r>
          </w:p>
        </w:tc>
        <w:tc>
          <w:tcPr>
            <w:tcW w:w="0" w:type="auto"/>
            <w:shd w:val="clear" w:color="auto" w:fill="CCEEFF"/>
            <w:tcMar>
              <w:top w:w="30" w:type="dxa"/>
              <w:left w:w="0" w:type="dxa"/>
              <w:bottom w:w="30" w:type="dxa"/>
              <w:right w:w="20" w:type="dxa"/>
            </w:tcMar>
            <w:vAlign w:val="center"/>
            <w:hideMark/>
          </w:tcPr>
          <w:p w:rsidR="00000000" w:rsidRDefault="00613AEB">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center"/>
            <w:hideMark/>
          </w:tcPr>
          <w:p w:rsidR="00000000" w:rsidRDefault="00613AEB">
            <w:pPr>
              <w:spacing w:after="100"/>
              <w:rPr>
                <w:rFonts w:eastAsia="Times New Roman"/>
              </w:rPr>
            </w:pPr>
            <w:r>
              <w:rPr>
                <w:rFonts w:eastAsia="Times New Roman"/>
                <w:color w:val="000000"/>
                <w:sz w:val="20"/>
                <w:szCs w:val="20"/>
              </w:rPr>
              <w:t>Deferred income taxes</w:t>
            </w:r>
          </w:p>
        </w:tc>
        <w:tc>
          <w:tcPr>
            <w:tcW w:w="0" w:type="auto"/>
            <w:gridSpan w:val="2"/>
            <w:shd w:val="clear" w:color="auto" w:fill="FFFFFF"/>
            <w:tcMar>
              <w:top w:w="30" w:type="dxa"/>
              <w:left w:w="20" w:type="dxa"/>
              <w:bottom w:w="30" w:type="dxa"/>
              <w:right w:w="0" w:type="dxa"/>
            </w:tcMar>
            <w:vAlign w:val="center"/>
            <w:hideMark/>
          </w:tcPr>
          <w:p w:rsidR="00000000" w:rsidRDefault="00613AE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613AEB">
            <w:pPr>
              <w:spacing w:after="100"/>
              <w:jc w:val="right"/>
              <w:rPr>
                <w:rFonts w:eastAsia="Times New Roman"/>
              </w:rPr>
            </w:pPr>
            <w:r>
              <w:rPr>
                <w:rFonts w:eastAsia="Times New Roman"/>
                <w:color w:val="000000"/>
                <w:sz w:val="20"/>
                <w:szCs w:val="20"/>
              </w:rPr>
              <w:t>2,437 </w:t>
            </w:r>
          </w:p>
        </w:tc>
        <w:tc>
          <w:tcPr>
            <w:tcW w:w="0" w:type="auto"/>
            <w:shd w:val="clear" w:color="auto" w:fill="FFFFFF"/>
            <w:tcMar>
              <w:top w:w="30" w:type="dxa"/>
              <w:left w:w="0" w:type="dxa"/>
              <w:bottom w:w="30" w:type="dxa"/>
              <w:right w:w="20" w:type="dxa"/>
            </w:tcMar>
            <w:vAlign w:val="center"/>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613AEB">
            <w:pPr>
              <w:spacing w:after="100"/>
              <w:jc w:val="right"/>
              <w:rPr>
                <w:rFonts w:eastAsia="Times New Roman"/>
              </w:rPr>
            </w:pPr>
            <w:r>
              <w:rPr>
                <w:rFonts w:eastAsia="Times New Roman"/>
                <w:color w:val="000000"/>
                <w:sz w:val="20"/>
                <w:szCs w:val="20"/>
              </w:rPr>
              <w:t>18,772 </w:t>
            </w:r>
          </w:p>
        </w:tc>
        <w:tc>
          <w:tcPr>
            <w:tcW w:w="0" w:type="auto"/>
            <w:shd w:val="clear" w:color="auto" w:fill="FFFFFF"/>
            <w:tcMar>
              <w:top w:w="30" w:type="dxa"/>
              <w:left w:w="0" w:type="dxa"/>
              <w:bottom w:w="30" w:type="dxa"/>
              <w:right w:w="20" w:type="dxa"/>
            </w:tcMar>
            <w:vAlign w:val="center"/>
            <w:hideMark/>
          </w:tcPr>
          <w:p w:rsidR="00000000" w:rsidRDefault="00613AEB">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center"/>
            <w:hideMark/>
          </w:tcPr>
          <w:p w:rsidR="00000000" w:rsidRDefault="00613AEB">
            <w:pPr>
              <w:spacing w:after="100"/>
              <w:rPr>
                <w:rFonts w:eastAsia="Times New Roman"/>
              </w:rPr>
            </w:pPr>
            <w:r>
              <w:rPr>
                <w:rFonts w:eastAsia="Times New Roman"/>
                <w:color w:val="000000"/>
                <w:sz w:val="20"/>
                <w:szCs w:val="20"/>
              </w:rPr>
              <w:t>Other assets</w:t>
            </w:r>
          </w:p>
        </w:tc>
        <w:tc>
          <w:tcPr>
            <w:tcW w:w="0" w:type="auto"/>
            <w:gridSpan w:val="2"/>
            <w:shd w:val="clear" w:color="auto" w:fill="CCEEFF"/>
            <w:tcMar>
              <w:top w:w="30" w:type="dxa"/>
              <w:left w:w="20" w:type="dxa"/>
              <w:bottom w:w="30" w:type="dxa"/>
              <w:right w:w="0" w:type="dxa"/>
            </w:tcMar>
            <w:vAlign w:val="center"/>
            <w:hideMark/>
          </w:tcPr>
          <w:p w:rsidR="00000000" w:rsidRDefault="00613AEB">
            <w:pPr>
              <w:spacing w:after="100"/>
              <w:jc w:val="right"/>
              <w:rPr>
                <w:rFonts w:eastAsia="Times New Roman"/>
              </w:rPr>
            </w:pPr>
            <w:r>
              <w:rPr>
                <w:rFonts w:eastAsia="Times New Roman"/>
                <w:color w:val="000000"/>
                <w:sz w:val="20"/>
                <w:szCs w:val="20"/>
              </w:rPr>
              <w:t>78,574 </w:t>
            </w:r>
          </w:p>
        </w:tc>
        <w:tc>
          <w:tcPr>
            <w:tcW w:w="0" w:type="auto"/>
            <w:shd w:val="clear" w:color="auto" w:fill="CCEEFF"/>
            <w:tcMar>
              <w:top w:w="30" w:type="dxa"/>
              <w:left w:w="0" w:type="dxa"/>
              <w:bottom w:w="30" w:type="dxa"/>
              <w:right w:w="20" w:type="dxa"/>
            </w:tcMar>
            <w:vAlign w:val="center"/>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613AEB">
            <w:pPr>
              <w:spacing w:after="100"/>
              <w:jc w:val="right"/>
              <w:rPr>
                <w:rFonts w:eastAsia="Times New Roman"/>
              </w:rPr>
            </w:pPr>
            <w:r>
              <w:rPr>
                <w:rFonts w:eastAsia="Times New Roman"/>
                <w:color w:val="000000"/>
                <w:sz w:val="20"/>
                <w:szCs w:val="20"/>
              </w:rPr>
              <w:t>55,406 </w:t>
            </w:r>
          </w:p>
        </w:tc>
        <w:tc>
          <w:tcPr>
            <w:tcW w:w="0" w:type="auto"/>
            <w:shd w:val="clear" w:color="auto" w:fill="CCEEFF"/>
            <w:tcMar>
              <w:top w:w="30" w:type="dxa"/>
              <w:left w:w="0" w:type="dxa"/>
              <w:bottom w:w="30" w:type="dxa"/>
              <w:right w:w="20" w:type="dxa"/>
            </w:tcMar>
            <w:vAlign w:val="center"/>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613AEB">
            <w:pPr>
              <w:spacing w:after="100"/>
              <w:jc w:val="right"/>
              <w:rPr>
                <w:rFonts w:eastAsia="Times New Roman"/>
              </w:rPr>
            </w:pPr>
            <w:r>
              <w:rPr>
                <w:rFonts w:eastAsia="Times New Roman"/>
                <w:color w:val="000000"/>
                <w:sz w:val="20"/>
                <w:szCs w:val="20"/>
              </w:rPr>
              <w:t>37,571 </w:t>
            </w:r>
          </w:p>
        </w:tc>
        <w:tc>
          <w:tcPr>
            <w:tcW w:w="0" w:type="auto"/>
            <w:shd w:val="clear" w:color="auto" w:fill="CCEEFF"/>
            <w:tcMar>
              <w:top w:w="30" w:type="dxa"/>
              <w:left w:w="0" w:type="dxa"/>
              <w:bottom w:w="30" w:type="dxa"/>
              <w:right w:w="20" w:type="dxa"/>
            </w:tcMar>
            <w:vAlign w:val="center"/>
            <w:hideMark/>
          </w:tcPr>
          <w:p w:rsidR="00000000" w:rsidRDefault="00613AEB">
            <w:pPr>
              <w:spacing w:after="100"/>
              <w:jc w:val="right"/>
              <w:rPr>
                <w:rFonts w:eastAsia="Times New Roman"/>
              </w:rPr>
            </w:pPr>
          </w:p>
        </w:tc>
      </w:tr>
      <w:tr w:rsidR="00000000">
        <w:trPr>
          <w:jc w:val="center"/>
        </w:trPr>
        <w:tc>
          <w:tcPr>
            <w:tcW w:w="0" w:type="auto"/>
            <w:gridSpan w:val="3"/>
            <w:shd w:val="clear" w:color="auto" w:fill="FFFFFF"/>
            <w:tcMar>
              <w:top w:w="30" w:type="dxa"/>
              <w:left w:w="740" w:type="dxa"/>
              <w:bottom w:w="30" w:type="dxa"/>
              <w:right w:w="20" w:type="dxa"/>
            </w:tcMar>
            <w:vAlign w:val="center"/>
            <w:hideMark/>
          </w:tcPr>
          <w:p w:rsidR="00000000" w:rsidRDefault="00613AEB">
            <w:pPr>
              <w:spacing w:after="100"/>
              <w:rPr>
                <w:rFonts w:eastAsia="Times New Roman"/>
              </w:rPr>
            </w:pPr>
            <w:r>
              <w:rPr>
                <w:rFonts w:eastAsia="Times New Roman"/>
                <w:color w:val="000000"/>
                <w:sz w:val="20"/>
                <w:szCs w:val="20"/>
              </w:rPr>
              <w:t>Total assets</w:t>
            </w: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613AE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613AEB">
            <w:pPr>
              <w:spacing w:after="100"/>
              <w:jc w:val="right"/>
              <w:rPr>
                <w:rFonts w:eastAsia="Times New Roman"/>
              </w:rPr>
            </w:pPr>
            <w:r>
              <w:rPr>
                <w:rFonts w:eastAsia="Times New Roman"/>
                <w:color w:val="000000"/>
                <w:sz w:val="20"/>
                <w:szCs w:val="20"/>
              </w:rPr>
              <w:t>7,869,194 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613AE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613AEB">
            <w:pPr>
              <w:spacing w:after="100"/>
              <w:jc w:val="right"/>
              <w:rPr>
                <w:rFonts w:eastAsia="Times New Roman"/>
              </w:rPr>
            </w:pPr>
            <w:r>
              <w:rPr>
                <w:rFonts w:eastAsia="Times New Roman"/>
                <w:color w:val="000000"/>
                <w:sz w:val="20"/>
                <w:szCs w:val="20"/>
              </w:rPr>
              <w:t>7,767,467 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613AE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613AEB">
            <w:pPr>
              <w:spacing w:after="100"/>
              <w:jc w:val="right"/>
              <w:rPr>
                <w:rFonts w:eastAsia="Times New Roman"/>
              </w:rPr>
            </w:pPr>
            <w:r>
              <w:rPr>
                <w:rFonts w:eastAsia="Times New Roman"/>
                <w:color w:val="000000"/>
                <w:sz w:val="20"/>
                <w:szCs w:val="20"/>
              </w:rPr>
              <w:t>7,687,888 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613AEB">
            <w:pPr>
              <w:spacing w:after="100"/>
              <w:jc w:val="right"/>
              <w:rPr>
                <w:rFonts w:eastAsia="Times New Roman"/>
              </w:rPr>
            </w:pPr>
          </w:p>
        </w:tc>
      </w:tr>
      <w:tr w:rsidR="00000000">
        <w:trPr>
          <w:trHeight w:val="60"/>
          <w:jc w:val="center"/>
        </w:trPr>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center"/>
            <w:hideMark/>
          </w:tcPr>
          <w:p w:rsidR="00000000" w:rsidRDefault="00613AEB">
            <w:pPr>
              <w:spacing w:after="100"/>
              <w:rPr>
                <w:rFonts w:eastAsia="Times New Roman"/>
              </w:rPr>
            </w:pPr>
            <w:r>
              <w:rPr>
                <w:rFonts w:eastAsia="Times New Roman"/>
                <w:b/>
                <w:bCs/>
                <w:color w:val="000000"/>
                <w:sz w:val="20"/>
                <w:szCs w:val="20"/>
              </w:rPr>
              <w:t>LIABILITIES AND STOCKHOLDERS’ EQUITY</w:t>
            </w:r>
          </w:p>
        </w:tc>
        <w:tc>
          <w:tcPr>
            <w:tcW w:w="0" w:type="auto"/>
            <w:gridSpan w:val="3"/>
            <w:shd w:val="clear" w:color="auto" w:fill="FFFFFF"/>
            <w:tcMar>
              <w:top w:w="30" w:type="dxa"/>
              <w:left w:w="20" w:type="dxa"/>
              <w:bottom w:w="30" w:type="dxa"/>
              <w:right w:w="20" w:type="dxa"/>
            </w:tcMar>
            <w:vAlign w:val="center"/>
            <w:hideMark/>
          </w:tcPr>
          <w:p w:rsidR="00000000" w:rsidRDefault="00613AEB">
            <w:pPr>
              <w:spacing w:after="100"/>
              <w:jc w:val="right"/>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613AEB">
            <w:pPr>
              <w:spacing w:after="100"/>
              <w:jc w:val="right"/>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613AEB">
            <w:pPr>
              <w:spacing w:after="100"/>
              <w:jc w:val="right"/>
              <w:rPr>
                <w:rFonts w:eastAsia="Times New Roman"/>
              </w:rPr>
            </w:pPr>
            <w:r>
              <w:rPr>
                <w:rFonts w:eastAsia="Times New Roman"/>
                <w:color w:val="000000"/>
                <w:sz w:val="20"/>
                <w:szCs w:val="20"/>
              </w:rPr>
              <w:t> </w:t>
            </w:r>
          </w:p>
        </w:tc>
      </w:tr>
      <w:tr w:rsidR="00000000">
        <w:trPr>
          <w:jc w:val="center"/>
        </w:trPr>
        <w:tc>
          <w:tcPr>
            <w:tcW w:w="0" w:type="auto"/>
            <w:gridSpan w:val="3"/>
            <w:shd w:val="clear" w:color="auto" w:fill="CCEEFF"/>
            <w:tcMar>
              <w:top w:w="30" w:type="dxa"/>
              <w:left w:w="20" w:type="dxa"/>
              <w:bottom w:w="30" w:type="dxa"/>
              <w:right w:w="20" w:type="dxa"/>
            </w:tcMar>
            <w:vAlign w:val="center"/>
            <w:hideMark/>
          </w:tcPr>
          <w:p w:rsidR="00000000" w:rsidRDefault="00613AEB">
            <w:pPr>
              <w:spacing w:after="100"/>
              <w:rPr>
                <w:rFonts w:eastAsia="Times New Roman"/>
              </w:rPr>
            </w:pPr>
            <w:r>
              <w:rPr>
                <w:rFonts w:eastAsia="Times New Roman"/>
                <w:color w:val="000000"/>
                <w:sz w:val="20"/>
                <w:szCs w:val="20"/>
              </w:rPr>
              <w:t>Current liabilities:</w:t>
            </w:r>
          </w:p>
        </w:tc>
        <w:tc>
          <w:tcPr>
            <w:tcW w:w="0" w:type="auto"/>
            <w:gridSpan w:val="3"/>
            <w:shd w:val="clear" w:color="auto" w:fill="CCEEFF"/>
            <w:tcMar>
              <w:top w:w="30" w:type="dxa"/>
              <w:left w:w="20" w:type="dxa"/>
              <w:bottom w:w="30" w:type="dxa"/>
              <w:right w:w="20" w:type="dxa"/>
            </w:tcMar>
            <w:vAlign w:val="center"/>
            <w:hideMark/>
          </w:tcPr>
          <w:p w:rsidR="00000000" w:rsidRDefault="00613AEB">
            <w:pPr>
              <w:spacing w:after="100"/>
              <w:jc w:val="right"/>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613AEB">
            <w:pPr>
              <w:spacing w:after="100"/>
              <w:jc w:val="right"/>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613AEB">
            <w:pPr>
              <w:spacing w:after="100"/>
              <w:jc w:val="right"/>
              <w:rPr>
                <w:rFonts w:eastAsia="Times New Roman"/>
              </w:rPr>
            </w:pPr>
            <w:r>
              <w:rPr>
                <w:rFonts w:eastAsia="Times New Roman"/>
                <w:color w:val="000000"/>
                <w:sz w:val="20"/>
                <w:szCs w:val="20"/>
              </w:rPr>
              <w:t> </w:t>
            </w:r>
          </w:p>
        </w:tc>
      </w:tr>
      <w:tr w:rsidR="00000000">
        <w:trPr>
          <w:jc w:val="center"/>
        </w:trPr>
        <w:tc>
          <w:tcPr>
            <w:tcW w:w="0" w:type="auto"/>
            <w:gridSpan w:val="3"/>
            <w:shd w:val="clear" w:color="auto" w:fill="FFFFFF"/>
            <w:tcMar>
              <w:top w:w="30" w:type="dxa"/>
              <w:left w:w="245" w:type="dxa"/>
              <w:bottom w:w="30" w:type="dxa"/>
              <w:right w:w="20" w:type="dxa"/>
            </w:tcMar>
            <w:vAlign w:val="center"/>
            <w:hideMark/>
          </w:tcPr>
          <w:p w:rsidR="00000000" w:rsidRDefault="00613AEB">
            <w:pPr>
              <w:spacing w:after="100"/>
              <w:rPr>
                <w:rFonts w:eastAsia="Times New Roman"/>
              </w:rPr>
            </w:pPr>
            <w:r>
              <w:rPr>
                <w:rFonts w:eastAsia="Times New Roman"/>
                <w:color w:val="000000"/>
                <w:sz w:val="20"/>
                <w:szCs w:val="20"/>
              </w:rPr>
              <w:t>Accounts payable</w:t>
            </w:r>
          </w:p>
        </w:tc>
        <w:tc>
          <w:tcPr>
            <w:tcW w:w="0" w:type="auto"/>
            <w:shd w:val="clear" w:color="auto" w:fill="FFFFFF"/>
            <w:tcMar>
              <w:top w:w="30" w:type="dxa"/>
              <w:left w:w="20" w:type="dxa"/>
              <w:bottom w:w="30" w:type="dxa"/>
              <w:right w:w="0" w:type="dxa"/>
            </w:tcMar>
            <w:vAlign w:val="center"/>
            <w:hideMark/>
          </w:tcPr>
          <w:p w:rsidR="00000000" w:rsidRDefault="00613AE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613AEB">
            <w:pPr>
              <w:spacing w:after="100"/>
              <w:jc w:val="right"/>
              <w:rPr>
                <w:rFonts w:eastAsia="Times New Roman"/>
              </w:rPr>
            </w:pPr>
            <w:r>
              <w:rPr>
                <w:rFonts w:eastAsia="Times New Roman"/>
                <w:color w:val="000000"/>
                <w:sz w:val="20"/>
                <w:szCs w:val="20"/>
              </w:rPr>
              <w:t>1,280,518 </w:t>
            </w:r>
          </w:p>
        </w:tc>
        <w:tc>
          <w:tcPr>
            <w:tcW w:w="0" w:type="auto"/>
            <w:shd w:val="clear" w:color="auto" w:fill="FFFFFF"/>
            <w:tcMar>
              <w:top w:w="30" w:type="dxa"/>
              <w:left w:w="0" w:type="dxa"/>
              <w:bottom w:w="30" w:type="dxa"/>
              <w:right w:w="20" w:type="dxa"/>
            </w:tcMar>
            <w:vAlign w:val="center"/>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613AE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613AEB">
            <w:pPr>
              <w:spacing w:after="100"/>
              <w:jc w:val="right"/>
              <w:rPr>
                <w:rFonts w:eastAsia="Times New Roman"/>
              </w:rPr>
            </w:pPr>
            <w:r>
              <w:rPr>
                <w:rFonts w:eastAsia="Times New Roman"/>
                <w:color w:val="000000"/>
                <w:sz w:val="20"/>
                <w:szCs w:val="20"/>
              </w:rPr>
              <w:t>1,155,630 </w:t>
            </w:r>
          </w:p>
        </w:tc>
        <w:tc>
          <w:tcPr>
            <w:tcW w:w="0" w:type="auto"/>
            <w:shd w:val="clear" w:color="auto" w:fill="FFFFFF"/>
            <w:tcMar>
              <w:top w:w="30" w:type="dxa"/>
              <w:left w:w="0" w:type="dxa"/>
              <w:bottom w:w="30" w:type="dxa"/>
              <w:right w:w="20" w:type="dxa"/>
            </w:tcMar>
            <w:vAlign w:val="center"/>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613AE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613AEB">
            <w:pPr>
              <w:spacing w:after="100"/>
              <w:jc w:val="right"/>
              <w:rPr>
                <w:rFonts w:eastAsia="Times New Roman"/>
              </w:rPr>
            </w:pPr>
            <w:r>
              <w:rPr>
                <w:rFonts w:eastAsia="Times New Roman"/>
                <w:color w:val="000000"/>
                <w:sz w:val="20"/>
                <w:szCs w:val="20"/>
              </w:rPr>
              <w:t>1,221,911 </w:t>
            </w:r>
          </w:p>
        </w:tc>
        <w:tc>
          <w:tcPr>
            <w:tcW w:w="0" w:type="auto"/>
            <w:shd w:val="clear" w:color="auto" w:fill="FFFFFF"/>
            <w:tcMar>
              <w:top w:w="30" w:type="dxa"/>
              <w:left w:w="0" w:type="dxa"/>
              <w:bottom w:w="30" w:type="dxa"/>
              <w:right w:w="20" w:type="dxa"/>
            </w:tcMar>
            <w:vAlign w:val="center"/>
            <w:hideMark/>
          </w:tcPr>
          <w:p w:rsidR="00000000" w:rsidRDefault="00613AEB">
            <w:pPr>
              <w:spacing w:after="100"/>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vAlign w:val="center"/>
            <w:hideMark/>
          </w:tcPr>
          <w:p w:rsidR="00000000" w:rsidRDefault="00613AEB">
            <w:pPr>
              <w:spacing w:after="100"/>
              <w:rPr>
                <w:rFonts w:eastAsia="Times New Roman"/>
              </w:rPr>
            </w:pPr>
            <w:r>
              <w:rPr>
                <w:rFonts w:eastAsia="Times New Roman"/>
                <w:color w:val="000000"/>
                <w:sz w:val="20"/>
                <w:szCs w:val="20"/>
              </w:rPr>
              <w:t>Accrued employee compensation</w:t>
            </w:r>
          </w:p>
        </w:tc>
        <w:tc>
          <w:tcPr>
            <w:tcW w:w="0" w:type="auto"/>
            <w:gridSpan w:val="2"/>
            <w:shd w:val="clear" w:color="auto" w:fill="CCEEFF"/>
            <w:tcMar>
              <w:top w:w="30" w:type="dxa"/>
              <w:left w:w="20" w:type="dxa"/>
              <w:bottom w:w="30" w:type="dxa"/>
              <w:right w:w="0" w:type="dxa"/>
            </w:tcMar>
            <w:vAlign w:val="center"/>
            <w:hideMark/>
          </w:tcPr>
          <w:p w:rsidR="00000000" w:rsidRDefault="00613AEB">
            <w:pPr>
              <w:spacing w:after="100"/>
              <w:jc w:val="right"/>
              <w:rPr>
                <w:rFonts w:eastAsia="Times New Roman"/>
              </w:rPr>
            </w:pPr>
            <w:r>
              <w:rPr>
                <w:rFonts w:eastAsia="Times New Roman"/>
                <w:color w:val="000000"/>
                <w:sz w:val="20"/>
                <w:szCs w:val="20"/>
              </w:rPr>
              <w:t>42,474 </w:t>
            </w:r>
          </w:p>
        </w:tc>
        <w:tc>
          <w:tcPr>
            <w:tcW w:w="0" w:type="auto"/>
            <w:shd w:val="clear" w:color="auto" w:fill="CCEEFF"/>
            <w:tcMar>
              <w:top w:w="30" w:type="dxa"/>
              <w:left w:w="0" w:type="dxa"/>
              <w:bottom w:w="30" w:type="dxa"/>
              <w:right w:w="20" w:type="dxa"/>
            </w:tcMar>
            <w:vAlign w:val="center"/>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613AEB">
            <w:pPr>
              <w:spacing w:after="100"/>
              <w:jc w:val="right"/>
              <w:rPr>
                <w:rFonts w:eastAsia="Times New Roman"/>
              </w:rPr>
            </w:pPr>
            <w:r>
              <w:rPr>
                <w:rFonts w:eastAsia="Times New Roman"/>
                <w:color w:val="000000"/>
                <w:sz w:val="20"/>
                <w:szCs w:val="20"/>
              </w:rPr>
              <w:t>109,618 </w:t>
            </w:r>
          </w:p>
        </w:tc>
        <w:tc>
          <w:tcPr>
            <w:tcW w:w="0" w:type="auto"/>
            <w:shd w:val="clear" w:color="auto" w:fill="CCEEFF"/>
            <w:tcMar>
              <w:top w:w="30" w:type="dxa"/>
              <w:left w:w="0" w:type="dxa"/>
              <w:bottom w:w="30" w:type="dxa"/>
              <w:right w:w="20" w:type="dxa"/>
            </w:tcMar>
            <w:vAlign w:val="center"/>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613AEB">
            <w:pPr>
              <w:spacing w:after="100"/>
              <w:jc w:val="right"/>
              <w:rPr>
                <w:rFonts w:eastAsia="Times New Roman"/>
              </w:rPr>
            </w:pPr>
            <w:r>
              <w:rPr>
                <w:rFonts w:eastAsia="Times New Roman"/>
                <w:color w:val="000000"/>
                <w:sz w:val="20"/>
                <w:szCs w:val="20"/>
              </w:rPr>
              <w:t>84,810 </w:t>
            </w:r>
          </w:p>
        </w:tc>
        <w:tc>
          <w:tcPr>
            <w:tcW w:w="0" w:type="auto"/>
            <w:shd w:val="clear" w:color="auto" w:fill="CCEEFF"/>
            <w:tcMar>
              <w:top w:w="30" w:type="dxa"/>
              <w:left w:w="0" w:type="dxa"/>
              <w:bottom w:w="30" w:type="dxa"/>
              <w:right w:w="20" w:type="dxa"/>
            </w:tcMar>
            <w:vAlign w:val="center"/>
            <w:hideMark/>
          </w:tcPr>
          <w:p w:rsidR="00000000" w:rsidRDefault="00613AEB">
            <w:pPr>
              <w:spacing w:after="100"/>
              <w:jc w:val="right"/>
              <w:rPr>
                <w:rFonts w:eastAsia="Times New Roman"/>
              </w:rPr>
            </w:pPr>
          </w:p>
        </w:tc>
      </w:tr>
      <w:tr w:rsidR="00000000">
        <w:trPr>
          <w:jc w:val="center"/>
        </w:trPr>
        <w:tc>
          <w:tcPr>
            <w:tcW w:w="0" w:type="auto"/>
            <w:gridSpan w:val="3"/>
            <w:shd w:val="clear" w:color="auto" w:fill="FFFFFF"/>
            <w:tcMar>
              <w:top w:w="30" w:type="dxa"/>
              <w:left w:w="245" w:type="dxa"/>
              <w:bottom w:w="30" w:type="dxa"/>
              <w:right w:w="20" w:type="dxa"/>
            </w:tcMar>
            <w:vAlign w:val="center"/>
            <w:hideMark/>
          </w:tcPr>
          <w:p w:rsidR="00000000" w:rsidRDefault="00613AEB">
            <w:pPr>
              <w:spacing w:after="100"/>
              <w:rPr>
                <w:rFonts w:eastAsia="Times New Roman"/>
              </w:rPr>
            </w:pPr>
            <w:r>
              <w:rPr>
                <w:rFonts w:eastAsia="Times New Roman"/>
                <w:color w:val="000000"/>
                <w:sz w:val="20"/>
                <w:szCs w:val="20"/>
              </w:rPr>
              <w:lastRenderedPageBreak/>
              <w:t>Other accrued expenses</w:t>
            </w:r>
          </w:p>
        </w:tc>
        <w:tc>
          <w:tcPr>
            <w:tcW w:w="0" w:type="auto"/>
            <w:gridSpan w:val="2"/>
            <w:shd w:val="clear" w:color="auto" w:fill="FFFFFF"/>
            <w:tcMar>
              <w:top w:w="30" w:type="dxa"/>
              <w:left w:w="20" w:type="dxa"/>
              <w:bottom w:w="30" w:type="dxa"/>
              <w:right w:w="0" w:type="dxa"/>
            </w:tcMar>
            <w:vAlign w:val="center"/>
            <w:hideMark/>
          </w:tcPr>
          <w:p w:rsidR="00000000" w:rsidRDefault="00613AEB">
            <w:pPr>
              <w:spacing w:after="100"/>
              <w:jc w:val="right"/>
              <w:rPr>
                <w:rFonts w:eastAsia="Times New Roman"/>
              </w:rPr>
            </w:pPr>
            <w:r>
              <w:rPr>
                <w:rFonts w:eastAsia="Times New Roman"/>
                <w:color w:val="000000"/>
                <w:sz w:val="20"/>
                <w:szCs w:val="20"/>
              </w:rPr>
              <w:t>470,082 </w:t>
            </w:r>
          </w:p>
        </w:tc>
        <w:tc>
          <w:tcPr>
            <w:tcW w:w="0" w:type="auto"/>
            <w:shd w:val="clear" w:color="auto" w:fill="FFFFFF"/>
            <w:tcMar>
              <w:top w:w="30" w:type="dxa"/>
              <w:left w:w="0" w:type="dxa"/>
              <w:bottom w:w="30" w:type="dxa"/>
              <w:right w:w="20" w:type="dxa"/>
            </w:tcMar>
            <w:vAlign w:val="center"/>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613AEB">
            <w:pPr>
              <w:spacing w:after="100"/>
              <w:jc w:val="right"/>
              <w:rPr>
                <w:rFonts w:eastAsia="Times New Roman"/>
              </w:rPr>
            </w:pPr>
            <w:r>
              <w:rPr>
                <w:rFonts w:eastAsia="Times New Roman"/>
                <w:color w:val="000000"/>
                <w:sz w:val="20"/>
                <w:szCs w:val="20"/>
              </w:rPr>
              <w:t>474,412 </w:t>
            </w:r>
          </w:p>
        </w:tc>
        <w:tc>
          <w:tcPr>
            <w:tcW w:w="0" w:type="auto"/>
            <w:shd w:val="clear" w:color="auto" w:fill="FFFFFF"/>
            <w:tcMar>
              <w:top w:w="30" w:type="dxa"/>
              <w:left w:w="0" w:type="dxa"/>
              <w:bottom w:w="30" w:type="dxa"/>
              <w:right w:w="20" w:type="dxa"/>
            </w:tcMar>
            <w:vAlign w:val="center"/>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613AEB">
            <w:pPr>
              <w:spacing w:after="100"/>
              <w:jc w:val="right"/>
              <w:rPr>
                <w:rFonts w:eastAsia="Times New Roman"/>
              </w:rPr>
            </w:pPr>
            <w:r>
              <w:rPr>
                <w:rFonts w:eastAsia="Times New Roman"/>
                <w:color w:val="000000"/>
                <w:sz w:val="20"/>
                <w:szCs w:val="20"/>
              </w:rPr>
              <w:t>381,836 </w:t>
            </w:r>
          </w:p>
        </w:tc>
        <w:tc>
          <w:tcPr>
            <w:tcW w:w="0" w:type="auto"/>
            <w:shd w:val="clear" w:color="auto" w:fill="FFFFFF"/>
            <w:tcMar>
              <w:top w:w="30" w:type="dxa"/>
              <w:left w:w="0" w:type="dxa"/>
              <w:bottom w:w="30" w:type="dxa"/>
              <w:right w:w="20" w:type="dxa"/>
            </w:tcMar>
            <w:vAlign w:val="center"/>
            <w:hideMark/>
          </w:tcPr>
          <w:p w:rsidR="00000000" w:rsidRDefault="00613AEB">
            <w:pPr>
              <w:spacing w:after="100"/>
              <w:jc w:val="right"/>
              <w:rPr>
                <w:rFonts w:eastAsia="Times New Roman"/>
              </w:rPr>
            </w:pPr>
          </w:p>
        </w:tc>
      </w:tr>
      <w:tr w:rsidR="00000000">
        <w:trPr>
          <w:jc w:val="center"/>
        </w:trPr>
        <w:tc>
          <w:tcPr>
            <w:tcW w:w="0" w:type="auto"/>
            <w:gridSpan w:val="3"/>
            <w:vAlign w:val="center"/>
            <w:hideMark/>
          </w:tcPr>
          <w:p w:rsidR="00000000" w:rsidRDefault="00613AEB">
            <w:pPr>
              <w:spacing w:after="100"/>
              <w:jc w:val="right"/>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r>
      <w:tr w:rsidR="00000000">
        <w:trPr>
          <w:jc w:val="center"/>
        </w:trPr>
        <w:tc>
          <w:tcPr>
            <w:tcW w:w="0" w:type="auto"/>
            <w:gridSpan w:val="3"/>
            <w:shd w:val="clear" w:color="auto" w:fill="CCEEFF"/>
            <w:tcMar>
              <w:top w:w="30" w:type="dxa"/>
              <w:left w:w="245" w:type="dxa"/>
              <w:bottom w:w="30" w:type="dxa"/>
              <w:right w:w="20" w:type="dxa"/>
            </w:tcMar>
            <w:vAlign w:val="center"/>
            <w:hideMark/>
          </w:tcPr>
          <w:p w:rsidR="00000000" w:rsidRDefault="00613AEB">
            <w:pPr>
              <w:spacing w:after="100"/>
              <w:rPr>
                <w:rFonts w:eastAsia="Times New Roman"/>
              </w:rPr>
            </w:pPr>
            <w:r>
              <w:rPr>
                <w:rFonts w:eastAsia="Times New Roman"/>
                <w:color w:val="000000"/>
                <w:sz w:val="20"/>
                <w:szCs w:val="20"/>
              </w:rPr>
              <w:t>Current portion of finance lease liabilities</w:t>
            </w:r>
          </w:p>
        </w:tc>
        <w:tc>
          <w:tcPr>
            <w:tcW w:w="0" w:type="auto"/>
            <w:gridSpan w:val="2"/>
            <w:shd w:val="clear" w:color="auto" w:fill="CCEEFF"/>
            <w:tcMar>
              <w:top w:w="30" w:type="dxa"/>
              <w:left w:w="20" w:type="dxa"/>
              <w:bottom w:w="30" w:type="dxa"/>
              <w:right w:w="0" w:type="dxa"/>
            </w:tcMar>
            <w:vAlign w:val="center"/>
            <w:hideMark/>
          </w:tcPr>
          <w:p w:rsidR="00000000" w:rsidRDefault="00613AEB">
            <w:pPr>
              <w:spacing w:after="100"/>
              <w:jc w:val="right"/>
              <w:rPr>
                <w:rFonts w:eastAsia="Times New Roman"/>
              </w:rPr>
            </w:pPr>
            <w:r>
              <w:rPr>
                <w:rFonts w:eastAsia="Times New Roman"/>
                <w:color w:val="000000"/>
                <w:sz w:val="20"/>
                <w:szCs w:val="20"/>
              </w:rPr>
              <w:t>3,502 </w:t>
            </w:r>
          </w:p>
        </w:tc>
        <w:tc>
          <w:tcPr>
            <w:tcW w:w="0" w:type="auto"/>
            <w:shd w:val="clear" w:color="auto" w:fill="CCEEFF"/>
            <w:tcMar>
              <w:top w:w="30" w:type="dxa"/>
              <w:left w:w="0" w:type="dxa"/>
              <w:bottom w:w="30" w:type="dxa"/>
              <w:right w:w="20" w:type="dxa"/>
            </w:tcMar>
            <w:vAlign w:val="center"/>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613AEB">
            <w:pPr>
              <w:spacing w:after="100"/>
              <w:jc w:val="right"/>
              <w:rPr>
                <w:rFonts w:eastAsia="Times New Roman"/>
              </w:rPr>
            </w:pPr>
            <w:r>
              <w:rPr>
                <w:rFonts w:eastAsia="Times New Roman"/>
                <w:color w:val="000000"/>
                <w:sz w:val="20"/>
                <w:szCs w:val="20"/>
              </w:rPr>
              <w:t>3,897 </w:t>
            </w:r>
          </w:p>
        </w:tc>
        <w:tc>
          <w:tcPr>
            <w:tcW w:w="0" w:type="auto"/>
            <w:shd w:val="clear" w:color="auto" w:fill="CCEEFF"/>
            <w:tcMar>
              <w:top w:w="30" w:type="dxa"/>
              <w:left w:w="0" w:type="dxa"/>
              <w:bottom w:w="30" w:type="dxa"/>
              <w:right w:w="20" w:type="dxa"/>
            </w:tcMar>
            <w:vAlign w:val="center"/>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613AEB">
            <w:pPr>
              <w:spacing w:after="100"/>
              <w:jc w:val="right"/>
              <w:rPr>
                <w:rFonts w:eastAsia="Times New Roman"/>
              </w:rPr>
            </w:pPr>
            <w:r>
              <w:rPr>
                <w:rFonts w:eastAsia="Times New Roman"/>
                <w:color w:val="000000"/>
                <w:sz w:val="20"/>
                <w:szCs w:val="20"/>
              </w:rPr>
              <w:t>4,771 </w:t>
            </w:r>
          </w:p>
        </w:tc>
        <w:tc>
          <w:tcPr>
            <w:tcW w:w="0" w:type="auto"/>
            <w:shd w:val="clear" w:color="auto" w:fill="CCEEFF"/>
            <w:tcMar>
              <w:top w:w="30" w:type="dxa"/>
              <w:left w:w="0" w:type="dxa"/>
              <w:bottom w:w="30" w:type="dxa"/>
              <w:right w:w="20" w:type="dxa"/>
            </w:tcMar>
            <w:vAlign w:val="center"/>
            <w:hideMark/>
          </w:tcPr>
          <w:p w:rsidR="00000000" w:rsidRDefault="00613AEB">
            <w:pPr>
              <w:spacing w:after="100"/>
              <w:jc w:val="right"/>
              <w:rPr>
                <w:rFonts w:eastAsia="Times New Roman"/>
              </w:rPr>
            </w:pPr>
          </w:p>
        </w:tc>
      </w:tr>
      <w:tr w:rsidR="00000000">
        <w:trPr>
          <w:jc w:val="center"/>
        </w:trPr>
        <w:tc>
          <w:tcPr>
            <w:tcW w:w="0" w:type="auto"/>
            <w:gridSpan w:val="3"/>
            <w:shd w:val="clear" w:color="auto" w:fill="FFFFFF"/>
            <w:tcMar>
              <w:top w:w="30" w:type="dxa"/>
              <w:left w:w="245" w:type="dxa"/>
              <w:bottom w:w="30" w:type="dxa"/>
              <w:right w:w="20" w:type="dxa"/>
            </w:tcMar>
            <w:vAlign w:val="center"/>
            <w:hideMark/>
          </w:tcPr>
          <w:p w:rsidR="00000000" w:rsidRDefault="00613AEB">
            <w:pPr>
              <w:spacing w:after="100"/>
              <w:rPr>
                <w:rFonts w:eastAsia="Times New Roman"/>
              </w:rPr>
            </w:pPr>
            <w:r>
              <w:rPr>
                <w:rFonts w:eastAsia="Times New Roman"/>
                <w:color w:val="000000"/>
                <w:sz w:val="20"/>
                <w:szCs w:val="20"/>
              </w:rPr>
              <w:t>Current portion of operating lease liabilities</w:t>
            </w:r>
          </w:p>
        </w:tc>
        <w:tc>
          <w:tcPr>
            <w:tcW w:w="0" w:type="auto"/>
            <w:gridSpan w:val="2"/>
            <w:shd w:val="clear" w:color="auto" w:fill="FFFFFF"/>
            <w:tcMar>
              <w:top w:w="30" w:type="dxa"/>
              <w:left w:w="20" w:type="dxa"/>
              <w:bottom w:w="30" w:type="dxa"/>
              <w:right w:w="0" w:type="dxa"/>
            </w:tcMar>
            <w:vAlign w:val="center"/>
            <w:hideMark/>
          </w:tcPr>
          <w:p w:rsidR="00000000" w:rsidRDefault="00613AEB">
            <w:pPr>
              <w:spacing w:after="100"/>
              <w:jc w:val="right"/>
              <w:rPr>
                <w:rFonts w:eastAsia="Times New Roman"/>
              </w:rPr>
            </w:pPr>
            <w:r>
              <w:rPr>
                <w:rFonts w:eastAsia="Times New Roman"/>
                <w:color w:val="000000"/>
                <w:sz w:val="20"/>
                <w:szCs w:val="20"/>
              </w:rPr>
              <w:t>364,643 </w:t>
            </w:r>
          </w:p>
        </w:tc>
        <w:tc>
          <w:tcPr>
            <w:tcW w:w="0" w:type="auto"/>
            <w:shd w:val="clear" w:color="auto" w:fill="FFFFFF"/>
            <w:tcMar>
              <w:top w:w="30" w:type="dxa"/>
              <w:left w:w="0" w:type="dxa"/>
              <w:bottom w:w="30" w:type="dxa"/>
              <w:right w:w="20" w:type="dxa"/>
            </w:tcMar>
            <w:vAlign w:val="center"/>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613AEB">
            <w:pPr>
              <w:spacing w:after="100"/>
              <w:jc w:val="right"/>
              <w:rPr>
                <w:rFonts w:eastAsia="Times New Roman"/>
              </w:rPr>
            </w:pPr>
            <w:r>
              <w:rPr>
                <w:rFonts w:eastAsia="Times New Roman"/>
                <w:color w:val="000000"/>
                <w:sz w:val="20"/>
                <w:szCs w:val="20"/>
              </w:rPr>
              <w:t>321,285 </w:t>
            </w:r>
          </w:p>
        </w:tc>
        <w:tc>
          <w:tcPr>
            <w:tcW w:w="0" w:type="auto"/>
            <w:shd w:val="clear" w:color="auto" w:fill="FFFFFF"/>
            <w:tcMar>
              <w:top w:w="30" w:type="dxa"/>
              <w:left w:w="0" w:type="dxa"/>
              <w:bottom w:w="30" w:type="dxa"/>
              <w:right w:w="20" w:type="dxa"/>
            </w:tcMar>
            <w:vAlign w:val="center"/>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613AEB">
            <w:pPr>
              <w:spacing w:after="100"/>
              <w:jc w:val="right"/>
              <w:rPr>
                <w:rFonts w:eastAsia="Times New Roman"/>
              </w:rPr>
            </w:pPr>
            <w:r>
              <w:rPr>
                <w:rFonts w:eastAsia="Times New Roman"/>
                <w:color w:val="000000"/>
                <w:sz w:val="20"/>
                <w:szCs w:val="20"/>
              </w:rPr>
              <w:t>306,125 </w:t>
            </w:r>
          </w:p>
        </w:tc>
        <w:tc>
          <w:tcPr>
            <w:tcW w:w="0" w:type="auto"/>
            <w:shd w:val="clear" w:color="auto" w:fill="FFFFFF"/>
            <w:tcMar>
              <w:top w:w="30" w:type="dxa"/>
              <w:left w:w="0" w:type="dxa"/>
              <w:bottom w:w="30" w:type="dxa"/>
              <w:right w:w="20" w:type="dxa"/>
            </w:tcMar>
            <w:vAlign w:val="center"/>
            <w:hideMark/>
          </w:tcPr>
          <w:p w:rsidR="00000000" w:rsidRDefault="00613AEB">
            <w:pPr>
              <w:spacing w:after="100"/>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vAlign w:val="center"/>
            <w:hideMark/>
          </w:tcPr>
          <w:p w:rsidR="00000000" w:rsidRDefault="00613AEB">
            <w:pPr>
              <w:spacing w:after="100"/>
              <w:rPr>
                <w:rFonts w:eastAsia="Times New Roman"/>
              </w:rPr>
            </w:pPr>
            <w:r>
              <w:rPr>
                <w:rFonts w:eastAsia="Times New Roman"/>
                <w:color w:val="000000"/>
                <w:sz w:val="20"/>
                <w:szCs w:val="20"/>
              </w:rPr>
              <w:t>Income taxes payable</w:t>
            </w:r>
          </w:p>
        </w:tc>
        <w:tc>
          <w:tcPr>
            <w:tcW w:w="0" w:type="auto"/>
            <w:gridSpan w:val="2"/>
            <w:shd w:val="clear" w:color="auto" w:fill="CCEEFF"/>
            <w:tcMar>
              <w:top w:w="30" w:type="dxa"/>
              <w:left w:w="20" w:type="dxa"/>
              <w:bottom w:w="30" w:type="dxa"/>
              <w:right w:w="0" w:type="dxa"/>
            </w:tcMar>
            <w:vAlign w:val="center"/>
            <w:hideMark/>
          </w:tcPr>
          <w:p w:rsidR="00000000" w:rsidRDefault="00613AEB">
            <w:pPr>
              <w:spacing w:after="100"/>
              <w:jc w:val="right"/>
              <w:rPr>
                <w:rFonts w:eastAsia="Times New Roman"/>
              </w:rPr>
            </w:pPr>
            <w:r>
              <w:rPr>
                <w:rFonts w:eastAsia="Times New Roman"/>
                <w:color w:val="000000"/>
                <w:sz w:val="20"/>
                <w:szCs w:val="20"/>
              </w:rPr>
              <w:t>80,959 </w:t>
            </w:r>
          </w:p>
        </w:tc>
        <w:tc>
          <w:tcPr>
            <w:tcW w:w="0" w:type="auto"/>
            <w:shd w:val="clear" w:color="auto" w:fill="CCEEFF"/>
            <w:tcMar>
              <w:top w:w="30" w:type="dxa"/>
              <w:left w:w="0" w:type="dxa"/>
              <w:bottom w:w="30" w:type="dxa"/>
              <w:right w:w="20" w:type="dxa"/>
            </w:tcMar>
            <w:vAlign w:val="center"/>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613AE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613AEB">
            <w:pPr>
              <w:spacing w:after="100"/>
              <w:jc w:val="right"/>
              <w:rPr>
                <w:rFonts w:eastAsia="Times New Roman"/>
              </w:rPr>
            </w:pPr>
            <w:r>
              <w:rPr>
                <w:rFonts w:eastAsia="Times New Roman"/>
                <w:color w:val="000000"/>
                <w:sz w:val="20"/>
                <w:szCs w:val="20"/>
              </w:rPr>
              <w:t>84,078 </w:t>
            </w:r>
          </w:p>
        </w:tc>
        <w:tc>
          <w:tcPr>
            <w:tcW w:w="0" w:type="auto"/>
            <w:shd w:val="clear" w:color="auto" w:fill="CCEEFF"/>
            <w:tcMar>
              <w:top w:w="30" w:type="dxa"/>
              <w:left w:w="0" w:type="dxa"/>
              <w:bottom w:w="30" w:type="dxa"/>
              <w:right w:w="20" w:type="dxa"/>
            </w:tcMar>
            <w:vAlign w:val="center"/>
            <w:hideMark/>
          </w:tcPr>
          <w:p w:rsidR="00000000" w:rsidRDefault="00613AEB">
            <w:pPr>
              <w:spacing w:after="100"/>
              <w:jc w:val="right"/>
              <w:rPr>
                <w:rFonts w:eastAsia="Times New Roman"/>
              </w:rPr>
            </w:pPr>
          </w:p>
        </w:tc>
      </w:tr>
      <w:tr w:rsidR="00000000">
        <w:trPr>
          <w:jc w:val="center"/>
        </w:trPr>
        <w:tc>
          <w:tcPr>
            <w:tcW w:w="0" w:type="auto"/>
            <w:gridSpan w:val="3"/>
            <w:vAlign w:val="center"/>
            <w:hideMark/>
          </w:tcPr>
          <w:p w:rsidR="00000000" w:rsidRDefault="00613AEB">
            <w:pPr>
              <w:spacing w:after="100"/>
              <w:jc w:val="right"/>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r>
      <w:tr w:rsidR="00000000">
        <w:trPr>
          <w:jc w:val="center"/>
        </w:trPr>
        <w:tc>
          <w:tcPr>
            <w:tcW w:w="0" w:type="auto"/>
            <w:gridSpan w:val="3"/>
            <w:shd w:val="clear" w:color="auto" w:fill="FFFFFF"/>
            <w:tcMar>
              <w:top w:w="30" w:type="dxa"/>
              <w:left w:w="740" w:type="dxa"/>
              <w:bottom w:w="30" w:type="dxa"/>
              <w:right w:w="20" w:type="dxa"/>
            </w:tcMar>
            <w:vAlign w:val="center"/>
            <w:hideMark/>
          </w:tcPr>
          <w:p w:rsidR="00000000" w:rsidRDefault="00613AEB">
            <w:pPr>
              <w:spacing w:after="100"/>
              <w:rPr>
                <w:rFonts w:eastAsia="Times New Roman"/>
              </w:rPr>
            </w:pPr>
            <w:r>
              <w:rPr>
                <w:rFonts w:eastAsia="Times New Roman"/>
                <w:color w:val="000000"/>
                <w:sz w:val="20"/>
                <w:szCs w:val="20"/>
              </w:rPr>
              <w:t>Total current liabilities</w:t>
            </w: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613AEB">
            <w:pPr>
              <w:spacing w:after="100"/>
              <w:jc w:val="right"/>
              <w:rPr>
                <w:rFonts w:eastAsia="Times New Roman"/>
              </w:rPr>
            </w:pPr>
            <w:r>
              <w:rPr>
                <w:rFonts w:eastAsia="Times New Roman"/>
                <w:color w:val="000000"/>
                <w:sz w:val="20"/>
                <w:szCs w:val="20"/>
              </w:rPr>
              <w:t>2,242,178 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613AEB">
            <w:pPr>
              <w:spacing w:after="100"/>
              <w:jc w:val="right"/>
              <w:rPr>
                <w:rFonts w:eastAsia="Times New Roman"/>
              </w:rPr>
            </w:pPr>
            <w:r>
              <w:rPr>
                <w:rFonts w:eastAsia="Times New Roman"/>
                <w:color w:val="000000"/>
                <w:sz w:val="20"/>
                <w:szCs w:val="20"/>
              </w:rPr>
              <w:t>2,064,842 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613AEB">
            <w:pPr>
              <w:spacing w:after="100"/>
              <w:jc w:val="right"/>
              <w:rPr>
                <w:rFonts w:eastAsia="Times New Roman"/>
              </w:rPr>
            </w:pPr>
            <w:r>
              <w:rPr>
                <w:rFonts w:eastAsia="Times New Roman"/>
                <w:color w:val="000000"/>
                <w:sz w:val="20"/>
                <w:szCs w:val="20"/>
              </w:rPr>
              <w:t>2,083,531 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613AEB">
            <w:pPr>
              <w:spacing w:after="100"/>
              <w:jc w:val="right"/>
              <w:rPr>
                <w:rFonts w:eastAsia="Times New Roman"/>
              </w:rPr>
            </w:pPr>
          </w:p>
        </w:tc>
      </w:tr>
      <w:tr w:rsidR="00000000">
        <w:trPr>
          <w:trHeight w:val="60"/>
          <w:jc w:val="center"/>
        </w:trPr>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center"/>
            <w:hideMark/>
          </w:tcPr>
          <w:p w:rsidR="00000000" w:rsidRDefault="00613AEB">
            <w:pPr>
              <w:spacing w:after="100"/>
              <w:rPr>
                <w:rFonts w:eastAsia="Times New Roman"/>
              </w:rPr>
            </w:pPr>
            <w:r>
              <w:rPr>
                <w:rFonts w:eastAsia="Times New Roman"/>
                <w:color w:val="000000"/>
                <w:sz w:val="20"/>
                <w:szCs w:val="20"/>
              </w:rPr>
              <w:t>Long-term debt</w:t>
            </w:r>
          </w:p>
        </w:tc>
        <w:tc>
          <w:tcPr>
            <w:tcW w:w="0" w:type="auto"/>
            <w:gridSpan w:val="2"/>
            <w:shd w:val="clear" w:color="auto" w:fill="FFFFFF"/>
            <w:tcMar>
              <w:top w:w="30" w:type="dxa"/>
              <w:left w:w="20" w:type="dxa"/>
              <w:bottom w:w="30" w:type="dxa"/>
              <w:right w:w="0" w:type="dxa"/>
            </w:tcMar>
            <w:vAlign w:val="center"/>
            <w:hideMark/>
          </w:tcPr>
          <w:p w:rsidR="00000000" w:rsidRDefault="00613AEB">
            <w:pPr>
              <w:spacing w:after="100"/>
              <w:jc w:val="right"/>
              <w:rPr>
                <w:rFonts w:eastAsia="Times New Roman"/>
              </w:rPr>
            </w:pPr>
            <w:r>
              <w:rPr>
                <w:rFonts w:eastAsia="Times New Roman"/>
                <w:color w:val="000000"/>
                <w:sz w:val="20"/>
                <w:szCs w:val="20"/>
              </w:rPr>
              <w:t>987,411 </w:t>
            </w:r>
          </w:p>
        </w:tc>
        <w:tc>
          <w:tcPr>
            <w:tcW w:w="0" w:type="auto"/>
            <w:shd w:val="clear" w:color="auto" w:fill="FFFFFF"/>
            <w:tcMar>
              <w:top w:w="30" w:type="dxa"/>
              <w:left w:w="0" w:type="dxa"/>
              <w:bottom w:w="30" w:type="dxa"/>
              <w:right w:w="20" w:type="dxa"/>
            </w:tcMar>
            <w:vAlign w:val="center"/>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613AEB">
            <w:pPr>
              <w:spacing w:after="100"/>
              <w:jc w:val="right"/>
              <w:rPr>
                <w:rFonts w:eastAsia="Times New Roman"/>
              </w:rPr>
            </w:pPr>
            <w:r>
              <w:rPr>
                <w:rFonts w:eastAsia="Times New Roman"/>
                <w:color w:val="000000"/>
                <w:sz w:val="20"/>
                <w:szCs w:val="20"/>
              </w:rPr>
              <w:t>986,382 </w:t>
            </w:r>
          </w:p>
        </w:tc>
        <w:tc>
          <w:tcPr>
            <w:tcW w:w="0" w:type="auto"/>
            <w:shd w:val="clear" w:color="auto" w:fill="FFFFFF"/>
            <w:tcMar>
              <w:top w:w="30" w:type="dxa"/>
              <w:left w:w="0" w:type="dxa"/>
              <w:bottom w:w="30" w:type="dxa"/>
              <w:right w:w="20" w:type="dxa"/>
            </w:tcMar>
            <w:vAlign w:val="center"/>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613AEB">
            <w:pPr>
              <w:spacing w:after="100"/>
              <w:jc w:val="right"/>
              <w:rPr>
                <w:rFonts w:eastAsia="Times New Roman"/>
              </w:rPr>
            </w:pPr>
            <w:r>
              <w:rPr>
                <w:rFonts w:eastAsia="Times New Roman"/>
                <w:color w:val="000000"/>
                <w:sz w:val="20"/>
                <w:szCs w:val="20"/>
              </w:rPr>
              <w:t>985,353 </w:t>
            </w:r>
          </w:p>
        </w:tc>
        <w:tc>
          <w:tcPr>
            <w:tcW w:w="0" w:type="auto"/>
            <w:shd w:val="clear" w:color="auto" w:fill="FFFFFF"/>
            <w:tcMar>
              <w:top w:w="30" w:type="dxa"/>
              <w:left w:w="0" w:type="dxa"/>
              <w:bottom w:w="30" w:type="dxa"/>
              <w:right w:w="20" w:type="dxa"/>
            </w:tcMar>
            <w:vAlign w:val="center"/>
            <w:hideMark/>
          </w:tcPr>
          <w:p w:rsidR="00000000" w:rsidRDefault="00613AEB">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center"/>
            <w:hideMark/>
          </w:tcPr>
          <w:p w:rsidR="00000000" w:rsidRDefault="00613AEB">
            <w:pPr>
              <w:spacing w:after="100"/>
              <w:rPr>
                <w:rFonts w:eastAsia="Times New Roman"/>
              </w:rPr>
            </w:pPr>
            <w:r>
              <w:rPr>
                <w:rFonts w:eastAsia="Times New Roman"/>
                <w:color w:val="000000"/>
                <w:sz w:val="20"/>
                <w:szCs w:val="20"/>
              </w:rPr>
              <w:t>Finance lease liabilities, less current portion</w:t>
            </w:r>
          </w:p>
        </w:tc>
        <w:tc>
          <w:tcPr>
            <w:tcW w:w="0" w:type="auto"/>
            <w:gridSpan w:val="2"/>
            <w:shd w:val="clear" w:color="auto" w:fill="CCEEFF"/>
            <w:tcMar>
              <w:top w:w="30" w:type="dxa"/>
              <w:left w:w="20" w:type="dxa"/>
              <w:bottom w:w="30" w:type="dxa"/>
              <w:right w:w="0" w:type="dxa"/>
            </w:tcMar>
            <w:vAlign w:val="center"/>
            <w:hideMark/>
          </w:tcPr>
          <w:p w:rsidR="00000000" w:rsidRDefault="00613AEB">
            <w:pPr>
              <w:spacing w:after="100"/>
              <w:jc w:val="right"/>
              <w:rPr>
                <w:rFonts w:eastAsia="Times New Roman"/>
              </w:rPr>
            </w:pPr>
            <w:r>
              <w:rPr>
                <w:rFonts w:eastAsia="Times New Roman"/>
                <w:color w:val="000000"/>
                <w:sz w:val="20"/>
                <w:szCs w:val="20"/>
              </w:rPr>
              <w:t>35,859 </w:t>
            </w:r>
          </w:p>
        </w:tc>
        <w:tc>
          <w:tcPr>
            <w:tcW w:w="0" w:type="auto"/>
            <w:shd w:val="clear" w:color="auto" w:fill="CCEEFF"/>
            <w:tcMar>
              <w:top w:w="30" w:type="dxa"/>
              <w:left w:w="0" w:type="dxa"/>
              <w:bottom w:w="30" w:type="dxa"/>
              <w:right w:w="20" w:type="dxa"/>
            </w:tcMar>
            <w:vAlign w:val="center"/>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613AEB">
            <w:pPr>
              <w:spacing w:after="100"/>
              <w:jc w:val="right"/>
              <w:rPr>
                <w:rFonts w:eastAsia="Times New Roman"/>
              </w:rPr>
            </w:pPr>
            <w:r>
              <w:rPr>
                <w:rFonts w:eastAsia="Times New Roman"/>
                <w:color w:val="000000"/>
                <w:sz w:val="20"/>
                <w:szCs w:val="20"/>
              </w:rPr>
              <w:t>32,848 </w:t>
            </w:r>
          </w:p>
        </w:tc>
        <w:tc>
          <w:tcPr>
            <w:tcW w:w="0" w:type="auto"/>
            <w:shd w:val="clear" w:color="auto" w:fill="CCEEFF"/>
            <w:tcMar>
              <w:top w:w="30" w:type="dxa"/>
              <w:left w:w="0" w:type="dxa"/>
              <w:bottom w:w="30" w:type="dxa"/>
              <w:right w:w="20" w:type="dxa"/>
            </w:tcMar>
            <w:vAlign w:val="center"/>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613AEB">
            <w:pPr>
              <w:spacing w:after="100"/>
              <w:jc w:val="right"/>
              <w:rPr>
                <w:rFonts w:eastAsia="Times New Roman"/>
              </w:rPr>
            </w:pPr>
            <w:r>
              <w:rPr>
                <w:rFonts w:eastAsia="Times New Roman"/>
                <w:color w:val="000000"/>
                <w:sz w:val="20"/>
                <w:szCs w:val="20"/>
              </w:rPr>
              <w:t>30,672 </w:t>
            </w:r>
          </w:p>
        </w:tc>
        <w:tc>
          <w:tcPr>
            <w:tcW w:w="0" w:type="auto"/>
            <w:shd w:val="clear" w:color="auto" w:fill="CCEEFF"/>
            <w:tcMar>
              <w:top w:w="30" w:type="dxa"/>
              <w:left w:w="0" w:type="dxa"/>
              <w:bottom w:w="30" w:type="dxa"/>
              <w:right w:w="20" w:type="dxa"/>
            </w:tcMar>
            <w:vAlign w:val="center"/>
            <w:hideMark/>
          </w:tcPr>
          <w:p w:rsidR="00000000" w:rsidRDefault="00613AEB">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center"/>
            <w:hideMark/>
          </w:tcPr>
          <w:p w:rsidR="00000000" w:rsidRDefault="00613AEB">
            <w:pPr>
              <w:spacing w:after="100"/>
              <w:rPr>
                <w:rFonts w:eastAsia="Times New Roman"/>
              </w:rPr>
            </w:pPr>
            <w:r>
              <w:rPr>
                <w:rFonts w:eastAsia="Times New Roman"/>
                <w:color w:val="000000"/>
                <w:sz w:val="20"/>
                <w:szCs w:val="20"/>
              </w:rPr>
              <w:t>Operating lease liabilities, less current portion</w:t>
            </w:r>
          </w:p>
        </w:tc>
        <w:tc>
          <w:tcPr>
            <w:tcW w:w="0" w:type="auto"/>
            <w:gridSpan w:val="2"/>
            <w:shd w:val="clear" w:color="auto" w:fill="FFFFFF"/>
            <w:tcMar>
              <w:top w:w="30" w:type="dxa"/>
              <w:left w:w="20" w:type="dxa"/>
              <w:bottom w:w="30" w:type="dxa"/>
              <w:right w:w="0" w:type="dxa"/>
            </w:tcMar>
            <w:vAlign w:val="center"/>
            <w:hideMark/>
          </w:tcPr>
          <w:p w:rsidR="00000000" w:rsidRDefault="00613AEB">
            <w:pPr>
              <w:spacing w:after="100"/>
              <w:jc w:val="right"/>
              <w:rPr>
                <w:rFonts w:eastAsia="Times New Roman"/>
              </w:rPr>
            </w:pPr>
            <w:r>
              <w:rPr>
                <w:rFonts w:eastAsia="Times New Roman"/>
                <w:color w:val="000000"/>
                <w:sz w:val="20"/>
                <w:szCs w:val="20"/>
              </w:rPr>
              <w:t>2,543,133 </w:t>
            </w:r>
          </w:p>
        </w:tc>
        <w:tc>
          <w:tcPr>
            <w:tcW w:w="0" w:type="auto"/>
            <w:shd w:val="clear" w:color="auto" w:fill="FFFFFF"/>
            <w:tcMar>
              <w:top w:w="30" w:type="dxa"/>
              <w:left w:w="0" w:type="dxa"/>
              <w:bottom w:w="30" w:type="dxa"/>
              <w:right w:w="20" w:type="dxa"/>
            </w:tcMar>
            <w:vAlign w:val="center"/>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613AEB">
            <w:pPr>
              <w:spacing w:after="100"/>
              <w:jc w:val="right"/>
              <w:rPr>
                <w:rFonts w:eastAsia="Times New Roman"/>
              </w:rPr>
            </w:pPr>
            <w:r>
              <w:rPr>
                <w:rFonts w:eastAsia="Times New Roman"/>
                <w:color w:val="000000"/>
                <w:sz w:val="20"/>
                <w:szCs w:val="20"/>
              </w:rPr>
              <w:t>2,574,882 </w:t>
            </w:r>
          </w:p>
        </w:tc>
        <w:tc>
          <w:tcPr>
            <w:tcW w:w="0" w:type="auto"/>
            <w:shd w:val="clear" w:color="auto" w:fill="FFFFFF"/>
            <w:tcMar>
              <w:top w:w="30" w:type="dxa"/>
              <w:left w:w="0" w:type="dxa"/>
              <w:bottom w:w="30" w:type="dxa"/>
              <w:right w:w="20" w:type="dxa"/>
            </w:tcMar>
            <w:vAlign w:val="center"/>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613AEB">
            <w:pPr>
              <w:spacing w:after="100"/>
              <w:jc w:val="right"/>
              <w:rPr>
                <w:rFonts w:eastAsia="Times New Roman"/>
              </w:rPr>
            </w:pPr>
            <w:r>
              <w:rPr>
                <w:rFonts w:eastAsia="Times New Roman"/>
                <w:color w:val="000000"/>
                <w:sz w:val="20"/>
                <w:szCs w:val="20"/>
              </w:rPr>
              <w:t>2,488,088 </w:t>
            </w:r>
          </w:p>
        </w:tc>
        <w:tc>
          <w:tcPr>
            <w:tcW w:w="0" w:type="auto"/>
            <w:shd w:val="clear" w:color="auto" w:fill="FFFFFF"/>
            <w:tcMar>
              <w:top w:w="30" w:type="dxa"/>
              <w:left w:w="0" w:type="dxa"/>
              <w:bottom w:w="30" w:type="dxa"/>
              <w:right w:w="20" w:type="dxa"/>
            </w:tcMar>
            <w:vAlign w:val="center"/>
            <w:hideMark/>
          </w:tcPr>
          <w:p w:rsidR="00000000" w:rsidRDefault="00613AEB">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center"/>
            <w:hideMark/>
          </w:tcPr>
          <w:p w:rsidR="00000000" w:rsidRDefault="00613AEB">
            <w:pPr>
              <w:spacing w:after="100"/>
              <w:rPr>
                <w:rFonts w:eastAsia="Times New Roman"/>
              </w:rPr>
            </w:pPr>
            <w:r>
              <w:rPr>
                <w:rFonts w:eastAsia="Times New Roman"/>
                <w:color w:val="000000"/>
                <w:sz w:val="20"/>
                <w:szCs w:val="20"/>
              </w:rPr>
              <w:t>Deferred income taxes</w:t>
            </w:r>
          </w:p>
        </w:tc>
        <w:tc>
          <w:tcPr>
            <w:tcW w:w="0" w:type="auto"/>
            <w:gridSpan w:val="2"/>
            <w:shd w:val="clear" w:color="auto" w:fill="CCEEFF"/>
            <w:tcMar>
              <w:top w:w="30" w:type="dxa"/>
              <w:left w:w="20" w:type="dxa"/>
              <w:bottom w:w="30" w:type="dxa"/>
              <w:right w:w="0" w:type="dxa"/>
            </w:tcMar>
            <w:vAlign w:val="center"/>
            <w:hideMark/>
          </w:tcPr>
          <w:p w:rsidR="00000000" w:rsidRDefault="00613AEB">
            <w:pPr>
              <w:spacing w:after="100"/>
              <w:jc w:val="right"/>
              <w:rPr>
                <w:rFonts w:eastAsia="Times New Roman"/>
              </w:rPr>
            </w:pPr>
            <w:r>
              <w:rPr>
                <w:rFonts w:eastAsia="Times New Roman"/>
                <w:color w:val="000000"/>
                <w:sz w:val="20"/>
                <w:szCs w:val="20"/>
              </w:rPr>
              <w:t>36,256 </w:t>
            </w:r>
          </w:p>
        </w:tc>
        <w:tc>
          <w:tcPr>
            <w:tcW w:w="0" w:type="auto"/>
            <w:shd w:val="clear" w:color="auto" w:fill="CCEEFF"/>
            <w:tcMar>
              <w:top w:w="30" w:type="dxa"/>
              <w:left w:w="0" w:type="dxa"/>
              <w:bottom w:w="30" w:type="dxa"/>
              <w:right w:w="20" w:type="dxa"/>
            </w:tcMar>
            <w:vAlign w:val="center"/>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613AE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613AE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613AEB">
            <w:pPr>
              <w:spacing w:after="100"/>
              <w:jc w:val="right"/>
              <w:rPr>
                <w:rFonts w:eastAsia="Times New Roman"/>
              </w:rPr>
            </w:pPr>
          </w:p>
        </w:tc>
      </w:tr>
      <w:tr w:rsidR="00000000">
        <w:trPr>
          <w:jc w:val="center"/>
        </w:trPr>
        <w:tc>
          <w:tcPr>
            <w:tcW w:w="0" w:type="auto"/>
            <w:gridSpan w:val="3"/>
            <w:vAlign w:val="center"/>
            <w:hideMark/>
          </w:tcPr>
          <w:p w:rsidR="00000000" w:rsidRDefault="00613AEB">
            <w:pPr>
              <w:spacing w:after="100"/>
              <w:jc w:val="right"/>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center"/>
            <w:hideMark/>
          </w:tcPr>
          <w:p w:rsidR="00000000" w:rsidRDefault="00613AEB">
            <w:pPr>
              <w:spacing w:after="100"/>
              <w:rPr>
                <w:rFonts w:eastAsia="Times New Roman"/>
              </w:rPr>
            </w:pPr>
            <w:r>
              <w:rPr>
                <w:rFonts w:eastAsia="Times New Roman"/>
                <w:color w:val="000000"/>
                <w:sz w:val="20"/>
                <w:szCs w:val="20"/>
              </w:rPr>
              <w:t>Other long-term liabilities</w:t>
            </w:r>
          </w:p>
        </w:tc>
        <w:tc>
          <w:tcPr>
            <w:tcW w:w="0" w:type="auto"/>
            <w:gridSpan w:val="2"/>
            <w:shd w:val="clear" w:color="auto" w:fill="FFFFFF"/>
            <w:tcMar>
              <w:top w:w="30" w:type="dxa"/>
              <w:left w:w="20" w:type="dxa"/>
              <w:bottom w:w="30" w:type="dxa"/>
              <w:right w:w="0" w:type="dxa"/>
            </w:tcMar>
            <w:vAlign w:val="center"/>
            <w:hideMark/>
          </w:tcPr>
          <w:p w:rsidR="00000000" w:rsidRDefault="00613AEB">
            <w:pPr>
              <w:spacing w:after="100"/>
              <w:jc w:val="right"/>
              <w:rPr>
                <w:rFonts w:eastAsia="Times New Roman"/>
              </w:rPr>
            </w:pPr>
            <w:r>
              <w:rPr>
                <w:rFonts w:eastAsia="Times New Roman"/>
                <w:color w:val="000000"/>
                <w:sz w:val="20"/>
                <w:szCs w:val="20"/>
              </w:rPr>
              <w:t>110,490 </w:t>
            </w:r>
          </w:p>
        </w:tc>
        <w:tc>
          <w:tcPr>
            <w:tcW w:w="0" w:type="auto"/>
            <w:shd w:val="clear" w:color="auto" w:fill="FFFFFF"/>
            <w:tcMar>
              <w:top w:w="30" w:type="dxa"/>
              <w:left w:w="0" w:type="dxa"/>
              <w:bottom w:w="30" w:type="dxa"/>
              <w:right w:w="20" w:type="dxa"/>
            </w:tcMar>
            <w:vAlign w:val="center"/>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613AEB">
            <w:pPr>
              <w:spacing w:after="100"/>
              <w:jc w:val="right"/>
              <w:rPr>
                <w:rFonts w:eastAsia="Times New Roman"/>
              </w:rPr>
            </w:pPr>
            <w:r>
              <w:rPr>
                <w:rFonts w:eastAsia="Times New Roman"/>
                <w:color w:val="000000"/>
                <w:sz w:val="20"/>
                <w:szCs w:val="20"/>
              </w:rPr>
              <w:t>105,848 </w:t>
            </w:r>
          </w:p>
        </w:tc>
        <w:tc>
          <w:tcPr>
            <w:tcW w:w="0" w:type="auto"/>
            <w:shd w:val="clear" w:color="auto" w:fill="FFFFFF"/>
            <w:tcMar>
              <w:top w:w="30" w:type="dxa"/>
              <w:left w:w="0" w:type="dxa"/>
              <w:bottom w:w="30" w:type="dxa"/>
              <w:right w:w="20" w:type="dxa"/>
            </w:tcMar>
            <w:vAlign w:val="center"/>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613AEB">
            <w:pPr>
              <w:spacing w:after="100"/>
              <w:jc w:val="right"/>
              <w:rPr>
                <w:rFonts w:eastAsia="Times New Roman"/>
              </w:rPr>
            </w:pPr>
            <w:r>
              <w:rPr>
                <w:rFonts w:eastAsia="Times New Roman"/>
                <w:color w:val="000000"/>
                <w:sz w:val="20"/>
                <w:szCs w:val="20"/>
              </w:rPr>
              <w:t>120,131 </w:t>
            </w:r>
          </w:p>
        </w:tc>
        <w:tc>
          <w:tcPr>
            <w:tcW w:w="0" w:type="auto"/>
            <w:shd w:val="clear" w:color="auto" w:fill="FFFFFF"/>
            <w:tcMar>
              <w:top w:w="30" w:type="dxa"/>
              <w:left w:w="0" w:type="dxa"/>
              <w:bottom w:w="30" w:type="dxa"/>
              <w:right w:w="20" w:type="dxa"/>
            </w:tcMar>
            <w:vAlign w:val="center"/>
            <w:hideMark/>
          </w:tcPr>
          <w:p w:rsidR="00000000" w:rsidRDefault="00613AEB">
            <w:pPr>
              <w:spacing w:after="100"/>
              <w:jc w:val="right"/>
              <w:rPr>
                <w:rFonts w:eastAsia="Times New Roman"/>
              </w:rPr>
            </w:pPr>
          </w:p>
        </w:tc>
      </w:tr>
      <w:tr w:rsidR="00000000">
        <w:trPr>
          <w:jc w:val="center"/>
        </w:trPr>
        <w:tc>
          <w:tcPr>
            <w:tcW w:w="0" w:type="auto"/>
            <w:gridSpan w:val="3"/>
            <w:shd w:val="clear" w:color="auto" w:fill="CCEEFF"/>
            <w:tcMar>
              <w:top w:w="30" w:type="dxa"/>
              <w:left w:w="740" w:type="dxa"/>
              <w:bottom w:w="30" w:type="dxa"/>
              <w:right w:w="20" w:type="dxa"/>
            </w:tcMar>
            <w:vAlign w:val="center"/>
            <w:hideMark/>
          </w:tcPr>
          <w:p w:rsidR="00000000" w:rsidRDefault="00613AEB">
            <w:pPr>
              <w:spacing w:after="100"/>
              <w:rPr>
                <w:rFonts w:eastAsia="Times New Roman"/>
              </w:rPr>
            </w:pPr>
            <w:r>
              <w:rPr>
                <w:rFonts w:eastAsia="Times New Roman"/>
                <w:color w:val="000000"/>
                <w:sz w:val="20"/>
                <w:szCs w:val="20"/>
              </w:rPr>
              <w:t>Total liabilities</w:t>
            </w: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613AEB">
            <w:pPr>
              <w:spacing w:after="100"/>
              <w:jc w:val="right"/>
              <w:rPr>
                <w:rFonts w:eastAsia="Times New Roman"/>
              </w:rPr>
            </w:pPr>
            <w:r>
              <w:rPr>
                <w:rFonts w:eastAsia="Times New Roman"/>
                <w:color w:val="000000"/>
                <w:sz w:val="20"/>
                <w:szCs w:val="20"/>
              </w:rPr>
              <w:t>5,955,327 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613AEB">
            <w:pPr>
              <w:spacing w:after="100"/>
              <w:jc w:val="right"/>
              <w:rPr>
                <w:rFonts w:eastAsia="Times New Roman"/>
              </w:rPr>
            </w:pPr>
            <w:r>
              <w:rPr>
                <w:rFonts w:eastAsia="Times New Roman"/>
                <w:color w:val="000000"/>
                <w:sz w:val="20"/>
                <w:szCs w:val="20"/>
              </w:rPr>
              <w:t>5,764,802 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613AEB">
            <w:pPr>
              <w:spacing w:after="100"/>
              <w:jc w:val="right"/>
              <w:rPr>
                <w:rFonts w:eastAsia="Times New Roman"/>
              </w:rPr>
            </w:pPr>
            <w:r>
              <w:rPr>
                <w:rFonts w:eastAsia="Times New Roman"/>
                <w:color w:val="000000"/>
                <w:sz w:val="20"/>
                <w:szCs w:val="20"/>
              </w:rPr>
              <w:t>5,707,775 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613AEB">
            <w:pPr>
              <w:spacing w:after="100"/>
              <w:jc w:val="right"/>
              <w:rPr>
                <w:rFonts w:eastAsia="Times New Roman"/>
              </w:rPr>
            </w:pPr>
          </w:p>
        </w:tc>
      </w:tr>
      <w:tr w:rsidR="00000000">
        <w:trPr>
          <w:trHeight w:val="60"/>
          <w:jc w:val="center"/>
        </w:trPr>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center"/>
            <w:hideMark/>
          </w:tcPr>
          <w:p w:rsidR="00000000" w:rsidRDefault="00613AEB">
            <w:pPr>
              <w:spacing w:after="100"/>
              <w:rPr>
                <w:rFonts w:eastAsia="Times New Roman"/>
              </w:rPr>
            </w:pPr>
            <w:r>
              <w:rPr>
                <w:rFonts w:eastAsia="Times New Roman"/>
                <w:color w:val="000000"/>
                <w:sz w:val="20"/>
                <w:szCs w:val="20"/>
              </w:rPr>
              <w:t>Stockholders’ equity:</w:t>
            </w:r>
          </w:p>
        </w:tc>
        <w:tc>
          <w:tcPr>
            <w:tcW w:w="0" w:type="auto"/>
            <w:gridSpan w:val="3"/>
            <w:shd w:val="clear" w:color="auto" w:fill="CCEEFF"/>
            <w:tcMar>
              <w:top w:w="30" w:type="dxa"/>
              <w:left w:w="20" w:type="dxa"/>
              <w:bottom w:w="30" w:type="dxa"/>
              <w:right w:w="20" w:type="dxa"/>
            </w:tcMar>
            <w:vAlign w:val="center"/>
            <w:hideMark/>
          </w:tcPr>
          <w:p w:rsidR="00000000" w:rsidRDefault="00613AEB">
            <w:pPr>
              <w:spacing w:after="100"/>
              <w:jc w:val="right"/>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613AEB">
            <w:pPr>
              <w:spacing w:after="100"/>
              <w:jc w:val="right"/>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613AEB">
            <w:pPr>
              <w:spacing w:after="100"/>
              <w:jc w:val="right"/>
              <w:rPr>
                <w:rFonts w:eastAsia="Times New Roman"/>
              </w:rPr>
            </w:pPr>
            <w:r>
              <w:rPr>
                <w:rFonts w:eastAsia="Times New Roman"/>
                <w:color w:val="000000"/>
                <w:sz w:val="20"/>
                <w:szCs w:val="20"/>
              </w:rPr>
              <w:t> </w:t>
            </w:r>
          </w:p>
        </w:tc>
      </w:tr>
      <w:tr w:rsidR="00000000">
        <w:trPr>
          <w:jc w:val="center"/>
        </w:trPr>
        <w:tc>
          <w:tcPr>
            <w:tcW w:w="0" w:type="auto"/>
            <w:gridSpan w:val="3"/>
            <w:shd w:val="clear" w:color="auto" w:fill="FFFFFF"/>
            <w:tcMar>
              <w:top w:w="30" w:type="dxa"/>
              <w:left w:w="245" w:type="dxa"/>
              <w:bottom w:w="30" w:type="dxa"/>
              <w:right w:w="20" w:type="dxa"/>
            </w:tcMar>
            <w:vAlign w:val="center"/>
            <w:hideMark/>
          </w:tcPr>
          <w:p w:rsidR="00000000" w:rsidRDefault="00613AEB">
            <w:pPr>
              <w:spacing w:after="100"/>
              <w:rPr>
                <w:rFonts w:eastAsia="Times New Roman"/>
              </w:rPr>
            </w:pPr>
            <w:r>
              <w:rPr>
                <w:rFonts w:eastAsia="Times New Roman"/>
                <w:color w:val="000000"/>
                <w:sz w:val="20"/>
                <w:szCs w:val="20"/>
              </w:rPr>
              <w:t>Preferred stock</w:t>
            </w:r>
          </w:p>
        </w:tc>
        <w:tc>
          <w:tcPr>
            <w:tcW w:w="0" w:type="auto"/>
            <w:gridSpan w:val="2"/>
            <w:shd w:val="clear" w:color="auto" w:fill="FFFFFF"/>
            <w:tcMar>
              <w:top w:w="30" w:type="dxa"/>
              <w:left w:w="20" w:type="dxa"/>
              <w:bottom w:w="30" w:type="dxa"/>
              <w:right w:w="0" w:type="dxa"/>
            </w:tcMar>
            <w:vAlign w:val="center"/>
            <w:hideMark/>
          </w:tcPr>
          <w:p w:rsidR="00000000" w:rsidRDefault="00613AE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613AE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613AE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613AEB">
            <w:pPr>
              <w:spacing w:after="100"/>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vAlign w:val="center"/>
            <w:hideMark/>
          </w:tcPr>
          <w:p w:rsidR="00000000" w:rsidRDefault="00613AEB">
            <w:pPr>
              <w:spacing w:after="100"/>
              <w:rPr>
                <w:rFonts w:eastAsia="Times New Roman"/>
              </w:rPr>
            </w:pPr>
            <w:r>
              <w:rPr>
                <w:rFonts w:eastAsia="Times New Roman"/>
                <w:color w:val="000000"/>
                <w:sz w:val="20"/>
                <w:szCs w:val="20"/>
              </w:rPr>
              <w:t>Common stock</w:t>
            </w: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1,414 </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1,411 </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1,410 </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r>
      <w:tr w:rsidR="00000000">
        <w:trPr>
          <w:jc w:val="center"/>
        </w:trPr>
        <w:tc>
          <w:tcPr>
            <w:tcW w:w="0" w:type="auto"/>
            <w:gridSpan w:val="3"/>
            <w:shd w:val="clear" w:color="auto" w:fill="FFFFFF"/>
            <w:tcMar>
              <w:top w:w="30" w:type="dxa"/>
              <w:left w:w="245" w:type="dxa"/>
              <w:bottom w:w="30" w:type="dxa"/>
              <w:right w:w="20" w:type="dxa"/>
            </w:tcMar>
            <w:vAlign w:val="center"/>
            <w:hideMark/>
          </w:tcPr>
          <w:p w:rsidR="00000000" w:rsidRDefault="00613AEB">
            <w:pPr>
              <w:spacing w:after="100"/>
              <w:rPr>
                <w:rFonts w:eastAsia="Times New Roman"/>
              </w:rPr>
            </w:pPr>
            <w:r>
              <w:rPr>
                <w:rFonts w:eastAsia="Times New Roman"/>
                <w:color w:val="000000"/>
                <w:sz w:val="20"/>
                <w:szCs w:val="20"/>
              </w:rPr>
              <w:t>Additional paid-in capital</w:t>
            </w:r>
          </w:p>
        </w:tc>
        <w:tc>
          <w:tcPr>
            <w:tcW w:w="0" w:type="auto"/>
            <w:gridSpan w:val="2"/>
            <w:shd w:val="clear" w:color="auto" w:fill="FFFFFF"/>
            <w:tcMar>
              <w:top w:w="30" w:type="dxa"/>
              <w:left w:w="20" w:type="dxa"/>
              <w:bottom w:w="30" w:type="dxa"/>
              <w:right w:w="0" w:type="dxa"/>
            </w:tcMar>
            <w:vAlign w:val="center"/>
            <w:hideMark/>
          </w:tcPr>
          <w:p w:rsidR="00000000" w:rsidRDefault="00613AEB">
            <w:pPr>
              <w:spacing w:after="100"/>
              <w:jc w:val="right"/>
              <w:rPr>
                <w:rFonts w:eastAsia="Times New Roman"/>
              </w:rPr>
            </w:pPr>
            <w:r>
              <w:rPr>
                <w:rFonts w:eastAsia="Times New Roman"/>
                <w:color w:val="000000"/>
                <w:sz w:val="20"/>
                <w:szCs w:val="20"/>
              </w:rPr>
              <w:t>1,220,682 </w:t>
            </w:r>
          </w:p>
        </w:tc>
        <w:tc>
          <w:tcPr>
            <w:tcW w:w="0" w:type="auto"/>
            <w:shd w:val="clear" w:color="auto" w:fill="FFFFFF"/>
            <w:tcMar>
              <w:top w:w="30" w:type="dxa"/>
              <w:left w:w="0" w:type="dxa"/>
              <w:bottom w:w="30" w:type="dxa"/>
              <w:right w:w="20" w:type="dxa"/>
            </w:tcMar>
            <w:vAlign w:val="center"/>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613AEB">
            <w:pPr>
              <w:spacing w:after="100"/>
              <w:jc w:val="right"/>
              <w:rPr>
                <w:rFonts w:eastAsia="Times New Roman"/>
              </w:rPr>
            </w:pPr>
            <w:r>
              <w:rPr>
                <w:rFonts w:eastAsia="Times New Roman"/>
                <w:color w:val="000000"/>
                <w:sz w:val="20"/>
                <w:szCs w:val="20"/>
              </w:rPr>
              <w:t>1,210,512 </w:t>
            </w:r>
          </w:p>
        </w:tc>
        <w:tc>
          <w:tcPr>
            <w:tcW w:w="0" w:type="auto"/>
            <w:shd w:val="clear" w:color="auto" w:fill="FFFFFF"/>
            <w:tcMar>
              <w:top w:w="30" w:type="dxa"/>
              <w:left w:w="0" w:type="dxa"/>
              <w:bottom w:w="30" w:type="dxa"/>
              <w:right w:w="20" w:type="dxa"/>
            </w:tcMar>
            <w:vAlign w:val="center"/>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613AEB">
            <w:pPr>
              <w:spacing w:after="100"/>
              <w:jc w:val="right"/>
              <w:rPr>
                <w:rFonts w:eastAsia="Times New Roman"/>
              </w:rPr>
            </w:pPr>
            <w:r>
              <w:rPr>
                <w:rFonts w:eastAsia="Times New Roman"/>
                <w:color w:val="000000"/>
                <w:sz w:val="20"/>
                <w:szCs w:val="20"/>
              </w:rPr>
              <w:t>1,175,123 </w:t>
            </w:r>
          </w:p>
        </w:tc>
        <w:tc>
          <w:tcPr>
            <w:tcW w:w="0" w:type="auto"/>
            <w:shd w:val="clear" w:color="auto" w:fill="FFFFFF"/>
            <w:tcMar>
              <w:top w:w="30" w:type="dxa"/>
              <w:left w:w="0" w:type="dxa"/>
              <w:bottom w:w="30" w:type="dxa"/>
              <w:right w:w="20" w:type="dxa"/>
            </w:tcMar>
            <w:vAlign w:val="center"/>
            <w:hideMark/>
          </w:tcPr>
          <w:p w:rsidR="00000000" w:rsidRDefault="00613AEB">
            <w:pPr>
              <w:spacing w:after="100"/>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vAlign w:val="center"/>
            <w:hideMark/>
          </w:tcPr>
          <w:p w:rsidR="00000000" w:rsidRDefault="00613AEB">
            <w:pPr>
              <w:spacing w:after="100"/>
              <w:rPr>
                <w:rFonts w:eastAsia="Times New Roman"/>
              </w:rPr>
            </w:pPr>
            <w:r>
              <w:rPr>
                <w:rFonts w:eastAsia="Times New Roman"/>
                <w:color w:val="000000"/>
                <w:sz w:val="20"/>
                <w:szCs w:val="20"/>
              </w:rPr>
              <w:t>Treasury stock</w:t>
            </w: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(4,640,236)</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(4,155,846)</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(3,813,667)</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r>
      <w:tr w:rsidR="00000000">
        <w:trPr>
          <w:jc w:val="center"/>
        </w:trPr>
        <w:tc>
          <w:tcPr>
            <w:tcW w:w="0" w:type="auto"/>
            <w:gridSpan w:val="3"/>
            <w:shd w:val="clear" w:color="auto" w:fill="FFFFFF"/>
            <w:tcMar>
              <w:top w:w="30" w:type="dxa"/>
              <w:left w:w="245" w:type="dxa"/>
              <w:bottom w:w="30" w:type="dxa"/>
              <w:right w:w="20" w:type="dxa"/>
            </w:tcMar>
            <w:vAlign w:val="center"/>
            <w:hideMark/>
          </w:tcPr>
          <w:p w:rsidR="00000000" w:rsidRDefault="00613AEB">
            <w:pPr>
              <w:spacing w:after="100"/>
              <w:rPr>
                <w:rFonts w:eastAsia="Times New Roman"/>
              </w:rPr>
            </w:pPr>
            <w:r>
              <w:rPr>
                <w:rFonts w:eastAsia="Times New Roman"/>
                <w:color w:val="000000"/>
                <w:sz w:val="20"/>
                <w:szCs w:val="20"/>
              </w:rPr>
              <w:t>Accumulated other comprehensive income/(loss)</w:t>
            </w:r>
          </w:p>
        </w:tc>
        <w:tc>
          <w:tcPr>
            <w:tcW w:w="0" w:type="auto"/>
            <w:gridSpan w:val="2"/>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9,148 </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1,345 </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(798)</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vAlign w:val="center"/>
            <w:hideMark/>
          </w:tcPr>
          <w:p w:rsidR="00000000" w:rsidRDefault="00613AEB">
            <w:pPr>
              <w:spacing w:after="100"/>
              <w:rPr>
                <w:rFonts w:eastAsia="Times New Roman"/>
              </w:rPr>
            </w:pPr>
            <w:r>
              <w:rPr>
                <w:rFonts w:eastAsia="Times New Roman"/>
                <w:color w:val="000000"/>
                <w:sz w:val="20"/>
                <w:szCs w:val="20"/>
              </w:rPr>
              <w:t>Retained earnings</w:t>
            </w:r>
          </w:p>
        </w:tc>
        <w:tc>
          <w:tcPr>
            <w:tcW w:w="0" w:type="auto"/>
            <w:gridSpan w:val="2"/>
            <w:shd w:val="clear" w:color="auto" w:fill="CCEEFF"/>
            <w:tcMar>
              <w:top w:w="30" w:type="dxa"/>
              <w:left w:w="20" w:type="dxa"/>
              <w:bottom w:w="30" w:type="dxa"/>
              <w:right w:w="0" w:type="dxa"/>
            </w:tcMar>
            <w:vAlign w:val="center"/>
            <w:hideMark/>
          </w:tcPr>
          <w:p w:rsidR="00000000" w:rsidRDefault="00613AEB">
            <w:pPr>
              <w:spacing w:after="100"/>
              <w:jc w:val="right"/>
              <w:rPr>
                <w:rFonts w:eastAsia="Times New Roman"/>
              </w:rPr>
            </w:pPr>
            <w:r>
              <w:rPr>
                <w:rFonts w:eastAsia="Times New Roman"/>
                <w:color w:val="000000"/>
                <w:sz w:val="20"/>
                <w:szCs w:val="20"/>
              </w:rPr>
              <w:t>5,322,859 </w:t>
            </w:r>
          </w:p>
        </w:tc>
        <w:tc>
          <w:tcPr>
            <w:tcW w:w="0" w:type="auto"/>
            <w:shd w:val="clear" w:color="auto" w:fill="CCEEFF"/>
            <w:tcMar>
              <w:top w:w="30" w:type="dxa"/>
              <w:left w:w="0" w:type="dxa"/>
              <w:bottom w:w="30" w:type="dxa"/>
              <w:right w:w="20" w:type="dxa"/>
            </w:tcMar>
            <w:vAlign w:val="center"/>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613AEB">
            <w:pPr>
              <w:spacing w:after="100"/>
              <w:jc w:val="right"/>
              <w:rPr>
                <w:rFonts w:eastAsia="Times New Roman"/>
              </w:rPr>
            </w:pPr>
            <w:r>
              <w:rPr>
                <w:rFonts w:eastAsia="Times New Roman"/>
                <w:color w:val="000000"/>
                <w:sz w:val="20"/>
                <w:szCs w:val="20"/>
              </w:rPr>
              <w:t>4,945,243 </w:t>
            </w:r>
          </w:p>
        </w:tc>
        <w:tc>
          <w:tcPr>
            <w:tcW w:w="0" w:type="auto"/>
            <w:shd w:val="clear" w:color="auto" w:fill="CCEEFF"/>
            <w:tcMar>
              <w:top w:w="30" w:type="dxa"/>
              <w:left w:w="0" w:type="dxa"/>
              <w:bottom w:w="30" w:type="dxa"/>
              <w:right w:w="20" w:type="dxa"/>
            </w:tcMar>
            <w:vAlign w:val="center"/>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613AEB">
            <w:pPr>
              <w:spacing w:after="100"/>
              <w:jc w:val="right"/>
              <w:rPr>
                <w:rFonts w:eastAsia="Times New Roman"/>
              </w:rPr>
            </w:pPr>
            <w:r>
              <w:rPr>
                <w:rFonts w:eastAsia="Times New Roman"/>
                <w:color w:val="000000"/>
                <w:sz w:val="20"/>
                <w:szCs w:val="20"/>
              </w:rPr>
              <w:t>4,618,045 </w:t>
            </w:r>
          </w:p>
        </w:tc>
        <w:tc>
          <w:tcPr>
            <w:tcW w:w="0" w:type="auto"/>
            <w:shd w:val="clear" w:color="auto" w:fill="CCEEFF"/>
            <w:tcMar>
              <w:top w:w="30" w:type="dxa"/>
              <w:left w:w="0" w:type="dxa"/>
              <w:bottom w:w="30" w:type="dxa"/>
              <w:right w:w="20" w:type="dxa"/>
            </w:tcMar>
            <w:vAlign w:val="center"/>
            <w:hideMark/>
          </w:tcPr>
          <w:p w:rsidR="00000000" w:rsidRDefault="00613AEB">
            <w:pPr>
              <w:spacing w:after="100"/>
              <w:jc w:val="right"/>
              <w:rPr>
                <w:rFonts w:eastAsia="Times New Roman"/>
              </w:rPr>
            </w:pPr>
          </w:p>
        </w:tc>
      </w:tr>
      <w:tr w:rsidR="00000000">
        <w:trPr>
          <w:jc w:val="center"/>
        </w:trPr>
        <w:tc>
          <w:tcPr>
            <w:tcW w:w="0" w:type="auto"/>
            <w:gridSpan w:val="3"/>
            <w:shd w:val="clear" w:color="auto" w:fill="FFFFFF"/>
            <w:tcMar>
              <w:top w:w="30" w:type="dxa"/>
              <w:left w:w="740" w:type="dxa"/>
              <w:bottom w:w="30" w:type="dxa"/>
              <w:right w:w="20" w:type="dxa"/>
            </w:tcMar>
            <w:vAlign w:val="center"/>
            <w:hideMark/>
          </w:tcPr>
          <w:p w:rsidR="00000000" w:rsidRDefault="00613AEB">
            <w:pPr>
              <w:spacing w:after="100"/>
              <w:rPr>
                <w:rFonts w:eastAsia="Times New Roman"/>
              </w:rPr>
            </w:pPr>
            <w:r>
              <w:rPr>
                <w:rFonts w:eastAsia="Times New Roman"/>
                <w:color w:val="000000"/>
                <w:sz w:val="20"/>
                <w:szCs w:val="20"/>
              </w:rPr>
              <w:t>Total stockholders’ equity</w:t>
            </w: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613AEB">
            <w:pPr>
              <w:spacing w:after="100"/>
              <w:jc w:val="right"/>
              <w:rPr>
                <w:rFonts w:eastAsia="Times New Roman"/>
              </w:rPr>
            </w:pPr>
            <w:r>
              <w:rPr>
                <w:rFonts w:eastAsia="Times New Roman"/>
                <w:color w:val="000000"/>
                <w:sz w:val="20"/>
                <w:szCs w:val="20"/>
              </w:rPr>
              <w:t>1,913,867 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613AEB">
            <w:pPr>
              <w:spacing w:after="100"/>
              <w:jc w:val="right"/>
              <w:rPr>
                <w:rFonts w:eastAsia="Times New Roman"/>
              </w:rPr>
            </w:pPr>
            <w:r>
              <w:rPr>
                <w:rFonts w:eastAsia="Times New Roman"/>
                <w:color w:val="000000"/>
                <w:sz w:val="20"/>
                <w:szCs w:val="20"/>
              </w:rPr>
              <w:t>2,002,665 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613AEB">
            <w:pPr>
              <w:spacing w:after="100"/>
              <w:jc w:val="right"/>
              <w:rPr>
                <w:rFonts w:eastAsia="Times New Roman"/>
              </w:rPr>
            </w:pPr>
            <w:r>
              <w:rPr>
                <w:rFonts w:eastAsia="Times New Roman"/>
                <w:color w:val="000000"/>
                <w:sz w:val="20"/>
                <w:szCs w:val="20"/>
              </w:rPr>
              <w:t>1,980,113 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613AEB">
            <w:pPr>
              <w:spacing w:after="100"/>
              <w:jc w:val="right"/>
              <w:rPr>
                <w:rFonts w:eastAsia="Times New Roman"/>
              </w:rPr>
            </w:pPr>
          </w:p>
        </w:tc>
      </w:tr>
      <w:tr w:rsidR="00000000">
        <w:trPr>
          <w:jc w:val="center"/>
        </w:trPr>
        <w:tc>
          <w:tcPr>
            <w:tcW w:w="0" w:type="auto"/>
            <w:gridSpan w:val="3"/>
            <w:shd w:val="clear" w:color="auto" w:fill="CCEEFF"/>
            <w:tcMar>
              <w:top w:w="30" w:type="dxa"/>
              <w:left w:w="740" w:type="dxa"/>
              <w:bottom w:w="30" w:type="dxa"/>
              <w:right w:w="20" w:type="dxa"/>
            </w:tcMar>
            <w:vAlign w:val="center"/>
            <w:hideMark/>
          </w:tcPr>
          <w:p w:rsidR="00000000" w:rsidRDefault="00613AEB">
            <w:pPr>
              <w:spacing w:after="100"/>
              <w:rPr>
                <w:rFonts w:eastAsia="Times New Roman"/>
              </w:rPr>
            </w:pPr>
            <w:r>
              <w:rPr>
                <w:rFonts w:eastAsia="Times New Roman"/>
                <w:color w:val="000000"/>
                <w:sz w:val="20"/>
                <w:szCs w:val="20"/>
              </w:rPr>
              <w:t>Total liabilities and stockholders’ equity</w:t>
            </w: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613AE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613AEB">
            <w:pPr>
              <w:spacing w:after="100"/>
              <w:jc w:val="right"/>
              <w:rPr>
                <w:rFonts w:eastAsia="Times New Roman"/>
              </w:rPr>
            </w:pPr>
            <w:r>
              <w:rPr>
                <w:rFonts w:eastAsia="Times New Roman"/>
                <w:color w:val="000000"/>
                <w:sz w:val="20"/>
                <w:szCs w:val="20"/>
              </w:rPr>
              <w:t>7,869,194 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613AE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613AEB">
            <w:pPr>
              <w:spacing w:after="100"/>
              <w:jc w:val="right"/>
              <w:rPr>
                <w:rFonts w:eastAsia="Times New Roman"/>
              </w:rPr>
            </w:pPr>
            <w:r>
              <w:rPr>
                <w:rFonts w:eastAsia="Times New Roman"/>
                <w:color w:val="000000"/>
                <w:sz w:val="20"/>
                <w:szCs w:val="20"/>
              </w:rPr>
              <w:t>7,767,467 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613AE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613AEB">
            <w:pPr>
              <w:spacing w:after="100"/>
              <w:jc w:val="right"/>
              <w:rPr>
                <w:rFonts w:eastAsia="Times New Roman"/>
              </w:rPr>
            </w:pPr>
            <w:r>
              <w:rPr>
                <w:rFonts w:eastAsia="Times New Roman"/>
                <w:color w:val="000000"/>
                <w:sz w:val="20"/>
                <w:szCs w:val="20"/>
              </w:rPr>
              <w:t>7,687,888 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613AEB">
            <w:pPr>
              <w:spacing w:after="100"/>
              <w:jc w:val="right"/>
              <w:rPr>
                <w:rFonts w:eastAsia="Times New Roman"/>
              </w:rPr>
            </w:pPr>
          </w:p>
        </w:tc>
      </w:tr>
      <w:tr w:rsidR="00000000">
        <w:trPr>
          <w:trHeight w:val="60"/>
          <w:jc w:val="center"/>
        </w:trPr>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r>
    </w:tbl>
    <w:p w:rsidR="00000000" w:rsidRDefault="00613AEB">
      <w:pPr>
        <w:ind w:hanging="180"/>
        <w:divId w:val="1735931843"/>
        <w:rPr>
          <w:rFonts w:eastAsia="Times New Roman"/>
        </w:rPr>
      </w:pPr>
      <w:r>
        <w:rPr>
          <w:rFonts w:eastAsia="Times New Roman"/>
          <w:b/>
          <w:bCs/>
          <w:color w:val="000000"/>
          <w:sz w:val="16"/>
          <w:szCs w:val="16"/>
        </w:rPr>
        <w:t>Preferred Stock (shares in thousands)</w:t>
      </w:r>
      <w:r>
        <w:rPr>
          <w:rFonts w:eastAsia="Times New Roman"/>
          <w:color w:val="000000"/>
          <w:sz w:val="16"/>
          <w:szCs w:val="16"/>
        </w:rPr>
        <w:t>: $1.00 par value; 40 shares authorized; no shares were issued or outstanding during any period presented.</w:t>
      </w:r>
    </w:p>
    <w:p w:rsidR="00000000" w:rsidRDefault="00613AEB">
      <w:pPr>
        <w:ind w:hanging="1080"/>
        <w:divId w:val="1078869607"/>
        <w:rPr>
          <w:rFonts w:eastAsia="Times New Roman"/>
        </w:rPr>
      </w:pPr>
      <w:r>
        <w:rPr>
          <w:rFonts w:eastAsia="Times New Roman"/>
          <w:b/>
          <w:bCs/>
          <w:color w:val="000000"/>
          <w:sz w:val="16"/>
          <w:szCs w:val="16"/>
        </w:rPr>
        <w:t>Common Stock (shares in thousands)</w:t>
      </w:r>
      <w:r>
        <w:rPr>
          <w:rFonts w:eastAsia="Times New Roman"/>
          <w:color w:val="000000"/>
          <w:sz w:val="16"/>
          <w:szCs w:val="16"/>
        </w:rPr>
        <w:t xml:space="preserve">: $0.008 par value; 400,000 shares authorized at all periods presented. 176,743, 176,371, and 176,223 shares issued; 111,197, 113,125, and 114,623 shares outstanding at June 25, 2022, December 25, 2021, and June 26, 2021, </w:t>
      </w:r>
      <w:r>
        <w:rPr>
          <w:rFonts w:eastAsia="Times New Roman"/>
          <w:color w:val="000000"/>
          <w:sz w:val="16"/>
          <w:szCs w:val="16"/>
        </w:rPr>
        <w:t xml:space="preserve">respectively. </w:t>
      </w:r>
    </w:p>
    <w:p w:rsidR="00000000" w:rsidRDefault="00613AEB">
      <w:pPr>
        <w:ind w:hanging="1080"/>
        <w:divId w:val="153491782"/>
        <w:rPr>
          <w:rFonts w:eastAsia="Times New Roman"/>
        </w:rPr>
      </w:pPr>
      <w:r>
        <w:rPr>
          <w:rFonts w:eastAsia="Times New Roman"/>
          <w:b/>
          <w:bCs/>
          <w:color w:val="000000"/>
          <w:sz w:val="16"/>
          <w:szCs w:val="16"/>
        </w:rPr>
        <w:t>Treasury Stock (at cost, shares in thousands)</w:t>
      </w:r>
      <w:r>
        <w:rPr>
          <w:rFonts w:eastAsia="Times New Roman"/>
          <w:color w:val="000000"/>
          <w:sz w:val="16"/>
          <w:szCs w:val="16"/>
        </w:rPr>
        <w:t>: 65,546, 63,246, and 61,600 shares at June 25, 2022, December 25, 2021, and June 26, 2021, respectively.</w:t>
      </w:r>
    </w:p>
    <w:p w:rsidR="00000000" w:rsidRDefault="00613AEB">
      <w:pPr>
        <w:jc w:val="center"/>
        <w:rPr>
          <w:rFonts w:eastAsia="Times New Roman"/>
        </w:rPr>
      </w:pPr>
    </w:p>
    <w:p w:rsidR="00000000" w:rsidRDefault="00613AEB">
      <w:pPr>
        <w:jc w:val="center"/>
        <w:rPr>
          <w:rFonts w:eastAsia="Times New Roman"/>
        </w:rPr>
      </w:pPr>
      <w:r>
        <w:rPr>
          <w:rFonts w:eastAsia="Times New Roman"/>
          <w:color w:val="000000"/>
          <w:sz w:val="20"/>
          <w:szCs w:val="20"/>
        </w:rPr>
        <w:t>The accompanying notes are an integral part of these Condensed Consolidated Financial St</w:t>
      </w:r>
      <w:r>
        <w:rPr>
          <w:rFonts w:eastAsia="Times New Roman"/>
          <w:color w:val="000000"/>
          <w:sz w:val="20"/>
          <w:szCs w:val="20"/>
        </w:rPr>
        <w:t>atements.</w:t>
      </w:r>
    </w:p>
    <w:p w:rsidR="00000000" w:rsidRDefault="00613AEB">
      <w:pPr>
        <w:jc w:val="center"/>
        <w:divId w:val="871964374"/>
        <w:rPr>
          <w:rFonts w:eastAsia="Times New Roman"/>
        </w:rPr>
      </w:pPr>
      <w:r>
        <w:rPr>
          <w:rFonts w:eastAsia="Times New Roman"/>
          <w:color w:val="000000"/>
          <w:sz w:val="20"/>
          <w:szCs w:val="20"/>
        </w:rPr>
        <w:t>Page 3</w:t>
      </w:r>
    </w:p>
    <w:p w:rsidR="00000000" w:rsidRDefault="00613AEB">
      <w:pPr>
        <w:rPr>
          <w:rFonts w:eastAsia="Times New Roman"/>
        </w:rPr>
      </w:pPr>
      <w:r>
        <w:rPr>
          <w:rFonts w:eastAsia="Times New Roman"/>
        </w:rPr>
        <w:pict>
          <v:rect id="_x0000_i1028" style="width:0;height:1.5pt" o:hralign="center" o:hrstd="t" o:hr="t" fillcolor="#a0a0a0" stroked="f"/>
        </w:pict>
      </w:r>
    </w:p>
    <w:p w:rsidR="00000000" w:rsidRDefault="00613AEB">
      <w:pPr>
        <w:divId w:val="1315142716"/>
        <w:rPr>
          <w:rFonts w:eastAsia="Times New Roman"/>
        </w:rPr>
      </w:pPr>
      <w:hyperlink w:anchor="i7b244a6903fc440faaf2365d228fe4ba_7" w:history="1">
        <w:r>
          <w:rPr>
            <w:rStyle w:val="a3"/>
            <w:rFonts w:eastAsia="Times New Roman"/>
            <w:sz w:val="16"/>
            <w:szCs w:val="16"/>
          </w:rPr>
          <w:t>Index</w:t>
        </w:r>
      </w:hyperlink>
    </w:p>
    <w:p w:rsidR="00000000" w:rsidRDefault="00613AEB">
      <w:pPr>
        <w:jc w:val="center"/>
        <w:rPr>
          <w:rFonts w:eastAsia="Times New Roman"/>
        </w:rPr>
      </w:pPr>
      <w:r>
        <w:rPr>
          <w:rFonts w:eastAsia="Times New Roman"/>
          <w:b/>
          <w:bCs/>
          <w:color w:val="000000"/>
          <w:sz w:val="20"/>
          <w:szCs w:val="20"/>
        </w:rPr>
        <w:t>TRACTOR SUPPLY COMPANY</w:t>
      </w:r>
    </w:p>
    <w:p w:rsidR="00000000" w:rsidRDefault="00613AEB">
      <w:pPr>
        <w:jc w:val="center"/>
        <w:rPr>
          <w:rFonts w:eastAsia="Times New Roman"/>
        </w:rPr>
      </w:pPr>
      <w:r>
        <w:rPr>
          <w:rFonts w:eastAsia="Times New Roman"/>
          <w:b/>
          <w:bCs/>
          <w:color w:val="000000"/>
          <w:sz w:val="20"/>
          <w:szCs w:val="20"/>
        </w:rPr>
        <w:t>CONDENSED CONSOLIDATED STATEMENTS OF INCOME</w:t>
      </w:r>
    </w:p>
    <w:p w:rsidR="00000000" w:rsidRDefault="00613AEB">
      <w:pPr>
        <w:jc w:val="center"/>
        <w:rPr>
          <w:rFonts w:eastAsia="Times New Roman"/>
        </w:rPr>
      </w:pPr>
      <w:r>
        <w:rPr>
          <w:rFonts w:eastAsia="Times New Roman"/>
          <w:b/>
          <w:bCs/>
          <w:color w:val="000000"/>
          <w:sz w:val="20"/>
          <w:szCs w:val="20"/>
        </w:rPr>
        <w:t>(in thousands, except per share amounts)</w:t>
      </w:r>
    </w:p>
    <w:p w:rsidR="00000000" w:rsidRDefault="00613AEB">
      <w:pPr>
        <w:jc w:val="center"/>
        <w:rPr>
          <w:rFonts w:eastAsia="Times New Roman"/>
        </w:rPr>
      </w:pPr>
      <w:r>
        <w:rPr>
          <w:rFonts w:eastAsia="Times New Roman"/>
          <w:b/>
          <w:bCs/>
          <w:i/>
          <w:iCs/>
          <w:color w:val="000000"/>
          <w:sz w:val="20"/>
          <w:szCs w:val="20"/>
        </w:rPr>
        <w:t>(Unaudited)</w:t>
      </w:r>
    </w:p>
    <w:tbl>
      <w:tblPr>
        <w:tblW w:w="4985" w:type="pct"/>
        <w:jc w:val="center"/>
        <w:tblCellMar>
          <w:top w:w="15" w:type="dxa"/>
          <w:left w:w="15" w:type="dxa"/>
          <w:bottom w:w="15" w:type="dxa"/>
          <w:right w:w="15" w:type="dxa"/>
        </w:tblCellMar>
        <w:tblLook w:val="04A0" w:firstRow="1" w:lastRow="0" w:firstColumn="1" w:lastColumn="0" w:noHBand="0" w:noVBand="1"/>
      </w:tblPr>
      <w:tblGrid>
        <w:gridCol w:w="39"/>
        <w:gridCol w:w="3486"/>
        <w:gridCol w:w="37"/>
        <w:gridCol w:w="120"/>
        <w:gridCol w:w="975"/>
        <w:gridCol w:w="36"/>
        <w:gridCol w:w="36"/>
        <w:gridCol w:w="36"/>
        <w:gridCol w:w="36"/>
        <w:gridCol w:w="120"/>
        <w:gridCol w:w="932"/>
        <w:gridCol w:w="36"/>
        <w:gridCol w:w="36"/>
        <w:gridCol w:w="36"/>
        <w:gridCol w:w="36"/>
        <w:gridCol w:w="120"/>
        <w:gridCol w:w="932"/>
        <w:gridCol w:w="36"/>
        <w:gridCol w:w="36"/>
        <w:gridCol w:w="36"/>
        <w:gridCol w:w="36"/>
        <w:gridCol w:w="120"/>
        <w:gridCol w:w="932"/>
        <w:gridCol w:w="36"/>
      </w:tblGrid>
      <w:tr w:rsidR="00000000">
        <w:trPr>
          <w:jc w:val="center"/>
        </w:trPr>
        <w:tc>
          <w:tcPr>
            <w:tcW w:w="50" w:type="pct"/>
            <w:vAlign w:val="center"/>
            <w:hideMark/>
          </w:tcPr>
          <w:p w:rsidR="00000000" w:rsidRDefault="00613AEB">
            <w:pPr>
              <w:jc w:val="center"/>
              <w:rPr>
                <w:rFonts w:eastAsia="Times New Roman"/>
              </w:rPr>
            </w:pPr>
          </w:p>
        </w:tc>
        <w:tc>
          <w:tcPr>
            <w:tcW w:w="2137"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0" w:type="pct"/>
            <w:vAlign w:val="center"/>
            <w:hideMark/>
          </w:tcPr>
          <w:p w:rsidR="00000000" w:rsidRDefault="00613AEB">
            <w:pPr>
              <w:spacing w:after="100"/>
              <w:rPr>
                <w:rFonts w:eastAsia="Times New Roman"/>
                <w:sz w:val="20"/>
                <w:szCs w:val="20"/>
              </w:rPr>
            </w:pPr>
          </w:p>
        </w:tc>
        <w:tc>
          <w:tcPr>
            <w:tcW w:w="619"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26"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0" w:type="pct"/>
            <w:vAlign w:val="center"/>
            <w:hideMark/>
          </w:tcPr>
          <w:p w:rsidR="00000000" w:rsidRDefault="00613AEB">
            <w:pPr>
              <w:spacing w:after="100"/>
              <w:rPr>
                <w:rFonts w:eastAsia="Times New Roman"/>
                <w:sz w:val="20"/>
                <w:szCs w:val="20"/>
              </w:rPr>
            </w:pPr>
          </w:p>
        </w:tc>
        <w:tc>
          <w:tcPr>
            <w:tcW w:w="619"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26"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0" w:type="pct"/>
            <w:vAlign w:val="center"/>
            <w:hideMark/>
          </w:tcPr>
          <w:p w:rsidR="00000000" w:rsidRDefault="00613AEB">
            <w:pPr>
              <w:spacing w:after="100"/>
              <w:rPr>
                <w:rFonts w:eastAsia="Times New Roman"/>
                <w:sz w:val="20"/>
                <w:szCs w:val="20"/>
              </w:rPr>
            </w:pPr>
          </w:p>
        </w:tc>
        <w:tc>
          <w:tcPr>
            <w:tcW w:w="619"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26"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0" w:type="pct"/>
            <w:vAlign w:val="center"/>
            <w:hideMark/>
          </w:tcPr>
          <w:p w:rsidR="00000000" w:rsidRDefault="00613AEB">
            <w:pPr>
              <w:spacing w:after="100"/>
              <w:rPr>
                <w:rFonts w:eastAsia="Times New Roman"/>
                <w:sz w:val="20"/>
                <w:szCs w:val="20"/>
              </w:rPr>
            </w:pPr>
          </w:p>
        </w:tc>
        <w:tc>
          <w:tcPr>
            <w:tcW w:w="619"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613AEB">
            <w:pPr>
              <w:spacing w:after="100"/>
              <w:jc w:val="center"/>
              <w:rPr>
                <w:rFonts w:eastAsia="Times New Roman"/>
              </w:rPr>
            </w:pPr>
            <w:r>
              <w:rPr>
                <w:rFonts w:eastAsia="Times New Roman"/>
                <w:b/>
                <w:bCs/>
                <w:color w:val="000000"/>
                <w:sz w:val="20"/>
                <w:szCs w:val="20"/>
              </w:rPr>
              <w:t>For the Fiscal Three</w:t>
            </w:r>
          </w:p>
        </w:tc>
        <w:tc>
          <w:tcPr>
            <w:tcW w:w="0" w:type="auto"/>
            <w:gridSpan w:val="3"/>
            <w:tcMar>
              <w:top w:w="0" w:type="dxa"/>
              <w:left w:w="20" w:type="dxa"/>
              <w:bottom w:w="0" w:type="dxa"/>
              <w:right w:w="20" w:type="dxa"/>
            </w:tcMar>
            <w:vAlign w:val="center"/>
            <w:hideMark/>
          </w:tcPr>
          <w:p w:rsidR="00000000" w:rsidRDefault="00613AEB">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613AEB">
            <w:pPr>
              <w:spacing w:after="100"/>
              <w:jc w:val="center"/>
              <w:rPr>
                <w:rFonts w:eastAsia="Times New Roman"/>
              </w:rPr>
            </w:pPr>
            <w:r>
              <w:rPr>
                <w:rFonts w:eastAsia="Times New Roman"/>
                <w:b/>
                <w:bCs/>
                <w:color w:val="000000"/>
                <w:sz w:val="20"/>
                <w:szCs w:val="20"/>
              </w:rPr>
              <w:t xml:space="preserve">For the Fiscal Six </w:t>
            </w:r>
          </w:p>
        </w:tc>
      </w:tr>
      <w:tr w:rsidR="00000000">
        <w:trPr>
          <w:jc w:val="center"/>
        </w:trPr>
        <w:tc>
          <w:tcPr>
            <w:tcW w:w="0" w:type="auto"/>
            <w:gridSpan w:val="3"/>
            <w:tcMar>
              <w:top w:w="30" w:type="dxa"/>
              <w:left w:w="20"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 </w:t>
            </w:r>
          </w:p>
        </w:tc>
        <w:tc>
          <w:tcPr>
            <w:tcW w:w="0" w:type="auto"/>
            <w:gridSpan w:val="9"/>
            <w:tcMar>
              <w:top w:w="30" w:type="dxa"/>
              <w:left w:w="132" w:type="dxa"/>
              <w:bottom w:w="30" w:type="dxa"/>
              <w:right w:w="132" w:type="dxa"/>
            </w:tcMar>
            <w:vAlign w:val="bottom"/>
            <w:hideMark/>
          </w:tcPr>
          <w:p w:rsidR="00000000" w:rsidRDefault="00613AEB">
            <w:pPr>
              <w:spacing w:after="100"/>
              <w:jc w:val="center"/>
              <w:rPr>
                <w:rFonts w:eastAsia="Times New Roman"/>
              </w:rPr>
            </w:pPr>
            <w:r>
              <w:rPr>
                <w:rFonts w:eastAsia="Times New Roman"/>
                <w:b/>
                <w:bCs/>
                <w:color w:val="000000"/>
                <w:sz w:val="20"/>
                <w:szCs w:val="20"/>
              </w:rPr>
              <w:t>Months Ended</w:t>
            </w:r>
          </w:p>
        </w:tc>
        <w:tc>
          <w:tcPr>
            <w:tcW w:w="0" w:type="auto"/>
            <w:gridSpan w:val="3"/>
            <w:tcMar>
              <w:top w:w="0" w:type="dxa"/>
              <w:left w:w="20" w:type="dxa"/>
              <w:bottom w:w="0" w:type="dxa"/>
              <w:right w:w="20" w:type="dxa"/>
            </w:tcMar>
            <w:vAlign w:val="center"/>
            <w:hideMark/>
          </w:tcPr>
          <w:p w:rsidR="00000000" w:rsidRDefault="00613AEB">
            <w:pPr>
              <w:spacing w:after="100"/>
              <w:jc w:val="center"/>
              <w:rPr>
                <w:rFonts w:eastAsia="Times New Roman"/>
              </w:rPr>
            </w:pPr>
          </w:p>
        </w:tc>
        <w:tc>
          <w:tcPr>
            <w:tcW w:w="0" w:type="auto"/>
            <w:gridSpan w:val="9"/>
            <w:tcMar>
              <w:top w:w="30" w:type="dxa"/>
              <w:left w:w="132" w:type="dxa"/>
              <w:bottom w:w="30" w:type="dxa"/>
              <w:right w:w="132" w:type="dxa"/>
            </w:tcMar>
            <w:vAlign w:val="bottom"/>
            <w:hideMark/>
          </w:tcPr>
          <w:p w:rsidR="00000000" w:rsidRDefault="00613AEB">
            <w:pPr>
              <w:spacing w:after="100"/>
              <w:jc w:val="center"/>
              <w:rPr>
                <w:rFonts w:eastAsia="Times New Roman"/>
              </w:rPr>
            </w:pPr>
            <w:r>
              <w:rPr>
                <w:rFonts w:eastAsia="Times New Roman"/>
                <w:b/>
                <w:bCs/>
                <w:color w:val="000000"/>
                <w:sz w:val="20"/>
                <w:szCs w:val="20"/>
              </w:rPr>
              <w:t>Months Ended</w:t>
            </w:r>
          </w:p>
        </w:tc>
      </w:tr>
      <w:tr w:rsidR="00000000">
        <w:trPr>
          <w:jc w:val="center"/>
        </w:trPr>
        <w:tc>
          <w:tcPr>
            <w:tcW w:w="0" w:type="auto"/>
            <w:gridSpan w:val="3"/>
            <w:tcMar>
              <w:top w:w="30" w:type="dxa"/>
              <w:left w:w="20"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13AEB">
            <w:pPr>
              <w:spacing w:after="100"/>
              <w:jc w:val="center"/>
              <w:rPr>
                <w:rFonts w:eastAsia="Times New Roman"/>
              </w:rPr>
            </w:pPr>
            <w:r>
              <w:rPr>
                <w:rFonts w:eastAsia="Times New Roman"/>
                <w:b/>
                <w:bCs/>
                <w:color w:val="000000"/>
                <w:sz w:val="20"/>
                <w:szCs w:val="20"/>
              </w:rPr>
              <w:t>June 25,</w:t>
            </w:r>
            <w:r>
              <w:rPr>
                <w:rFonts w:eastAsia="Times New Roman"/>
                <w:b/>
                <w:bCs/>
                <w:color w:val="000000"/>
                <w:sz w:val="20"/>
                <w:szCs w:val="20"/>
              </w:rPr>
              <w:b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13AE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13AEB">
            <w:pPr>
              <w:spacing w:after="100"/>
              <w:jc w:val="center"/>
              <w:rPr>
                <w:rFonts w:eastAsia="Times New Roman"/>
              </w:rPr>
            </w:pPr>
            <w:r>
              <w:rPr>
                <w:rFonts w:eastAsia="Times New Roman"/>
                <w:b/>
                <w:bCs/>
                <w:color w:val="000000"/>
                <w:sz w:val="20"/>
                <w:szCs w:val="20"/>
              </w:rPr>
              <w:t>June 26,</w:t>
            </w:r>
            <w:r>
              <w:rPr>
                <w:rFonts w:eastAsia="Times New Roman"/>
                <w:b/>
                <w:bCs/>
                <w:color w:val="000000"/>
                <w:sz w:val="20"/>
                <w:szCs w:val="20"/>
              </w:rPr>
              <w:br/>
              <w:t>2021</w:t>
            </w:r>
          </w:p>
        </w:tc>
        <w:tc>
          <w:tcPr>
            <w:tcW w:w="0" w:type="auto"/>
            <w:gridSpan w:val="3"/>
            <w:tcMar>
              <w:top w:w="0" w:type="dxa"/>
              <w:left w:w="20" w:type="dxa"/>
              <w:bottom w:w="0" w:type="dxa"/>
              <w:right w:w="20" w:type="dxa"/>
            </w:tcMar>
            <w:vAlign w:val="center"/>
            <w:hideMark/>
          </w:tcPr>
          <w:p w:rsidR="00000000" w:rsidRDefault="00613AE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13AEB">
            <w:pPr>
              <w:spacing w:after="100"/>
              <w:jc w:val="center"/>
              <w:rPr>
                <w:rFonts w:eastAsia="Times New Roman"/>
              </w:rPr>
            </w:pPr>
            <w:r>
              <w:rPr>
                <w:rFonts w:eastAsia="Times New Roman"/>
                <w:b/>
                <w:bCs/>
                <w:color w:val="000000"/>
                <w:sz w:val="20"/>
                <w:szCs w:val="20"/>
              </w:rPr>
              <w:t>June 25,</w:t>
            </w:r>
            <w:r>
              <w:rPr>
                <w:rFonts w:eastAsia="Times New Roman"/>
                <w:b/>
                <w:bCs/>
                <w:color w:val="000000"/>
                <w:sz w:val="20"/>
                <w:szCs w:val="20"/>
              </w:rPr>
              <w:b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13AE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13AEB">
            <w:pPr>
              <w:spacing w:after="100"/>
              <w:jc w:val="center"/>
              <w:rPr>
                <w:rFonts w:eastAsia="Times New Roman"/>
              </w:rPr>
            </w:pPr>
            <w:r>
              <w:rPr>
                <w:rFonts w:eastAsia="Times New Roman"/>
                <w:b/>
                <w:bCs/>
                <w:color w:val="000000"/>
                <w:sz w:val="20"/>
                <w:szCs w:val="20"/>
              </w:rPr>
              <w:t>June 26,</w:t>
            </w:r>
            <w:r>
              <w:rPr>
                <w:rFonts w:eastAsia="Times New Roman"/>
                <w:b/>
                <w:bCs/>
                <w:color w:val="000000"/>
                <w:sz w:val="20"/>
                <w:szCs w:val="20"/>
              </w:rPr>
              <w:br/>
              <w:t>2021</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613AEB">
            <w:pPr>
              <w:spacing w:after="100"/>
              <w:rPr>
                <w:rFonts w:eastAsia="Times New Roman"/>
              </w:rPr>
            </w:pPr>
            <w:r>
              <w:rPr>
                <w:rFonts w:eastAsia="Times New Roman"/>
                <w:b/>
                <w:bCs/>
                <w:color w:val="000000"/>
                <w:sz w:val="20"/>
                <w:szCs w:val="20"/>
              </w:rPr>
              <w:t>Net sales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3,903,406 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3,601,559 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6,927,538 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6,393,895 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Cost of merchandise sold</w:t>
            </w:r>
          </w:p>
        </w:tc>
        <w:tc>
          <w:tcPr>
            <w:tcW w:w="0" w:type="auto"/>
            <w:gridSpan w:val="2"/>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2,517,151 </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2,314,074 </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4,484,774 </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4,122,630 </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613AEB">
            <w:pPr>
              <w:spacing w:after="100"/>
              <w:rPr>
                <w:rFonts w:eastAsia="Times New Roman"/>
              </w:rPr>
            </w:pPr>
            <w:r>
              <w:rPr>
                <w:rFonts w:eastAsia="Times New Roman"/>
                <w:b/>
                <w:bCs/>
                <w:color w:val="000000"/>
                <w:sz w:val="20"/>
                <w:szCs w:val="20"/>
              </w:rPr>
              <w:lastRenderedPageBreak/>
              <w:t>Gross profit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1,386,255 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1,287,485 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2,442,764 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2,271,265 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Selling, general and administrative expenses</w:t>
            </w:r>
          </w:p>
        </w:tc>
        <w:tc>
          <w:tcPr>
            <w:tcW w:w="0" w:type="auto"/>
            <w:gridSpan w:val="2"/>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777,860 </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736,749 </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1,512,437 </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1,429,939 </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Depreciation and amortization</w:t>
            </w: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83,360 </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64,853 </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161,006 </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124,907 </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r>
      <w:tr w:rsidR="00000000">
        <w:trPr>
          <w:jc w:val="center"/>
        </w:trPr>
        <w:tc>
          <w:tcPr>
            <w:tcW w:w="0" w:type="auto"/>
            <w:gridSpan w:val="3"/>
            <w:vAlign w:val="center"/>
            <w:hideMark/>
          </w:tcPr>
          <w:p w:rsidR="00000000" w:rsidRDefault="00613AEB">
            <w:pPr>
              <w:spacing w:after="100"/>
              <w:jc w:val="right"/>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613AEB">
            <w:pPr>
              <w:spacing w:after="100"/>
              <w:rPr>
                <w:rFonts w:eastAsia="Times New Roman"/>
              </w:rPr>
            </w:pPr>
            <w:r>
              <w:rPr>
                <w:rFonts w:eastAsia="Times New Roman"/>
                <w:b/>
                <w:bCs/>
                <w:color w:val="000000"/>
                <w:sz w:val="20"/>
                <w:szCs w:val="20"/>
              </w:rPr>
              <w:t>Operating income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525,035 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485,883 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769,321 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716,419 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Interest expense, net</w:t>
            </w: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7,097 </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6,701 </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14,166 </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13,922 </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613AEB">
            <w:pPr>
              <w:spacing w:after="100"/>
              <w:rPr>
                <w:rFonts w:eastAsia="Times New Roman"/>
              </w:rPr>
            </w:pPr>
            <w:r>
              <w:rPr>
                <w:rFonts w:eastAsia="Times New Roman"/>
                <w:b/>
                <w:bCs/>
                <w:color w:val="000000"/>
                <w:sz w:val="20"/>
                <w:szCs w:val="20"/>
              </w:rPr>
              <w:t>Income before income taxes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517,938 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479,182 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755,155 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702,497 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Income tax expense</w:t>
            </w: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121,460 </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109,160 </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171,450 </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151,121 </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613AEB">
            <w:pPr>
              <w:spacing w:after="100"/>
              <w:rPr>
                <w:rFonts w:eastAsia="Times New Roman"/>
              </w:rPr>
            </w:pPr>
            <w:r>
              <w:rPr>
                <w:rFonts w:eastAsia="Times New Roman"/>
                <w:b/>
                <w:bCs/>
                <w:color w:val="000000"/>
                <w:sz w:val="20"/>
                <w:szCs w:val="20"/>
              </w:rPr>
              <w:t>Net income</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396,478 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370,022 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583,705 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551,376 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r>
      <w:tr w:rsidR="00000000">
        <w:trPr>
          <w:trHeight w:val="180"/>
          <w:jc w:val="center"/>
        </w:trPr>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613AEB">
            <w:pPr>
              <w:spacing w:after="100"/>
              <w:rPr>
                <w:rFonts w:eastAsia="Times New Roman"/>
              </w:rPr>
            </w:pPr>
            <w:r>
              <w:rPr>
                <w:rFonts w:eastAsia="Times New Roman"/>
                <w:b/>
                <w:bCs/>
                <w:color w:val="000000"/>
                <w:sz w:val="20"/>
                <w:szCs w:val="20"/>
              </w:rPr>
              <w:t>Net income per share – basic</w:t>
            </w:r>
          </w:p>
        </w:tc>
        <w:tc>
          <w:tcPr>
            <w:tcW w:w="0" w:type="auto"/>
            <w:shd w:val="clear" w:color="auto" w:fill="FFFF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3.55 </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3.21 </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5.21 </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4.77 </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613AEB">
            <w:pPr>
              <w:spacing w:after="100"/>
              <w:rPr>
                <w:rFonts w:eastAsia="Times New Roman"/>
              </w:rPr>
            </w:pPr>
            <w:r>
              <w:rPr>
                <w:rFonts w:eastAsia="Times New Roman"/>
                <w:b/>
                <w:bCs/>
                <w:color w:val="000000"/>
                <w:sz w:val="20"/>
                <w:szCs w:val="20"/>
              </w:rPr>
              <w:t>Net income per share – diluted</w:t>
            </w: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3.53 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3.19 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5.17 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4.73 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r>
      <w:tr w:rsidR="00000000">
        <w:trPr>
          <w:trHeight w:val="180"/>
          <w:jc w:val="center"/>
        </w:trPr>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613AEB">
            <w:pPr>
              <w:spacing w:after="100"/>
              <w:rPr>
                <w:rFonts w:eastAsia="Times New Roman"/>
              </w:rPr>
            </w:pPr>
            <w:r>
              <w:rPr>
                <w:rFonts w:eastAsia="Times New Roman"/>
                <w:b/>
                <w:bCs/>
                <w:color w:val="000000"/>
                <w:sz w:val="20"/>
                <w:szCs w:val="20"/>
              </w:rPr>
              <w:t>Weighted average shares outstanding:</w:t>
            </w:r>
          </w:p>
        </w:tc>
        <w:tc>
          <w:tcPr>
            <w:tcW w:w="0" w:type="auto"/>
            <w:gridSpan w:val="3"/>
            <w:shd w:val="clear" w:color="auto" w:fill="CCEEFF"/>
            <w:tcMar>
              <w:top w:w="30" w:type="dxa"/>
              <w:left w:w="20" w:type="dxa"/>
              <w:bottom w:w="30" w:type="dxa"/>
              <w:right w:w="20" w:type="dxa"/>
            </w:tcMar>
            <w:vAlign w:val="bottom"/>
            <w:hideMark/>
          </w:tcPr>
          <w:p w:rsidR="00000000" w:rsidRDefault="00613AEB">
            <w:pPr>
              <w:spacing w:after="100"/>
              <w:jc w:val="right"/>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613AEB">
            <w:pPr>
              <w:spacing w:after="100"/>
              <w:jc w:val="right"/>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613AEB">
            <w:pPr>
              <w:spacing w:after="100"/>
              <w:jc w:val="right"/>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613AEB">
            <w:pPr>
              <w:spacing w:after="100"/>
              <w:jc w:val="right"/>
              <w:rPr>
                <w:rFonts w:eastAsia="Times New Roman"/>
              </w:rPr>
            </w:pPr>
            <w:r>
              <w:rPr>
                <w:rFonts w:eastAsia="Times New Roman"/>
                <w:color w:val="000000"/>
                <w:sz w:val="20"/>
                <w:szCs w:val="20"/>
              </w:rPr>
              <w:t> </w:t>
            </w: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Basic</w:t>
            </w:r>
          </w:p>
        </w:tc>
        <w:tc>
          <w:tcPr>
            <w:tcW w:w="0" w:type="auto"/>
            <w:gridSpan w:val="2"/>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111,590 </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115,133 </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112,060 </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115,643 </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Diluted</w:t>
            </w: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112,318 </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116,091 </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112,911 </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116,659 </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r>
      <w:tr w:rsidR="00000000">
        <w:trPr>
          <w:trHeight w:val="180"/>
          <w:jc w:val="center"/>
        </w:trPr>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613AEB">
            <w:pPr>
              <w:spacing w:after="100"/>
              <w:rPr>
                <w:rFonts w:eastAsia="Times New Roman"/>
              </w:rPr>
            </w:pPr>
            <w:r>
              <w:rPr>
                <w:rFonts w:eastAsia="Times New Roman"/>
                <w:b/>
                <w:bCs/>
                <w:color w:val="000000"/>
                <w:sz w:val="20"/>
                <w:szCs w:val="20"/>
              </w:rPr>
              <w:t>Dividends declared per common share outstanding</w:t>
            </w: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0.92 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0.52 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1.84 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1.04 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r>
    </w:tbl>
    <w:p w:rsidR="00000000" w:rsidRDefault="00613AEB">
      <w:pPr>
        <w:jc w:val="center"/>
        <w:rPr>
          <w:rFonts w:eastAsia="Times New Roman"/>
        </w:rPr>
      </w:pPr>
    </w:p>
    <w:p w:rsidR="00000000" w:rsidRDefault="00613AEB">
      <w:pPr>
        <w:jc w:val="center"/>
        <w:rPr>
          <w:rFonts w:eastAsia="Times New Roman"/>
        </w:rPr>
      </w:pPr>
      <w:r>
        <w:rPr>
          <w:rFonts w:eastAsia="Times New Roman"/>
          <w:color w:val="000000"/>
          <w:sz w:val="20"/>
          <w:szCs w:val="20"/>
        </w:rPr>
        <w:t>The accompanying notes are an integral part of these Condensed Consolidated Financial Statements.</w:t>
      </w:r>
    </w:p>
    <w:p w:rsidR="00000000" w:rsidRDefault="00613AEB">
      <w:pPr>
        <w:jc w:val="center"/>
        <w:divId w:val="176625138"/>
        <w:rPr>
          <w:rFonts w:eastAsia="Times New Roman"/>
        </w:rPr>
      </w:pPr>
      <w:r>
        <w:rPr>
          <w:rFonts w:eastAsia="Times New Roman"/>
          <w:color w:val="000000"/>
          <w:sz w:val="20"/>
          <w:szCs w:val="20"/>
        </w:rPr>
        <w:t>Page 4</w:t>
      </w:r>
    </w:p>
    <w:p w:rsidR="00000000" w:rsidRDefault="00613AEB">
      <w:pPr>
        <w:rPr>
          <w:rFonts w:eastAsia="Times New Roman"/>
        </w:rPr>
      </w:pPr>
      <w:r>
        <w:rPr>
          <w:rFonts w:eastAsia="Times New Roman"/>
        </w:rPr>
        <w:pict>
          <v:rect id="_x0000_i1029" style="width:0;height:1.5pt" o:hralign="center" o:hrstd="t" o:hr="t" fillcolor="#a0a0a0" stroked="f"/>
        </w:pict>
      </w:r>
    </w:p>
    <w:p w:rsidR="00000000" w:rsidRDefault="00613AEB">
      <w:pPr>
        <w:divId w:val="669067133"/>
        <w:rPr>
          <w:rFonts w:eastAsia="Times New Roman"/>
        </w:rPr>
      </w:pPr>
      <w:hyperlink w:anchor="i7b244a6903fc440faaf2365d228fe4ba_7" w:history="1">
        <w:r>
          <w:rPr>
            <w:rStyle w:val="a3"/>
            <w:rFonts w:eastAsia="Times New Roman"/>
            <w:sz w:val="16"/>
            <w:szCs w:val="16"/>
          </w:rPr>
          <w:t>Index</w:t>
        </w:r>
      </w:hyperlink>
    </w:p>
    <w:p w:rsidR="00000000" w:rsidRDefault="00613AEB">
      <w:pPr>
        <w:jc w:val="center"/>
        <w:rPr>
          <w:rFonts w:eastAsia="Times New Roman"/>
        </w:rPr>
      </w:pPr>
      <w:r>
        <w:rPr>
          <w:rFonts w:eastAsia="Times New Roman"/>
          <w:b/>
          <w:bCs/>
          <w:color w:val="000000"/>
          <w:sz w:val="20"/>
          <w:szCs w:val="20"/>
        </w:rPr>
        <w:t>TRACTOR SUPPLY COMPANY</w:t>
      </w:r>
    </w:p>
    <w:p w:rsidR="00000000" w:rsidRDefault="00613AEB">
      <w:pPr>
        <w:jc w:val="center"/>
        <w:rPr>
          <w:rFonts w:eastAsia="Times New Roman"/>
        </w:rPr>
      </w:pPr>
      <w:r>
        <w:rPr>
          <w:rFonts w:eastAsia="Times New Roman"/>
          <w:b/>
          <w:bCs/>
          <w:color w:val="000000"/>
          <w:sz w:val="20"/>
          <w:szCs w:val="20"/>
        </w:rPr>
        <w:t>CONDENSED CONSOLIDATED STATEMENTS OF COMPREHENSIVE INCOME</w:t>
      </w:r>
    </w:p>
    <w:p w:rsidR="00000000" w:rsidRDefault="00613AEB">
      <w:pPr>
        <w:jc w:val="center"/>
        <w:rPr>
          <w:rFonts w:eastAsia="Times New Roman"/>
        </w:rPr>
      </w:pPr>
      <w:r>
        <w:rPr>
          <w:rFonts w:eastAsia="Times New Roman"/>
          <w:b/>
          <w:bCs/>
          <w:color w:val="000000"/>
          <w:sz w:val="20"/>
          <w:szCs w:val="20"/>
        </w:rPr>
        <w:t>(in thousands)</w:t>
      </w:r>
    </w:p>
    <w:p w:rsidR="00000000" w:rsidRDefault="00613AEB">
      <w:pPr>
        <w:jc w:val="center"/>
        <w:rPr>
          <w:rFonts w:eastAsia="Times New Roman"/>
        </w:rPr>
      </w:pPr>
      <w:r>
        <w:rPr>
          <w:rFonts w:eastAsia="Times New Roman"/>
          <w:b/>
          <w:bCs/>
          <w:i/>
          <w:iCs/>
          <w:color w:val="000000"/>
          <w:sz w:val="20"/>
          <w:szCs w:val="20"/>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3163"/>
        <w:gridCol w:w="37"/>
        <w:gridCol w:w="120"/>
        <w:gridCol w:w="1167"/>
        <w:gridCol w:w="36"/>
        <w:gridCol w:w="36"/>
        <w:gridCol w:w="36"/>
        <w:gridCol w:w="36"/>
        <w:gridCol w:w="120"/>
        <w:gridCol w:w="1108"/>
        <w:gridCol w:w="36"/>
        <w:gridCol w:w="36"/>
        <w:gridCol w:w="36"/>
        <w:gridCol w:w="36"/>
        <w:gridCol w:w="120"/>
        <w:gridCol w:w="922"/>
        <w:gridCol w:w="36"/>
        <w:gridCol w:w="36"/>
        <w:gridCol w:w="36"/>
        <w:gridCol w:w="36"/>
        <w:gridCol w:w="120"/>
        <w:gridCol w:w="922"/>
        <w:gridCol w:w="36"/>
      </w:tblGrid>
      <w:tr w:rsidR="00000000">
        <w:trPr>
          <w:jc w:val="center"/>
        </w:trPr>
        <w:tc>
          <w:tcPr>
            <w:tcW w:w="50" w:type="pct"/>
            <w:vAlign w:val="center"/>
            <w:hideMark/>
          </w:tcPr>
          <w:p w:rsidR="00000000" w:rsidRDefault="00613AEB">
            <w:pPr>
              <w:jc w:val="center"/>
              <w:rPr>
                <w:rFonts w:eastAsia="Times New Roman"/>
              </w:rPr>
            </w:pPr>
          </w:p>
        </w:tc>
        <w:tc>
          <w:tcPr>
            <w:tcW w:w="1955"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0" w:type="pct"/>
            <w:vAlign w:val="center"/>
            <w:hideMark/>
          </w:tcPr>
          <w:p w:rsidR="00000000" w:rsidRDefault="00613AEB">
            <w:pPr>
              <w:spacing w:after="100"/>
              <w:rPr>
                <w:rFonts w:eastAsia="Times New Roman"/>
                <w:sz w:val="20"/>
                <w:szCs w:val="20"/>
              </w:rPr>
            </w:pPr>
          </w:p>
        </w:tc>
        <w:tc>
          <w:tcPr>
            <w:tcW w:w="741"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26"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0" w:type="pct"/>
            <w:vAlign w:val="center"/>
            <w:hideMark/>
          </w:tcPr>
          <w:p w:rsidR="00000000" w:rsidRDefault="00613AEB">
            <w:pPr>
              <w:spacing w:after="100"/>
              <w:rPr>
                <w:rFonts w:eastAsia="Times New Roman"/>
                <w:sz w:val="20"/>
                <w:szCs w:val="20"/>
              </w:rPr>
            </w:pPr>
          </w:p>
        </w:tc>
        <w:tc>
          <w:tcPr>
            <w:tcW w:w="741"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19"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0" w:type="pct"/>
            <w:vAlign w:val="center"/>
            <w:hideMark/>
          </w:tcPr>
          <w:p w:rsidR="00000000" w:rsidRDefault="00613AEB">
            <w:pPr>
              <w:spacing w:after="100"/>
              <w:rPr>
                <w:rFonts w:eastAsia="Times New Roman"/>
                <w:sz w:val="20"/>
                <w:szCs w:val="20"/>
              </w:rPr>
            </w:pPr>
          </w:p>
        </w:tc>
        <w:tc>
          <w:tcPr>
            <w:tcW w:w="595"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19"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0" w:type="pct"/>
            <w:vAlign w:val="center"/>
            <w:hideMark/>
          </w:tcPr>
          <w:p w:rsidR="00000000" w:rsidRDefault="00613AEB">
            <w:pPr>
              <w:spacing w:after="100"/>
              <w:rPr>
                <w:rFonts w:eastAsia="Times New Roman"/>
                <w:sz w:val="20"/>
                <w:szCs w:val="20"/>
              </w:rPr>
            </w:pPr>
          </w:p>
        </w:tc>
        <w:tc>
          <w:tcPr>
            <w:tcW w:w="595"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613AEB">
            <w:pPr>
              <w:spacing w:after="100"/>
              <w:jc w:val="center"/>
              <w:rPr>
                <w:rFonts w:eastAsia="Times New Roman"/>
              </w:rPr>
            </w:pPr>
            <w:r>
              <w:rPr>
                <w:rFonts w:eastAsia="Times New Roman"/>
                <w:b/>
                <w:bCs/>
                <w:color w:val="000000"/>
                <w:sz w:val="20"/>
                <w:szCs w:val="20"/>
              </w:rPr>
              <w:t>For the Fiscal Three</w:t>
            </w:r>
          </w:p>
        </w:tc>
        <w:tc>
          <w:tcPr>
            <w:tcW w:w="0" w:type="auto"/>
            <w:gridSpan w:val="3"/>
            <w:tcMar>
              <w:top w:w="0" w:type="dxa"/>
              <w:left w:w="20" w:type="dxa"/>
              <w:bottom w:w="0" w:type="dxa"/>
              <w:right w:w="20" w:type="dxa"/>
            </w:tcMar>
            <w:vAlign w:val="center"/>
            <w:hideMark/>
          </w:tcPr>
          <w:p w:rsidR="00000000" w:rsidRDefault="00613AEB">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613AEB">
            <w:pPr>
              <w:spacing w:after="100"/>
              <w:jc w:val="center"/>
              <w:rPr>
                <w:rFonts w:eastAsia="Times New Roman"/>
              </w:rPr>
            </w:pPr>
            <w:r>
              <w:rPr>
                <w:rFonts w:eastAsia="Times New Roman"/>
                <w:b/>
                <w:bCs/>
                <w:color w:val="000000"/>
                <w:sz w:val="20"/>
                <w:szCs w:val="20"/>
              </w:rPr>
              <w:t xml:space="preserve">For the Fiscal Six </w:t>
            </w:r>
          </w:p>
        </w:tc>
      </w:tr>
      <w:tr w:rsidR="00000000">
        <w:trPr>
          <w:jc w:val="center"/>
        </w:trPr>
        <w:tc>
          <w:tcPr>
            <w:tcW w:w="0" w:type="auto"/>
            <w:gridSpan w:val="3"/>
            <w:tcMar>
              <w:top w:w="30" w:type="dxa"/>
              <w:left w:w="20"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 </w:t>
            </w:r>
          </w:p>
        </w:tc>
        <w:tc>
          <w:tcPr>
            <w:tcW w:w="0" w:type="auto"/>
            <w:gridSpan w:val="9"/>
            <w:tcMar>
              <w:top w:w="30" w:type="dxa"/>
              <w:left w:w="20" w:type="dxa"/>
              <w:bottom w:w="30" w:type="dxa"/>
              <w:right w:w="20" w:type="dxa"/>
            </w:tcMar>
            <w:vAlign w:val="bottom"/>
            <w:hideMark/>
          </w:tcPr>
          <w:p w:rsidR="00000000" w:rsidRDefault="00613AEB">
            <w:pPr>
              <w:spacing w:after="100"/>
              <w:jc w:val="center"/>
              <w:rPr>
                <w:rFonts w:eastAsia="Times New Roman"/>
              </w:rPr>
            </w:pPr>
            <w:r>
              <w:rPr>
                <w:rFonts w:eastAsia="Times New Roman"/>
                <w:b/>
                <w:bCs/>
                <w:color w:val="000000"/>
                <w:sz w:val="20"/>
                <w:szCs w:val="20"/>
              </w:rPr>
              <w:t>Months Ended</w:t>
            </w:r>
          </w:p>
        </w:tc>
        <w:tc>
          <w:tcPr>
            <w:tcW w:w="0" w:type="auto"/>
            <w:gridSpan w:val="3"/>
            <w:tcMar>
              <w:top w:w="0" w:type="dxa"/>
              <w:left w:w="20" w:type="dxa"/>
              <w:bottom w:w="0" w:type="dxa"/>
              <w:right w:w="20" w:type="dxa"/>
            </w:tcMar>
            <w:vAlign w:val="center"/>
            <w:hideMark/>
          </w:tcPr>
          <w:p w:rsidR="00000000" w:rsidRDefault="00613AEB">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613AEB">
            <w:pPr>
              <w:spacing w:after="100"/>
              <w:jc w:val="center"/>
              <w:rPr>
                <w:rFonts w:eastAsia="Times New Roman"/>
              </w:rPr>
            </w:pPr>
            <w:r>
              <w:rPr>
                <w:rFonts w:eastAsia="Times New Roman"/>
                <w:b/>
                <w:bCs/>
                <w:color w:val="000000"/>
                <w:sz w:val="20"/>
                <w:szCs w:val="20"/>
              </w:rPr>
              <w:t>Months Ended</w:t>
            </w:r>
          </w:p>
        </w:tc>
      </w:tr>
      <w:tr w:rsidR="00000000">
        <w:trPr>
          <w:jc w:val="center"/>
        </w:trPr>
        <w:tc>
          <w:tcPr>
            <w:tcW w:w="0" w:type="auto"/>
            <w:gridSpan w:val="3"/>
            <w:tcMar>
              <w:top w:w="30" w:type="dxa"/>
              <w:left w:w="20"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13AEB">
            <w:pPr>
              <w:spacing w:after="100"/>
              <w:jc w:val="center"/>
              <w:rPr>
                <w:rFonts w:eastAsia="Times New Roman"/>
              </w:rPr>
            </w:pPr>
            <w:r>
              <w:rPr>
                <w:rFonts w:eastAsia="Times New Roman"/>
                <w:b/>
                <w:bCs/>
                <w:color w:val="000000"/>
                <w:sz w:val="20"/>
                <w:szCs w:val="20"/>
              </w:rPr>
              <w:t>June 25,</w:t>
            </w:r>
            <w:r>
              <w:rPr>
                <w:rFonts w:eastAsia="Times New Roman"/>
                <w:b/>
                <w:bCs/>
                <w:color w:val="000000"/>
                <w:sz w:val="20"/>
                <w:szCs w:val="20"/>
              </w:rPr>
              <w:b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13AE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13AEB">
            <w:pPr>
              <w:spacing w:after="100"/>
              <w:jc w:val="center"/>
              <w:rPr>
                <w:rFonts w:eastAsia="Times New Roman"/>
              </w:rPr>
            </w:pPr>
            <w:r>
              <w:rPr>
                <w:rFonts w:eastAsia="Times New Roman"/>
                <w:b/>
                <w:bCs/>
                <w:color w:val="000000"/>
                <w:sz w:val="20"/>
                <w:szCs w:val="20"/>
              </w:rPr>
              <w:t>June 26,</w:t>
            </w:r>
            <w:r>
              <w:rPr>
                <w:rFonts w:eastAsia="Times New Roman"/>
                <w:b/>
                <w:bCs/>
                <w:color w:val="000000"/>
                <w:sz w:val="20"/>
                <w:szCs w:val="20"/>
              </w:rPr>
              <w:br/>
              <w:t>2021</w:t>
            </w:r>
          </w:p>
        </w:tc>
        <w:tc>
          <w:tcPr>
            <w:tcW w:w="0" w:type="auto"/>
            <w:gridSpan w:val="3"/>
            <w:tcMar>
              <w:top w:w="0" w:type="dxa"/>
              <w:left w:w="20" w:type="dxa"/>
              <w:bottom w:w="0" w:type="dxa"/>
              <w:right w:w="20" w:type="dxa"/>
            </w:tcMar>
            <w:vAlign w:val="center"/>
            <w:hideMark/>
          </w:tcPr>
          <w:p w:rsidR="00000000" w:rsidRDefault="00613AE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13AEB">
            <w:pPr>
              <w:spacing w:after="100"/>
              <w:jc w:val="center"/>
              <w:rPr>
                <w:rFonts w:eastAsia="Times New Roman"/>
              </w:rPr>
            </w:pPr>
            <w:r>
              <w:rPr>
                <w:rFonts w:eastAsia="Times New Roman"/>
                <w:b/>
                <w:bCs/>
                <w:color w:val="000000"/>
                <w:sz w:val="20"/>
                <w:szCs w:val="20"/>
              </w:rPr>
              <w:t>June 25,</w:t>
            </w:r>
            <w:r>
              <w:rPr>
                <w:rFonts w:eastAsia="Times New Roman"/>
                <w:b/>
                <w:bCs/>
                <w:color w:val="000000"/>
                <w:sz w:val="20"/>
                <w:szCs w:val="20"/>
              </w:rPr>
              <w:b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13AE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13AEB">
            <w:pPr>
              <w:spacing w:after="100"/>
              <w:jc w:val="center"/>
              <w:rPr>
                <w:rFonts w:eastAsia="Times New Roman"/>
              </w:rPr>
            </w:pPr>
            <w:r>
              <w:rPr>
                <w:rFonts w:eastAsia="Times New Roman"/>
                <w:b/>
                <w:bCs/>
                <w:color w:val="000000"/>
                <w:sz w:val="20"/>
                <w:szCs w:val="20"/>
              </w:rPr>
              <w:t>June 26,</w:t>
            </w:r>
            <w:r>
              <w:rPr>
                <w:rFonts w:eastAsia="Times New Roman"/>
                <w:b/>
                <w:bCs/>
                <w:color w:val="000000"/>
                <w:sz w:val="20"/>
                <w:szCs w:val="20"/>
              </w:rPr>
              <w:br/>
              <w:t>2021</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Net income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396,478 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370,022 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583,705 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551,376 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r>
      <w:tr w:rsidR="00000000">
        <w:trPr>
          <w:trHeight w:val="180"/>
          <w:jc w:val="center"/>
        </w:trPr>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Other comprehensive income:</w:t>
            </w: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Change in fair value of interest rate swaps, net of taxes</w:t>
            </w:r>
          </w:p>
        </w:tc>
        <w:tc>
          <w:tcPr>
            <w:tcW w:w="0" w:type="auto"/>
            <w:gridSpan w:val="2"/>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1,810 </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320 </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7,803 </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2,445 </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Total other comprehensive income</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1,810 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320 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7,803 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2,445 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613AEB">
            <w:pPr>
              <w:spacing w:after="100"/>
              <w:rPr>
                <w:rFonts w:eastAsia="Times New Roman"/>
              </w:rPr>
            </w:pPr>
            <w:r>
              <w:rPr>
                <w:rFonts w:eastAsia="Times New Roman"/>
                <w:b/>
                <w:bCs/>
                <w:color w:val="000000"/>
                <w:sz w:val="20"/>
                <w:szCs w:val="20"/>
              </w:rPr>
              <w:t>Total comprehensive income</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398,288 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370,342 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591,508 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553,821 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r>
    </w:tbl>
    <w:p w:rsidR="00000000" w:rsidRDefault="00613AEB">
      <w:pPr>
        <w:divId w:val="1193954989"/>
        <w:rPr>
          <w:rFonts w:eastAsia="Times New Roman"/>
        </w:rPr>
      </w:pPr>
    </w:p>
    <w:p w:rsidR="00000000" w:rsidRDefault="00613AEB">
      <w:pPr>
        <w:jc w:val="center"/>
        <w:rPr>
          <w:rFonts w:eastAsia="Times New Roman"/>
        </w:rPr>
      </w:pPr>
      <w:r>
        <w:rPr>
          <w:rFonts w:eastAsia="Times New Roman"/>
          <w:color w:val="000000"/>
          <w:sz w:val="20"/>
          <w:szCs w:val="20"/>
        </w:rPr>
        <w:t>The accompanying notes are an integral part of these Condensed Consolidated Financial Statements.</w:t>
      </w:r>
    </w:p>
    <w:p w:rsidR="00000000" w:rsidRDefault="00613AEB">
      <w:pPr>
        <w:jc w:val="center"/>
        <w:divId w:val="1839616653"/>
        <w:rPr>
          <w:rFonts w:eastAsia="Times New Roman"/>
        </w:rPr>
      </w:pPr>
      <w:r>
        <w:rPr>
          <w:rFonts w:eastAsia="Times New Roman"/>
          <w:color w:val="000000"/>
          <w:sz w:val="20"/>
          <w:szCs w:val="20"/>
        </w:rPr>
        <w:t>Page 5</w:t>
      </w:r>
    </w:p>
    <w:p w:rsidR="00000000" w:rsidRDefault="00613AEB">
      <w:pPr>
        <w:rPr>
          <w:rFonts w:eastAsia="Times New Roman"/>
        </w:rPr>
      </w:pPr>
      <w:r>
        <w:rPr>
          <w:rFonts w:eastAsia="Times New Roman"/>
        </w:rPr>
        <w:pict>
          <v:rect id="_x0000_i1030" style="width:0;height:1.5pt" o:hralign="center" o:hrstd="t" o:hr="t" fillcolor="#a0a0a0" stroked="f"/>
        </w:pict>
      </w:r>
    </w:p>
    <w:p w:rsidR="00000000" w:rsidRDefault="00613AEB">
      <w:pPr>
        <w:divId w:val="1443695079"/>
        <w:rPr>
          <w:rFonts w:eastAsia="Times New Roman"/>
        </w:rPr>
      </w:pPr>
      <w:hyperlink w:anchor="i7b244a6903fc440faaf2365d228fe4ba_7" w:history="1">
        <w:r>
          <w:rPr>
            <w:rStyle w:val="a3"/>
            <w:rFonts w:eastAsia="Times New Roman"/>
            <w:sz w:val="16"/>
            <w:szCs w:val="16"/>
          </w:rPr>
          <w:t>Index</w:t>
        </w:r>
      </w:hyperlink>
    </w:p>
    <w:p w:rsidR="00000000" w:rsidRDefault="00613AEB">
      <w:pPr>
        <w:jc w:val="center"/>
        <w:rPr>
          <w:rFonts w:eastAsia="Times New Roman"/>
        </w:rPr>
      </w:pPr>
      <w:r>
        <w:rPr>
          <w:rFonts w:eastAsia="Times New Roman"/>
          <w:b/>
          <w:bCs/>
          <w:color w:val="000000"/>
          <w:sz w:val="20"/>
          <w:szCs w:val="20"/>
        </w:rPr>
        <w:t>TRACTOR SUPPLY COMPANY</w:t>
      </w:r>
    </w:p>
    <w:p w:rsidR="00000000" w:rsidRDefault="00613AEB">
      <w:pPr>
        <w:jc w:val="center"/>
        <w:rPr>
          <w:rFonts w:eastAsia="Times New Roman"/>
        </w:rPr>
      </w:pPr>
      <w:r>
        <w:rPr>
          <w:rFonts w:eastAsia="Times New Roman"/>
          <w:b/>
          <w:bCs/>
          <w:color w:val="000000"/>
          <w:sz w:val="20"/>
          <w:szCs w:val="20"/>
        </w:rPr>
        <w:t>CONDENSED CONSOLIDATED STATEMENTS OF STOCKHOLDERS’ EQUITY</w:t>
      </w:r>
    </w:p>
    <w:p w:rsidR="00000000" w:rsidRDefault="00613AEB">
      <w:pPr>
        <w:jc w:val="center"/>
        <w:rPr>
          <w:rFonts w:eastAsia="Times New Roman"/>
        </w:rPr>
      </w:pPr>
      <w:r>
        <w:rPr>
          <w:rFonts w:eastAsia="Times New Roman"/>
          <w:b/>
          <w:bCs/>
          <w:color w:val="000000"/>
          <w:sz w:val="20"/>
          <w:szCs w:val="20"/>
        </w:rPr>
        <w:t>(in thousands)</w:t>
      </w:r>
    </w:p>
    <w:p w:rsidR="00000000" w:rsidRDefault="00613AEB">
      <w:pPr>
        <w:jc w:val="center"/>
        <w:rPr>
          <w:rFonts w:eastAsia="Times New Roman"/>
        </w:rPr>
      </w:pPr>
      <w:r>
        <w:rPr>
          <w:rFonts w:eastAsia="Times New Roman"/>
          <w:b/>
          <w:bCs/>
          <w:i/>
          <w:iCs/>
          <w:color w:val="000000"/>
          <w:sz w:val="20"/>
          <w:szCs w:val="20"/>
        </w:rPr>
        <w:t>(Unaudited)</w:t>
      </w:r>
    </w:p>
    <w:tbl>
      <w:tblPr>
        <w:tblW w:w="4963" w:type="pct"/>
        <w:jc w:val="center"/>
        <w:tblCellMar>
          <w:top w:w="15" w:type="dxa"/>
          <w:left w:w="15" w:type="dxa"/>
          <w:bottom w:w="15" w:type="dxa"/>
          <w:right w:w="15" w:type="dxa"/>
        </w:tblCellMar>
        <w:tblLook w:val="04A0" w:firstRow="1" w:lastRow="0" w:firstColumn="1" w:lastColumn="0" w:noHBand="0" w:noVBand="1"/>
      </w:tblPr>
      <w:tblGrid>
        <w:gridCol w:w="39"/>
        <w:gridCol w:w="1518"/>
        <w:gridCol w:w="36"/>
        <w:gridCol w:w="85"/>
        <w:gridCol w:w="565"/>
        <w:gridCol w:w="36"/>
        <w:gridCol w:w="36"/>
        <w:gridCol w:w="36"/>
        <w:gridCol w:w="36"/>
        <w:gridCol w:w="111"/>
        <w:gridCol w:w="516"/>
        <w:gridCol w:w="37"/>
        <w:gridCol w:w="36"/>
        <w:gridCol w:w="36"/>
        <w:gridCol w:w="36"/>
        <w:gridCol w:w="110"/>
        <w:gridCol w:w="765"/>
        <w:gridCol w:w="36"/>
        <w:gridCol w:w="36"/>
        <w:gridCol w:w="36"/>
        <w:gridCol w:w="36"/>
        <w:gridCol w:w="110"/>
        <w:gridCol w:w="840"/>
        <w:gridCol w:w="36"/>
        <w:gridCol w:w="36"/>
        <w:gridCol w:w="36"/>
        <w:gridCol w:w="36"/>
        <w:gridCol w:w="111"/>
        <w:gridCol w:w="555"/>
        <w:gridCol w:w="36"/>
        <w:gridCol w:w="36"/>
        <w:gridCol w:w="36"/>
        <w:gridCol w:w="36"/>
        <w:gridCol w:w="110"/>
        <w:gridCol w:w="765"/>
        <w:gridCol w:w="36"/>
        <w:gridCol w:w="36"/>
        <w:gridCol w:w="36"/>
        <w:gridCol w:w="36"/>
        <w:gridCol w:w="111"/>
        <w:gridCol w:w="997"/>
        <w:gridCol w:w="36"/>
      </w:tblGrid>
      <w:tr w:rsidR="00000000">
        <w:trPr>
          <w:jc w:val="center"/>
        </w:trPr>
        <w:tc>
          <w:tcPr>
            <w:tcW w:w="50" w:type="pct"/>
            <w:vAlign w:val="center"/>
            <w:hideMark/>
          </w:tcPr>
          <w:p w:rsidR="00000000" w:rsidRDefault="00613AEB">
            <w:pPr>
              <w:jc w:val="center"/>
              <w:rPr>
                <w:rFonts w:eastAsia="Times New Roman"/>
              </w:rPr>
            </w:pPr>
          </w:p>
        </w:tc>
        <w:tc>
          <w:tcPr>
            <w:tcW w:w="1388"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0" w:type="pct"/>
            <w:vAlign w:val="center"/>
            <w:hideMark/>
          </w:tcPr>
          <w:p w:rsidR="00000000" w:rsidRDefault="00613AEB">
            <w:pPr>
              <w:spacing w:after="100"/>
              <w:rPr>
                <w:rFonts w:eastAsia="Times New Roman"/>
                <w:sz w:val="20"/>
                <w:szCs w:val="20"/>
              </w:rPr>
            </w:pPr>
          </w:p>
        </w:tc>
        <w:tc>
          <w:tcPr>
            <w:tcW w:w="335"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26"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0" w:type="pct"/>
            <w:vAlign w:val="center"/>
            <w:hideMark/>
          </w:tcPr>
          <w:p w:rsidR="00000000" w:rsidRDefault="00613AEB">
            <w:pPr>
              <w:spacing w:after="100"/>
              <w:rPr>
                <w:rFonts w:eastAsia="Times New Roman"/>
                <w:sz w:val="20"/>
                <w:szCs w:val="20"/>
              </w:rPr>
            </w:pPr>
          </w:p>
        </w:tc>
        <w:tc>
          <w:tcPr>
            <w:tcW w:w="335"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26"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0" w:type="pct"/>
            <w:vAlign w:val="center"/>
            <w:hideMark/>
          </w:tcPr>
          <w:p w:rsidR="00000000" w:rsidRDefault="00613AEB">
            <w:pPr>
              <w:spacing w:after="100"/>
              <w:rPr>
                <w:rFonts w:eastAsia="Times New Roman"/>
                <w:sz w:val="20"/>
                <w:szCs w:val="20"/>
              </w:rPr>
            </w:pPr>
          </w:p>
        </w:tc>
        <w:tc>
          <w:tcPr>
            <w:tcW w:w="438"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26"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0" w:type="pct"/>
            <w:vAlign w:val="center"/>
            <w:hideMark/>
          </w:tcPr>
          <w:p w:rsidR="00000000" w:rsidRDefault="00613AEB">
            <w:pPr>
              <w:spacing w:after="100"/>
              <w:rPr>
                <w:rFonts w:eastAsia="Times New Roman"/>
                <w:sz w:val="20"/>
                <w:szCs w:val="20"/>
              </w:rPr>
            </w:pPr>
          </w:p>
        </w:tc>
        <w:tc>
          <w:tcPr>
            <w:tcW w:w="438"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26"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0" w:type="pct"/>
            <w:vAlign w:val="center"/>
            <w:hideMark/>
          </w:tcPr>
          <w:p w:rsidR="00000000" w:rsidRDefault="00613AEB">
            <w:pPr>
              <w:spacing w:after="100"/>
              <w:rPr>
                <w:rFonts w:eastAsia="Times New Roman"/>
                <w:sz w:val="20"/>
                <w:szCs w:val="20"/>
              </w:rPr>
            </w:pPr>
          </w:p>
        </w:tc>
        <w:tc>
          <w:tcPr>
            <w:tcW w:w="438"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26"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0" w:type="pct"/>
            <w:vAlign w:val="center"/>
            <w:hideMark/>
          </w:tcPr>
          <w:p w:rsidR="00000000" w:rsidRDefault="00613AEB">
            <w:pPr>
              <w:spacing w:after="100"/>
              <w:rPr>
                <w:rFonts w:eastAsia="Times New Roman"/>
                <w:sz w:val="20"/>
                <w:szCs w:val="20"/>
              </w:rPr>
            </w:pPr>
          </w:p>
        </w:tc>
        <w:tc>
          <w:tcPr>
            <w:tcW w:w="438"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26"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0" w:type="pct"/>
            <w:vAlign w:val="center"/>
            <w:hideMark/>
          </w:tcPr>
          <w:p w:rsidR="00000000" w:rsidRDefault="00613AEB">
            <w:pPr>
              <w:spacing w:after="100"/>
              <w:rPr>
                <w:rFonts w:eastAsia="Times New Roman"/>
                <w:sz w:val="20"/>
                <w:szCs w:val="20"/>
              </w:rPr>
            </w:pPr>
          </w:p>
        </w:tc>
        <w:tc>
          <w:tcPr>
            <w:tcW w:w="527"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r>
      <w:tr w:rsidR="00000000">
        <w:trPr>
          <w:trHeight w:val="720"/>
          <w:jc w:val="center"/>
        </w:trPr>
        <w:tc>
          <w:tcPr>
            <w:tcW w:w="0" w:type="auto"/>
            <w:gridSpan w:val="3"/>
            <w:vMerge w:val="restart"/>
            <w:tcMar>
              <w:top w:w="30" w:type="dxa"/>
              <w:left w:w="20" w:type="dxa"/>
              <w:bottom w:w="30" w:type="dxa"/>
              <w:right w:w="20" w:type="dxa"/>
            </w:tcMar>
            <w:vAlign w:val="bottom"/>
            <w:hideMark/>
          </w:tcPr>
          <w:p w:rsidR="00000000" w:rsidRDefault="00613AEB">
            <w:pPr>
              <w:spacing w:after="100"/>
              <w:rPr>
                <w:rFonts w:eastAsia="Times New Roman"/>
              </w:rPr>
            </w:pPr>
            <w:r>
              <w:rPr>
                <w:rFonts w:eastAsia="Times New Roman"/>
                <w:color w:val="000000"/>
                <w:sz w:val="18"/>
                <w:szCs w:val="18"/>
              </w:rPr>
              <w:t> </w:t>
            </w:r>
          </w:p>
        </w:tc>
        <w:tc>
          <w:tcPr>
            <w:tcW w:w="0" w:type="auto"/>
            <w:gridSpan w:val="9"/>
            <w:tcMar>
              <w:top w:w="30" w:type="dxa"/>
              <w:left w:w="20" w:type="dxa"/>
              <w:bottom w:w="30" w:type="dxa"/>
              <w:right w:w="20" w:type="dxa"/>
            </w:tcMar>
            <w:vAlign w:val="bottom"/>
            <w:hideMark/>
          </w:tcPr>
          <w:p w:rsidR="00000000" w:rsidRDefault="00613AEB">
            <w:pPr>
              <w:spacing w:after="100"/>
              <w:jc w:val="center"/>
              <w:rPr>
                <w:rFonts w:eastAsia="Times New Roman"/>
              </w:rPr>
            </w:pPr>
            <w:r>
              <w:rPr>
                <w:rFonts w:eastAsia="Times New Roman"/>
                <w:b/>
                <w:bCs/>
                <w:color w:val="000000"/>
                <w:sz w:val="18"/>
                <w:szCs w:val="18"/>
              </w:rPr>
              <w:t>Common Stock</w:t>
            </w:r>
          </w:p>
        </w:tc>
        <w:tc>
          <w:tcPr>
            <w:tcW w:w="0" w:type="auto"/>
            <w:gridSpan w:val="3"/>
            <w:vMerge w:val="restart"/>
            <w:tcMar>
              <w:top w:w="0" w:type="dxa"/>
              <w:left w:w="20" w:type="dxa"/>
              <w:bottom w:w="0" w:type="dxa"/>
              <w:right w:w="20" w:type="dxa"/>
            </w:tcMar>
            <w:vAlign w:val="center"/>
            <w:hideMark/>
          </w:tcPr>
          <w:p w:rsidR="00000000" w:rsidRDefault="00613AEB">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613AEB">
            <w:pPr>
              <w:spacing w:after="100"/>
              <w:jc w:val="center"/>
              <w:rPr>
                <w:rFonts w:eastAsia="Times New Roman"/>
              </w:rPr>
            </w:pPr>
            <w:r>
              <w:rPr>
                <w:rFonts w:eastAsia="Times New Roman"/>
                <w:b/>
                <w:bCs/>
                <w:color w:val="000000"/>
                <w:sz w:val="18"/>
                <w:szCs w:val="18"/>
              </w:rPr>
              <w:t>Additional</w:t>
            </w:r>
            <w:r>
              <w:rPr>
                <w:rFonts w:eastAsia="Times New Roman"/>
                <w:b/>
                <w:bCs/>
                <w:color w:val="000000"/>
                <w:sz w:val="18"/>
                <w:szCs w:val="18"/>
              </w:rPr>
              <w:br/>
              <w:t>Paid-in</w:t>
            </w:r>
            <w:r>
              <w:rPr>
                <w:rFonts w:eastAsia="Times New Roman"/>
                <w:b/>
                <w:bCs/>
                <w:color w:val="000000"/>
                <w:sz w:val="18"/>
                <w:szCs w:val="18"/>
              </w:rPr>
              <w:br/>
              <w:t>Capital</w:t>
            </w:r>
          </w:p>
        </w:tc>
        <w:tc>
          <w:tcPr>
            <w:tcW w:w="0" w:type="auto"/>
            <w:gridSpan w:val="3"/>
            <w:vMerge w:val="restart"/>
            <w:tcMar>
              <w:top w:w="0" w:type="dxa"/>
              <w:left w:w="20" w:type="dxa"/>
              <w:bottom w:w="0" w:type="dxa"/>
              <w:right w:w="20" w:type="dxa"/>
            </w:tcMar>
            <w:vAlign w:val="center"/>
            <w:hideMark/>
          </w:tcPr>
          <w:p w:rsidR="00000000" w:rsidRDefault="00613AEB">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613AEB">
            <w:pPr>
              <w:spacing w:after="100"/>
              <w:jc w:val="center"/>
              <w:rPr>
                <w:rFonts w:eastAsia="Times New Roman"/>
              </w:rPr>
            </w:pPr>
            <w:r>
              <w:rPr>
                <w:rFonts w:eastAsia="Times New Roman"/>
                <w:b/>
                <w:bCs/>
                <w:color w:val="000000"/>
                <w:sz w:val="18"/>
                <w:szCs w:val="18"/>
              </w:rPr>
              <w:t>Treasury</w:t>
            </w:r>
            <w:r>
              <w:rPr>
                <w:rFonts w:eastAsia="Times New Roman"/>
                <w:b/>
                <w:bCs/>
                <w:color w:val="000000"/>
                <w:sz w:val="18"/>
                <w:szCs w:val="18"/>
              </w:rPr>
              <w:br/>
              <w:t>Stock</w:t>
            </w:r>
          </w:p>
        </w:tc>
        <w:tc>
          <w:tcPr>
            <w:tcW w:w="0" w:type="auto"/>
            <w:gridSpan w:val="3"/>
            <w:vMerge w:val="restart"/>
            <w:tcMar>
              <w:top w:w="0" w:type="dxa"/>
              <w:left w:w="20" w:type="dxa"/>
              <w:bottom w:w="0" w:type="dxa"/>
              <w:right w:w="20" w:type="dxa"/>
            </w:tcMar>
            <w:vAlign w:val="center"/>
            <w:hideMark/>
          </w:tcPr>
          <w:p w:rsidR="00000000" w:rsidRDefault="00613AEB">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613AEB">
            <w:pPr>
              <w:spacing w:after="100"/>
              <w:jc w:val="center"/>
              <w:rPr>
                <w:rFonts w:eastAsia="Times New Roman"/>
              </w:rPr>
            </w:pPr>
            <w:r>
              <w:rPr>
                <w:rFonts w:eastAsia="Times New Roman"/>
                <w:b/>
                <w:bCs/>
                <w:color w:val="000000"/>
                <w:sz w:val="18"/>
                <w:szCs w:val="18"/>
              </w:rPr>
              <w:t>Accum. Other Comp. Income</w:t>
            </w:r>
          </w:p>
        </w:tc>
        <w:tc>
          <w:tcPr>
            <w:tcW w:w="0" w:type="auto"/>
            <w:gridSpan w:val="3"/>
            <w:vMerge w:val="restart"/>
            <w:tcMar>
              <w:top w:w="0" w:type="dxa"/>
              <w:left w:w="20" w:type="dxa"/>
              <w:bottom w:w="0" w:type="dxa"/>
              <w:right w:w="20" w:type="dxa"/>
            </w:tcMar>
            <w:vAlign w:val="center"/>
            <w:hideMark/>
          </w:tcPr>
          <w:p w:rsidR="00000000" w:rsidRDefault="00613AEB">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613AEB">
            <w:pPr>
              <w:spacing w:after="100"/>
              <w:jc w:val="center"/>
              <w:rPr>
                <w:rFonts w:eastAsia="Times New Roman"/>
              </w:rPr>
            </w:pPr>
            <w:r>
              <w:rPr>
                <w:rFonts w:eastAsia="Times New Roman"/>
                <w:b/>
                <w:bCs/>
                <w:color w:val="000000"/>
                <w:sz w:val="18"/>
                <w:szCs w:val="18"/>
              </w:rPr>
              <w:t>Retained</w:t>
            </w:r>
            <w:r>
              <w:rPr>
                <w:rFonts w:eastAsia="Times New Roman"/>
                <w:b/>
                <w:bCs/>
                <w:color w:val="000000"/>
                <w:sz w:val="18"/>
                <w:szCs w:val="18"/>
              </w:rPr>
              <w:br/>
              <w:t>Earnings</w:t>
            </w:r>
          </w:p>
        </w:tc>
        <w:tc>
          <w:tcPr>
            <w:tcW w:w="0" w:type="auto"/>
            <w:gridSpan w:val="3"/>
            <w:vMerge w:val="restart"/>
            <w:tcMar>
              <w:top w:w="0" w:type="dxa"/>
              <w:left w:w="20" w:type="dxa"/>
              <w:bottom w:w="0" w:type="dxa"/>
              <w:right w:w="20" w:type="dxa"/>
            </w:tcMar>
            <w:vAlign w:val="center"/>
            <w:hideMark/>
          </w:tcPr>
          <w:p w:rsidR="00000000" w:rsidRDefault="00613AEB">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613AEB">
            <w:pPr>
              <w:spacing w:after="100"/>
              <w:jc w:val="center"/>
              <w:rPr>
                <w:rFonts w:eastAsia="Times New Roman"/>
              </w:rPr>
            </w:pPr>
            <w:r>
              <w:rPr>
                <w:rFonts w:eastAsia="Times New Roman"/>
                <w:b/>
                <w:bCs/>
                <w:color w:val="000000"/>
                <w:sz w:val="18"/>
                <w:szCs w:val="18"/>
              </w:rPr>
              <w:t>Total</w:t>
            </w:r>
            <w:r>
              <w:rPr>
                <w:rFonts w:eastAsia="Times New Roman"/>
                <w:b/>
                <w:bCs/>
                <w:color w:val="000000"/>
                <w:sz w:val="18"/>
                <w:szCs w:val="18"/>
              </w:rPr>
              <w:br/>
              <w:t>Stockholders’</w:t>
            </w:r>
            <w:r>
              <w:rPr>
                <w:rFonts w:eastAsia="Times New Roman"/>
                <w:b/>
                <w:bCs/>
                <w:color w:val="000000"/>
                <w:sz w:val="18"/>
                <w:szCs w:val="18"/>
              </w:rPr>
              <w:br/>
              <w:t>Equity</w:t>
            </w:r>
          </w:p>
        </w:tc>
      </w:tr>
      <w:tr w:rsidR="00000000">
        <w:trPr>
          <w:trHeight w:val="280"/>
          <w:jc w:val="center"/>
        </w:trPr>
        <w:tc>
          <w:tcPr>
            <w:tcW w:w="0" w:type="auto"/>
            <w:gridSpan w:val="3"/>
            <w:vMerge/>
            <w:vAlign w:val="center"/>
            <w:hideMark/>
          </w:tcPr>
          <w:p w:rsidR="00000000" w:rsidRDefault="00613AEB">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13AEB">
            <w:pPr>
              <w:spacing w:after="100"/>
              <w:jc w:val="center"/>
              <w:rPr>
                <w:rFonts w:eastAsia="Times New Roman"/>
              </w:rPr>
            </w:pPr>
            <w:r>
              <w:rPr>
                <w:rFonts w:eastAsia="Times New Roman"/>
                <w:b/>
                <w:bCs/>
                <w:color w:val="000000"/>
                <w:sz w:val="18"/>
                <w:szCs w:val="18"/>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13AE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13AEB">
            <w:pPr>
              <w:spacing w:after="100"/>
              <w:jc w:val="center"/>
              <w:rPr>
                <w:rFonts w:eastAsia="Times New Roman"/>
              </w:rPr>
            </w:pPr>
            <w:r>
              <w:rPr>
                <w:rFonts w:eastAsia="Times New Roman"/>
                <w:b/>
                <w:bCs/>
                <w:color w:val="000000"/>
                <w:sz w:val="18"/>
                <w:szCs w:val="18"/>
              </w:rPr>
              <w:t>Dollars</w:t>
            </w:r>
          </w:p>
        </w:tc>
        <w:tc>
          <w:tcPr>
            <w:tcW w:w="0" w:type="auto"/>
            <w:gridSpan w:val="3"/>
            <w:vMerge/>
            <w:vAlign w:val="center"/>
            <w:hideMark/>
          </w:tcPr>
          <w:p w:rsidR="00000000" w:rsidRDefault="00613AEB">
            <w:pPr>
              <w:spacing w:after="100"/>
              <w:rPr>
                <w:rFonts w:eastAsia="Times New Roman"/>
              </w:rPr>
            </w:pPr>
          </w:p>
        </w:tc>
        <w:tc>
          <w:tcPr>
            <w:tcW w:w="0" w:type="auto"/>
            <w:gridSpan w:val="3"/>
            <w:vMerge/>
            <w:vAlign w:val="center"/>
            <w:hideMark/>
          </w:tcPr>
          <w:p w:rsidR="00000000" w:rsidRDefault="00613AEB">
            <w:pPr>
              <w:spacing w:after="100"/>
              <w:rPr>
                <w:rFonts w:eastAsia="Times New Roman"/>
              </w:rPr>
            </w:pPr>
          </w:p>
        </w:tc>
        <w:tc>
          <w:tcPr>
            <w:tcW w:w="0" w:type="auto"/>
            <w:gridSpan w:val="3"/>
            <w:vMerge/>
            <w:vAlign w:val="center"/>
            <w:hideMark/>
          </w:tcPr>
          <w:p w:rsidR="00000000" w:rsidRDefault="00613AEB">
            <w:pPr>
              <w:spacing w:after="100"/>
              <w:rPr>
                <w:rFonts w:eastAsia="Times New Roman"/>
              </w:rPr>
            </w:pPr>
          </w:p>
        </w:tc>
        <w:tc>
          <w:tcPr>
            <w:tcW w:w="0" w:type="auto"/>
            <w:gridSpan w:val="3"/>
            <w:vMerge/>
            <w:vAlign w:val="center"/>
            <w:hideMark/>
          </w:tcPr>
          <w:p w:rsidR="00000000" w:rsidRDefault="00613AEB">
            <w:pPr>
              <w:spacing w:after="100"/>
              <w:rPr>
                <w:rFonts w:eastAsia="Times New Roman"/>
              </w:rPr>
            </w:pPr>
          </w:p>
        </w:tc>
        <w:tc>
          <w:tcPr>
            <w:tcW w:w="0" w:type="auto"/>
            <w:gridSpan w:val="3"/>
            <w:vMerge/>
            <w:vAlign w:val="center"/>
            <w:hideMark/>
          </w:tcPr>
          <w:p w:rsidR="00000000" w:rsidRDefault="00613AEB">
            <w:pPr>
              <w:spacing w:after="100"/>
              <w:rPr>
                <w:rFonts w:eastAsia="Times New Roman"/>
              </w:rPr>
            </w:pPr>
          </w:p>
        </w:tc>
        <w:tc>
          <w:tcPr>
            <w:tcW w:w="0" w:type="auto"/>
            <w:gridSpan w:val="3"/>
            <w:vMerge/>
            <w:vAlign w:val="center"/>
            <w:hideMark/>
          </w:tcPr>
          <w:p w:rsidR="00000000" w:rsidRDefault="00613AEB">
            <w:pPr>
              <w:spacing w:after="100"/>
              <w:rPr>
                <w:rFonts w:eastAsia="Times New Roman"/>
              </w:rPr>
            </w:pPr>
          </w:p>
        </w:tc>
        <w:tc>
          <w:tcPr>
            <w:tcW w:w="0" w:type="auto"/>
            <w:gridSpan w:val="3"/>
            <w:vMerge/>
            <w:vAlign w:val="center"/>
            <w:hideMark/>
          </w:tcPr>
          <w:p w:rsidR="00000000" w:rsidRDefault="00613AEB">
            <w:pPr>
              <w:spacing w:after="100"/>
              <w:rPr>
                <w:rFonts w:eastAsia="Times New Roman"/>
              </w:rPr>
            </w:pPr>
          </w:p>
        </w:tc>
        <w:tc>
          <w:tcPr>
            <w:tcW w:w="0" w:type="auto"/>
            <w:gridSpan w:val="3"/>
            <w:vMerge/>
            <w:vAlign w:val="center"/>
            <w:hideMark/>
          </w:tcPr>
          <w:p w:rsidR="00000000" w:rsidRDefault="00613AEB">
            <w:pPr>
              <w:spacing w:after="100"/>
              <w:rPr>
                <w:rFonts w:eastAsia="Times New Roman"/>
              </w:rPr>
            </w:pPr>
          </w:p>
        </w:tc>
        <w:tc>
          <w:tcPr>
            <w:tcW w:w="0" w:type="auto"/>
            <w:gridSpan w:val="3"/>
            <w:vMerge/>
            <w:vAlign w:val="center"/>
            <w:hideMark/>
          </w:tcPr>
          <w:p w:rsidR="00000000" w:rsidRDefault="00613AEB">
            <w:pPr>
              <w:spacing w:after="100"/>
              <w:rPr>
                <w:rFonts w:eastAsia="Times New Roman"/>
              </w:rPr>
            </w:pPr>
          </w:p>
        </w:tc>
        <w:tc>
          <w:tcPr>
            <w:tcW w:w="0" w:type="auto"/>
            <w:gridSpan w:val="3"/>
            <w:vMerge/>
            <w:vAlign w:val="center"/>
            <w:hideMark/>
          </w:tcPr>
          <w:p w:rsidR="00000000" w:rsidRDefault="00613AEB">
            <w:pPr>
              <w:spacing w:after="100"/>
              <w:rPr>
                <w:rFonts w:eastAsia="Times New Roman"/>
              </w:rPr>
            </w:pPr>
          </w:p>
        </w:tc>
      </w:tr>
      <w:tr w:rsidR="00613AEB">
        <w:trPr>
          <w:jc w:val="center"/>
        </w:trPr>
        <w:tc>
          <w:tcPr>
            <w:tcW w:w="0" w:type="auto"/>
            <w:gridSpan w:val="3"/>
            <w:shd w:val="clear" w:color="auto" w:fill="CCEEFF"/>
            <w:tcMar>
              <w:top w:w="30" w:type="dxa"/>
              <w:left w:w="20" w:type="dxa"/>
              <w:bottom w:w="30" w:type="dxa"/>
              <w:right w:w="20" w:type="dxa"/>
            </w:tcMar>
            <w:vAlign w:val="bottom"/>
            <w:hideMark/>
          </w:tcPr>
          <w:p w:rsidR="00000000" w:rsidRDefault="00613AEB">
            <w:pPr>
              <w:spacing w:after="100"/>
              <w:rPr>
                <w:rFonts w:eastAsia="Times New Roman"/>
              </w:rPr>
            </w:pPr>
            <w:r>
              <w:rPr>
                <w:rFonts w:eastAsia="Times New Roman"/>
                <w:b/>
                <w:bCs/>
                <w:color w:val="000000"/>
                <w:sz w:val="18"/>
                <w:szCs w:val="18"/>
              </w:rPr>
              <w:t>Stockholders’ equity at December 25, 2021</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18"/>
                <w:szCs w:val="18"/>
              </w:rPr>
              <w:t>113,125 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18"/>
                <w:szCs w:val="18"/>
              </w:rPr>
              <w:t>1,411 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18"/>
                <w:szCs w:val="18"/>
              </w:rPr>
              <w:t>1,210,512 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18"/>
                <w:szCs w:val="18"/>
              </w:rPr>
              <w:t>(4,155,846)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18"/>
                <w:szCs w:val="18"/>
              </w:rPr>
              <w:t>1,345 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18"/>
                <w:szCs w:val="18"/>
              </w:rPr>
              <w:t>4,945,243 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18"/>
                <w:szCs w:val="18"/>
              </w:rPr>
              <w:t>2,002,665 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613AEB">
            <w:pPr>
              <w:spacing w:after="100"/>
              <w:ind w:hanging="180"/>
              <w:divId w:val="1672903177"/>
              <w:rPr>
                <w:rFonts w:eastAsia="Times New Roman"/>
              </w:rPr>
            </w:pPr>
            <w:r>
              <w:rPr>
                <w:rFonts w:eastAsia="Times New Roman"/>
                <w:color w:val="000000"/>
                <w:sz w:val="18"/>
                <w:szCs w:val="18"/>
              </w:rPr>
              <w:t>Common stock issuance under stock award plans &amp; ESPP</w:t>
            </w:r>
          </w:p>
        </w:tc>
        <w:tc>
          <w:tcPr>
            <w:tcW w:w="0" w:type="auto"/>
            <w:gridSpan w:val="2"/>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18"/>
                <w:szCs w:val="18"/>
              </w:rPr>
              <w:t>308 </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18"/>
                <w:szCs w:val="18"/>
              </w:rPr>
              <w:t>2 </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18"/>
                <w:szCs w:val="18"/>
              </w:rPr>
              <w:t>7,908 </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18"/>
                <w:szCs w:val="18"/>
              </w:rPr>
              <w:t>7,910 </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613AEB">
            <w:pPr>
              <w:spacing w:after="100"/>
              <w:rPr>
                <w:rFonts w:eastAsia="Times New Roman"/>
              </w:rPr>
            </w:pPr>
            <w:r>
              <w:rPr>
                <w:rFonts w:eastAsia="Times New Roman"/>
                <w:color w:val="000000"/>
                <w:sz w:val="18"/>
                <w:szCs w:val="18"/>
              </w:rPr>
              <w:t>Share-based compensation expense</w:t>
            </w: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18"/>
                <w:szCs w:val="18"/>
              </w:rPr>
              <w:t>12,316 </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18"/>
                <w:szCs w:val="18"/>
              </w:rPr>
              <w:t>12,316 </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613AEB">
            <w:pPr>
              <w:spacing w:after="100"/>
              <w:ind w:hanging="180"/>
              <w:divId w:val="1356155795"/>
              <w:rPr>
                <w:rFonts w:eastAsia="Times New Roman"/>
              </w:rPr>
            </w:pPr>
            <w:r>
              <w:rPr>
                <w:rFonts w:eastAsia="Times New Roman"/>
                <w:color w:val="000000"/>
                <w:sz w:val="18"/>
                <w:szCs w:val="18"/>
              </w:rPr>
              <w:t>Repurchase of shares to satisfy tax obligations</w:t>
            </w: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ind w:hanging="18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18"/>
                <w:szCs w:val="18"/>
              </w:rPr>
              <w:t>(26,442)</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18"/>
                <w:szCs w:val="18"/>
              </w:rPr>
              <w:t>(26,442)</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613AEB">
            <w:pPr>
              <w:spacing w:after="100"/>
              <w:ind w:hanging="180"/>
              <w:divId w:val="1840073954"/>
              <w:rPr>
                <w:rFonts w:eastAsia="Times New Roman"/>
              </w:rPr>
            </w:pPr>
            <w:r>
              <w:rPr>
                <w:rFonts w:eastAsia="Times New Roman"/>
                <w:color w:val="000000"/>
                <w:sz w:val="18"/>
                <w:szCs w:val="18"/>
              </w:rPr>
              <w:t>Repurchase of common stock</w:t>
            </w: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18"/>
                <w:szCs w:val="18"/>
              </w:rPr>
              <w:t>(1,358)</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18"/>
                <w:szCs w:val="18"/>
              </w:rPr>
              <w:t>(296,180)</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18"/>
                <w:szCs w:val="18"/>
              </w:rPr>
              <w:t>(296,180)</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613AEB">
            <w:pPr>
              <w:spacing w:after="100"/>
              <w:rPr>
                <w:rFonts w:eastAsia="Times New Roman"/>
              </w:rPr>
            </w:pPr>
            <w:r>
              <w:rPr>
                <w:rFonts w:eastAsia="Times New Roman"/>
                <w:color w:val="000000"/>
                <w:sz w:val="18"/>
                <w:szCs w:val="18"/>
              </w:rPr>
              <w:t>Cash dividends paid to stockholders</w:t>
            </w: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18"/>
                <w:szCs w:val="18"/>
              </w:rPr>
              <w:t>(103,467)</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18"/>
                <w:szCs w:val="18"/>
              </w:rPr>
              <w:t>(103,467)</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613AEB">
            <w:pPr>
              <w:spacing w:after="100"/>
              <w:ind w:hanging="180"/>
              <w:divId w:val="271009853"/>
              <w:rPr>
                <w:rFonts w:eastAsia="Times New Roman"/>
              </w:rPr>
            </w:pPr>
            <w:r>
              <w:rPr>
                <w:rFonts w:eastAsia="Times New Roman"/>
                <w:color w:val="000000"/>
                <w:sz w:val="18"/>
                <w:szCs w:val="18"/>
              </w:rPr>
              <w:t>Change in fair value of interest rate swaps, net of taxes</w:t>
            </w: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ind w:hanging="18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18"/>
                <w:szCs w:val="18"/>
              </w:rPr>
              <w:t>5,993 </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18"/>
                <w:szCs w:val="18"/>
              </w:rPr>
              <w:t>5,993 </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613AEB">
            <w:pPr>
              <w:spacing w:after="100"/>
              <w:rPr>
                <w:rFonts w:eastAsia="Times New Roman"/>
              </w:rPr>
            </w:pPr>
            <w:r>
              <w:rPr>
                <w:rFonts w:eastAsia="Times New Roman"/>
                <w:color w:val="000000"/>
                <w:sz w:val="18"/>
                <w:szCs w:val="18"/>
              </w:rPr>
              <w:t>Net income</w:t>
            </w: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18"/>
                <w:szCs w:val="18"/>
              </w:rPr>
              <w:t>187,227 </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18"/>
                <w:szCs w:val="18"/>
              </w:rPr>
              <w:t>187,227 </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r>
      <w:tr w:rsidR="00613AEB">
        <w:trPr>
          <w:jc w:val="center"/>
        </w:trPr>
        <w:tc>
          <w:tcPr>
            <w:tcW w:w="0" w:type="auto"/>
            <w:gridSpan w:val="3"/>
            <w:shd w:val="clear" w:color="auto" w:fill="CCEEFF"/>
            <w:tcMar>
              <w:top w:w="30" w:type="dxa"/>
              <w:left w:w="20" w:type="dxa"/>
              <w:bottom w:w="30" w:type="dxa"/>
              <w:right w:w="20" w:type="dxa"/>
            </w:tcMar>
            <w:vAlign w:val="bottom"/>
            <w:hideMark/>
          </w:tcPr>
          <w:p w:rsidR="00000000" w:rsidRDefault="00613AEB">
            <w:pPr>
              <w:spacing w:after="100"/>
              <w:rPr>
                <w:rFonts w:eastAsia="Times New Roman"/>
              </w:rPr>
            </w:pPr>
            <w:r>
              <w:rPr>
                <w:rFonts w:eastAsia="Times New Roman"/>
                <w:b/>
                <w:bCs/>
                <w:color w:val="000000"/>
                <w:sz w:val="18"/>
                <w:szCs w:val="18"/>
              </w:rPr>
              <w:t>Stockholders’ equity at March 26, 2022</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18"/>
                <w:szCs w:val="18"/>
              </w:rPr>
              <w:t>112,075 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18"/>
                <w:szCs w:val="18"/>
              </w:rPr>
              <w:t>1,413 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18"/>
                <w:szCs w:val="18"/>
              </w:rPr>
              <w:t>1,204,294 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18"/>
                <w:szCs w:val="18"/>
              </w:rPr>
              <w:t>(4,452,026)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18"/>
                <w:szCs w:val="18"/>
              </w:rPr>
              <w:t>7,338 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18"/>
                <w:szCs w:val="18"/>
              </w:rPr>
              <w:t>5,029,003 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18"/>
                <w:szCs w:val="18"/>
              </w:rPr>
              <w:t>1,790,022 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r>
      <w:tr w:rsidR="00000000">
        <w:trPr>
          <w:trHeight w:val="100"/>
          <w:jc w:val="center"/>
        </w:trPr>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613AEB">
            <w:pPr>
              <w:spacing w:after="100"/>
              <w:ind w:hanging="180"/>
              <w:divId w:val="1835147096"/>
              <w:rPr>
                <w:rFonts w:eastAsia="Times New Roman"/>
              </w:rPr>
            </w:pPr>
            <w:r>
              <w:rPr>
                <w:rFonts w:eastAsia="Times New Roman"/>
                <w:color w:val="000000"/>
                <w:sz w:val="18"/>
                <w:szCs w:val="18"/>
              </w:rPr>
              <w:t>Common stock issuance under stock award plans &amp; ESPP</w:t>
            </w: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18"/>
                <w:szCs w:val="18"/>
              </w:rPr>
              <w:t>64 </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18"/>
                <w:szCs w:val="18"/>
              </w:rPr>
              <w:t>1 </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18"/>
                <w:szCs w:val="18"/>
              </w:rPr>
              <w:t>5,084 </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18"/>
                <w:szCs w:val="18"/>
              </w:rPr>
              <w:t>5,085 </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613AEB">
            <w:pPr>
              <w:spacing w:after="100"/>
              <w:rPr>
                <w:rFonts w:eastAsia="Times New Roman"/>
              </w:rPr>
            </w:pPr>
            <w:r>
              <w:rPr>
                <w:rFonts w:eastAsia="Times New Roman"/>
                <w:color w:val="000000"/>
                <w:sz w:val="18"/>
                <w:szCs w:val="18"/>
              </w:rPr>
              <w:t>Share-based compensation expense</w:t>
            </w: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18"/>
                <w:szCs w:val="18"/>
              </w:rPr>
              <w:t>12,534 </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18"/>
                <w:szCs w:val="18"/>
              </w:rPr>
              <w:t>12,534 </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613AEB">
            <w:pPr>
              <w:spacing w:after="100"/>
              <w:ind w:hanging="180"/>
              <w:divId w:val="302582943"/>
              <w:rPr>
                <w:rFonts w:eastAsia="Times New Roman"/>
              </w:rPr>
            </w:pPr>
            <w:r>
              <w:rPr>
                <w:rFonts w:eastAsia="Times New Roman"/>
                <w:color w:val="000000"/>
                <w:sz w:val="18"/>
                <w:szCs w:val="18"/>
              </w:rPr>
              <w:t>Repurchase of shares to satisfy tax obligations</w:t>
            </w: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ind w:hanging="18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18"/>
                <w:szCs w:val="18"/>
              </w:rPr>
              <w:t>(1,230)</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18"/>
                <w:szCs w:val="18"/>
              </w:rPr>
              <w:t>(1,230)</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613AEB">
            <w:pPr>
              <w:spacing w:after="100"/>
              <w:ind w:hanging="180"/>
              <w:divId w:val="1027486758"/>
              <w:rPr>
                <w:rFonts w:eastAsia="Times New Roman"/>
              </w:rPr>
            </w:pPr>
            <w:r>
              <w:rPr>
                <w:rFonts w:eastAsia="Times New Roman"/>
                <w:color w:val="000000"/>
                <w:sz w:val="18"/>
                <w:szCs w:val="18"/>
              </w:rPr>
              <w:t>Repurchase of common stock</w:t>
            </w:r>
          </w:p>
        </w:tc>
        <w:tc>
          <w:tcPr>
            <w:tcW w:w="0" w:type="auto"/>
            <w:gridSpan w:val="2"/>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18"/>
                <w:szCs w:val="18"/>
              </w:rPr>
              <w:t>(942)</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18"/>
                <w:szCs w:val="18"/>
              </w:rPr>
              <w:t>(188,210)</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18"/>
                <w:szCs w:val="18"/>
              </w:rPr>
              <w:t>(188,210)</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613AEB">
            <w:pPr>
              <w:spacing w:after="100"/>
              <w:rPr>
                <w:rFonts w:eastAsia="Times New Roman"/>
              </w:rPr>
            </w:pPr>
            <w:r>
              <w:rPr>
                <w:rFonts w:eastAsia="Times New Roman"/>
                <w:color w:val="000000"/>
                <w:sz w:val="18"/>
                <w:szCs w:val="18"/>
              </w:rPr>
              <w:t>Cash dividends paid to stockholders</w:t>
            </w: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18"/>
                <w:szCs w:val="18"/>
              </w:rPr>
              <w:t>(102,622)</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18"/>
                <w:szCs w:val="18"/>
              </w:rPr>
              <w:t>(102,622)</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613AEB">
            <w:pPr>
              <w:spacing w:after="100"/>
              <w:ind w:hanging="180"/>
              <w:divId w:val="678122237"/>
              <w:rPr>
                <w:rFonts w:eastAsia="Times New Roman"/>
              </w:rPr>
            </w:pPr>
            <w:r>
              <w:rPr>
                <w:rFonts w:eastAsia="Times New Roman"/>
                <w:color w:val="000000"/>
                <w:sz w:val="18"/>
                <w:szCs w:val="18"/>
              </w:rPr>
              <w:t>Change in fair value of interest rate swaps, net of taxes</w:t>
            </w: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ind w:hanging="18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18"/>
                <w:szCs w:val="18"/>
              </w:rPr>
              <w:t>1,810 </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18"/>
                <w:szCs w:val="18"/>
              </w:rPr>
              <w:t>1,810 </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613AEB">
            <w:pPr>
              <w:spacing w:after="100"/>
              <w:rPr>
                <w:rFonts w:eastAsia="Times New Roman"/>
              </w:rPr>
            </w:pPr>
            <w:r>
              <w:rPr>
                <w:rFonts w:eastAsia="Times New Roman"/>
                <w:color w:val="000000"/>
                <w:sz w:val="18"/>
                <w:szCs w:val="18"/>
              </w:rPr>
              <w:t>Net income</w:t>
            </w: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18"/>
                <w:szCs w:val="18"/>
              </w:rPr>
              <w:t>396,478 </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18"/>
                <w:szCs w:val="18"/>
              </w:rPr>
              <w:t>396,478 </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r>
      <w:tr w:rsidR="00613AEB">
        <w:trPr>
          <w:jc w:val="center"/>
        </w:trPr>
        <w:tc>
          <w:tcPr>
            <w:tcW w:w="0" w:type="auto"/>
            <w:gridSpan w:val="3"/>
            <w:shd w:val="clear" w:color="auto" w:fill="FFFFFF"/>
            <w:tcMar>
              <w:top w:w="30" w:type="dxa"/>
              <w:left w:w="20" w:type="dxa"/>
              <w:bottom w:w="30" w:type="dxa"/>
              <w:right w:w="20" w:type="dxa"/>
            </w:tcMar>
            <w:vAlign w:val="bottom"/>
            <w:hideMark/>
          </w:tcPr>
          <w:p w:rsidR="00000000" w:rsidRDefault="00613AEB">
            <w:pPr>
              <w:spacing w:after="100"/>
              <w:rPr>
                <w:rFonts w:eastAsia="Times New Roman"/>
              </w:rPr>
            </w:pPr>
            <w:r>
              <w:rPr>
                <w:rFonts w:eastAsia="Times New Roman"/>
                <w:b/>
                <w:bCs/>
                <w:color w:val="000000"/>
                <w:sz w:val="18"/>
                <w:szCs w:val="18"/>
              </w:rPr>
              <w:t>Stockholders’ equity at June 25, 2022</w:t>
            </w: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18"/>
                <w:szCs w:val="18"/>
              </w:rPr>
              <w:t>111,197 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18"/>
                <w:szCs w:val="18"/>
              </w:rPr>
              <w:t>1,414 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18"/>
                <w:szCs w:val="18"/>
              </w:rPr>
              <w:t>1,220,682 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18"/>
                <w:szCs w:val="18"/>
              </w:rPr>
              <w:t>(4,640,236)</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18"/>
                <w:szCs w:val="18"/>
              </w:rPr>
              <w:t>9,148 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18"/>
                <w:szCs w:val="18"/>
              </w:rPr>
              <w:t>5,322,859 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18"/>
                <w:szCs w:val="18"/>
              </w:rPr>
              <w:t>1,913,867 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r>
      <w:tr w:rsidR="00000000">
        <w:trPr>
          <w:jc w:val="center"/>
        </w:trPr>
        <w:tc>
          <w:tcPr>
            <w:tcW w:w="0" w:type="auto"/>
            <w:gridSpan w:val="3"/>
            <w:vAlign w:val="center"/>
            <w:hideMark/>
          </w:tcPr>
          <w:p w:rsidR="00000000" w:rsidRDefault="00613AEB">
            <w:pPr>
              <w:spacing w:after="100"/>
              <w:jc w:val="right"/>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r>
      <w:tr w:rsidR="00000000">
        <w:trPr>
          <w:jc w:val="center"/>
        </w:trPr>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r>
      <w:tr w:rsidR="00000000">
        <w:trPr>
          <w:jc w:val="center"/>
        </w:trPr>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r>
      <w:tr w:rsidR="00000000">
        <w:trPr>
          <w:jc w:val="center"/>
        </w:trPr>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r>
      <w:tr w:rsidR="00000000">
        <w:trPr>
          <w:jc w:val="center"/>
        </w:trPr>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r>
      <w:tr w:rsidR="00000000">
        <w:trPr>
          <w:jc w:val="center"/>
        </w:trPr>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r>
      <w:tr w:rsidR="00000000">
        <w:trPr>
          <w:jc w:val="center"/>
        </w:trPr>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r>
      <w:tr w:rsidR="00000000">
        <w:trPr>
          <w:jc w:val="center"/>
        </w:trPr>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r>
      <w:tr w:rsidR="00000000">
        <w:trPr>
          <w:jc w:val="center"/>
        </w:trPr>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r>
      <w:tr w:rsidR="00000000">
        <w:trPr>
          <w:jc w:val="center"/>
        </w:trPr>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r>
    </w:tbl>
    <w:p w:rsidR="00000000" w:rsidRDefault="00613AEB">
      <w:pPr>
        <w:jc w:val="center"/>
        <w:rPr>
          <w:rFonts w:eastAsia="Times New Roman"/>
        </w:rPr>
      </w:pPr>
    </w:p>
    <w:p w:rsidR="00000000" w:rsidRDefault="00613AEB">
      <w:pPr>
        <w:divId w:val="1211768580"/>
        <w:rPr>
          <w:rFonts w:eastAsia="Times New Roman"/>
        </w:rPr>
      </w:pPr>
    </w:p>
    <w:p w:rsidR="00000000" w:rsidRDefault="00613AEB">
      <w:pPr>
        <w:divId w:val="1803569677"/>
        <w:rPr>
          <w:rFonts w:eastAsia="Times New Roman"/>
        </w:rPr>
      </w:pPr>
    </w:p>
    <w:p w:rsidR="00000000" w:rsidRDefault="00613AEB">
      <w:pPr>
        <w:divId w:val="1932657819"/>
        <w:rPr>
          <w:rFonts w:eastAsia="Times New Roman"/>
        </w:rPr>
      </w:pPr>
    </w:p>
    <w:p w:rsidR="00000000" w:rsidRDefault="00613AEB">
      <w:pPr>
        <w:divId w:val="911356349"/>
        <w:rPr>
          <w:rFonts w:eastAsia="Times New Roman"/>
        </w:rPr>
      </w:pPr>
    </w:p>
    <w:p w:rsidR="00000000" w:rsidRDefault="00613AEB">
      <w:pPr>
        <w:jc w:val="center"/>
        <w:divId w:val="987590414"/>
        <w:rPr>
          <w:rFonts w:eastAsia="Times New Roman"/>
        </w:rPr>
      </w:pPr>
      <w:r>
        <w:rPr>
          <w:rFonts w:eastAsia="Times New Roman"/>
          <w:color w:val="000000"/>
          <w:sz w:val="20"/>
          <w:szCs w:val="20"/>
        </w:rPr>
        <w:t>Page 6</w:t>
      </w:r>
    </w:p>
    <w:p w:rsidR="00000000" w:rsidRDefault="00613AEB">
      <w:pPr>
        <w:rPr>
          <w:rFonts w:eastAsia="Times New Roman"/>
        </w:rPr>
      </w:pPr>
      <w:r>
        <w:rPr>
          <w:rFonts w:eastAsia="Times New Roman"/>
        </w:rPr>
        <w:pict>
          <v:rect id="_x0000_i1031" style="width:0;height:1.5pt" o:hralign="center" o:hrstd="t" o:hr="t" fillcolor="#a0a0a0" stroked="f"/>
        </w:pict>
      </w:r>
    </w:p>
    <w:p w:rsidR="00000000" w:rsidRDefault="00613AEB">
      <w:pPr>
        <w:divId w:val="404182562"/>
        <w:rPr>
          <w:rFonts w:eastAsia="Times New Roman"/>
        </w:rPr>
      </w:pPr>
      <w:hyperlink w:anchor="i7b244a6903fc440faaf2365d228fe4ba_7" w:history="1">
        <w:r>
          <w:rPr>
            <w:rStyle w:val="a3"/>
            <w:rFonts w:eastAsia="Times New Roman"/>
            <w:sz w:val="16"/>
            <w:szCs w:val="16"/>
          </w:rPr>
          <w:t>Index</w:t>
        </w:r>
      </w:hyperlink>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1605"/>
        <w:gridCol w:w="36"/>
        <w:gridCol w:w="86"/>
        <w:gridCol w:w="564"/>
        <w:gridCol w:w="36"/>
        <w:gridCol w:w="36"/>
        <w:gridCol w:w="36"/>
        <w:gridCol w:w="36"/>
        <w:gridCol w:w="111"/>
        <w:gridCol w:w="515"/>
        <w:gridCol w:w="37"/>
        <w:gridCol w:w="36"/>
        <w:gridCol w:w="36"/>
        <w:gridCol w:w="36"/>
        <w:gridCol w:w="110"/>
        <w:gridCol w:w="765"/>
        <w:gridCol w:w="36"/>
        <w:gridCol w:w="36"/>
        <w:gridCol w:w="36"/>
        <w:gridCol w:w="36"/>
        <w:gridCol w:w="110"/>
        <w:gridCol w:w="840"/>
        <w:gridCol w:w="36"/>
        <w:gridCol w:w="36"/>
        <w:gridCol w:w="36"/>
        <w:gridCol w:w="36"/>
        <w:gridCol w:w="110"/>
        <w:gridCol w:w="525"/>
        <w:gridCol w:w="36"/>
        <w:gridCol w:w="36"/>
        <w:gridCol w:w="36"/>
        <w:gridCol w:w="36"/>
        <w:gridCol w:w="110"/>
        <w:gridCol w:w="765"/>
        <w:gridCol w:w="36"/>
        <w:gridCol w:w="36"/>
        <w:gridCol w:w="36"/>
        <w:gridCol w:w="36"/>
        <w:gridCol w:w="111"/>
        <w:gridCol w:w="1003"/>
        <w:gridCol w:w="36"/>
      </w:tblGrid>
      <w:tr w:rsidR="00000000">
        <w:trPr>
          <w:jc w:val="center"/>
        </w:trPr>
        <w:tc>
          <w:tcPr>
            <w:tcW w:w="50" w:type="pct"/>
            <w:vAlign w:val="center"/>
            <w:hideMark/>
          </w:tcPr>
          <w:p w:rsidR="00000000" w:rsidRDefault="00613AEB">
            <w:pPr>
              <w:rPr>
                <w:rFonts w:eastAsia="Times New Roman"/>
              </w:rPr>
            </w:pPr>
          </w:p>
        </w:tc>
        <w:tc>
          <w:tcPr>
            <w:tcW w:w="1377"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0" w:type="pct"/>
            <w:vAlign w:val="center"/>
            <w:hideMark/>
          </w:tcPr>
          <w:p w:rsidR="00000000" w:rsidRDefault="00613AEB">
            <w:pPr>
              <w:spacing w:after="100"/>
              <w:rPr>
                <w:rFonts w:eastAsia="Times New Roman"/>
                <w:sz w:val="20"/>
                <w:szCs w:val="20"/>
              </w:rPr>
            </w:pPr>
          </w:p>
        </w:tc>
        <w:tc>
          <w:tcPr>
            <w:tcW w:w="332"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26"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0" w:type="pct"/>
            <w:vAlign w:val="center"/>
            <w:hideMark/>
          </w:tcPr>
          <w:p w:rsidR="00000000" w:rsidRDefault="00613AEB">
            <w:pPr>
              <w:spacing w:after="100"/>
              <w:rPr>
                <w:rFonts w:eastAsia="Times New Roman"/>
                <w:sz w:val="20"/>
                <w:szCs w:val="20"/>
              </w:rPr>
            </w:pPr>
          </w:p>
        </w:tc>
        <w:tc>
          <w:tcPr>
            <w:tcW w:w="332"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26"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0" w:type="pct"/>
            <w:vAlign w:val="center"/>
            <w:hideMark/>
          </w:tcPr>
          <w:p w:rsidR="00000000" w:rsidRDefault="00613AEB">
            <w:pPr>
              <w:spacing w:after="100"/>
              <w:rPr>
                <w:rFonts w:eastAsia="Times New Roman"/>
                <w:sz w:val="20"/>
                <w:szCs w:val="20"/>
              </w:rPr>
            </w:pPr>
          </w:p>
        </w:tc>
        <w:tc>
          <w:tcPr>
            <w:tcW w:w="434"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26"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0" w:type="pct"/>
            <w:vAlign w:val="center"/>
            <w:hideMark/>
          </w:tcPr>
          <w:p w:rsidR="00000000" w:rsidRDefault="00613AEB">
            <w:pPr>
              <w:spacing w:after="100"/>
              <w:rPr>
                <w:rFonts w:eastAsia="Times New Roman"/>
                <w:sz w:val="20"/>
                <w:szCs w:val="20"/>
              </w:rPr>
            </w:pPr>
          </w:p>
        </w:tc>
        <w:tc>
          <w:tcPr>
            <w:tcW w:w="434"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26"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0" w:type="pct"/>
            <w:vAlign w:val="center"/>
            <w:hideMark/>
          </w:tcPr>
          <w:p w:rsidR="00000000" w:rsidRDefault="00613AEB">
            <w:pPr>
              <w:spacing w:after="100"/>
              <w:rPr>
                <w:rFonts w:eastAsia="Times New Roman"/>
                <w:sz w:val="20"/>
                <w:szCs w:val="20"/>
              </w:rPr>
            </w:pPr>
          </w:p>
        </w:tc>
        <w:tc>
          <w:tcPr>
            <w:tcW w:w="434"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26"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0" w:type="pct"/>
            <w:vAlign w:val="center"/>
            <w:hideMark/>
          </w:tcPr>
          <w:p w:rsidR="00000000" w:rsidRDefault="00613AEB">
            <w:pPr>
              <w:spacing w:after="100"/>
              <w:rPr>
                <w:rFonts w:eastAsia="Times New Roman"/>
                <w:sz w:val="20"/>
                <w:szCs w:val="20"/>
              </w:rPr>
            </w:pPr>
          </w:p>
        </w:tc>
        <w:tc>
          <w:tcPr>
            <w:tcW w:w="434"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26"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0" w:type="pct"/>
            <w:vAlign w:val="center"/>
            <w:hideMark/>
          </w:tcPr>
          <w:p w:rsidR="00000000" w:rsidRDefault="00613AEB">
            <w:pPr>
              <w:spacing w:after="100"/>
              <w:rPr>
                <w:rFonts w:eastAsia="Times New Roman"/>
                <w:sz w:val="20"/>
                <w:szCs w:val="20"/>
              </w:rPr>
            </w:pPr>
          </w:p>
        </w:tc>
        <w:tc>
          <w:tcPr>
            <w:tcW w:w="559"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r>
      <w:tr w:rsidR="00000000">
        <w:trPr>
          <w:trHeight w:val="720"/>
          <w:jc w:val="center"/>
        </w:trPr>
        <w:tc>
          <w:tcPr>
            <w:tcW w:w="0" w:type="auto"/>
            <w:gridSpan w:val="3"/>
            <w:vMerge w:val="restart"/>
            <w:tcMar>
              <w:top w:w="30" w:type="dxa"/>
              <w:left w:w="20" w:type="dxa"/>
              <w:bottom w:w="30" w:type="dxa"/>
              <w:right w:w="20" w:type="dxa"/>
            </w:tcMar>
            <w:vAlign w:val="bottom"/>
            <w:hideMark/>
          </w:tcPr>
          <w:p w:rsidR="00000000" w:rsidRDefault="00613AEB">
            <w:pPr>
              <w:spacing w:after="100"/>
              <w:rPr>
                <w:rFonts w:eastAsia="Times New Roman"/>
              </w:rPr>
            </w:pPr>
            <w:r>
              <w:rPr>
                <w:rFonts w:eastAsia="Times New Roman"/>
                <w:color w:val="000000"/>
                <w:sz w:val="18"/>
                <w:szCs w:val="18"/>
              </w:rPr>
              <w:t> </w:t>
            </w:r>
          </w:p>
        </w:tc>
        <w:tc>
          <w:tcPr>
            <w:tcW w:w="0" w:type="auto"/>
            <w:gridSpan w:val="9"/>
            <w:tcMar>
              <w:top w:w="30" w:type="dxa"/>
              <w:left w:w="20" w:type="dxa"/>
              <w:bottom w:w="30" w:type="dxa"/>
              <w:right w:w="20" w:type="dxa"/>
            </w:tcMar>
            <w:vAlign w:val="bottom"/>
            <w:hideMark/>
          </w:tcPr>
          <w:p w:rsidR="00000000" w:rsidRDefault="00613AEB">
            <w:pPr>
              <w:spacing w:after="100"/>
              <w:jc w:val="center"/>
              <w:rPr>
                <w:rFonts w:eastAsia="Times New Roman"/>
              </w:rPr>
            </w:pPr>
            <w:r>
              <w:rPr>
                <w:rFonts w:eastAsia="Times New Roman"/>
                <w:b/>
                <w:bCs/>
                <w:color w:val="000000"/>
                <w:sz w:val="18"/>
                <w:szCs w:val="18"/>
              </w:rPr>
              <w:t>Common Stock</w:t>
            </w:r>
          </w:p>
        </w:tc>
        <w:tc>
          <w:tcPr>
            <w:tcW w:w="0" w:type="auto"/>
            <w:gridSpan w:val="3"/>
            <w:vMerge w:val="restart"/>
            <w:tcMar>
              <w:top w:w="0" w:type="dxa"/>
              <w:left w:w="20" w:type="dxa"/>
              <w:bottom w:w="0" w:type="dxa"/>
              <w:right w:w="20" w:type="dxa"/>
            </w:tcMar>
            <w:vAlign w:val="center"/>
            <w:hideMark/>
          </w:tcPr>
          <w:p w:rsidR="00000000" w:rsidRDefault="00613AEB">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613AEB">
            <w:pPr>
              <w:spacing w:after="100"/>
              <w:jc w:val="center"/>
              <w:rPr>
                <w:rFonts w:eastAsia="Times New Roman"/>
              </w:rPr>
            </w:pPr>
            <w:r>
              <w:rPr>
                <w:rFonts w:eastAsia="Times New Roman"/>
                <w:b/>
                <w:bCs/>
                <w:color w:val="000000"/>
                <w:sz w:val="18"/>
                <w:szCs w:val="18"/>
              </w:rPr>
              <w:t>Additional</w:t>
            </w:r>
          </w:p>
          <w:p w:rsidR="00000000" w:rsidRDefault="00613AEB">
            <w:pPr>
              <w:spacing w:after="100"/>
              <w:jc w:val="center"/>
              <w:rPr>
                <w:rFonts w:eastAsia="Times New Roman"/>
              </w:rPr>
            </w:pPr>
            <w:r>
              <w:rPr>
                <w:rFonts w:eastAsia="Times New Roman"/>
                <w:b/>
                <w:bCs/>
                <w:color w:val="000000"/>
                <w:sz w:val="18"/>
                <w:szCs w:val="18"/>
              </w:rPr>
              <w:t>Paid-in</w:t>
            </w:r>
          </w:p>
          <w:p w:rsidR="00000000" w:rsidRDefault="00613AEB">
            <w:pPr>
              <w:spacing w:after="100"/>
              <w:jc w:val="center"/>
              <w:rPr>
                <w:rFonts w:eastAsia="Times New Roman"/>
              </w:rPr>
            </w:pPr>
            <w:r>
              <w:rPr>
                <w:rFonts w:eastAsia="Times New Roman"/>
                <w:b/>
                <w:bCs/>
                <w:color w:val="000000"/>
                <w:sz w:val="18"/>
                <w:szCs w:val="18"/>
              </w:rPr>
              <w:t>Capital</w:t>
            </w:r>
          </w:p>
        </w:tc>
        <w:tc>
          <w:tcPr>
            <w:tcW w:w="0" w:type="auto"/>
            <w:gridSpan w:val="3"/>
            <w:vMerge w:val="restart"/>
            <w:tcMar>
              <w:top w:w="0" w:type="dxa"/>
              <w:left w:w="20" w:type="dxa"/>
              <w:bottom w:w="0" w:type="dxa"/>
              <w:right w:w="20" w:type="dxa"/>
            </w:tcMar>
            <w:vAlign w:val="center"/>
            <w:hideMark/>
          </w:tcPr>
          <w:p w:rsidR="00000000" w:rsidRDefault="00613AEB">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613AEB">
            <w:pPr>
              <w:spacing w:after="100"/>
              <w:jc w:val="center"/>
              <w:rPr>
                <w:rFonts w:eastAsia="Times New Roman"/>
              </w:rPr>
            </w:pPr>
            <w:r>
              <w:rPr>
                <w:rFonts w:eastAsia="Times New Roman"/>
                <w:b/>
                <w:bCs/>
                <w:color w:val="000000"/>
                <w:sz w:val="18"/>
                <w:szCs w:val="18"/>
              </w:rPr>
              <w:t>Treasury</w:t>
            </w:r>
          </w:p>
          <w:p w:rsidR="00000000" w:rsidRDefault="00613AEB">
            <w:pPr>
              <w:spacing w:after="100"/>
              <w:jc w:val="center"/>
              <w:rPr>
                <w:rFonts w:eastAsia="Times New Roman"/>
              </w:rPr>
            </w:pPr>
            <w:r>
              <w:rPr>
                <w:rFonts w:eastAsia="Times New Roman"/>
                <w:b/>
                <w:bCs/>
                <w:color w:val="000000"/>
                <w:sz w:val="18"/>
                <w:szCs w:val="18"/>
              </w:rPr>
              <w:t>Stock</w:t>
            </w:r>
          </w:p>
        </w:tc>
        <w:tc>
          <w:tcPr>
            <w:tcW w:w="0" w:type="auto"/>
            <w:gridSpan w:val="3"/>
            <w:vMerge w:val="restart"/>
            <w:tcMar>
              <w:top w:w="0" w:type="dxa"/>
              <w:left w:w="20" w:type="dxa"/>
              <w:bottom w:w="0" w:type="dxa"/>
              <w:right w:w="20" w:type="dxa"/>
            </w:tcMar>
            <w:vAlign w:val="center"/>
            <w:hideMark/>
          </w:tcPr>
          <w:p w:rsidR="00000000" w:rsidRDefault="00613AEB">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613AEB">
            <w:pPr>
              <w:spacing w:after="100"/>
              <w:jc w:val="center"/>
              <w:rPr>
                <w:rFonts w:eastAsia="Times New Roman"/>
              </w:rPr>
            </w:pPr>
            <w:r>
              <w:rPr>
                <w:rFonts w:eastAsia="Times New Roman"/>
                <w:b/>
                <w:bCs/>
                <w:color w:val="000000"/>
                <w:sz w:val="18"/>
                <w:szCs w:val="18"/>
              </w:rPr>
              <w:t>Accum. Other Comp. (Loss) / Income</w:t>
            </w:r>
          </w:p>
        </w:tc>
        <w:tc>
          <w:tcPr>
            <w:tcW w:w="0" w:type="auto"/>
            <w:gridSpan w:val="3"/>
            <w:vMerge w:val="restart"/>
            <w:tcMar>
              <w:top w:w="0" w:type="dxa"/>
              <w:left w:w="20" w:type="dxa"/>
              <w:bottom w:w="0" w:type="dxa"/>
              <w:right w:w="20" w:type="dxa"/>
            </w:tcMar>
            <w:vAlign w:val="center"/>
            <w:hideMark/>
          </w:tcPr>
          <w:p w:rsidR="00000000" w:rsidRDefault="00613AEB">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613AEB">
            <w:pPr>
              <w:spacing w:after="100"/>
              <w:jc w:val="center"/>
              <w:rPr>
                <w:rFonts w:eastAsia="Times New Roman"/>
              </w:rPr>
            </w:pPr>
            <w:r>
              <w:rPr>
                <w:rFonts w:eastAsia="Times New Roman"/>
                <w:b/>
                <w:bCs/>
                <w:color w:val="000000"/>
                <w:sz w:val="18"/>
                <w:szCs w:val="18"/>
              </w:rPr>
              <w:t>Retained</w:t>
            </w:r>
          </w:p>
          <w:p w:rsidR="00000000" w:rsidRDefault="00613AEB">
            <w:pPr>
              <w:spacing w:after="100"/>
              <w:jc w:val="center"/>
              <w:rPr>
                <w:rFonts w:eastAsia="Times New Roman"/>
              </w:rPr>
            </w:pPr>
            <w:r>
              <w:rPr>
                <w:rFonts w:eastAsia="Times New Roman"/>
                <w:b/>
                <w:bCs/>
                <w:color w:val="000000"/>
                <w:sz w:val="18"/>
                <w:szCs w:val="18"/>
              </w:rPr>
              <w:t>Earnings</w:t>
            </w:r>
          </w:p>
        </w:tc>
        <w:tc>
          <w:tcPr>
            <w:tcW w:w="0" w:type="auto"/>
            <w:gridSpan w:val="3"/>
            <w:vMerge w:val="restart"/>
            <w:tcMar>
              <w:top w:w="0" w:type="dxa"/>
              <w:left w:w="20" w:type="dxa"/>
              <w:bottom w:w="0" w:type="dxa"/>
              <w:right w:w="20" w:type="dxa"/>
            </w:tcMar>
            <w:vAlign w:val="center"/>
            <w:hideMark/>
          </w:tcPr>
          <w:p w:rsidR="00000000" w:rsidRDefault="00613AEB">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613AEB">
            <w:pPr>
              <w:spacing w:after="100"/>
              <w:jc w:val="center"/>
              <w:rPr>
                <w:rFonts w:eastAsia="Times New Roman"/>
              </w:rPr>
            </w:pPr>
            <w:r>
              <w:rPr>
                <w:rFonts w:eastAsia="Times New Roman"/>
                <w:b/>
                <w:bCs/>
                <w:color w:val="000000"/>
                <w:sz w:val="18"/>
                <w:szCs w:val="18"/>
              </w:rPr>
              <w:t>Total</w:t>
            </w:r>
          </w:p>
          <w:p w:rsidR="00000000" w:rsidRDefault="00613AEB">
            <w:pPr>
              <w:spacing w:after="100"/>
              <w:jc w:val="center"/>
              <w:rPr>
                <w:rFonts w:eastAsia="Times New Roman"/>
              </w:rPr>
            </w:pPr>
            <w:r>
              <w:rPr>
                <w:rFonts w:eastAsia="Times New Roman"/>
                <w:b/>
                <w:bCs/>
                <w:color w:val="000000"/>
                <w:sz w:val="18"/>
                <w:szCs w:val="18"/>
              </w:rPr>
              <w:t>Stockholders’</w:t>
            </w:r>
          </w:p>
          <w:p w:rsidR="00000000" w:rsidRDefault="00613AEB">
            <w:pPr>
              <w:spacing w:after="100"/>
              <w:jc w:val="center"/>
              <w:rPr>
                <w:rFonts w:eastAsia="Times New Roman"/>
              </w:rPr>
            </w:pPr>
            <w:r>
              <w:rPr>
                <w:rFonts w:eastAsia="Times New Roman"/>
                <w:b/>
                <w:bCs/>
                <w:color w:val="000000"/>
                <w:sz w:val="18"/>
                <w:szCs w:val="18"/>
              </w:rPr>
              <w:t>Equity</w:t>
            </w:r>
          </w:p>
        </w:tc>
      </w:tr>
      <w:tr w:rsidR="00000000">
        <w:trPr>
          <w:trHeight w:val="280"/>
          <w:jc w:val="center"/>
        </w:trPr>
        <w:tc>
          <w:tcPr>
            <w:tcW w:w="0" w:type="auto"/>
            <w:gridSpan w:val="3"/>
            <w:vMerge/>
            <w:vAlign w:val="center"/>
            <w:hideMark/>
          </w:tcPr>
          <w:p w:rsidR="00000000" w:rsidRDefault="00613AEB">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13AEB">
            <w:pPr>
              <w:spacing w:after="100"/>
              <w:jc w:val="center"/>
              <w:rPr>
                <w:rFonts w:eastAsia="Times New Roman"/>
              </w:rPr>
            </w:pPr>
            <w:r>
              <w:rPr>
                <w:rFonts w:eastAsia="Times New Roman"/>
                <w:b/>
                <w:bCs/>
                <w:color w:val="000000"/>
                <w:sz w:val="18"/>
                <w:szCs w:val="18"/>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13AE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13AEB">
            <w:pPr>
              <w:spacing w:after="100"/>
              <w:jc w:val="center"/>
              <w:rPr>
                <w:rFonts w:eastAsia="Times New Roman"/>
              </w:rPr>
            </w:pPr>
            <w:r>
              <w:rPr>
                <w:rFonts w:eastAsia="Times New Roman"/>
                <w:b/>
                <w:bCs/>
                <w:color w:val="000000"/>
                <w:sz w:val="18"/>
                <w:szCs w:val="18"/>
              </w:rPr>
              <w:t>Dollars</w:t>
            </w:r>
          </w:p>
        </w:tc>
        <w:tc>
          <w:tcPr>
            <w:tcW w:w="0" w:type="auto"/>
            <w:gridSpan w:val="3"/>
            <w:vMerge/>
            <w:vAlign w:val="center"/>
            <w:hideMark/>
          </w:tcPr>
          <w:p w:rsidR="00000000" w:rsidRDefault="00613AEB">
            <w:pPr>
              <w:spacing w:after="100"/>
              <w:rPr>
                <w:rFonts w:eastAsia="Times New Roman"/>
              </w:rPr>
            </w:pPr>
          </w:p>
        </w:tc>
        <w:tc>
          <w:tcPr>
            <w:tcW w:w="0" w:type="auto"/>
            <w:gridSpan w:val="3"/>
            <w:vMerge/>
            <w:vAlign w:val="center"/>
            <w:hideMark/>
          </w:tcPr>
          <w:p w:rsidR="00000000" w:rsidRDefault="00613AEB">
            <w:pPr>
              <w:spacing w:after="100"/>
              <w:rPr>
                <w:rFonts w:eastAsia="Times New Roman"/>
              </w:rPr>
            </w:pPr>
          </w:p>
        </w:tc>
        <w:tc>
          <w:tcPr>
            <w:tcW w:w="0" w:type="auto"/>
            <w:gridSpan w:val="3"/>
            <w:vMerge/>
            <w:vAlign w:val="center"/>
            <w:hideMark/>
          </w:tcPr>
          <w:p w:rsidR="00000000" w:rsidRDefault="00613AEB">
            <w:pPr>
              <w:spacing w:after="100"/>
              <w:rPr>
                <w:rFonts w:eastAsia="Times New Roman"/>
              </w:rPr>
            </w:pPr>
          </w:p>
        </w:tc>
        <w:tc>
          <w:tcPr>
            <w:tcW w:w="0" w:type="auto"/>
            <w:gridSpan w:val="3"/>
            <w:vMerge/>
            <w:vAlign w:val="center"/>
            <w:hideMark/>
          </w:tcPr>
          <w:p w:rsidR="00000000" w:rsidRDefault="00613AEB">
            <w:pPr>
              <w:spacing w:after="100"/>
              <w:rPr>
                <w:rFonts w:eastAsia="Times New Roman"/>
              </w:rPr>
            </w:pPr>
          </w:p>
        </w:tc>
        <w:tc>
          <w:tcPr>
            <w:tcW w:w="0" w:type="auto"/>
            <w:gridSpan w:val="3"/>
            <w:vMerge/>
            <w:vAlign w:val="center"/>
            <w:hideMark/>
          </w:tcPr>
          <w:p w:rsidR="00000000" w:rsidRDefault="00613AEB">
            <w:pPr>
              <w:spacing w:after="100"/>
              <w:rPr>
                <w:rFonts w:eastAsia="Times New Roman"/>
              </w:rPr>
            </w:pPr>
          </w:p>
        </w:tc>
        <w:tc>
          <w:tcPr>
            <w:tcW w:w="0" w:type="auto"/>
            <w:gridSpan w:val="3"/>
            <w:vMerge/>
            <w:vAlign w:val="center"/>
            <w:hideMark/>
          </w:tcPr>
          <w:p w:rsidR="00000000" w:rsidRDefault="00613AEB">
            <w:pPr>
              <w:spacing w:after="100"/>
              <w:rPr>
                <w:rFonts w:eastAsia="Times New Roman"/>
              </w:rPr>
            </w:pPr>
          </w:p>
        </w:tc>
        <w:tc>
          <w:tcPr>
            <w:tcW w:w="0" w:type="auto"/>
            <w:gridSpan w:val="3"/>
            <w:vMerge/>
            <w:vAlign w:val="center"/>
            <w:hideMark/>
          </w:tcPr>
          <w:p w:rsidR="00000000" w:rsidRDefault="00613AEB">
            <w:pPr>
              <w:spacing w:after="100"/>
              <w:rPr>
                <w:rFonts w:eastAsia="Times New Roman"/>
              </w:rPr>
            </w:pPr>
          </w:p>
        </w:tc>
        <w:tc>
          <w:tcPr>
            <w:tcW w:w="0" w:type="auto"/>
            <w:gridSpan w:val="3"/>
            <w:vMerge/>
            <w:vAlign w:val="center"/>
            <w:hideMark/>
          </w:tcPr>
          <w:p w:rsidR="00000000" w:rsidRDefault="00613AEB">
            <w:pPr>
              <w:spacing w:after="100"/>
              <w:rPr>
                <w:rFonts w:eastAsia="Times New Roman"/>
              </w:rPr>
            </w:pPr>
          </w:p>
        </w:tc>
        <w:tc>
          <w:tcPr>
            <w:tcW w:w="0" w:type="auto"/>
            <w:gridSpan w:val="3"/>
            <w:vMerge/>
            <w:vAlign w:val="center"/>
            <w:hideMark/>
          </w:tcPr>
          <w:p w:rsidR="00000000" w:rsidRDefault="00613AEB">
            <w:pPr>
              <w:spacing w:after="100"/>
              <w:rPr>
                <w:rFonts w:eastAsia="Times New Roman"/>
              </w:rPr>
            </w:pPr>
          </w:p>
        </w:tc>
        <w:tc>
          <w:tcPr>
            <w:tcW w:w="0" w:type="auto"/>
            <w:gridSpan w:val="3"/>
            <w:vMerge/>
            <w:vAlign w:val="center"/>
            <w:hideMark/>
          </w:tcPr>
          <w:p w:rsidR="00000000" w:rsidRDefault="00613AEB">
            <w:pPr>
              <w:spacing w:after="100"/>
              <w:rPr>
                <w:rFonts w:eastAsia="Times New Roman"/>
              </w:rPr>
            </w:pPr>
          </w:p>
        </w:tc>
      </w:tr>
      <w:tr w:rsidR="00613AEB">
        <w:trPr>
          <w:jc w:val="center"/>
        </w:trPr>
        <w:tc>
          <w:tcPr>
            <w:tcW w:w="0" w:type="auto"/>
            <w:gridSpan w:val="3"/>
            <w:shd w:val="clear" w:color="auto" w:fill="CCEEFF"/>
            <w:tcMar>
              <w:top w:w="30" w:type="dxa"/>
              <w:left w:w="20" w:type="dxa"/>
              <w:bottom w:w="30" w:type="dxa"/>
              <w:right w:w="20" w:type="dxa"/>
            </w:tcMar>
            <w:vAlign w:val="bottom"/>
            <w:hideMark/>
          </w:tcPr>
          <w:p w:rsidR="00000000" w:rsidRDefault="00613AEB">
            <w:pPr>
              <w:spacing w:after="100"/>
              <w:rPr>
                <w:rFonts w:eastAsia="Times New Roman"/>
              </w:rPr>
            </w:pPr>
            <w:r>
              <w:rPr>
                <w:rFonts w:eastAsia="Times New Roman"/>
                <w:b/>
                <w:bCs/>
                <w:color w:val="000000"/>
                <w:sz w:val="18"/>
                <w:szCs w:val="18"/>
              </w:rPr>
              <w:t>Stockholders’ equity at December 26, 2020</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18"/>
                <w:szCs w:val="18"/>
              </w:rPr>
              <w:t>116,246 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18"/>
                <w:szCs w:val="18"/>
              </w:rPr>
              <w:t>1,401 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18"/>
                <w:szCs w:val="18"/>
              </w:rPr>
              <w:t>1,095,500 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18"/>
                <w:szCs w:val="18"/>
              </w:rPr>
              <w:t>(</w:t>
            </w:r>
            <w:r>
              <w:rPr>
                <w:rFonts w:eastAsia="Times New Roman"/>
                <w:color w:val="000000"/>
                <w:sz w:val="18"/>
                <w:szCs w:val="18"/>
              </w:rPr>
              <w:t>3,356,953)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18"/>
                <w:szCs w:val="18"/>
              </w:rPr>
              <w:t>(3,243)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18"/>
                <w:szCs w:val="18"/>
              </w:rPr>
              <w:t>4,187,135 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18"/>
                <w:szCs w:val="18"/>
              </w:rPr>
              <w:t>1,923,840 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613AEB">
            <w:pPr>
              <w:spacing w:after="100"/>
              <w:ind w:hanging="180"/>
              <w:divId w:val="1671179589"/>
              <w:rPr>
                <w:rFonts w:eastAsia="Times New Roman"/>
              </w:rPr>
            </w:pPr>
            <w:r>
              <w:rPr>
                <w:rFonts w:eastAsia="Times New Roman"/>
                <w:color w:val="000000"/>
                <w:sz w:val="18"/>
                <w:szCs w:val="18"/>
              </w:rPr>
              <w:t>Common stock issuance under stock award plans &amp; ESPP</w:t>
            </w:r>
          </w:p>
        </w:tc>
        <w:tc>
          <w:tcPr>
            <w:tcW w:w="0" w:type="auto"/>
            <w:gridSpan w:val="2"/>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18"/>
                <w:szCs w:val="18"/>
              </w:rPr>
              <w:t>941 </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18"/>
                <w:szCs w:val="18"/>
              </w:rPr>
              <w:t>8 </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18"/>
                <w:szCs w:val="18"/>
              </w:rPr>
              <w:t>58,700 </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18"/>
                <w:szCs w:val="18"/>
              </w:rPr>
              <w:t>58,708 </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613AEB">
            <w:pPr>
              <w:spacing w:after="100"/>
              <w:rPr>
                <w:rFonts w:eastAsia="Times New Roman"/>
              </w:rPr>
            </w:pPr>
            <w:r>
              <w:rPr>
                <w:rFonts w:eastAsia="Times New Roman"/>
                <w:color w:val="000000"/>
                <w:sz w:val="18"/>
                <w:szCs w:val="18"/>
              </w:rPr>
              <w:t>Share-based compensation expense</w:t>
            </w: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18"/>
                <w:szCs w:val="18"/>
              </w:rPr>
              <w:t>12,318 </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18"/>
                <w:szCs w:val="18"/>
              </w:rPr>
              <w:t>12,318 </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613AEB">
            <w:pPr>
              <w:spacing w:after="100"/>
              <w:ind w:hanging="180"/>
              <w:divId w:val="1100568677"/>
              <w:rPr>
                <w:rFonts w:eastAsia="Times New Roman"/>
              </w:rPr>
            </w:pPr>
            <w:r>
              <w:rPr>
                <w:rFonts w:eastAsia="Times New Roman"/>
                <w:color w:val="000000"/>
                <w:sz w:val="18"/>
                <w:szCs w:val="18"/>
              </w:rPr>
              <w:t>Repurchase of shares to satisfy tax obligations</w:t>
            </w: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ind w:hanging="18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18"/>
                <w:szCs w:val="18"/>
              </w:rPr>
              <w:t>(12,067)</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18"/>
                <w:szCs w:val="18"/>
              </w:rPr>
              <w:t>(12,067)</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613AEB">
            <w:pPr>
              <w:spacing w:after="100"/>
              <w:ind w:hanging="180"/>
              <w:divId w:val="711541246"/>
              <w:rPr>
                <w:rFonts w:eastAsia="Times New Roman"/>
              </w:rPr>
            </w:pPr>
            <w:r>
              <w:rPr>
                <w:rFonts w:eastAsia="Times New Roman"/>
                <w:color w:val="000000"/>
                <w:sz w:val="18"/>
                <w:szCs w:val="18"/>
              </w:rPr>
              <w:t>Repurchase of common stock</w:t>
            </w: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18"/>
                <w:szCs w:val="18"/>
              </w:rPr>
              <w:t>(1,600)</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18"/>
                <w:szCs w:val="18"/>
              </w:rPr>
              <w:t>(253,409)</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18"/>
                <w:szCs w:val="18"/>
              </w:rPr>
              <w:t>(253,409)</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613AEB">
            <w:pPr>
              <w:spacing w:after="100"/>
              <w:rPr>
                <w:rFonts w:eastAsia="Times New Roman"/>
              </w:rPr>
            </w:pPr>
            <w:r>
              <w:rPr>
                <w:rFonts w:eastAsia="Times New Roman"/>
                <w:color w:val="000000"/>
                <w:sz w:val="18"/>
                <w:szCs w:val="18"/>
              </w:rPr>
              <w:t>Cash dividends paid to stockholders</w:t>
            </w: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18"/>
                <w:szCs w:val="18"/>
              </w:rPr>
              <w:t>(60,570)</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18"/>
                <w:szCs w:val="18"/>
              </w:rPr>
              <w:t>(60,570)</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613AEB">
            <w:pPr>
              <w:spacing w:after="100"/>
              <w:ind w:hanging="180"/>
              <w:divId w:val="1062020041"/>
              <w:rPr>
                <w:rFonts w:eastAsia="Times New Roman"/>
              </w:rPr>
            </w:pPr>
            <w:r>
              <w:rPr>
                <w:rFonts w:eastAsia="Times New Roman"/>
                <w:color w:val="000000"/>
                <w:sz w:val="18"/>
                <w:szCs w:val="18"/>
              </w:rPr>
              <w:t>Change in fair value of interest rate swaps, net of taxes</w:t>
            </w: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ind w:hanging="18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18"/>
                <w:szCs w:val="18"/>
              </w:rPr>
              <w:t>2,125 </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18"/>
                <w:szCs w:val="18"/>
              </w:rPr>
              <w:t>2,125 </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613AEB">
            <w:pPr>
              <w:spacing w:after="100"/>
              <w:rPr>
                <w:rFonts w:eastAsia="Times New Roman"/>
              </w:rPr>
            </w:pPr>
            <w:r>
              <w:rPr>
                <w:rFonts w:eastAsia="Times New Roman"/>
                <w:color w:val="000000"/>
                <w:sz w:val="18"/>
                <w:szCs w:val="18"/>
              </w:rPr>
              <w:t>Net income</w:t>
            </w: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18"/>
                <w:szCs w:val="18"/>
              </w:rPr>
              <w:t>181,354 </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18"/>
                <w:szCs w:val="18"/>
              </w:rPr>
              <w:t>181,354 </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r>
      <w:tr w:rsidR="00613AEB">
        <w:trPr>
          <w:jc w:val="center"/>
        </w:trPr>
        <w:tc>
          <w:tcPr>
            <w:tcW w:w="0" w:type="auto"/>
            <w:gridSpan w:val="3"/>
            <w:shd w:val="clear" w:color="auto" w:fill="CCEEFF"/>
            <w:tcMar>
              <w:top w:w="30" w:type="dxa"/>
              <w:left w:w="20" w:type="dxa"/>
              <w:bottom w:w="30" w:type="dxa"/>
              <w:right w:w="20" w:type="dxa"/>
            </w:tcMar>
            <w:vAlign w:val="bottom"/>
            <w:hideMark/>
          </w:tcPr>
          <w:p w:rsidR="00000000" w:rsidRDefault="00613AEB">
            <w:pPr>
              <w:spacing w:after="100"/>
              <w:rPr>
                <w:rFonts w:eastAsia="Times New Roman"/>
              </w:rPr>
            </w:pPr>
            <w:r>
              <w:rPr>
                <w:rFonts w:eastAsia="Times New Roman"/>
                <w:b/>
                <w:bCs/>
                <w:color w:val="000000"/>
                <w:sz w:val="18"/>
                <w:szCs w:val="18"/>
              </w:rPr>
              <w:t>Stockholders’ equity at March 27, 2021</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18"/>
                <w:szCs w:val="18"/>
              </w:rPr>
              <w:t>115,587 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18"/>
                <w:szCs w:val="18"/>
              </w:rPr>
              <w:t>1,409 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18"/>
                <w:szCs w:val="18"/>
              </w:rPr>
              <w:t>1,154,451 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18"/>
                <w:szCs w:val="18"/>
              </w:rPr>
              <w:t>(3,610,362)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18"/>
                <w:szCs w:val="18"/>
              </w:rPr>
              <w:t>(1,118)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18"/>
                <w:szCs w:val="18"/>
              </w:rPr>
              <w:t>4,307,919 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18"/>
                <w:szCs w:val="18"/>
              </w:rPr>
              <w:t>1,852,299 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r>
      <w:tr w:rsidR="00000000">
        <w:trPr>
          <w:trHeight w:val="100"/>
          <w:jc w:val="center"/>
        </w:trPr>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613AEB">
            <w:pPr>
              <w:spacing w:after="100"/>
              <w:ind w:hanging="180"/>
              <w:divId w:val="1921407225"/>
              <w:rPr>
                <w:rFonts w:eastAsia="Times New Roman"/>
              </w:rPr>
            </w:pPr>
            <w:r>
              <w:rPr>
                <w:rFonts w:eastAsia="Times New Roman"/>
                <w:color w:val="000000"/>
                <w:sz w:val="18"/>
                <w:szCs w:val="18"/>
              </w:rPr>
              <w:t>Common stock issuance under stock award plans &amp; ESPP</w:t>
            </w: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18"/>
                <w:szCs w:val="18"/>
              </w:rPr>
              <w:t>154 </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18"/>
                <w:szCs w:val="18"/>
              </w:rPr>
              <w:t>1 </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18"/>
                <w:szCs w:val="18"/>
              </w:rPr>
              <w:t>11,317 </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18"/>
                <w:szCs w:val="18"/>
              </w:rPr>
              <w:t>11,318 </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613AEB">
            <w:pPr>
              <w:spacing w:after="100"/>
              <w:rPr>
                <w:rFonts w:eastAsia="Times New Roman"/>
              </w:rPr>
            </w:pPr>
            <w:r>
              <w:rPr>
                <w:rFonts w:eastAsia="Times New Roman"/>
                <w:color w:val="000000"/>
                <w:sz w:val="18"/>
                <w:szCs w:val="18"/>
              </w:rPr>
              <w:t>Share-based compensation expense</w:t>
            </w: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18"/>
                <w:szCs w:val="18"/>
              </w:rPr>
              <w:t>10,876 </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18"/>
                <w:szCs w:val="18"/>
              </w:rPr>
              <w:t>10,876 </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613AEB">
            <w:pPr>
              <w:spacing w:after="100"/>
              <w:ind w:hanging="180"/>
              <w:divId w:val="1715959801"/>
              <w:rPr>
                <w:rFonts w:eastAsia="Times New Roman"/>
              </w:rPr>
            </w:pPr>
            <w:r>
              <w:rPr>
                <w:rFonts w:eastAsia="Times New Roman"/>
                <w:color w:val="000000"/>
                <w:sz w:val="18"/>
                <w:szCs w:val="18"/>
              </w:rPr>
              <w:t>Repurchase of shares to satisfy tax obligations</w:t>
            </w: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ind w:hanging="18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18"/>
                <w:szCs w:val="18"/>
              </w:rPr>
              <w:t>(1,521)</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18"/>
                <w:szCs w:val="18"/>
              </w:rPr>
              <w:t>(1,521)</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613AEB">
            <w:pPr>
              <w:spacing w:after="100"/>
              <w:ind w:hanging="180"/>
              <w:divId w:val="608584812"/>
              <w:rPr>
                <w:rFonts w:eastAsia="Times New Roman"/>
              </w:rPr>
            </w:pPr>
            <w:r>
              <w:rPr>
                <w:rFonts w:eastAsia="Times New Roman"/>
                <w:color w:val="000000"/>
                <w:sz w:val="18"/>
                <w:szCs w:val="18"/>
              </w:rPr>
              <w:t>Repurchase of common stock</w:t>
            </w:r>
          </w:p>
        </w:tc>
        <w:tc>
          <w:tcPr>
            <w:tcW w:w="0" w:type="auto"/>
            <w:gridSpan w:val="2"/>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18"/>
                <w:szCs w:val="18"/>
              </w:rPr>
              <w:t>(1,118)</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18"/>
                <w:szCs w:val="18"/>
              </w:rPr>
              <w:t>(203,305)</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18"/>
                <w:szCs w:val="18"/>
              </w:rPr>
              <w:t>(203,305)</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613AEB">
            <w:pPr>
              <w:spacing w:after="100"/>
              <w:rPr>
                <w:rFonts w:eastAsia="Times New Roman"/>
              </w:rPr>
            </w:pPr>
            <w:r>
              <w:rPr>
                <w:rFonts w:eastAsia="Times New Roman"/>
                <w:color w:val="000000"/>
                <w:sz w:val="18"/>
                <w:szCs w:val="18"/>
              </w:rPr>
              <w:t>Cash dividends paid to stockholders</w:t>
            </w: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18"/>
                <w:szCs w:val="18"/>
              </w:rPr>
              <w:t>(59,896)</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18"/>
                <w:szCs w:val="18"/>
              </w:rPr>
              <w:t>(59,896)</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613AEB">
            <w:pPr>
              <w:spacing w:after="100"/>
              <w:ind w:hanging="180"/>
              <w:divId w:val="1832520621"/>
              <w:rPr>
                <w:rFonts w:eastAsia="Times New Roman"/>
              </w:rPr>
            </w:pPr>
            <w:r>
              <w:rPr>
                <w:rFonts w:eastAsia="Times New Roman"/>
                <w:color w:val="000000"/>
                <w:sz w:val="18"/>
                <w:szCs w:val="18"/>
              </w:rPr>
              <w:t>Change in fair value of interest rate swaps, net of taxes</w:t>
            </w: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ind w:hanging="18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18"/>
                <w:szCs w:val="18"/>
              </w:rPr>
              <w:t>320 </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18"/>
                <w:szCs w:val="18"/>
              </w:rPr>
              <w:t>320 </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613AEB">
            <w:pPr>
              <w:spacing w:after="100"/>
              <w:rPr>
                <w:rFonts w:eastAsia="Times New Roman"/>
              </w:rPr>
            </w:pPr>
            <w:r>
              <w:rPr>
                <w:rFonts w:eastAsia="Times New Roman"/>
                <w:color w:val="000000"/>
                <w:sz w:val="18"/>
                <w:szCs w:val="18"/>
              </w:rPr>
              <w:t>Net income</w:t>
            </w: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18"/>
                <w:szCs w:val="18"/>
              </w:rPr>
              <w:t>370,022 </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18"/>
                <w:szCs w:val="18"/>
              </w:rPr>
              <w:t>370,022 </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r>
      <w:tr w:rsidR="00613AEB">
        <w:trPr>
          <w:jc w:val="center"/>
        </w:trPr>
        <w:tc>
          <w:tcPr>
            <w:tcW w:w="0" w:type="auto"/>
            <w:gridSpan w:val="3"/>
            <w:shd w:val="clear" w:color="auto" w:fill="FFFFFF"/>
            <w:tcMar>
              <w:top w:w="30" w:type="dxa"/>
              <w:left w:w="20" w:type="dxa"/>
              <w:bottom w:w="30" w:type="dxa"/>
              <w:right w:w="20" w:type="dxa"/>
            </w:tcMar>
            <w:vAlign w:val="bottom"/>
            <w:hideMark/>
          </w:tcPr>
          <w:p w:rsidR="00000000" w:rsidRDefault="00613AEB">
            <w:pPr>
              <w:spacing w:after="100"/>
              <w:rPr>
                <w:rFonts w:eastAsia="Times New Roman"/>
              </w:rPr>
            </w:pPr>
            <w:r>
              <w:rPr>
                <w:rFonts w:eastAsia="Times New Roman"/>
                <w:b/>
                <w:bCs/>
                <w:color w:val="000000"/>
                <w:sz w:val="18"/>
                <w:szCs w:val="18"/>
              </w:rPr>
              <w:t>Stockholders’ equity at June 26, 2021</w:t>
            </w: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18"/>
                <w:szCs w:val="18"/>
              </w:rPr>
              <w:t>114,623 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18"/>
                <w:szCs w:val="18"/>
              </w:rPr>
              <w:t>1,410 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18"/>
                <w:szCs w:val="18"/>
              </w:rPr>
              <w:t>1,175,123 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18"/>
                <w:szCs w:val="18"/>
              </w:rPr>
              <w:t>(3,813,667)</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18"/>
                <w:szCs w:val="18"/>
              </w:rPr>
              <w:t>(798)</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18"/>
                <w:szCs w:val="18"/>
              </w:rPr>
              <w:t>4,618,045 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18"/>
                <w:szCs w:val="18"/>
              </w:rPr>
              <w:t>1,980,113 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r>
      <w:tr w:rsidR="00000000">
        <w:trPr>
          <w:jc w:val="center"/>
        </w:trPr>
        <w:tc>
          <w:tcPr>
            <w:tcW w:w="0" w:type="auto"/>
            <w:gridSpan w:val="3"/>
            <w:vAlign w:val="center"/>
            <w:hideMark/>
          </w:tcPr>
          <w:p w:rsidR="00000000" w:rsidRDefault="00613AEB">
            <w:pPr>
              <w:spacing w:after="100"/>
              <w:jc w:val="right"/>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r>
      <w:tr w:rsidR="00000000">
        <w:trPr>
          <w:jc w:val="center"/>
        </w:trPr>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r>
      <w:tr w:rsidR="00000000">
        <w:trPr>
          <w:jc w:val="center"/>
        </w:trPr>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r>
      <w:tr w:rsidR="00000000">
        <w:trPr>
          <w:jc w:val="center"/>
        </w:trPr>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r>
      <w:tr w:rsidR="00000000">
        <w:trPr>
          <w:jc w:val="center"/>
        </w:trPr>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r>
      <w:tr w:rsidR="00000000">
        <w:trPr>
          <w:jc w:val="center"/>
        </w:trPr>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r>
      <w:tr w:rsidR="00000000">
        <w:trPr>
          <w:jc w:val="center"/>
        </w:trPr>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r>
      <w:tr w:rsidR="00000000">
        <w:trPr>
          <w:jc w:val="center"/>
        </w:trPr>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r>
      <w:tr w:rsidR="00000000">
        <w:trPr>
          <w:jc w:val="center"/>
        </w:trPr>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r>
      <w:tr w:rsidR="00000000">
        <w:trPr>
          <w:jc w:val="center"/>
        </w:trPr>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r>
    </w:tbl>
    <w:p w:rsidR="00000000" w:rsidRDefault="00613AEB">
      <w:pPr>
        <w:jc w:val="center"/>
        <w:rPr>
          <w:rFonts w:eastAsia="Times New Roman"/>
        </w:rPr>
      </w:pPr>
    </w:p>
    <w:p w:rsidR="00000000" w:rsidRDefault="00613AEB">
      <w:pPr>
        <w:jc w:val="center"/>
        <w:rPr>
          <w:rFonts w:eastAsia="Times New Roman"/>
        </w:rPr>
      </w:pPr>
      <w:r>
        <w:rPr>
          <w:rFonts w:eastAsia="Times New Roman"/>
          <w:color w:val="000000"/>
          <w:sz w:val="20"/>
          <w:szCs w:val="20"/>
        </w:rPr>
        <w:t>The accompanying notes are an integral part of these Condensed Consolidated Financial Statements.</w:t>
      </w:r>
      <w:r>
        <w:rPr>
          <w:rFonts w:eastAsia="Times New Roman"/>
          <w:color w:val="000000"/>
          <w:sz w:val="16"/>
          <w:szCs w:val="16"/>
        </w:rPr>
        <w:t> </w:t>
      </w:r>
    </w:p>
    <w:p w:rsidR="00000000" w:rsidRDefault="00613AEB">
      <w:pPr>
        <w:jc w:val="center"/>
        <w:rPr>
          <w:rFonts w:eastAsia="Times New Roman"/>
        </w:rPr>
      </w:pPr>
    </w:p>
    <w:p w:rsidR="00000000" w:rsidRDefault="00613AEB">
      <w:pPr>
        <w:divId w:val="212085379"/>
        <w:rPr>
          <w:rFonts w:eastAsia="Times New Roman"/>
        </w:rPr>
      </w:pPr>
    </w:p>
    <w:p w:rsidR="00000000" w:rsidRDefault="00613AEB">
      <w:pPr>
        <w:jc w:val="center"/>
        <w:divId w:val="36469662"/>
        <w:rPr>
          <w:rFonts w:eastAsia="Times New Roman"/>
        </w:rPr>
      </w:pPr>
      <w:r>
        <w:rPr>
          <w:rFonts w:eastAsia="Times New Roman"/>
          <w:color w:val="000000"/>
          <w:sz w:val="20"/>
          <w:szCs w:val="20"/>
        </w:rPr>
        <w:t>Page 7</w:t>
      </w:r>
    </w:p>
    <w:p w:rsidR="00000000" w:rsidRDefault="00613AEB">
      <w:pPr>
        <w:rPr>
          <w:rFonts w:eastAsia="Times New Roman"/>
        </w:rPr>
      </w:pPr>
      <w:r>
        <w:rPr>
          <w:rFonts w:eastAsia="Times New Roman"/>
        </w:rPr>
        <w:pict>
          <v:rect id="_x0000_i1032" style="width:0;height:1.5pt" o:hralign="center" o:hrstd="t" o:hr="t" fillcolor="#a0a0a0" stroked="f"/>
        </w:pict>
      </w:r>
    </w:p>
    <w:p w:rsidR="00000000" w:rsidRDefault="00613AEB">
      <w:pPr>
        <w:divId w:val="2112042788"/>
        <w:rPr>
          <w:rFonts w:eastAsia="Times New Roman"/>
        </w:rPr>
      </w:pPr>
      <w:hyperlink w:anchor="i7b244a6903fc440faaf2365d228fe4ba_7" w:history="1">
        <w:r>
          <w:rPr>
            <w:rStyle w:val="a3"/>
            <w:rFonts w:eastAsia="Times New Roman"/>
            <w:sz w:val="16"/>
            <w:szCs w:val="16"/>
          </w:rPr>
          <w:t>Index</w:t>
        </w:r>
      </w:hyperlink>
    </w:p>
    <w:p w:rsidR="00000000" w:rsidRDefault="00613AEB">
      <w:pPr>
        <w:jc w:val="center"/>
        <w:rPr>
          <w:rFonts w:eastAsia="Times New Roman"/>
        </w:rPr>
      </w:pPr>
      <w:r>
        <w:rPr>
          <w:rFonts w:eastAsia="Times New Roman"/>
          <w:b/>
          <w:bCs/>
          <w:color w:val="000000"/>
          <w:sz w:val="20"/>
          <w:szCs w:val="20"/>
        </w:rPr>
        <w:t>TRACTOR SUPPLY COMPANY</w:t>
      </w:r>
    </w:p>
    <w:p w:rsidR="00000000" w:rsidRDefault="00613AEB">
      <w:pPr>
        <w:jc w:val="center"/>
        <w:rPr>
          <w:rFonts w:eastAsia="Times New Roman"/>
        </w:rPr>
      </w:pPr>
      <w:r>
        <w:rPr>
          <w:rFonts w:eastAsia="Times New Roman"/>
          <w:b/>
          <w:bCs/>
          <w:color w:val="000000"/>
          <w:sz w:val="20"/>
          <w:szCs w:val="20"/>
        </w:rPr>
        <w:t>CONDENSED CONSOLIDATED STATEMENTS OF CASH FLOWS</w:t>
      </w:r>
    </w:p>
    <w:p w:rsidR="00000000" w:rsidRDefault="00613AEB">
      <w:pPr>
        <w:jc w:val="center"/>
        <w:rPr>
          <w:rFonts w:eastAsia="Times New Roman"/>
        </w:rPr>
      </w:pPr>
      <w:r>
        <w:rPr>
          <w:rFonts w:eastAsia="Times New Roman"/>
          <w:b/>
          <w:bCs/>
          <w:color w:val="000000"/>
          <w:sz w:val="20"/>
          <w:szCs w:val="20"/>
        </w:rPr>
        <w:t>(in thousands)</w:t>
      </w:r>
    </w:p>
    <w:p w:rsidR="00000000" w:rsidRDefault="00613AEB">
      <w:pPr>
        <w:jc w:val="center"/>
        <w:rPr>
          <w:rFonts w:eastAsia="Times New Roman"/>
        </w:rPr>
      </w:pPr>
      <w:r>
        <w:rPr>
          <w:rFonts w:eastAsia="Times New Roman"/>
          <w:b/>
          <w:bCs/>
          <w:i/>
          <w:iCs/>
          <w:color w:val="000000"/>
          <w:sz w:val="20"/>
          <w:szCs w:val="20"/>
        </w:rPr>
        <w:t>(Unaudited)</w:t>
      </w:r>
    </w:p>
    <w:tbl>
      <w:tblPr>
        <w:tblW w:w="4992" w:type="pct"/>
        <w:jc w:val="center"/>
        <w:tblCellMar>
          <w:top w:w="15" w:type="dxa"/>
          <w:left w:w="15" w:type="dxa"/>
          <w:bottom w:w="15" w:type="dxa"/>
          <w:right w:w="15" w:type="dxa"/>
        </w:tblCellMar>
        <w:tblLook w:val="04A0" w:firstRow="1" w:lastRow="0" w:firstColumn="1" w:lastColumn="0" w:noHBand="0" w:noVBand="1"/>
      </w:tblPr>
      <w:tblGrid>
        <w:gridCol w:w="42"/>
        <w:gridCol w:w="5594"/>
        <w:gridCol w:w="41"/>
        <w:gridCol w:w="120"/>
        <w:gridCol w:w="1116"/>
        <w:gridCol w:w="36"/>
        <w:gridCol w:w="36"/>
        <w:gridCol w:w="36"/>
        <w:gridCol w:w="36"/>
        <w:gridCol w:w="120"/>
        <w:gridCol w:w="1080"/>
        <w:gridCol w:w="36"/>
      </w:tblGrid>
      <w:tr w:rsidR="00000000">
        <w:trPr>
          <w:jc w:val="center"/>
        </w:trPr>
        <w:tc>
          <w:tcPr>
            <w:tcW w:w="50" w:type="pct"/>
            <w:vAlign w:val="center"/>
            <w:hideMark/>
          </w:tcPr>
          <w:p w:rsidR="00000000" w:rsidRDefault="00613AEB">
            <w:pPr>
              <w:jc w:val="center"/>
              <w:rPr>
                <w:rFonts w:eastAsia="Times New Roman"/>
              </w:rPr>
            </w:pPr>
          </w:p>
        </w:tc>
        <w:tc>
          <w:tcPr>
            <w:tcW w:w="3400"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0" w:type="pct"/>
            <w:vAlign w:val="center"/>
            <w:hideMark/>
          </w:tcPr>
          <w:p w:rsidR="00000000" w:rsidRDefault="00613AEB">
            <w:pPr>
              <w:spacing w:after="100"/>
              <w:rPr>
                <w:rFonts w:eastAsia="Times New Roman"/>
                <w:sz w:val="20"/>
                <w:szCs w:val="20"/>
              </w:rPr>
            </w:pPr>
          </w:p>
        </w:tc>
        <w:tc>
          <w:tcPr>
            <w:tcW w:w="699"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26"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0" w:type="pct"/>
            <w:vAlign w:val="center"/>
            <w:hideMark/>
          </w:tcPr>
          <w:p w:rsidR="00000000" w:rsidRDefault="00613AEB">
            <w:pPr>
              <w:spacing w:after="100"/>
              <w:rPr>
                <w:rFonts w:eastAsia="Times New Roman"/>
                <w:sz w:val="20"/>
                <w:szCs w:val="20"/>
              </w:rPr>
            </w:pPr>
          </w:p>
        </w:tc>
        <w:tc>
          <w:tcPr>
            <w:tcW w:w="699"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 </w:t>
            </w:r>
          </w:p>
        </w:tc>
        <w:tc>
          <w:tcPr>
            <w:tcW w:w="0" w:type="auto"/>
            <w:gridSpan w:val="9"/>
            <w:tcMar>
              <w:top w:w="30" w:type="dxa"/>
              <w:left w:w="20" w:type="dxa"/>
              <w:bottom w:w="30" w:type="dxa"/>
              <w:right w:w="20" w:type="dxa"/>
            </w:tcMar>
            <w:vAlign w:val="bottom"/>
            <w:hideMark/>
          </w:tcPr>
          <w:p w:rsidR="00000000" w:rsidRDefault="00613AEB">
            <w:pPr>
              <w:spacing w:after="100"/>
              <w:jc w:val="center"/>
              <w:rPr>
                <w:rFonts w:eastAsia="Times New Roman"/>
              </w:rPr>
            </w:pPr>
            <w:r>
              <w:rPr>
                <w:rFonts w:eastAsia="Times New Roman"/>
                <w:b/>
                <w:bCs/>
                <w:color w:val="000000"/>
                <w:sz w:val="20"/>
                <w:szCs w:val="20"/>
              </w:rPr>
              <w:t>For the Fiscal Six Months Ended</w:t>
            </w:r>
          </w:p>
        </w:tc>
      </w:tr>
      <w:tr w:rsidR="00000000">
        <w:trPr>
          <w:jc w:val="center"/>
        </w:trPr>
        <w:tc>
          <w:tcPr>
            <w:tcW w:w="0" w:type="auto"/>
            <w:gridSpan w:val="3"/>
            <w:tcMar>
              <w:top w:w="30" w:type="dxa"/>
              <w:left w:w="20"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13AEB">
            <w:pPr>
              <w:spacing w:after="100"/>
              <w:jc w:val="center"/>
              <w:rPr>
                <w:rFonts w:eastAsia="Times New Roman"/>
              </w:rPr>
            </w:pPr>
            <w:r>
              <w:rPr>
                <w:rFonts w:eastAsia="Times New Roman"/>
                <w:b/>
                <w:bCs/>
                <w:color w:val="000000"/>
                <w:sz w:val="20"/>
                <w:szCs w:val="20"/>
              </w:rPr>
              <w:t>June 25,</w:t>
            </w:r>
            <w:r>
              <w:rPr>
                <w:rFonts w:eastAsia="Times New Roman"/>
                <w:b/>
                <w:bCs/>
                <w:color w:val="000000"/>
                <w:sz w:val="20"/>
                <w:szCs w:val="20"/>
              </w:rPr>
              <w:b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13AE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13AEB">
            <w:pPr>
              <w:spacing w:after="100"/>
              <w:jc w:val="center"/>
              <w:rPr>
                <w:rFonts w:eastAsia="Times New Roman"/>
              </w:rPr>
            </w:pPr>
            <w:r>
              <w:rPr>
                <w:rFonts w:eastAsia="Times New Roman"/>
                <w:b/>
                <w:bCs/>
                <w:color w:val="000000"/>
                <w:sz w:val="20"/>
                <w:szCs w:val="20"/>
              </w:rPr>
              <w:t>June 26,</w:t>
            </w:r>
            <w:r>
              <w:rPr>
                <w:rFonts w:eastAsia="Times New Roman"/>
                <w:b/>
                <w:bCs/>
                <w:color w:val="000000"/>
                <w:sz w:val="20"/>
                <w:szCs w:val="20"/>
              </w:rPr>
              <w:br/>
              <w:t>2021</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613AEB">
            <w:pPr>
              <w:spacing w:after="100"/>
              <w:rPr>
                <w:rFonts w:eastAsia="Times New Roman"/>
              </w:rPr>
            </w:pPr>
            <w:r>
              <w:rPr>
                <w:rFonts w:eastAsia="Times New Roman"/>
                <w:b/>
                <w:bCs/>
                <w:color w:val="000000"/>
                <w:sz w:val="20"/>
                <w:szCs w:val="20"/>
              </w:rPr>
              <w:t>Cash flows from operating activities: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 </w:t>
            </w: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Net income</w:t>
            </w:r>
          </w:p>
        </w:tc>
        <w:tc>
          <w:tcPr>
            <w:tcW w:w="0" w:type="auto"/>
            <w:shd w:val="clear" w:color="auto" w:fill="FFFF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583,705 </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551,376 </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Adjustments to reconcile net income to net cash provided by operating activities:</w:t>
            </w: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Depreciation and amortization</w:t>
            </w:r>
          </w:p>
        </w:tc>
        <w:tc>
          <w:tcPr>
            <w:tcW w:w="0" w:type="auto"/>
            <w:gridSpan w:val="2"/>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161,006 </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124,907 </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Loss on disposition of property and equipment</w:t>
            </w: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594 </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3,752 </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Share-based compensation expense</w:t>
            </w:r>
          </w:p>
        </w:tc>
        <w:tc>
          <w:tcPr>
            <w:tcW w:w="0" w:type="auto"/>
            <w:gridSpan w:val="2"/>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24,850 </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23,194 </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Deferred income taxes</w:t>
            </w: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38,693 </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12,814 </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Change in assets and liabilities:</w:t>
            </w:r>
          </w:p>
        </w:tc>
        <w:tc>
          <w:tcPr>
            <w:tcW w:w="0" w:type="auto"/>
            <w:gridSpan w:val="3"/>
            <w:shd w:val="clear" w:color="auto" w:fill="FFFFFF"/>
            <w:tcMar>
              <w:top w:w="30" w:type="dxa"/>
              <w:left w:w="20" w:type="dxa"/>
              <w:bottom w:w="30" w:type="dxa"/>
              <w:right w:w="20" w:type="dxa"/>
            </w:tcMar>
            <w:vAlign w:val="bottom"/>
            <w:hideMark/>
          </w:tcPr>
          <w:p w:rsidR="00000000" w:rsidRDefault="00613AEB">
            <w:pPr>
              <w:spacing w:after="100"/>
              <w:jc w:val="right"/>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613AEB">
            <w:pPr>
              <w:spacing w:after="100"/>
              <w:jc w:val="right"/>
              <w:rPr>
                <w:rFonts w:eastAsia="Times New Roman"/>
              </w:rPr>
            </w:pPr>
            <w:r>
              <w:rPr>
                <w:rFonts w:eastAsia="Times New Roman"/>
                <w:color w:val="000000"/>
                <w:sz w:val="20"/>
                <w:szCs w:val="20"/>
              </w:rPr>
              <w:t> </w:t>
            </w:r>
          </w:p>
        </w:tc>
      </w:tr>
      <w:tr w:rsidR="00000000">
        <w:trPr>
          <w:jc w:val="center"/>
        </w:trPr>
        <w:tc>
          <w:tcPr>
            <w:tcW w:w="0" w:type="auto"/>
            <w:gridSpan w:val="3"/>
            <w:shd w:val="clear" w:color="auto" w:fill="CCEEFF"/>
            <w:tcMar>
              <w:top w:w="30" w:type="dxa"/>
              <w:left w:w="515"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Inventories</w:t>
            </w: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(293,946)</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(209,554)</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r>
      <w:tr w:rsidR="00000000">
        <w:trPr>
          <w:jc w:val="center"/>
        </w:trPr>
        <w:tc>
          <w:tcPr>
            <w:tcW w:w="0" w:type="auto"/>
            <w:gridSpan w:val="3"/>
            <w:shd w:val="clear" w:color="auto" w:fill="FFFFFF"/>
            <w:tcMar>
              <w:top w:w="30" w:type="dxa"/>
              <w:left w:w="515"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Prepaid expenses and other current assets</w:t>
            </w:r>
          </w:p>
        </w:tc>
        <w:tc>
          <w:tcPr>
            <w:tcW w:w="0" w:type="auto"/>
            <w:gridSpan w:val="2"/>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(50,318)</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(28,659)</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r>
      <w:tr w:rsidR="00000000">
        <w:trPr>
          <w:jc w:val="center"/>
        </w:trPr>
        <w:tc>
          <w:tcPr>
            <w:tcW w:w="0" w:type="auto"/>
            <w:gridSpan w:val="3"/>
            <w:shd w:val="clear" w:color="auto" w:fill="CCEEFF"/>
            <w:tcMar>
              <w:top w:w="30" w:type="dxa"/>
              <w:left w:w="515"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Accounts payable</w:t>
            </w: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124,888 </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245,815 </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r>
      <w:tr w:rsidR="00000000">
        <w:trPr>
          <w:jc w:val="center"/>
        </w:trPr>
        <w:tc>
          <w:tcPr>
            <w:tcW w:w="0" w:type="auto"/>
            <w:gridSpan w:val="3"/>
            <w:shd w:val="clear" w:color="auto" w:fill="FFFFFF"/>
            <w:tcMar>
              <w:top w:w="30" w:type="dxa"/>
              <w:left w:w="515"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Accrued employee compensation</w:t>
            </w:r>
          </w:p>
        </w:tc>
        <w:tc>
          <w:tcPr>
            <w:tcW w:w="0" w:type="auto"/>
            <w:gridSpan w:val="2"/>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(67,144)</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(34,891)</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r>
      <w:tr w:rsidR="00000000">
        <w:trPr>
          <w:jc w:val="center"/>
        </w:trPr>
        <w:tc>
          <w:tcPr>
            <w:tcW w:w="0" w:type="auto"/>
            <w:gridSpan w:val="3"/>
            <w:shd w:val="clear" w:color="auto" w:fill="CCEEFF"/>
            <w:tcMar>
              <w:top w:w="30" w:type="dxa"/>
              <w:left w:w="515"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Other accrued expenses</w:t>
            </w: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(22,896)</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59,247 </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r>
      <w:tr w:rsidR="00000000">
        <w:trPr>
          <w:jc w:val="center"/>
        </w:trPr>
        <w:tc>
          <w:tcPr>
            <w:tcW w:w="0" w:type="auto"/>
            <w:gridSpan w:val="3"/>
            <w:shd w:val="clear" w:color="auto" w:fill="FFFFFF"/>
            <w:tcMar>
              <w:top w:w="30" w:type="dxa"/>
              <w:left w:w="515"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Income taxes</w:t>
            </w:r>
          </w:p>
        </w:tc>
        <w:tc>
          <w:tcPr>
            <w:tcW w:w="0" w:type="auto"/>
            <w:gridSpan w:val="2"/>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98,059 </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64,140 </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r>
      <w:tr w:rsidR="00000000">
        <w:trPr>
          <w:jc w:val="center"/>
        </w:trPr>
        <w:tc>
          <w:tcPr>
            <w:tcW w:w="0" w:type="auto"/>
            <w:gridSpan w:val="3"/>
            <w:shd w:val="clear" w:color="auto" w:fill="CCEEFF"/>
            <w:tcMar>
              <w:top w:w="30" w:type="dxa"/>
              <w:left w:w="515"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28,114 </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(3,234)</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r>
      <w:tr w:rsidR="00000000">
        <w:trPr>
          <w:jc w:val="center"/>
        </w:trPr>
        <w:tc>
          <w:tcPr>
            <w:tcW w:w="0" w:type="auto"/>
            <w:gridSpan w:val="3"/>
            <w:shd w:val="clear" w:color="auto" w:fill="FFFFFF"/>
            <w:tcMar>
              <w:top w:w="30" w:type="dxa"/>
              <w:left w:w="515"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Net cash provided by operating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625,605 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808,907 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613AEB">
            <w:pPr>
              <w:spacing w:after="100"/>
              <w:rPr>
                <w:rFonts w:eastAsia="Times New Roman"/>
              </w:rPr>
            </w:pPr>
            <w:r>
              <w:rPr>
                <w:rFonts w:eastAsia="Times New Roman"/>
                <w:b/>
                <w:bCs/>
                <w:color w:val="000000"/>
                <w:sz w:val="20"/>
                <w:szCs w:val="20"/>
              </w:rPr>
              <w:t>Cash flows from investing activities: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613AEB">
            <w:pPr>
              <w:spacing w:after="100"/>
              <w:jc w:val="right"/>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613AEB">
            <w:pPr>
              <w:spacing w:after="100"/>
              <w:jc w:val="right"/>
              <w:rPr>
                <w:rFonts w:eastAsia="Times New Roman"/>
              </w:rPr>
            </w:pPr>
            <w:r>
              <w:rPr>
                <w:rFonts w:eastAsia="Times New Roman"/>
                <w:color w:val="000000"/>
                <w:sz w:val="20"/>
                <w:szCs w:val="20"/>
              </w:rPr>
              <w:t> </w:t>
            </w: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Capital expenditures</w:t>
            </w:r>
          </w:p>
        </w:tc>
        <w:tc>
          <w:tcPr>
            <w:tcW w:w="0" w:type="auto"/>
            <w:gridSpan w:val="2"/>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(265,308)</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(216,029)</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Proceeds from sale of property and equipment</w:t>
            </w: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178 </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316 </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r>
      <w:tr w:rsidR="00000000">
        <w:trPr>
          <w:jc w:val="center"/>
        </w:trPr>
        <w:tc>
          <w:tcPr>
            <w:tcW w:w="0" w:type="auto"/>
            <w:gridSpan w:val="3"/>
            <w:vAlign w:val="center"/>
            <w:hideMark/>
          </w:tcPr>
          <w:p w:rsidR="00000000" w:rsidRDefault="00613AEB">
            <w:pPr>
              <w:spacing w:after="100"/>
              <w:jc w:val="right"/>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r>
      <w:tr w:rsidR="00000000">
        <w:trPr>
          <w:jc w:val="center"/>
        </w:trPr>
        <w:tc>
          <w:tcPr>
            <w:tcW w:w="0" w:type="auto"/>
            <w:gridSpan w:val="3"/>
            <w:shd w:val="clear" w:color="auto" w:fill="FFFFFF"/>
            <w:tcMar>
              <w:top w:w="30" w:type="dxa"/>
              <w:left w:w="515"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Net cash used in investing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(265,130)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(215,713)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613AEB">
            <w:pPr>
              <w:spacing w:after="100"/>
              <w:rPr>
                <w:rFonts w:eastAsia="Times New Roman"/>
              </w:rPr>
            </w:pPr>
            <w:r>
              <w:rPr>
                <w:rFonts w:eastAsia="Times New Roman"/>
                <w:b/>
                <w:bCs/>
                <w:color w:val="000000"/>
                <w:sz w:val="20"/>
                <w:szCs w:val="20"/>
              </w:rPr>
              <w:t>Cash flows from financing activities: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613AEB">
            <w:pPr>
              <w:spacing w:after="100"/>
              <w:jc w:val="right"/>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613AEB">
            <w:pPr>
              <w:spacing w:after="100"/>
              <w:jc w:val="right"/>
              <w:rPr>
                <w:rFonts w:eastAsia="Times New Roman"/>
              </w:rPr>
            </w:pPr>
            <w:r>
              <w:rPr>
                <w:rFonts w:eastAsia="Times New Roman"/>
                <w:color w:val="000000"/>
                <w:sz w:val="20"/>
                <w:szCs w:val="20"/>
              </w:rPr>
              <w:t> </w:t>
            </w:r>
          </w:p>
        </w:tc>
      </w:tr>
      <w:tr w:rsidR="00000000">
        <w:trPr>
          <w:jc w:val="center"/>
        </w:trPr>
        <w:tc>
          <w:tcPr>
            <w:tcW w:w="0" w:type="auto"/>
            <w:gridSpan w:val="3"/>
            <w:vAlign w:val="center"/>
            <w:hideMark/>
          </w:tcPr>
          <w:p w:rsidR="00000000" w:rsidRDefault="00613AEB">
            <w:pPr>
              <w:spacing w:after="100"/>
              <w:jc w:val="right"/>
              <w:rPr>
                <w:rFonts w:eastAsia="Times New Roman"/>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r>
      <w:tr w:rsidR="00000000">
        <w:trPr>
          <w:jc w:val="center"/>
        </w:trPr>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r>
      <w:tr w:rsidR="00000000">
        <w:trPr>
          <w:jc w:val="center"/>
        </w:trPr>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r>
      <w:tr w:rsidR="00000000">
        <w:trPr>
          <w:jc w:val="center"/>
        </w:trPr>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Principal payments under finance lease liabilities</w:t>
            </w:r>
          </w:p>
        </w:tc>
        <w:tc>
          <w:tcPr>
            <w:tcW w:w="0" w:type="auto"/>
            <w:gridSpan w:val="2"/>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(2,527)</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(2,207)</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Repurchase of shares to satisfy tax obligations</w:t>
            </w: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(27,672)</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(13,588)</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Repurchase of common stock</w:t>
            </w:r>
          </w:p>
        </w:tc>
        <w:tc>
          <w:tcPr>
            <w:tcW w:w="0" w:type="auto"/>
            <w:gridSpan w:val="2"/>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(484,390)</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(456,714)</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Net proceeds from issuance of common stock</w:t>
            </w: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12,995 </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70,026 </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Cash dividends paid to stockholders</w:t>
            </w:r>
          </w:p>
        </w:tc>
        <w:tc>
          <w:tcPr>
            <w:tcW w:w="0" w:type="auto"/>
            <w:gridSpan w:val="2"/>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(206,089)</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(120,466)</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r>
      <w:tr w:rsidR="00000000">
        <w:trPr>
          <w:jc w:val="center"/>
        </w:trPr>
        <w:tc>
          <w:tcPr>
            <w:tcW w:w="0" w:type="auto"/>
            <w:gridSpan w:val="3"/>
            <w:shd w:val="clear" w:color="auto" w:fill="CCEEFF"/>
            <w:tcMar>
              <w:top w:w="30" w:type="dxa"/>
              <w:left w:w="515"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Net cash used in financing activities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(707,683)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(522,949)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613AEB">
            <w:pPr>
              <w:spacing w:after="100"/>
              <w:rPr>
                <w:rFonts w:eastAsia="Times New Roman"/>
              </w:rPr>
            </w:pPr>
            <w:r>
              <w:rPr>
                <w:rFonts w:eastAsia="Times New Roman"/>
                <w:b/>
                <w:bCs/>
                <w:color w:val="000000"/>
                <w:sz w:val="20"/>
                <w:szCs w:val="20"/>
              </w:rPr>
              <w:t>Net (decrease)/increase in cash and cash equivalents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(347,208)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70,245 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Cash and cash equivalents at beginning of period</w:t>
            </w: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878,030 </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1,341,756 </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Cash and cash equivalents at end of period</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530,822 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1,412,001 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r>
      <w:tr w:rsidR="00000000">
        <w:trPr>
          <w:trHeight w:val="100"/>
          <w:jc w:val="center"/>
        </w:trPr>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613AEB">
            <w:pPr>
              <w:spacing w:after="100"/>
              <w:rPr>
                <w:rFonts w:eastAsia="Times New Roman"/>
              </w:rPr>
            </w:pPr>
            <w:r>
              <w:rPr>
                <w:rFonts w:eastAsia="Times New Roman"/>
                <w:b/>
                <w:bCs/>
                <w:color w:val="000000"/>
                <w:sz w:val="20"/>
                <w:szCs w:val="20"/>
              </w:rPr>
              <w:t>Supplemental disclosures of cash flow information:</w:t>
            </w:r>
          </w:p>
        </w:tc>
        <w:tc>
          <w:tcPr>
            <w:tcW w:w="0" w:type="auto"/>
            <w:gridSpan w:val="3"/>
            <w:shd w:val="clear" w:color="auto" w:fill="FFFFFF"/>
            <w:tcMar>
              <w:top w:w="30" w:type="dxa"/>
              <w:left w:w="20" w:type="dxa"/>
              <w:bottom w:w="30" w:type="dxa"/>
              <w:right w:w="20" w:type="dxa"/>
            </w:tcMar>
            <w:vAlign w:val="bottom"/>
            <w:hideMark/>
          </w:tcPr>
          <w:p w:rsidR="00000000" w:rsidRDefault="00613AEB">
            <w:pPr>
              <w:spacing w:after="100"/>
              <w:jc w:val="right"/>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613AEB">
            <w:pPr>
              <w:spacing w:after="100"/>
              <w:jc w:val="right"/>
              <w:rPr>
                <w:rFonts w:eastAsia="Times New Roman"/>
              </w:rPr>
            </w:pPr>
            <w:r>
              <w:rPr>
                <w:rFonts w:eastAsia="Times New Roman"/>
                <w:color w:val="000000"/>
                <w:sz w:val="20"/>
                <w:szCs w:val="20"/>
              </w:rPr>
              <w:t> </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Cash paid during the period for:</w:t>
            </w:r>
          </w:p>
        </w:tc>
        <w:tc>
          <w:tcPr>
            <w:tcW w:w="0" w:type="auto"/>
            <w:gridSpan w:val="3"/>
            <w:shd w:val="clear" w:color="auto" w:fill="CCEEFF"/>
            <w:tcMar>
              <w:top w:w="30" w:type="dxa"/>
              <w:left w:w="20" w:type="dxa"/>
              <w:bottom w:w="30" w:type="dxa"/>
              <w:right w:w="20" w:type="dxa"/>
            </w:tcMar>
            <w:vAlign w:val="bottom"/>
            <w:hideMark/>
          </w:tcPr>
          <w:p w:rsidR="00000000" w:rsidRDefault="00613AEB">
            <w:pPr>
              <w:spacing w:after="100"/>
              <w:jc w:val="right"/>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613AEB">
            <w:pPr>
              <w:spacing w:after="100"/>
              <w:jc w:val="right"/>
              <w:rPr>
                <w:rFonts w:eastAsia="Times New Roman"/>
              </w:rPr>
            </w:pPr>
            <w:r>
              <w:rPr>
                <w:rFonts w:eastAsia="Times New Roman"/>
                <w:color w:val="000000"/>
                <w:sz w:val="20"/>
                <w:szCs w:val="20"/>
              </w:rPr>
              <w:t> </w:t>
            </w: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Interest</w:t>
            </w:r>
          </w:p>
        </w:tc>
        <w:tc>
          <w:tcPr>
            <w:tcW w:w="0" w:type="auto"/>
            <w:shd w:val="clear" w:color="auto" w:fill="FFFF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11,673 </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11,626 </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Income taxes</w:t>
            </w: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36,820 </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74,457 </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r>
      <w:tr w:rsidR="00000000">
        <w:trPr>
          <w:trHeight w:val="60"/>
          <w:jc w:val="center"/>
        </w:trPr>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613AEB">
            <w:pPr>
              <w:spacing w:after="100"/>
              <w:rPr>
                <w:rFonts w:eastAsia="Times New Roman"/>
              </w:rPr>
            </w:pPr>
            <w:r>
              <w:rPr>
                <w:rFonts w:eastAsia="Times New Roman"/>
                <w:b/>
                <w:bCs/>
                <w:color w:val="000000"/>
                <w:sz w:val="20"/>
                <w:szCs w:val="20"/>
              </w:rPr>
              <w:t>Supplemental disclosures of non-cash activities:</w:t>
            </w: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Non-cash accruals for property and equipment</w:t>
            </w:r>
          </w:p>
        </w:tc>
        <w:tc>
          <w:tcPr>
            <w:tcW w:w="0" w:type="auto"/>
            <w:shd w:val="clear" w:color="auto" w:fill="FFFF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42,974 </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10,418 </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Increase of operating lease assets and liabilities from new or modified leases</w:t>
            </w: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135,858 </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404,100 </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Increase of finance lease assets and liabilities from new or modified leases</w:t>
            </w:r>
          </w:p>
        </w:tc>
        <w:tc>
          <w:tcPr>
            <w:tcW w:w="0" w:type="auto"/>
            <w:gridSpan w:val="2"/>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5,143 </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r>
      <w:tr w:rsidR="00000000">
        <w:trPr>
          <w:jc w:val="center"/>
        </w:trPr>
        <w:tc>
          <w:tcPr>
            <w:tcW w:w="0" w:type="auto"/>
            <w:gridSpan w:val="3"/>
            <w:vAlign w:val="center"/>
            <w:hideMark/>
          </w:tcPr>
          <w:p w:rsidR="00000000" w:rsidRDefault="00613AEB">
            <w:pPr>
              <w:spacing w:after="100"/>
              <w:jc w:val="right"/>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r>
    </w:tbl>
    <w:p w:rsidR="00000000" w:rsidRDefault="00613AEB">
      <w:pPr>
        <w:jc w:val="center"/>
        <w:rPr>
          <w:rFonts w:eastAsia="Times New Roman"/>
        </w:rPr>
      </w:pPr>
    </w:p>
    <w:p w:rsidR="00000000" w:rsidRDefault="00613AEB">
      <w:pPr>
        <w:jc w:val="center"/>
        <w:rPr>
          <w:rFonts w:eastAsia="Times New Roman"/>
        </w:rPr>
      </w:pPr>
      <w:r>
        <w:rPr>
          <w:rFonts w:eastAsia="Times New Roman"/>
          <w:color w:val="000000"/>
          <w:sz w:val="20"/>
          <w:szCs w:val="20"/>
        </w:rPr>
        <w:t>The accompanying notes are an integral part of these Condensed Consolidated Financial Statements.</w:t>
      </w:r>
      <w:r>
        <w:rPr>
          <w:rFonts w:eastAsia="Times New Roman"/>
          <w:color w:val="000000"/>
          <w:sz w:val="16"/>
          <w:szCs w:val="16"/>
        </w:rPr>
        <w:t> </w:t>
      </w:r>
    </w:p>
    <w:p w:rsidR="00000000" w:rsidRDefault="00613AEB">
      <w:pPr>
        <w:jc w:val="center"/>
        <w:divId w:val="147288389"/>
        <w:rPr>
          <w:rFonts w:eastAsia="Times New Roman"/>
        </w:rPr>
      </w:pPr>
      <w:r>
        <w:rPr>
          <w:rFonts w:eastAsia="Times New Roman"/>
          <w:color w:val="000000"/>
          <w:sz w:val="20"/>
          <w:szCs w:val="20"/>
        </w:rPr>
        <w:t>Page 8</w:t>
      </w:r>
    </w:p>
    <w:p w:rsidR="00000000" w:rsidRDefault="00613AEB">
      <w:pPr>
        <w:rPr>
          <w:rFonts w:eastAsia="Times New Roman"/>
        </w:rPr>
      </w:pPr>
      <w:r>
        <w:rPr>
          <w:rFonts w:eastAsia="Times New Roman"/>
        </w:rPr>
        <w:pict>
          <v:rect id="_x0000_i1033" style="width:0;height:1.5pt" o:hralign="center" o:hrstd="t" o:hr="t" fillcolor="#a0a0a0" stroked="f"/>
        </w:pict>
      </w:r>
    </w:p>
    <w:p w:rsidR="00000000" w:rsidRDefault="00613AEB">
      <w:pPr>
        <w:divId w:val="1787115869"/>
        <w:rPr>
          <w:rFonts w:eastAsia="Times New Roman"/>
        </w:rPr>
      </w:pPr>
      <w:hyperlink w:anchor="i7b244a6903fc440faaf2365d228fe4ba_7" w:history="1">
        <w:r>
          <w:rPr>
            <w:rStyle w:val="a3"/>
            <w:rFonts w:eastAsia="Times New Roman"/>
            <w:sz w:val="16"/>
            <w:szCs w:val="16"/>
          </w:rPr>
          <w:t>Index</w:t>
        </w:r>
      </w:hyperlink>
    </w:p>
    <w:p w:rsidR="00000000" w:rsidRDefault="00613AEB">
      <w:pPr>
        <w:jc w:val="center"/>
        <w:rPr>
          <w:rFonts w:eastAsia="Times New Roman"/>
        </w:rPr>
      </w:pPr>
      <w:r>
        <w:rPr>
          <w:rFonts w:eastAsia="Times New Roman"/>
          <w:b/>
          <w:bCs/>
          <w:color w:val="000000"/>
          <w:sz w:val="20"/>
          <w:szCs w:val="20"/>
        </w:rPr>
        <w:t>TRACTOR SUPPLY COMPANY</w:t>
      </w:r>
    </w:p>
    <w:p w:rsidR="00000000" w:rsidRDefault="00613AEB">
      <w:pPr>
        <w:jc w:val="center"/>
        <w:rPr>
          <w:rFonts w:eastAsia="Times New Roman"/>
        </w:rPr>
      </w:pPr>
    </w:p>
    <w:p w:rsidR="00000000" w:rsidRDefault="00613AEB">
      <w:pPr>
        <w:jc w:val="center"/>
        <w:rPr>
          <w:rFonts w:eastAsia="Times New Roman"/>
        </w:rPr>
      </w:pPr>
      <w:r>
        <w:rPr>
          <w:rFonts w:eastAsia="Times New Roman"/>
          <w:b/>
          <w:bCs/>
          <w:color w:val="000000"/>
          <w:sz w:val="20"/>
          <w:szCs w:val="20"/>
        </w:rPr>
        <w:t>NOTES TO UNAUDITED CONDEN</w:t>
      </w:r>
      <w:r>
        <w:rPr>
          <w:rFonts w:eastAsia="Times New Roman"/>
          <w:b/>
          <w:bCs/>
          <w:color w:val="000000"/>
          <w:sz w:val="20"/>
          <w:szCs w:val="20"/>
        </w:rPr>
        <w:t>SED CONSOLIDATED FINANCIAL STATEMENTS</w:t>
      </w:r>
    </w:p>
    <w:p w:rsidR="00000000" w:rsidRDefault="00613AEB">
      <w:pPr>
        <w:divId w:val="589387158"/>
        <w:rPr>
          <w:rFonts w:eastAsia="Times New Roman"/>
        </w:rPr>
      </w:pPr>
    </w:p>
    <w:p w:rsidR="00000000" w:rsidRDefault="00613AEB">
      <w:pPr>
        <w:jc w:val="both"/>
        <w:rPr>
          <w:rFonts w:eastAsia="Times New Roman"/>
        </w:rPr>
      </w:pPr>
      <w:r>
        <w:rPr>
          <w:rFonts w:eastAsia="Times New Roman"/>
          <w:b/>
          <w:bCs/>
          <w:color w:val="000000"/>
          <w:sz w:val="20"/>
          <w:szCs w:val="20"/>
        </w:rPr>
        <w:t>Note 1 – General:</w:t>
      </w:r>
    </w:p>
    <w:p w:rsidR="00000000" w:rsidRDefault="00613AEB">
      <w:pPr>
        <w:jc w:val="both"/>
        <w:rPr>
          <w:rFonts w:eastAsia="Times New Roman"/>
        </w:rPr>
      </w:pPr>
    </w:p>
    <w:p w:rsidR="00000000" w:rsidRDefault="00613AEB">
      <w:pPr>
        <w:jc w:val="both"/>
        <w:rPr>
          <w:rFonts w:eastAsia="Times New Roman"/>
        </w:rPr>
      </w:pPr>
      <w:r>
        <w:rPr>
          <w:rFonts w:eastAsia="Times New Roman"/>
          <w:color w:val="000000"/>
          <w:sz w:val="20"/>
          <w:szCs w:val="20"/>
          <w:u w:val="single"/>
        </w:rPr>
        <w:t>Nature of Business</w:t>
      </w:r>
    </w:p>
    <w:p w:rsidR="00000000" w:rsidRDefault="00613AEB">
      <w:pPr>
        <w:jc w:val="both"/>
        <w:rPr>
          <w:rFonts w:eastAsia="Times New Roman"/>
        </w:rPr>
      </w:pPr>
    </w:p>
    <w:p w:rsidR="00000000" w:rsidRDefault="00613AEB">
      <w:pPr>
        <w:jc w:val="both"/>
        <w:rPr>
          <w:rFonts w:eastAsia="Times New Roman"/>
        </w:rPr>
      </w:pPr>
      <w:r>
        <w:rPr>
          <w:rFonts w:eastAsia="Times New Roman"/>
          <w:color w:val="000000"/>
          <w:sz w:val="20"/>
          <w:szCs w:val="20"/>
        </w:rPr>
        <w:t>Founded in 1938, Tractor Supply Company (the “Company,” “Tractor Supply,” “we,” “our,” or “us”) is the largest rural lifestyle retailer in the United States (“U.S.”). The Comp</w:t>
      </w:r>
      <w:r>
        <w:rPr>
          <w:rFonts w:eastAsia="Times New Roman"/>
          <w:color w:val="000000"/>
          <w:sz w:val="20"/>
          <w:szCs w:val="20"/>
        </w:rPr>
        <w:t>any is focused on supplying the needs of recreational farmers, ranchers, and all those who enjoy living the rural lifestyle (which we refer to as the “</w:t>
      </w:r>
      <w:r>
        <w:rPr>
          <w:rFonts w:eastAsia="Times New Roman"/>
          <w:i/>
          <w:iCs/>
          <w:color w:val="000000"/>
          <w:sz w:val="20"/>
          <w:szCs w:val="20"/>
        </w:rPr>
        <w:t>Out Here</w:t>
      </w:r>
      <w:r>
        <w:rPr>
          <w:rFonts w:eastAsia="Times New Roman"/>
          <w:color w:val="000000"/>
          <w:sz w:val="20"/>
          <w:szCs w:val="20"/>
        </w:rPr>
        <w:t>” lifestyle). The Company's stores are located primarily in towns outlying major metropolitan mar</w:t>
      </w:r>
      <w:r>
        <w:rPr>
          <w:rFonts w:eastAsia="Times New Roman"/>
          <w:color w:val="000000"/>
          <w:sz w:val="20"/>
          <w:szCs w:val="20"/>
        </w:rPr>
        <w:t xml:space="preserve">kets and in rural communities. The Company also owns and operates Petsense, LLC ("Petsense"), a small-box pet specialty supply retailer focused on meeting the needs of pet owners, primarily in small and mid-sized communities, and offering a variety of pet </w:t>
      </w:r>
      <w:r>
        <w:rPr>
          <w:rFonts w:eastAsia="Times New Roman"/>
          <w:color w:val="000000"/>
          <w:sz w:val="20"/>
          <w:szCs w:val="20"/>
        </w:rPr>
        <w:t>products and services. At June 25, 2022, the Company operated a total of 2,194 retail stores in 49 states (2,016 Tractor Supply retail stores and 178 Petsense retail stores) and also offered an expanded assortment of products through the Tractor Supply mob</w:t>
      </w:r>
      <w:r>
        <w:rPr>
          <w:rFonts w:eastAsia="Times New Roman"/>
          <w:color w:val="000000"/>
          <w:sz w:val="20"/>
          <w:szCs w:val="20"/>
        </w:rPr>
        <w:t xml:space="preserve">ile application and online at </w:t>
      </w:r>
      <w:r>
        <w:rPr>
          <w:rFonts w:eastAsia="Times New Roman"/>
          <w:i/>
          <w:iCs/>
          <w:color w:val="000000"/>
          <w:sz w:val="20"/>
          <w:szCs w:val="20"/>
          <w:u w:val="single"/>
        </w:rPr>
        <w:t>TractorSupply.com</w:t>
      </w:r>
      <w:r>
        <w:rPr>
          <w:rFonts w:eastAsia="Times New Roman"/>
          <w:i/>
          <w:iCs/>
          <w:color w:val="000000"/>
          <w:sz w:val="20"/>
          <w:szCs w:val="20"/>
        </w:rPr>
        <w:t xml:space="preserve"> </w:t>
      </w:r>
      <w:r>
        <w:rPr>
          <w:rFonts w:eastAsia="Times New Roman"/>
          <w:color w:val="000000"/>
          <w:sz w:val="20"/>
          <w:szCs w:val="20"/>
        </w:rPr>
        <w:t xml:space="preserve">and </w:t>
      </w:r>
      <w:r>
        <w:rPr>
          <w:rFonts w:eastAsia="Times New Roman"/>
          <w:i/>
          <w:iCs/>
          <w:color w:val="000000"/>
          <w:sz w:val="20"/>
          <w:szCs w:val="20"/>
          <w:u w:val="single"/>
        </w:rPr>
        <w:t>Petsense.com</w:t>
      </w:r>
      <w:r>
        <w:rPr>
          <w:rFonts w:eastAsia="Times New Roman"/>
          <w:color w:val="000000"/>
          <w:sz w:val="20"/>
          <w:szCs w:val="20"/>
        </w:rPr>
        <w:t>.</w:t>
      </w:r>
    </w:p>
    <w:p w:rsidR="00000000" w:rsidRDefault="00613AEB">
      <w:pPr>
        <w:jc w:val="both"/>
        <w:rPr>
          <w:rFonts w:eastAsia="Times New Roman"/>
        </w:rPr>
      </w:pPr>
    </w:p>
    <w:p w:rsidR="00000000" w:rsidRDefault="00613AEB">
      <w:pPr>
        <w:jc w:val="both"/>
        <w:rPr>
          <w:rFonts w:eastAsia="Times New Roman"/>
        </w:rPr>
      </w:pPr>
      <w:r>
        <w:rPr>
          <w:rFonts w:eastAsia="Times New Roman"/>
          <w:color w:val="000000"/>
          <w:sz w:val="20"/>
          <w:szCs w:val="20"/>
        </w:rPr>
        <w:t xml:space="preserve">On February 17, 2021, the Company announced that it entered into an agreement to acquire all of the outstanding equity interests of Orscheln Farm and Home, LLC (the "Transaction"), a farm </w:t>
      </w:r>
      <w:r>
        <w:rPr>
          <w:rFonts w:eastAsia="Times New Roman"/>
          <w:color w:val="000000"/>
          <w:sz w:val="20"/>
          <w:szCs w:val="20"/>
        </w:rPr>
        <w:t>and ranch retailer with 167 retail stores in 11 states, in an all-cash transaction for approximately $320 million. The Transaction is conditioned on the receipt of regulatory clearance and satisfactory completion of customary closing conditions. The Compan</w:t>
      </w:r>
      <w:r>
        <w:rPr>
          <w:rFonts w:eastAsia="Times New Roman"/>
          <w:color w:val="000000"/>
          <w:sz w:val="20"/>
          <w:szCs w:val="20"/>
        </w:rPr>
        <w:t>y continues to work collaboratively with the Federal Trade Commission on the Transaction.</w:t>
      </w:r>
    </w:p>
    <w:p w:rsidR="00000000" w:rsidRDefault="00613AEB">
      <w:pPr>
        <w:jc w:val="both"/>
        <w:rPr>
          <w:rFonts w:eastAsia="Times New Roman"/>
        </w:rPr>
      </w:pPr>
    </w:p>
    <w:p w:rsidR="00000000" w:rsidRDefault="00613AEB">
      <w:pPr>
        <w:divId w:val="1963076691"/>
        <w:rPr>
          <w:rFonts w:eastAsia="Times New Roman"/>
        </w:rPr>
      </w:pPr>
      <w:r>
        <w:rPr>
          <w:rFonts w:eastAsia="Times New Roman"/>
          <w:color w:val="000000"/>
          <w:sz w:val="20"/>
          <w:szCs w:val="20"/>
          <w:u w:val="single"/>
        </w:rPr>
        <w:t>Basis of Presentation</w:t>
      </w:r>
    </w:p>
    <w:p w:rsidR="00000000" w:rsidRDefault="00613AEB">
      <w:pPr>
        <w:divId w:val="2117090555"/>
        <w:rPr>
          <w:rFonts w:eastAsia="Times New Roman"/>
        </w:rPr>
      </w:pPr>
    </w:p>
    <w:p w:rsidR="00000000" w:rsidRDefault="00613AEB">
      <w:pPr>
        <w:jc w:val="both"/>
        <w:rPr>
          <w:rFonts w:eastAsia="Times New Roman"/>
        </w:rPr>
      </w:pPr>
      <w:r>
        <w:rPr>
          <w:rFonts w:eastAsia="Times New Roman"/>
          <w:color w:val="000000"/>
          <w:sz w:val="20"/>
          <w:szCs w:val="20"/>
        </w:rPr>
        <w:t>The accompanying interim unaudited Condensed Consolidated Financial Statements have been prepared in accordance with accounting principles g</w:t>
      </w:r>
      <w:r>
        <w:rPr>
          <w:rFonts w:eastAsia="Times New Roman"/>
          <w:color w:val="000000"/>
          <w:sz w:val="20"/>
          <w:szCs w:val="20"/>
        </w:rPr>
        <w:t xml:space="preserve">enerally accepted in the United States of America (“U.S. GAAP”) and the rules and regulations of the Securities and Exchange Commission (“SEC”). Accordingly, they do not include all of the information and notes required by U.S. GAAP for complete financial </w:t>
      </w:r>
      <w:r>
        <w:rPr>
          <w:rFonts w:eastAsia="Times New Roman"/>
          <w:color w:val="000000"/>
          <w:sz w:val="20"/>
          <w:szCs w:val="20"/>
        </w:rPr>
        <w:t xml:space="preserve">statements.  In the opinion of management, all adjustments (consisting of normal recurring accruals) considered necessary for a fair presentation have been included. These statements should be read in conjunction with our </w:t>
      </w:r>
      <w:hyperlink r:id="rId5" w:history="1">
        <w:r>
          <w:rPr>
            <w:rStyle w:val="a3"/>
            <w:rFonts w:eastAsia="Times New Roman"/>
            <w:sz w:val="20"/>
            <w:szCs w:val="20"/>
          </w:rPr>
          <w:t>Annual Report on Form 10-K</w:t>
        </w:r>
      </w:hyperlink>
      <w:r>
        <w:rPr>
          <w:rFonts w:eastAsia="Times New Roman"/>
          <w:color w:val="000000"/>
          <w:sz w:val="20"/>
          <w:szCs w:val="20"/>
        </w:rPr>
        <w:t xml:space="preserve"> for the fiscal year ended December 25, 2021.  </w:t>
      </w:r>
      <w:r>
        <w:rPr>
          <w:rFonts w:eastAsia="Times New Roman"/>
          <w:color w:val="000000"/>
          <w:sz w:val="20"/>
          <w:szCs w:val="20"/>
        </w:rPr>
        <w:t xml:space="preserve">The results of operations for our interim periods are not necessarily indicative of results for the full fiscal year. </w:t>
      </w:r>
    </w:p>
    <w:p w:rsidR="00000000" w:rsidRDefault="00613AEB">
      <w:pPr>
        <w:jc w:val="both"/>
        <w:rPr>
          <w:rFonts w:eastAsia="Times New Roman"/>
        </w:rPr>
      </w:pPr>
    </w:p>
    <w:p w:rsidR="00000000" w:rsidRDefault="00613AEB">
      <w:pPr>
        <w:jc w:val="both"/>
        <w:rPr>
          <w:rFonts w:eastAsia="Times New Roman"/>
        </w:rPr>
      </w:pPr>
      <w:r>
        <w:rPr>
          <w:rFonts w:eastAsia="Times New Roman"/>
          <w:color w:val="000000"/>
          <w:sz w:val="20"/>
          <w:szCs w:val="20"/>
          <w:u w:val="single"/>
        </w:rPr>
        <w:t>New Accounting Pronouncements Not Yet Adopted</w:t>
      </w:r>
    </w:p>
    <w:p w:rsidR="00000000" w:rsidRDefault="00613AEB">
      <w:pPr>
        <w:jc w:val="both"/>
        <w:rPr>
          <w:rFonts w:eastAsia="Times New Roman"/>
        </w:rPr>
      </w:pPr>
    </w:p>
    <w:p w:rsidR="00000000" w:rsidRDefault="00613AEB">
      <w:pPr>
        <w:jc w:val="both"/>
        <w:rPr>
          <w:rFonts w:eastAsia="Times New Roman"/>
        </w:rPr>
      </w:pPr>
      <w:r>
        <w:rPr>
          <w:rFonts w:eastAsia="Times New Roman"/>
          <w:color w:val="000000"/>
          <w:sz w:val="20"/>
          <w:szCs w:val="20"/>
        </w:rPr>
        <w:t>In March 2020, the Financial Accounting Standards Board (“FASB”) issued Accounting Stan</w:t>
      </w:r>
      <w:r>
        <w:rPr>
          <w:rFonts w:eastAsia="Times New Roman"/>
          <w:color w:val="000000"/>
          <w:sz w:val="20"/>
          <w:szCs w:val="20"/>
        </w:rPr>
        <w:t>dards Update (“ASU”) 2020-04, “Reference Rate Reform (Topic 848): Facilitation of the Effects of Reference Rate Reform on Financial Reporting.” In January 2021, the FASB issued ASU 2021-01, "Reference Rate Reform (Topic 848): Scope." This collective guidan</w:t>
      </w:r>
      <w:r>
        <w:rPr>
          <w:rFonts w:eastAsia="Times New Roman"/>
          <w:color w:val="000000"/>
          <w:sz w:val="20"/>
          <w:szCs w:val="20"/>
        </w:rPr>
        <w:t>ce is in response to accounting concerns regarding contract modifications and hedge accounting because of impending rate reform associated with structural risks of interbank offered rates (IBORs), and, particularly, the risk of cessation of the London Inte</w:t>
      </w:r>
      <w:r>
        <w:rPr>
          <w:rFonts w:eastAsia="Times New Roman"/>
          <w:color w:val="000000"/>
          <w:sz w:val="20"/>
          <w:szCs w:val="20"/>
        </w:rPr>
        <w:t>r-Bank Offer Rate ("LIBOR") related to regulators in several jurisdictions around the world having undertaken reference rate reform initiatives to identify alternative reference rates. The guidance provides optional expedients and exceptions for applying U</w:t>
      </w:r>
      <w:r>
        <w:rPr>
          <w:rFonts w:eastAsia="Times New Roman"/>
          <w:color w:val="000000"/>
          <w:sz w:val="20"/>
          <w:szCs w:val="20"/>
        </w:rPr>
        <w:t>.S. GAAP to contracts, hedging relationships, and other transactions affected by reference rate reform if certain criteria are met. The adoption of this guidance is effective for all entities as of March 12, 2020 through December 31, 2022. The primary cont</w:t>
      </w:r>
      <w:r>
        <w:rPr>
          <w:rFonts w:eastAsia="Times New Roman"/>
          <w:color w:val="000000"/>
          <w:sz w:val="20"/>
          <w:szCs w:val="20"/>
        </w:rPr>
        <w:t>ract and hedging relationship for which LIBOR is used is our November 2020 Term Loan (as defined below) and related interest rate swap. As the interest rate swap is designed to be a cash flow hedge against the variable LIBOR rates of the November 2020 Term</w:t>
      </w:r>
      <w:r>
        <w:rPr>
          <w:rFonts w:eastAsia="Times New Roman"/>
          <w:color w:val="000000"/>
          <w:sz w:val="20"/>
          <w:szCs w:val="20"/>
        </w:rPr>
        <w:t xml:space="preserve"> Loan, the impact of using LIBOR rates is effectively offset in our financial statements. As such, the Company does not expect the adoption of this guidance to have a material impact on its Condensed Consolidated Financial Statements and related disclosure</w:t>
      </w:r>
      <w:r>
        <w:rPr>
          <w:rFonts w:eastAsia="Times New Roman"/>
          <w:color w:val="000000"/>
          <w:sz w:val="20"/>
          <w:szCs w:val="20"/>
        </w:rPr>
        <w:t>s.</w:t>
      </w:r>
    </w:p>
    <w:p w:rsidR="00000000" w:rsidRDefault="00613AEB">
      <w:pPr>
        <w:divId w:val="2088651368"/>
        <w:rPr>
          <w:rFonts w:eastAsia="Times New Roman"/>
        </w:rPr>
      </w:pPr>
    </w:p>
    <w:p w:rsidR="00000000" w:rsidRDefault="00613AEB">
      <w:pPr>
        <w:jc w:val="center"/>
        <w:divId w:val="48918136"/>
        <w:rPr>
          <w:rFonts w:eastAsia="Times New Roman"/>
        </w:rPr>
      </w:pPr>
      <w:r>
        <w:rPr>
          <w:rFonts w:eastAsia="Times New Roman"/>
          <w:color w:val="000000"/>
          <w:sz w:val="20"/>
          <w:szCs w:val="20"/>
        </w:rPr>
        <w:t>Page 9</w:t>
      </w:r>
    </w:p>
    <w:p w:rsidR="00000000" w:rsidRDefault="00613AEB">
      <w:pPr>
        <w:rPr>
          <w:rFonts w:eastAsia="Times New Roman"/>
        </w:rPr>
      </w:pPr>
      <w:r>
        <w:rPr>
          <w:rFonts w:eastAsia="Times New Roman"/>
        </w:rPr>
        <w:pict>
          <v:rect id="_x0000_i1034" style="width:0;height:1.5pt" o:hralign="center" o:hrstd="t" o:hr="t" fillcolor="#a0a0a0" stroked="f"/>
        </w:pict>
      </w:r>
    </w:p>
    <w:p w:rsidR="00000000" w:rsidRDefault="00613AEB">
      <w:pPr>
        <w:divId w:val="1956670062"/>
        <w:rPr>
          <w:rFonts w:eastAsia="Times New Roman"/>
        </w:rPr>
      </w:pPr>
      <w:hyperlink w:anchor="i7b244a6903fc440faaf2365d228fe4ba_7" w:history="1">
        <w:r>
          <w:rPr>
            <w:rStyle w:val="a3"/>
            <w:rFonts w:eastAsia="Times New Roman"/>
            <w:sz w:val="16"/>
            <w:szCs w:val="16"/>
          </w:rPr>
          <w:t>Index</w:t>
        </w:r>
      </w:hyperlink>
    </w:p>
    <w:p w:rsidR="00000000" w:rsidRDefault="00613AEB">
      <w:pPr>
        <w:jc w:val="both"/>
        <w:rPr>
          <w:rFonts w:eastAsia="Times New Roman"/>
        </w:rPr>
      </w:pPr>
      <w:r>
        <w:rPr>
          <w:rFonts w:eastAsia="Times New Roman"/>
          <w:b/>
          <w:bCs/>
          <w:color w:val="000000"/>
          <w:sz w:val="20"/>
          <w:szCs w:val="20"/>
        </w:rPr>
        <w:t>Note 2 – Fair Value of Financial Instruments:</w:t>
      </w:r>
    </w:p>
    <w:p w:rsidR="00000000" w:rsidRDefault="00613AEB">
      <w:pPr>
        <w:divId w:val="504712009"/>
        <w:rPr>
          <w:rFonts w:eastAsia="Times New Roman"/>
        </w:rPr>
      </w:pPr>
    </w:p>
    <w:p w:rsidR="00000000" w:rsidRDefault="00613AEB">
      <w:pPr>
        <w:jc w:val="both"/>
        <w:rPr>
          <w:rFonts w:eastAsia="Times New Roman"/>
        </w:rPr>
      </w:pPr>
      <w:r>
        <w:rPr>
          <w:rFonts w:eastAsia="Times New Roman"/>
          <w:color w:val="000000"/>
          <w:sz w:val="20"/>
          <w:szCs w:val="20"/>
        </w:rPr>
        <w:t>Fair value is defined as the price that would be received to sell an asset or paid to transfer a liability (an exit price) in an orderly transaction between market participants on the measurement date. The Company uses a three-tier fair value hierarchy, wh</w:t>
      </w:r>
      <w:r>
        <w:rPr>
          <w:rFonts w:eastAsia="Times New Roman"/>
          <w:color w:val="000000"/>
          <w:sz w:val="20"/>
          <w:szCs w:val="20"/>
        </w:rPr>
        <w:t xml:space="preserve">ich prioritizes the inputs used in measuring fair value.  These tiers include: </w:t>
      </w:r>
    </w:p>
    <w:p w:rsidR="00000000" w:rsidRDefault="00613AEB">
      <w:pPr>
        <w:jc w:val="both"/>
        <w:rPr>
          <w:rFonts w:eastAsia="Times New Roman"/>
        </w:rPr>
      </w:pPr>
    </w:p>
    <w:p w:rsidR="00000000" w:rsidRDefault="00613AEB">
      <w:pPr>
        <w:ind w:hanging="360"/>
        <w:jc w:val="both"/>
        <w:rPr>
          <w:rFonts w:eastAsia="Times New Roman"/>
        </w:rPr>
      </w:pPr>
      <w:r>
        <w:rPr>
          <w:rFonts w:eastAsia="Times New Roman"/>
          <w:color w:val="000000"/>
          <w:sz w:val="20"/>
          <w:szCs w:val="20"/>
        </w:rPr>
        <w:t xml:space="preserve">•Level 1 - defined as observable inputs such as quoted prices in active markets; </w:t>
      </w:r>
    </w:p>
    <w:p w:rsidR="00000000" w:rsidRDefault="00613AEB">
      <w:pPr>
        <w:ind w:hanging="360"/>
        <w:jc w:val="both"/>
        <w:rPr>
          <w:rFonts w:eastAsia="Times New Roman"/>
        </w:rPr>
      </w:pPr>
      <w:r>
        <w:rPr>
          <w:rFonts w:eastAsia="Times New Roman"/>
          <w:color w:val="000000"/>
          <w:sz w:val="20"/>
          <w:szCs w:val="20"/>
        </w:rPr>
        <w:t>•Level 2 - defined as inputs other than quoted prices in active markets that are either dire</w:t>
      </w:r>
      <w:r>
        <w:rPr>
          <w:rFonts w:eastAsia="Times New Roman"/>
          <w:color w:val="000000"/>
          <w:sz w:val="20"/>
          <w:szCs w:val="20"/>
        </w:rPr>
        <w:t>ctly or indirectly observable; and</w:t>
      </w:r>
    </w:p>
    <w:p w:rsidR="00000000" w:rsidRDefault="00613AEB">
      <w:pPr>
        <w:ind w:hanging="360"/>
        <w:jc w:val="both"/>
        <w:rPr>
          <w:rFonts w:eastAsia="Times New Roman"/>
        </w:rPr>
      </w:pPr>
      <w:r>
        <w:rPr>
          <w:rFonts w:eastAsia="Times New Roman"/>
          <w:color w:val="000000"/>
          <w:sz w:val="20"/>
          <w:szCs w:val="20"/>
        </w:rPr>
        <w:t>•Level 3 - defined as unobservable inputs in which little or no market data exists, therefore requiring an entity to develop its own assumptions.</w:t>
      </w:r>
    </w:p>
    <w:p w:rsidR="00000000" w:rsidRDefault="00613AEB">
      <w:pPr>
        <w:divId w:val="1263032845"/>
        <w:rPr>
          <w:rFonts w:eastAsia="Times New Roman"/>
        </w:rPr>
      </w:pPr>
    </w:p>
    <w:p w:rsidR="00000000" w:rsidRDefault="00613AEB">
      <w:pPr>
        <w:jc w:val="both"/>
        <w:rPr>
          <w:rFonts w:eastAsia="Times New Roman"/>
        </w:rPr>
      </w:pPr>
      <w:r>
        <w:rPr>
          <w:rFonts w:eastAsia="Times New Roman"/>
          <w:color w:val="000000"/>
          <w:sz w:val="20"/>
          <w:szCs w:val="20"/>
        </w:rPr>
        <w:t>The Company’s financial instruments consist of cash and cash equivalents,</w:t>
      </w:r>
      <w:r>
        <w:rPr>
          <w:rFonts w:eastAsia="Times New Roman"/>
          <w:color w:val="000000"/>
          <w:sz w:val="20"/>
          <w:szCs w:val="20"/>
        </w:rPr>
        <w:t xml:space="preserve"> short-term receivables, trade payables, debt instruments, and interest rate swaps.  Due to their short-term nature, the carrying values of cash and cash equivalents, short-term receivables, and trade payables approximate current fair value at each balance</w:t>
      </w:r>
      <w:r>
        <w:rPr>
          <w:rFonts w:eastAsia="Times New Roman"/>
          <w:color w:val="000000"/>
          <w:sz w:val="20"/>
          <w:szCs w:val="20"/>
        </w:rPr>
        <w:t xml:space="preserve"> sheet date.</w:t>
      </w:r>
    </w:p>
    <w:p w:rsidR="00000000" w:rsidRDefault="00613AEB">
      <w:pPr>
        <w:jc w:val="both"/>
        <w:rPr>
          <w:rFonts w:eastAsia="Times New Roman"/>
        </w:rPr>
      </w:pPr>
    </w:p>
    <w:p w:rsidR="00000000" w:rsidRDefault="00613AEB">
      <w:pPr>
        <w:jc w:val="both"/>
        <w:rPr>
          <w:rFonts w:eastAsia="Times New Roman"/>
        </w:rPr>
      </w:pPr>
      <w:r>
        <w:rPr>
          <w:rFonts w:eastAsia="Times New Roman"/>
          <w:color w:val="000000"/>
          <w:sz w:val="20"/>
          <w:szCs w:val="20"/>
        </w:rPr>
        <w:t xml:space="preserve">As described in further detail in </w:t>
      </w:r>
      <w:hyperlink w:anchor="i7b244a6903fc440faaf2365d228fe4ba_46" w:history="1">
        <w:r>
          <w:rPr>
            <w:rStyle w:val="a3"/>
            <w:rFonts w:eastAsia="Times New Roman"/>
            <w:sz w:val="20"/>
            <w:szCs w:val="20"/>
          </w:rPr>
          <w:t>Note 5</w:t>
        </w:r>
      </w:hyperlink>
      <w:r>
        <w:rPr>
          <w:rFonts w:eastAsia="Times New Roman"/>
          <w:color w:val="000000"/>
          <w:sz w:val="20"/>
          <w:szCs w:val="20"/>
        </w:rPr>
        <w:t xml:space="preserve"> to the Condensed Consolidated Financial Statements, the Company had $1.00 billion in borrowings under its debt facilities at each of June 25,</w:t>
      </w:r>
      <w:r>
        <w:rPr>
          <w:rFonts w:eastAsia="Times New Roman"/>
          <w:color w:val="000000"/>
          <w:sz w:val="20"/>
          <w:szCs w:val="20"/>
        </w:rPr>
        <w:t xml:space="preserve"> 2022, December 25, 2021, and June 26, 2021. The fair value of the Company's $150 million 3.70% Senior Notes (the "3.70% Senior Notes") and the $200 million term loan (the "November 2020 Term Loan") were determined based on market interest rates (Level 2 i</w:t>
      </w:r>
      <w:r>
        <w:rPr>
          <w:rFonts w:eastAsia="Times New Roman"/>
          <w:color w:val="000000"/>
          <w:sz w:val="20"/>
          <w:szCs w:val="20"/>
        </w:rPr>
        <w:t xml:space="preserve">nputs). The carrying value of borrowings in the 3.70% Senior Notes and the November 2020 Term Loan approximate fair value for each period reported. </w:t>
      </w:r>
    </w:p>
    <w:p w:rsidR="00000000" w:rsidRDefault="00613AEB">
      <w:pPr>
        <w:jc w:val="both"/>
        <w:rPr>
          <w:rFonts w:eastAsia="Times New Roman"/>
        </w:rPr>
      </w:pPr>
    </w:p>
    <w:p w:rsidR="00000000" w:rsidRDefault="00613AEB">
      <w:pPr>
        <w:jc w:val="both"/>
        <w:rPr>
          <w:rFonts w:eastAsia="Times New Roman"/>
        </w:rPr>
      </w:pPr>
      <w:r>
        <w:rPr>
          <w:rFonts w:eastAsia="Times New Roman"/>
          <w:color w:val="000000"/>
          <w:sz w:val="20"/>
          <w:szCs w:val="20"/>
        </w:rPr>
        <w:t>The carrying value and the fair value of the Company's $650 million 1.75% Senior Notes (the "1.75% Senior</w:t>
      </w:r>
      <w:r>
        <w:rPr>
          <w:rFonts w:eastAsia="Times New Roman"/>
          <w:color w:val="000000"/>
          <w:sz w:val="20"/>
          <w:szCs w:val="20"/>
        </w:rPr>
        <w:t xml:space="preserve"> Notes"), net of discount, and the Company's interest rate swap agreement were as follows (in thousands):</w:t>
      </w:r>
    </w:p>
    <w:p w:rsidR="00000000" w:rsidRDefault="00613AEB">
      <w:pPr>
        <w:jc w:val="both"/>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4"/>
        <w:gridCol w:w="1620"/>
        <w:gridCol w:w="37"/>
        <w:gridCol w:w="36"/>
        <w:gridCol w:w="36"/>
        <w:gridCol w:w="36"/>
        <w:gridCol w:w="120"/>
        <w:gridCol w:w="890"/>
        <w:gridCol w:w="36"/>
        <w:gridCol w:w="120"/>
        <w:gridCol w:w="890"/>
        <w:gridCol w:w="36"/>
        <w:gridCol w:w="36"/>
        <w:gridCol w:w="36"/>
        <w:gridCol w:w="36"/>
        <w:gridCol w:w="120"/>
        <w:gridCol w:w="890"/>
        <w:gridCol w:w="36"/>
        <w:gridCol w:w="120"/>
        <w:gridCol w:w="891"/>
        <w:gridCol w:w="36"/>
        <w:gridCol w:w="36"/>
        <w:gridCol w:w="36"/>
        <w:gridCol w:w="36"/>
        <w:gridCol w:w="120"/>
        <w:gridCol w:w="891"/>
        <w:gridCol w:w="36"/>
        <w:gridCol w:w="120"/>
        <w:gridCol w:w="893"/>
        <w:gridCol w:w="36"/>
      </w:tblGrid>
      <w:tr w:rsidR="00000000">
        <w:tc>
          <w:tcPr>
            <w:tcW w:w="50" w:type="pct"/>
            <w:vAlign w:val="center"/>
            <w:hideMark/>
          </w:tcPr>
          <w:p w:rsidR="00000000" w:rsidRDefault="00613AEB">
            <w:pPr>
              <w:jc w:val="both"/>
              <w:rPr>
                <w:rFonts w:eastAsia="Times New Roman"/>
              </w:rPr>
            </w:pPr>
          </w:p>
        </w:tc>
        <w:tc>
          <w:tcPr>
            <w:tcW w:w="1041"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19"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0" w:type="pct"/>
            <w:vAlign w:val="center"/>
            <w:hideMark/>
          </w:tcPr>
          <w:p w:rsidR="00000000" w:rsidRDefault="00613AEB">
            <w:pPr>
              <w:spacing w:after="100"/>
              <w:rPr>
                <w:rFonts w:eastAsia="Times New Roman"/>
                <w:sz w:val="20"/>
                <w:szCs w:val="20"/>
              </w:rPr>
            </w:pPr>
          </w:p>
        </w:tc>
        <w:tc>
          <w:tcPr>
            <w:tcW w:w="580"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0" w:type="pct"/>
            <w:vAlign w:val="center"/>
            <w:hideMark/>
          </w:tcPr>
          <w:p w:rsidR="00000000" w:rsidRDefault="00613AEB">
            <w:pPr>
              <w:spacing w:after="100"/>
              <w:rPr>
                <w:rFonts w:eastAsia="Times New Roman"/>
                <w:sz w:val="20"/>
                <w:szCs w:val="20"/>
              </w:rPr>
            </w:pPr>
          </w:p>
        </w:tc>
        <w:tc>
          <w:tcPr>
            <w:tcW w:w="580"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19"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0" w:type="pct"/>
            <w:vAlign w:val="center"/>
            <w:hideMark/>
          </w:tcPr>
          <w:p w:rsidR="00000000" w:rsidRDefault="00613AEB">
            <w:pPr>
              <w:spacing w:after="100"/>
              <w:rPr>
                <w:rFonts w:eastAsia="Times New Roman"/>
                <w:sz w:val="20"/>
                <w:szCs w:val="20"/>
              </w:rPr>
            </w:pPr>
          </w:p>
        </w:tc>
        <w:tc>
          <w:tcPr>
            <w:tcW w:w="580"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0" w:type="pct"/>
            <w:vAlign w:val="center"/>
            <w:hideMark/>
          </w:tcPr>
          <w:p w:rsidR="00000000" w:rsidRDefault="00613AEB">
            <w:pPr>
              <w:spacing w:after="100"/>
              <w:rPr>
                <w:rFonts w:eastAsia="Times New Roman"/>
                <w:sz w:val="20"/>
                <w:szCs w:val="20"/>
              </w:rPr>
            </w:pPr>
          </w:p>
        </w:tc>
        <w:tc>
          <w:tcPr>
            <w:tcW w:w="580"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19"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0" w:type="pct"/>
            <w:vAlign w:val="center"/>
            <w:hideMark/>
          </w:tcPr>
          <w:p w:rsidR="00000000" w:rsidRDefault="00613AEB">
            <w:pPr>
              <w:spacing w:after="100"/>
              <w:rPr>
                <w:rFonts w:eastAsia="Times New Roman"/>
                <w:sz w:val="20"/>
                <w:szCs w:val="20"/>
              </w:rPr>
            </w:pPr>
          </w:p>
        </w:tc>
        <w:tc>
          <w:tcPr>
            <w:tcW w:w="580"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0" w:type="pct"/>
            <w:vAlign w:val="center"/>
            <w:hideMark/>
          </w:tcPr>
          <w:p w:rsidR="00000000" w:rsidRDefault="00613AEB">
            <w:pPr>
              <w:spacing w:after="100"/>
              <w:rPr>
                <w:rFonts w:eastAsia="Times New Roman"/>
                <w:sz w:val="20"/>
                <w:szCs w:val="20"/>
              </w:rPr>
            </w:pPr>
          </w:p>
        </w:tc>
        <w:tc>
          <w:tcPr>
            <w:tcW w:w="581"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6"/>
            <w:tcMar>
              <w:top w:w="30" w:type="dxa"/>
              <w:left w:w="20" w:type="dxa"/>
              <w:bottom w:w="30" w:type="dxa"/>
              <w:right w:w="20" w:type="dxa"/>
            </w:tcMar>
            <w:vAlign w:val="bottom"/>
            <w:hideMark/>
          </w:tcPr>
          <w:p w:rsidR="00000000" w:rsidRDefault="00613AEB">
            <w:pPr>
              <w:spacing w:after="100"/>
              <w:jc w:val="center"/>
              <w:rPr>
                <w:rFonts w:eastAsia="Times New Roman"/>
              </w:rPr>
            </w:pPr>
            <w:r>
              <w:rPr>
                <w:rFonts w:eastAsia="Times New Roman"/>
                <w:b/>
                <w:bCs/>
                <w:color w:val="000000"/>
                <w:sz w:val="20"/>
                <w:szCs w:val="20"/>
              </w:rPr>
              <w:t>June 25, 2022</w:t>
            </w:r>
          </w:p>
        </w:tc>
        <w:tc>
          <w:tcPr>
            <w:tcW w:w="0" w:type="auto"/>
            <w:gridSpan w:val="3"/>
            <w:tcMar>
              <w:top w:w="0" w:type="dxa"/>
              <w:left w:w="20" w:type="dxa"/>
              <w:bottom w:w="0" w:type="dxa"/>
              <w:right w:w="20" w:type="dxa"/>
            </w:tcMar>
            <w:vAlign w:val="center"/>
            <w:hideMark/>
          </w:tcPr>
          <w:p w:rsidR="00000000" w:rsidRDefault="00613AEB">
            <w:pPr>
              <w:spacing w:after="100"/>
              <w:jc w:val="center"/>
              <w:rPr>
                <w:rFonts w:eastAsia="Times New Roman"/>
              </w:rPr>
            </w:pPr>
          </w:p>
        </w:tc>
        <w:tc>
          <w:tcPr>
            <w:tcW w:w="0" w:type="auto"/>
            <w:gridSpan w:val="6"/>
            <w:tcMar>
              <w:top w:w="30" w:type="dxa"/>
              <w:left w:w="20" w:type="dxa"/>
              <w:bottom w:w="30" w:type="dxa"/>
              <w:right w:w="20" w:type="dxa"/>
            </w:tcMar>
            <w:vAlign w:val="bottom"/>
            <w:hideMark/>
          </w:tcPr>
          <w:p w:rsidR="00000000" w:rsidRDefault="00613AEB">
            <w:pPr>
              <w:spacing w:after="100"/>
              <w:jc w:val="center"/>
              <w:rPr>
                <w:rFonts w:eastAsia="Times New Roman"/>
              </w:rPr>
            </w:pPr>
            <w:r>
              <w:rPr>
                <w:rFonts w:eastAsia="Times New Roman"/>
                <w:b/>
                <w:bCs/>
                <w:color w:val="000000"/>
                <w:sz w:val="20"/>
                <w:szCs w:val="20"/>
              </w:rPr>
              <w:t>December 25, 2021</w:t>
            </w:r>
          </w:p>
        </w:tc>
        <w:tc>
          <w:tcPr>
            <w:tcW w:w="0" w:type="auto"/>
            <w:gridSpan w:val="3"/>
            <w:tcMar>
              <w:top w:w="0" w:type="dxa"/>
              <w:left w:w="20" w:type="dxa"/>
              <w:bottom w:w="0" w:type="dxa"/>
              <w:right w:w="20" w:type="dxa"/>
            </w:tcMar>
            <w:vAlign w:val="center"/>
            <w:hideMark/>
          </w:tcPr>
          <w:p w:rsidR="00000000" w:rsidRDefault="00613AEB">
            <w:pPr>
              <w:spacing w:after="100"/>
              <w:jc w:val="center"/>
              <w:rPr>
                <w:rFonts w:eastAsia="Times New Roman"/>
              </w:rPr>
            </w:pPr>
          </w:p>
        </w:tc>
        <w:tc>
          <w:tcPr>
            <w:tcW w:w="0" w:type="auto"/>
            <w:gridSpan w:val="6"/>
            <w:tcMar>
              <w:top w:w="30" w:type="dxa"/>
              <w:left w:w="20" w:type="dxa"/>
              <w:bottom w:w="30" w:type="dxa"/>
              <w:right w:w="20" w:type="dxa"/>
            </w:tcMar>
            <w:vAlign w:val="bottom"/>
            <w:hideMark/>
          </w:tcPr>
          <w:p w:rsidR="00000000" w:rsidRDefault="00613AEB">
            <w:pPr>
              <w:spacing w:after="100"/>
              <w:jc w:val="center"/>
              <w:rPr>
                <w:rFonts w:eastAsia="Times New Roman"/>
              </w:rPr>
            </w:pPr>
            <w:r>
              <w:rPr>
                <w:rFonts w:eastAsia="Times New Roman"/>
                <w:b/>
                <w:bCs/>
                <w:color w:val="000000"/>
                <w:sz w:val="20"/>
                <w:szCs w:val="20"/>
              </w:rPr>
              <w:t>June 26, 2021</w:t>
            </w:r>
          </w:p>
        </w:tc>
      </w:tr>
      <w:tr w:rsidR="00000000">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20" w:type="dxa"/>
            </w:tcMar>
            <w:vAlign w:val="center"/>
            <w:hideMark/>
          </w:tcPr>
          <w:p w:rsidR="00000000" w:rsidRDefault="00613AEB">
            <w:pPr>
              <w:spacing w:after="100"/>
              <w:jc w:val="center"/>
              <w:rPr>
                <w:rFonts w:eastAsia="Times New Roman"/>
              </w:rPr>
            </w:pPr>
            <w:r>
              <w:rPr>
                <w:rFonts w:eastAsia="Times New Roman"/>
                <w:b/>
                <w:bCs/>
                <w:color w:val="000000"/>
                <w:sz w:val="20"/>
                <w:szCs w:val="20"/>
              </w:rPr>
              <w:t>Carrying Value</w:t>
            </w:r>
          </w:p>
        </w:tc>
        <w:tc>
          <w:tcPr>
            <w:tcW w:w="0" w:type="auto"/>
            <w:gridSpan w:val="3"/>
            <w:tcBorders>
              <w:top w:val="single" w:sz="8" w:space="0" w:color="000000"/>
            </w:tcBorders>
            <w:shd w:val="clear" w:color="auto" w:fill="FFFFFF"/>
            <w:tcMar>
              <w:top w:w="30" w:type="dxa"/>
              <w:left w:w="20" w:type="dxa"/>
              <w:bottom w:w="30" w:type="dxa"/>
              <w:right w:w="20" w:type="dxa"/>
            </w:tcMar>
            <w:vAlign w:val="center"/>
            <w:hideMark/>
          </w:tcPr>
          <w:p w:rsidR="00000000" w:rsidRDefault="00613AEB">
            <w:pPr>
              <w:spacing w:after="100"/>
              <w:jc w:val="center"/>
              <w:rPr>
                <w:rFonts w:eastAsia="Times New Roman"/>
              </w:rPr>
            </w:pPr>
            <w:r>
              <w:rPr>
                <w:rFonts w:eastAsia="Times New Roman"/>
                <w:b/>
                <w:bCs/>
                <w:color w:val="000000"/>
                <w:sz w:val="20"/>
                <w:szCs w:val="20"/>
              </w:rPr>
              <w:t>Fair Value</w:t>
            </w: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center"/>
            <w:hideMark/>
          </w:tcPr>
          <w:p w:rsidR="00000000" w:rsidRDefault="00613AEB">
            <w:pPr>
              <w:spacing w:after="100"/>
              <w:jc w:val="center"/>
              <w:rPr>
                <w:rFonts w:eastAsia="Times New Roman"/>
              </w:rPr>
            </w:pPr>
            <w:r>
              <w:rPr>
                <w:rFonts w:eastAsia="Times New Roman"/>
                <w:b/>
                <w:bCs/>
                <w:color w:val="000000"/>
                <w:sz w:val="20"/>
                <w:szCs w:val="20"/>
              </w:rPr>
              <w:t>Carrying Value</w:t>
            </w:r>
          </w:p>
        </w:tc>
        <w:tc>
          <w:tcPr>
            <w:tcW w:w="0" w:type="auto"/>
            <w:gridSpan w:val="3"/>
            <w:tcBorders>
              <w:top w:val="single" w:sz="8" w:space="0" w:color="000000"/>
            </w:tcBorders>
            <w:shd w:val="clear" w:color="auto" w:fill="FFFFFF"/>
            <w:tcMar>
              <w:top w:w="30" w:type="dxa"/>
              <w:left w:w="20" w:type="dxa"/>
              <w:bottom w:w="30" w:type="dxa"/>
              <w:right w:w="20" w:type="dxa"/>
            </w:tcMar>
            <w:vAlign w:val="center"/>
            <w:hideMark/>
          </w:tcPr>
          <w:p w:rsidR="00000000" w:rsidRDefault="00613AEB">
            <w:pPr>
              <w:spacing w:after="100"/>
              <w:jc w:val="center"/>
              <w:rPr>
                <w:rFonts w:eastAsia="Times New Roman"/>
              </w:rPr>
            </w:pPr>
            <w:r>
              <w:rPr>
                <w:rFonts w:eastAsia="Times New Roman"/>
                <w:b/>
                <w:bCs/>
                <w:color w:val="000000"/>
                <w:sz w:val="20"/>
                <w:szCs w:val="20"/>
              </w:rPr>
              <w:t>Fair Value</w:t>
            </w: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center"/>
            <w:hideMark/>
          </w:tcPr>
          <w:p w:rsidR="00000000" w:rsidRDefault="00613AEB">
            <w:pPr>
              <w:spacing w:after="100"/>
              <w:jc w:val="center"/>
              <w:rPr>
                <w:rFonts w:eastAsia="Times New Roman"/>
              </w:rPr>
            </w:pPr>
            <w:r>
              <w:rPr>
                <w:rFonts w:eastAsia="Times New Roman"/>
                <w:b/>
                <w:bCs/>
                <w:color w:val="000000"/>
                <w:sz w:val="20"/>
                <w:szCs w:val="20"/>
              </w:rPr>
              <w:t>Carrying Value</w:t>
            </w:r>
          </w:p>
        </w:tc>
        <w:tc>
          <w:tcPr>
            <w:tcW w:w="0" w:type="auto"/>
            <w:gridSpan w:val="3"/>
            <w:tcBorders>
              <w:top w:val="single" w:sz="8" w:space="0" w:color="000000"/>
            </w:tcBorders>
            <w:shd w:val="clear" w:color="auto" w:fill="FFFFFF"/>
            <w:tcMar>
              <w:top w:w="30" w:type="dxa"/>
              <w:left w:w="20" w:type="dxa"/>
              <w:bottom w:w="30" w:type="dxa"/>
              <w:right w:w="20" w:type="dxa"/>
            </w:tcMar>
            <w:vAlign w:val="center"/>
            <w:hideMark/>
          </w:tcPr>
          <w:p w:rsidR="00000000" w:rsidRDefault="00613AEB">
            <w:pPr>
              <w:spacing w:after="100"/>
              <w:jc w:val="center"/>
              <w:rPr>
                <w:rFonts w:eastAsia="Times New Roman"/>
              </w:rPr>
            </w:pPr>
            <w:r>
              <w:rPr>
                <w:rFonts w:eastAsia="Times New Roman"/>
                <w:b/>
                <w:bCs/>
                <w:color w:val="000000"/>
                <w:sz w:val="20"/>
                <w:szCs w:val="20"/>
              </w:rPr>
              <w:t>Fair Value</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613AEB">
            <w:pPr>
              <w:spacing w:after="100"/>
              <w:rPr>
                <w:rFonts w:eastAsia="Times New Roman"/>
              </w:rPr>
            </w:pPr>
            <w:r>
              <w:rPr>
                <w:rFonts w:eastAsia="Times New Roman"/>
                <w:b/>
                <w:bCs/>
                <w:color w:val="000000"/>
                <w:sz w:val="20"/>
                <w:szCs w:val="20"/>
              </w:rPr>
              <w:t>Assets:</w:t>
            </w: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Interest rate swap(s)</w:t>
            </w: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12,302 </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12,302 </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1,809 </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1,809 </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r>
      <w:tr w:rsidR="00000000">
        <w:trPr>
          <w:trHeight w:val="300"/>
        </w:trPr>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613AEB">
            <w:pPr>
              <w:spacing w:after="100"/>
              <w:rPr>
                <w:rFonts w:eastAsia="Times New Roman"/>
              </w:rPr>
            </w:pPr>
            <w:r>
              <w:rPr>
                <w:rFonts w:eastAsia="Times New Roman"/>
                <w:b/>
                <w:bCs/>
                <w:color w:val="000000"/>
                <w:sz w:val="20"/>
                <w:szCs w:val="20"/>
              </w:rPr>
              <w:t>Liabilities:</w:t>
            </w: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1.75% Senior Notes</w:t>
            </w: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638,532 </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509,717 </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637,844 </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614,881 </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637,156 </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617,988 </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Interest rate swap(s)</w:t>
            </w: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1,073 </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1,073 </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r>
    </w:tbl>
    <w:p w:rsidR="00000000" w:rsidRDefault="00613AEB">
      <w:pPr>
        <w:jc w:val="both"/>
        <w:rPr>
          <w:rFonts w:eastAsia="Times New Roman"/>
        </w:rPr>
      </w:pPr>
    </w:p>
    <w:p w:rsidR="00000000" w:rsidRDefault="00613AEB">
      <w:pPr>
        <w:jc w:val="both"/>
        <w:rPr>
          <w:rFonts w:eastAsia="Times New Roman"/>
        </w:rPr>
      </w:pPr>
      <w:r>
        <w:rPr>
          <w:rFonts w:eastAsia="Times New Roman"/>
          <w:color w:val="000000"/>
          <w:sz w:val="20"/>
          <w:szCs w:val="20"/>
        </w:rPr>
        <w:t>The fair value of the 1.75% Senior Notes is determined based on quoted prices in active markets, which are considered Level 1 inputs. The Company's interest</w:t>
      </w:r>
      <w:r>
        <w:rPr>
          <w:rFonts w:eastAsia="Times New Roman"/>
          <w:color w:val="000000"/>
          <w:sz w:val="20"/>
          <w:szCs w:val="20"/>
        </w:rPr>
        <w:t xml:space="preserve"> rate swaps are carried at fair value, which is determined based on the present value of expected future cash flows using forward rate curves, which is considered a Level 2 input. In accordance with hedge accounting, the gains and losses on interest rate s</w:t>
      </w:r>
      <w:r>
        <w:rPr>
          <w:rFonts w:eastAsia="Times New Roman"/>
          <w:color w:val="000000"/>
          <w:sz w:val="20"/>
          <w:szCs w:val="20"/>
        </w:rPr>
        <w:t>waps that are designated and qualify as cash flow hedges are recorded as a component of Other Comprehensive Income, net of related income taxes, and reclassified into earnings in the same income statement line and period in which the hedged transactions af</w:t>
      </w:r>
      <w:r>
        <w:rPr>
          <w:rFonts w:eastAsia="Times New Roman"/>
          <w:color w:val="000000"/>
          <w:sz w:val="20"/>
          <w:szCs w:val="20"/>
        </w:rPr>
        <w:t xml:space="preserve">fect earnings. </w:t>
      </w:r>
    </w:p>
    <w:p w:rsidR="00000000" w:rsidRDefault="00613AEB">
      <w:pPr>
        <w:jc w:val="both"/>
        <w:rPr>
          <w:rFonts w:eastAsia="Times New Roman"/>
        </w:rPr>
      </w:pPr>
    </w:p>
    <w:p w:rsidR="00000000" w:rsidRDefault="00613AEB">
      <w:pPr>
        <w:jc w:val="both"/>
        <w:rPr>
          <w:rFonts w:eastAsia="Times New Roman"/>
        </w:rPr>
      </w:pPr>
      <w:r>
        <w:rPr>
          <w:rFonts w:eastAsia="Times New Roman"/>
          <w:b/>
          <w:bCs/>
          <w:color w:val="000000"/>
          <w:sz w:val="20"/>
          <w:szCs w:val="20"/>
        </w:rPr>
        <w:t>Note 3 – Share-Based Compensation:</w:t>
      </w:r>
    </w:p>
    <w:p w:rsidR="00000000" w:rsidRDefault="00613AEB">
      <w:pPr>
        <w:divId w:val="694429319"/>
        <w:rPr>
          <w:rFonts w:eastAsia="Times New Roman"/>
        </w:rPr>
      </w:pPr>
    </w:p>
    <w:p w:rsidR="00000000" w:rsidRDefault="00613AEB">
      <w:pPr>
        <w:jc w:val="both"/>
        <w:rPr>
          <w:rFonts w:eastAsia="Times New Roman"/>
        </w:rPr>
      </w:pPr>
      <w:r>
        <w:rPr>
          <w:rFonts w:eastAsia="Times New Roman"/>
          <w:color w:val="000000"/>
          <w:sz w:val="20"/>
          <w:szCs w:val="20"/>
        </w:rPr>
        <w:t>Share-based compensation includes stock options, restricted stock units, performance-based restricted share units, and transactions under the Company's Employee Stock Purchase Plan (the “ESPP”). Share-</w:t>
      </w:r>
      <w:r>
        <w:rPr>
          <w:rFonts w:eastAsia="Times New Roman"/>
          <w:color w:val="000000"/>
          <w:sz w:val="20"/>
          <w:szCs w:val="20"/>
        </w:rPr>
        <w:t>based compensation expense is recognized based on grant date fair value of all stock options, restricted stock units, and performance-based restricted share units. Share-based compensation expense is also recognized for the value of the 15% discount on sha</w:t>
      </w:r>
      <w:r>
        <w:rPr>
          <w:rFonts w:eastAsia="Times New Roman"/>
          <w:color w:val="000000"/>
          <w:sz w:val="20"/>
          <w:szCs w:val="20"/>
        </w:rPr>
        <w:t>res purchased by employees as a part of the ESPP. The discount under the ESPP represents the difference between the market value on the first day of the purchase period or the market value on the purchase date, whichever is lower, and the employee’s purcha</w:t>
      </w:r>
      <w:r>
        <w:rPr>
          <w:rFonts w:eastAsia="Times New Roman"/>
          <w:color w:val="000000"/>
          <w:sz w:val="20"/>
          <w:szCs w:val="20"/>
        </w:rPr>
        <w:t>se price.</w:t>
      </w:r>
    </w:p>
    <w:p w:rsidR="00000000" w:rsidRDefault="00613AEB">
      <w:pPr>
        <w:jc w:val="both"/>
        <w:rPr>
          <w:rFonts w:eastAsia="Times New Roman"/>
        </w:rPr>
      </w:pPr>
    </w:p>
    <w:p w:rsidR="00000000" w:rsidRDefault="00613AEB">
      <w:pPr>
        <w:jc w:val="both"/>
        <w:rPr>
          <w:rFonts w:eastAsia="Times New Roman"/>
        </w:rPr>
      </w:pPr>
      <w:r>
        <w:rPr>
          <w:rFonts w:eastAsia="Times New Roman"/>
          <w:color w:val="000000"/>
          <w:sz w:val="20"/>
          <w:szCs w:val="20"/>
        </w:rPr>
        <w:t>There were no significant modifications to the Company’s share-based compensation plans during the fiscal six months ended</w:t>
      </w:r>
    </w:p>
    <w:p w:rsidR="00000000" w:rsidRDefault="00613AEB">
      <w:pPr>
        <w:divId w:val="247005362"/>
        <w:rPr>
          <w:rFonts w:eastAsia="Times New Roman"/>
        </w:rPr>
      </w:pPr>
      <w:r>
        <w:rPr>
          <w:rFonts w:eastAsia="Times New Roman"/>
          <w:color w:val="000000"/>
          <w:sz w:val="20"/>
          <w:szCs w:val="20"/>
        </w:rPr>
        <w:t>June 25, 2022.</w:t>
      </w:r>
    </w:p>
    <w:p w:rsidR="00000000" w:rsidRDefault="00613AEB">
      <w:pPr>
        <w:jc w:val="both"/>
        <w:rPr>
          <w:rFonts w:eastAsia="Times New Roman"/>
        </w:rPr>
      </w:pPr>
    </w:p>
    <w:p w:rsidR="00000000" w:rsidRDefault="00613AEB">
      <w:pPr>
        <w:jc w:val="both"/>
        <w:rPr>
          <w:rFonts w:eastAsia="Times New Roman"/>
        </w:rPr>
      </w:pPr>
      <w:r>
        <w:rPr>
          <w:rFonts w:eastAsia="Times New Roman"/>
          <w:color w:val="000000"/>
          <w:sz w:val="20"/>
          <w:szCs w:val="20"/>
        </w:rPr>
        <w:t xml:space="preserve">Share-based compensation expense was $12.5 million and $10.9 </w:t>
      </w:r>
      <w:r>
        <w:rPr>
          <w:rFonts w:eastAsia="Times New Roman"/>
          <w:color w:val="000000"/>
          <w:sz w:val="20"/>
          <w:szCs w:val="20"/>
        </w:rPr>
        <w:t>million for the second quarter of fiscal 2022 and 2021, respectively, and $24.9 million and $23.2 million for the first six months of fiscal 2022 and 2021, respectively.</w:t>
      </w:r>
    </w:p>
    <w:p w:rsidR="00000000" w:rsidRDefault="00613AEB">
      <w:pPr>
        <w:jc w:val="center"/>
        <w:divId w:val="977077523"/>
        <w:rPr>
          <w:rFonts w:eastAsia="Times New Roman"/>
        </w:rPr>
      </w:pPr>
      <w:r>
        <w:rPr>
          <w:rFonts w:eastAsia="Times New Roman"/>
          <w:color w:val="000000"/>
          <w:sz w:val="20"/>
          <w:szCs w:val="20"/>
        </w:rPr>
        <w:t>Page 10</w:t>
      </w:r>
    </w:p>
    <w:p w:rsidR="00000000" w:rsidRDefault="00613AEB">
      <w:pPr>
        <w:rPr>
          <w:rFonts w:eastAsia="Times New Roman"/>
        </w:rPr>
      </w:pPr>
      <w:r>
        <w:rPr>
          <w:rFonts w:eastAsia="Times New Roman"/>
        </w:rPr>
        <w:pict>
          <v:rect id="_x0000_i1035" style="width:0;height:1.5pt" o:hralign="center" o:hrstd="t" o:hr="t" fillcolor="#a0a0a0" stroked="f"/>
        </w:pict>
      </w:r>
    </w:p>
    <w:p w:rsidR="00000000" w:rsidRDefault="00613AEB">
      <w:pPr>
        <w:divId w:val="1007174972"/>
        <w:rPr>
          <w:rFonts w:eastAsia="Times New Roman"/>
        </w:rPr>
      </w:pPr>
      <w:hyperlink w:anchor="i7b244a6903fc440faaf2365d228fe4ba_7" w:history="1">
        <w:r>
          <w:rPr>
            <w:rStyle w:val="a3"/>
            <w:rFonts w:eastAsia="Times New Roman"/>
            <w:sz w:val="16"/>
            <w:szCs w:val="16"/>
          </w:rPr>
          <w:t>Index</w:t>
        </w:r>
      </w:hyperlink>
    </w:p>
    <w:p w:rsidR="00000000" w:rsidRDefault="00613AEB">
      <w:pPr>
        <w:jc w:val="both"/>
        <w:rPr>
          <w:rFonts w:eastAsia="Times New Roman"/>
        </w:rPr>
      </w:pPr>
    </w:p>
    <w:p w:rsidR="00000000" w:rsidRDefault="00613AEB">
      <w:pPr>
        <w:divId w:val="2063675293"/>
        <w:rPr>
          <w:rFonts w:eastAsia="Times New Roman"/>
        </w:rPr>
      </w:pPr>
      <w:r>
        <w:rPr>
          <w:rFonts w:eastAsia="Times New Roman"/>
          <w:color w:val="000000"/>
          <w:sz w:val="20"/>
          <w:szCs w:val="20"/>
          <w:u w:val="single"/>
        </w:rPr>
        <w:t>Stock Options</w:t>
      </w:r>
    </w:p>
    <w:p w:rsidR="00000000" w:rsidRDefault="00613AEB">
      <w:pPr>
        <w:divId w:val="1026172710"/>
        <w:rPr>
          <w:rFonts w:eastAsia="Times New Roman"/>
        </w:rPr>
      </w:pPr>
    </w:p>
    <w:p w:rsidR="00000000" w:rsidRDefault="00613AEB">
      <w:pPr>
        <w:jc w:val="both"/>
        <w:rPr>
          <w:rFonts w:eastAsia="Times New Roman"/>
        </w:rPr>
      </w:pPr>
      <w:r>
        <w:rPr>
          <w:rFonts w:eastAsia="Times New Roman"/>
          <w:color w:val="000000"/>
          <w:sz w:val="20"/>
          <w:szCs w:val="20"/>
        </w:rPr>
        <w:t>The following table summarizes information concerning stock option grants during the first six months of fiscal 2022:</w:t>
      </w:r>
    </w:p>
    <w:p w:rsidR="00000000" w:rsidRDefault="00613AEB">
      <w:pPr>
        <w:jc w:val="both"/>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52"/>
        <w:gridCol w:w="6157"/>
        <w:gridCol w:w="37"/>
        <w:gridCol w:w="120"/>
        <w:gridCol w:w="1904"/>
        <w:gridCol w:w="36"/>
      </w:tblGrid>
      <w:tr w:rsidR="00000000">
        <w:trPr>
          <w:jc w:val="center"/>
        </w:trPr>
        <w:tc>
          <w:tcPr>
            <w:tcW w:w="50" w:type="pct"/>
            <w:vAlign w:val="center"/>
            <w:hideMark/>
          </w:tcPr>
          <w:p w:rsidR="00000000" w:rsidRDefault="00613AEB">
            <w:pPr>
              <w:jc w:val="both"/>
              <w:rPr>
                <w:rFonts w:eastAsia="Times New Roman"/>
              </w:rPr>
            </w:pPr>
          </w:p>
        </w:tc>
        <w:tc>
          <w:tcPr>
            <w:tcW w:w="3724"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0" w:type="pct"/>
            <w:vAlign w:val="center"/>
            <w:hideMark/>
          </w:tcPr>
          <w:p w:rsidR="00000000" w:rsidRDefault="00613AEB">
            <w:pPr>
              <w:spacing w:after="100"/>
              <w:rPr>
                <w:rFonts w:eastAsia="Times New Roman"/>
                <w:sz w:val="20"/>
                <w:szCs w:val="20"/>
              </w:rPr>
            </w:pPr>
          </w:p>
        </w:tc>
        <w:tc>
          <w:tcPr>
            <w:tcW w:w="1165"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613AEB">
            <w:pPr>
              <w:spacing w:after="100"/>
              <w:jc w:val="center"/>
              <w:rPr>
                <w:rFonts w:eastAsia="Times New Roman"/>
              </w:rPr>
            </w:pPr>
            <w:r>
              <w:rPr>
                <w:rFonts w:eastAsia="Times New Roman"/>
                <w:b/>
                <w:bCs/>
                <w:color w:val="000000"/>
                <w:sz w:val="20"/>
                <w:szCs w:val="20"/>
              </w:rPr>
              <w:t>Fiscal Six Months Ended</w:t>
            </w:r>
          </w:p>
        </w:tc>
      </w:tr>
      <w:tr w:rsidR="00000000">
        <w:trPr>
          <w:jc w:val="center"/>
        </w:trPr>
        <w:tc>
          <w:tcPr>
            <w:tcW w:w="0" w:type="auto"/>
            <w:gridSpan w:val="3"/>
            <w:tcMar>
              <w:top w:w="30" w:type="dxa"/>
              <w:left w:w="20"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13AEB">
            <w:pPr>
              <w:spacing w:after="100"/>
              <w:jc w:val="center"/>
              <w:rPr>
                <w:rFonts w:eastAsia="Times New Roman"/>
              </w:rPr>
            </w:pPr>
            <w:r>
              <w:rPr>
                <w:rFonts w:eastAsia="Times New Roman"/>
                <w:b/>
                <w:bCs/>
                <w:color w:val="000000"/>
                <w:sz w:val="20"/>
                <w:szCs w:val="20"/>
              </w:rPr>
              <w:t>June 25, 2022</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Stock options granted</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136,620 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Weighted average exercise price</w:t>
            </w:r>
          </w:p>
        </w:tc>
        <w:tc>
          <w:tcPr>
            <w:tcW w:w="0" w:type="auto"/>
            <w:shd w:val="clear" w:color="auto" w:fill="FFFF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221.72 </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Weighted average grant date fair value per option</w:t>
            </w:r>
          </w:p>
        </w:tc>
        <w:tc>
          <w:tcPr>
            <w:tcW w:w="0" w:type="auto"/>
            <w:shd w:val="clear" w:color="auto" w:fill="CCEE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49.91 </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r>
    </w:tbl>
    <w:p w:rsidR="00000000" w:rsidRDefault="00613AEB">
      <w:pPr>
        <w:divId w:val="1635478615"/>
        <w:rPr>
          <w:rFonts w:eastAsia="Times New Roman"/>
        </w:rPr>
      </w:pPr>
    </w:p>
    <w:p w:rsidR="00000000" w:rsidRDefault="00613AEB">
      <w:pPr>
        <w:jc w:val="both"/>
        <w:rPr>
          <w:rFonts w:eastAsia="Times New Roman"/>
        </w:rPr>
      </w:pPr>
      <w:r>
        <w:rPr>
          <w:rFonts w:eastAsia="Times New Roman"/>
          <w:color w:val="000000"/>
          <w:sz w:val="20"/>
          <w:szCs w:val="20"/>
        </w:rPr>
        <w:t>As of June </w:t>
      </w:r>
      <w:r>
        <w:rPr>
          <w:rFonts w:eastAsia="Times New Roman"/>
          <w:color w:val="000000"/>
          <w:sz w:val="20"/>
          <w:szCs w:val="20"/>
        </w:rPr>
        <w:t>25, 2022, total unrecognized compensation expense related to non-vested stock options was approximately $11.3 million with a remaining weighted average expense recognition period of 2.1 years.</w:t>
      </w:r>
    </w:p>
    <w:p w:rsidR="00000000" w:rsidRDefault="00613AEB">
      <w:pPr>
        <w:jc w:val="both"/>
        <w:rPr>
          <w:rFonts w:eastAsia="Times New Roman"/>
        </w:rPr>
      </w:pPr>
    </w:p>
    <w:p w:rsidR="00000000" w:rsidRDefault="00613AEB">
      <w:pPr>
        <w:jc w:val="both"/>
        <w:rPr>
          <w:rFonts w:eastAsia="Times New Roman"/>
        </w:rPr>
      </w:pPr>
      <w:r>
        <w:rPr>
          <w:rFonts w:eastAsia="Times New Roman"/>
          <w:color w:val="000000"/>
          <w:sz w:val="20"/>
          <w:szCs w:val="20"/>
          <w:u w:val="single"/>
        </w:rPr>
        <w:t>Restricted Stock Units and Performance-Based Restricted Share</w:t>
      </w:r>
      <w:r>
        <w:rPr>
          <w:rFonts w:eastAsia="Times New Roman"/>
          <w:color w:val="000000"/>
          <w:sz w:val="20"/>
          <w:szCs w:val="20"/>
          <w:u w:val="single"/>
        </w:rPr>
        <w:t xml:space="preserve"> Units</w:t>
      </w:r>
    </w:p>
    <w:p w:rsidR="00000000" w:rsidRDefault="00613AEB">
      <w:pPr>
        <w:divId w:val="1812018395"/>
        <w:rPr>
          <w:rFonts w:eastAsia="Times New Roman"/>
        </w:rPr>
      </w:pPr>
    </w:p>
    <w:p w:rsidR="00000000" w:rsidRDefault="00613AEB">
      <w:pPr>
        <w:jc w:val="both"/>
        <w:rPr>
          <w:rFonts w:eastAsia="Times New Roman"/>
        </w:rPr>
      </w:pPr>
      <w:r>
        <w:rPr>
          <w:rFonts w:eastAsia="Times New Roman"/>
          <w:color w:val="000000"/>
          <w:sz w:val="20"/>
          <w:szCs w:val="20"/>
        </w:rPr>
        <w:t>The following table summarizes information concerning restricted stock unit and performance-based restricted share unit grants during the first six months of fiscal 2022:</w:t>
      </w:r>
    </w:p>
    <w:tbl>
      <w:tblPr>
        <w:tblW w:w="5000" w:type="pct"/>
        <w:jc w:val="center"/>
        <w:tblCellMar>
          <w:top w:w="15" w:type="dxa"/>
          <w:left w:w="15" w:type="dxa"/>
          <w:bottom w:w="15" w:type="dxa"/>
          <w:right w:w="15" w:type="dxa"/>
        </w:tblCellMar>
        <w:tblLook w:val="04A0" w:firstRow="1" w:lastRow="0" w:firstColumn="1" w:lastColumn="0" w:noHBand="0" w:noVBand="1"/>
      </w:tblPr>
      <w:tblGrid>
        <w:gridCol w:w="52"/>
        <w:gridCol w:w="6157"/>
        <w:gridCol w:w="37"/>
        <w:gridCol w:w="120"/>
        <w:gridCol w:w="1904"/>
        <w:gridCol w:w="36"/>
      </w:tblGrid>
      <w:tr w:rsidR="00000000">
        <w:trPr>
          <w:jc w:val="center"/>
        </w:trPr>
        <w:tc>
          <w:tcPr>
            <w:tcW w:w="50" w:type="pct"/>
            <w:vAlign w:val="center"/>
            <w:hideMark/>
          </w:tcPr>
          <w:p w:rsidR="00000000" w:rsidRDefault="00613AEB">
            <w:pPr>
              <w:jc w:val="both"/>
              <w:rPr>
                <w:rFonts w:eastAsia="Times New Roman"/>
              </w:rPr>
            </w:pPr>
          </w:p>
        </w:tc>
        <w:tc>
          <w:tcPr>
            <w:tcW w:w="3724"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0" w:type="pct"/>
            <w:vAlign w:val="center"/>
            <w:hideMark/>
          </w:tcPr>
          <w:p w:rsidR="00000000" w:rsidRDefault="00613AEB">
            <w:pPr>
              <w:spacing w:after="100"/>
              <w:rPr>
                <w:rFonts w:eastAsia="Times New Roman"/>
                <w:sz w:val="20"/>
                <w:szCs w:val="20"/>
              </w:rPr>
            </w:pPr>
          </w:p>
        </w:tc>
        <w:tc>
          <w:tcPr>
            <w:tcW w:w="1165"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613AEB">
            <w:pPr>
              <w:spacing w:after="100"/>
              <w:jc w:val="center"/>
              <w:rPr>
                <w:rFonts w:eastAsia="Times New Roman"/>
              </w:rPr>
            </w:pPr>
            <w:r>
              <w:rPr>
                <w:rFonts w:eastAsia="Times New Roman"/>
                <w:b/>
                <w:bCs/>
                <w:color w:val="000000"/>
                <w:sz w:val="20"/>
                <w:szCs w:val="20"/>
              </w:rPr>
              <w:t>Fiscal Six Months Ended</w:t>
            </w:r>
          </w:p>
        </w:tc>
      </w:tr>
      <w:tr w:rsidR="00000000">
        <w:trPr>
          <w:jc w:val="center"/>
        </w:trPr>
        <w:tc>
          <w:tcPr>
            <w:tcW w:w="0" w:type="auto"/>
            <w:gridSpan w:val="3"/>
            <w:tcMar>
              <w:top w:w="30" w:type="dxa"/>
              <w:left w:w="20"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13AEB">
            <w:pPr>
              <w:spacing w:after="100"/>
              <w:jc w:val="center"/>
              <w:rPr>
                <w:rFonts w:eastAsia="Times New Roman"/>
              </w:rPr>
            </w:pPr>
            <w:r>
              <w:rPr>
                <w:rFonts w:eastAsia="Times New Roman"/>
                <w:b/>
                <w:bCs/>
                <w:color w:val="000000"/>
                <w:sz w:val="20"/>
                <w:szCs w:val="20"/>
              </w:rPr>
              <w:t>June 25, 2022</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Restricted stock units granted</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176,519 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Weighted average grant date fair value per share - Restricted stock units</w:t>
            </w:r>
          </w:p>
        </w:tc>
        <w:tc>
          <w:tcPr>
            <w:tcW w:w="0" w:type="auto"/>
            <w:shd w:val="clear" w:color="auto" w:fill="FFFF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211.82 </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613AEB">
            <w:pPr>
              <w:spacing w:after="100"/>
              <w:divId w:val="1498883710"/>
              <w:rPr>
                <w:rFonts w:eastAsia="Times New Roman"/>
              </w:rPr>
            </w:pPr>
            <w:r>
              <w:rPr>
                <w:rFonts w:eastAsia="Times New Roman"/>
                <w:color w:val="000000"/>
                <w:sz w:val="20"/>
                <w:szCs w:val="20"/>
              </w:rPr>
              <w:t>Performance-based restricted share units granted</w:t>
            </w:r>
            <w:r>
              <w:rPr>
                <w:rFonts w:eastAsia="Times New Roman"/>
                <w:color w:val="000000"/>
                <w:sz w:val="20"/>
                <w:szCs w:val="20"/>
              </w:rPr>
              <w:t xml:space="preserve"> </w:t>
            </w:r>
            <w:r>
              <w:rPr>
                <w:rFonts w:eastAsia="Times New Roman"/>
                <w:color w:val="000000"/>
                <w:sz w:val="13"/>
                <w:szCs w:val="13"/>
              </w:rPr>
              <w:t>(a</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51,002 </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Weighted average grant date fair value per share - Performance-based restricted share units</w:t>
            </w:r>
          </w:p>
        </w:tc>
        <w:tc>
          <w:tcPr>
            <w:tcW w:w="0" w:type="auto"/>
            <w:shd w:val="clear" w:color="auto" w:fill="FFFF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224.97 </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r>
    </w:tbl>
    <w:p w:rsidR="00000000" w:rsidRDefault="00613AEB">
      <w:pPr>
        <w:jc w:val="both"/>
        <w:rPr>
          <w:rFonts w:eastAsia="Times New Roman"/>
        </w:rPr>
      </w:pPr>
      <w:r>
        <w:rPr>
          <w:rFonts w:eastAsia="Times New Roman"/>
          <w:color w:val="000000"/>
          <w:sz w:val="16"/>
          <w:szCs w:val="16"/>
        </w:rPr>
        <w:t>(a) Assumes 100% target level achievement of the relative performance targets.</w:t>
      </w:r>
    </w:p>
    <w:p w:rsidR="00000000" w:rsidRDefault="00613AEB">
      <w:pPr>
        <w:jc w:val="both"/>
        <w:rPr>
          <w:rFonts w:eastAsia="Times New Roman"/>
        </w:rPr>
      </w:pPr>
    </w:p>
    <w:p w:rsidR="00000000" w:rsidRDefault="00613AEB">
      <w:pPr>
        <w:jc w:val="both"/>
        <w:rPr>
          <w:rFonts w:eastAsia="Times New Roman"/>
        </w:rPr>
      </w:pPr>
      <w:r>
        <w:rPr>
          <w:rFonts w:eastAsia="Times New Roman"/>
          <w:color w:val="000000"/>
          <w:sz w:val="20"/>
          <w:szCs w:val="20"/>
        </w:rPr>
        <w:t>In the first six months of fiscal 2022, the Company granted performance-based restricted share unit awards that are subject to the achievement of specified performance goals. The performance metrics for the units are growth in net sales and growth in earni</w:t>
      </w:r>
      <w:r>
        <w:rPr>
          <w:rFonts w:eastAsia="Times New Roman"/>
          <w:color w:val="000000"/>
          <w:sz w:val="20"/>
          <w:szCs w:val="20"/>
        </w:rPr>
        <w:t>ngs per diluted share and also include a relative total shareholder return modifier. The number of performance-based restricted share units presented in the foregoing table represent the shares that can be achieved at the performance metric target value. T</w:t>
      </w:r>
      <w:r>
        <w:rPr>
          <w:rFonts w:eastAsia="Times New Roman"/>
          <w:color w:val="000000"/>
          <w:sz w:val="20"/>
          <w:szCs w:val="20"/>
        </w:rPr>
        <w:t>he actual number of shares that will be issued under the performance-based restricted share unit awards, which may be higher or lower than the target, will be determined by the level of achievement of the performance goals and the relative total shareholde</w:t>
      </w:r>
      <w:r>
        <w:rPr>
          <w:rFonts w:eastAsia="Times New Roman"/>
          <w:color w:val="000000"/>
          <w:sz w:val="20"/>
          <w:szCs w:val="20"/>
        </w:rPr>
        <w:t>r return modifier. If the performance targets are achieved, the units will be issued based on the achievement level, inclusive of the relative total shareholder return modifier, and the grant date fair value and will cliff vest in full on the third anniver</w:t>
      </w:r>
      <w:r>
        <w:rPr>
          <w:rFonts w:eastAsia="Times New Roman"/>
          <w:color w:val="000000"/>
          <w:sz w:val="20"/>
          <w:szCs w:val="20"/>
        </w:rPr>
        <w:t xml:space="preserve">sary of the date of the grant, subject to continued employment. </w:t>
      </w:r>
    </w:p>
    <w:p w:rsidR="00000000" w:rsidRDefault="00613AEB">
      <w:pPr>
        <w:jc w:val="both"/>
        <w:rPr>
          <w:rFonts w:eastAsia="Times New Roman"/>
        </w:rPr>
      </w:pPr>
    </w:p>
    <w:p w:rsidR="00000000" w:rsidRDefault="00613AEB">
      <w:pPr>
        <w:jc w:val="both"/>
        <w:rPr>
          <w:rFonts w:eastAsia="Times New Roman"/>
        </w:rPr>
      </w:pPr>
      <w:r>
        <w:rPr>
          <w:rFonts w:eastAsia="Times New Roman"/>
          <w:color w:val="000000"/>
          <w:sz w:val="20"/>
          <w:szCs w:val="20"/>
        </w:rPr>
        <w:t>As of June 25, 2022, total unrecognized compensation expense related to non-vested restricted stock units and non-vested performance-based restricted share units was approximately $77.6 mil</w:t>
      </w:r>
      <w:r>
        <w:rPr>
          <w:rFonts w:eastAsia="Times New Roman"/>
          <w:color w:val="000000"/>
          <w:sz w:val="20"/>
          <w:szCs w:val="20"/>
        </w:rPr>
        <w:t>lion with a remaining weighted average expense recognition period of 2.1 years.</w:t>
      </w:r>
    </w:p>
    <w:p w:rsidR="00000000" w:rsidRDefault="00613AEB">
      <w:pPr>
        <w:divId w:val="854345879"/>
        <w:rPr>
          <w:rFonts w:eastAsia="Times New Roman"/>
        </w:rPr>
      </w:pPr>
    </w:p>
    <w:p w:rsidR="00000000" w:rsidRDefault="00613AEB">
      <w:pPr>
        <w:jc w:val="center"/>
        <w:divId w:val="1711605991"/>
        <w:rPr>
          <w:rFonts w:eastAsia="Times New Roman"/>
        </w:rPr>
      </w:pPr>
      <w:r>
        <w:rPr>
          <w:rFonts w:eastAsia="Times New Roman"/>
          <w:color w:val="000000"/>
          <w:sz w:val="20"/>
          <w:szCs w:val="20"/>
        </w:rPr>
        <w:t>Page 11</w:t>
      </w:r>
    </w:p>
    <w:p w:rsidR="00000000" w:rsidRDefault="00613AEB">
      <w:pPr>
        <w:rPr>
          <w:rFonts w:eastAsia="Times New Roman"/>
        </w:rPr>
      </w:pPr>
      <w:r>
        <w:rPr>
          <w:rFonts w:eastAsia="Times New Roman"/>
        </w:rPr>
        <w:pict>
          <v:rect id="_x0000_i1036" style="width:0;height:1.5pt" o:hralign="center" o:hrstd="t" o:hr="t" fillcolor="#a0a0a0" stroked="f"/>
        </w:pict>
      </w:r>
    </w:p>
    <w:p w:rsidR="00000000" w:rsidRDefault="00613AEB">
      <w:pPr>
        <w:divId w:val="576089197"/>
        <w:rPr>
          <w:rFonts w:eastAsia="Times New Roman"/>
        </w:rPr>
      </w:pPr>
      <w:hyperlink w:anchor="i7b244a6903fc440faaf2365d228fe4ba_7" w:history="1">
        <w:r>
          <w:rPr>
            <w:rStyle w:val="a3"/>
            <w:rFonts w:eastAsia="Times New Roman"/>
            <w:sz w:val="16"/>
            <w:szCs w:val="16"/>
          </w:rPr>
          <w:t>Index</w:t>
        </w:r>
      </w:hyperlink>
    </w:p>
    <w:p w:rsidR="00000000" w:rsidRDefault="00613AEB">
      <w:pPr>
        <w:jc w:val="both"/>
        <w:rPr>
          <w:rFonts w:eastAsia="Times New Roman"/>
        </w:rPr>
      </w:pPr>
      <w:r>
        <w:rPr>
          <w:rFonts w:eastAsia="Times New Roman"/>
          <w:b/>
          <w:bCs/>
          <w:color w:val="000000"/>
          <w:sz w:val="20"/>
          <w:szCs w:val="20"/>
        </w:rPr>
        <w:t>Note 4 – Net Income Per Share:</w:t>
      </w:r>
    </w:p>
    <w:p w:rsidR="00000000" w:rsidRDefault="00613AEB">
      <w:pPr>
        <w:divId w:val="1898782915"/>
        <w:rPr>
          <w:rFonts w:eastAsia="Times New Roman"/>
        </w:rPr>
      </w:pPr>
    </w:p>
    <w:p w:rsidR="00000000" w:rsidRDefault="00613AEB">
      <w:pPr>
        <w:jc w:val="both"/>
        <w:rPr>
          <w:rFonts w:eastAsia="Times New Roman"/>
        </w:rPr>
      </w:pPr>
      <w:r>
        <w:rPr>
          <w:rFonts w:eastAsia="Times New Roman"/>
          <w:color w:val="000000"/>
          <w:sz w:val="20"/>
          <w:szCs w:val="20"/>
        </w:rPr>
        <w:t>The Company presents both basic a</w:t>
      </w:r>
      <w:r>
        <w:rPr>
          <w:rFonts w:eastAsia="Times New Roman"/>
          <w:color w:val="000000"/>
          <w:sz w:val="20"/>
          <w:szCs w:val="20"/>
        </w:rPr>
        <w:t>nd diluted net income per share on the Condensed Consolidated Statements of Income.  Basic net income per share is calculated by dividing net income by the weighted average number of shares outstanding during the period.  Diluted net income per share is ca</w:t>
      </w:r>
      <w:r>
        <w:rPr>
          <w:rFonts w:eastAsia="Times New Roman"/>
          <w:color w:val="000000"/>
          <w:sz w:val="20"/>
          <w:szCs w:val="20"/>
        </w:rPr>
        <w:t>lculated by dividing net income by the weighted average diluted shares outstanding during the period. Dilutive shares are computed using the treasury stock method for share-based awards. Performance-based restricted share units are included in diluted shar</w:t>
      </w:r>
      <w:r>
        <w:rPr>
          <w:rFonts w:eastAsia="Times New Roman"/>
          <w:color w:val="000000"/>
          <w:sz w:val="20"/>
          <w:szCs w:val="20"/>
        </w:rPr>
        <w:t>es only if the related performance conditions are considered satisfied as of the end of the reporting period. Net income per share is calculated as follows (in thousands, except per share amounts):</w:t>
      </w:r>
    </w:p>
    <w:tbl>
      <w:tblPr>
        <w:tblW w:w="4956" w:type="pct"/>
        <w:jc w:val="center"/>
        <w:tblCellMar>
          <w:top w:w="15" w:type="dxa"/>
          <w:left w:w="15" w:type="dxa"/>
          <w:bottom w:w="15" w:type="dxa"/>
          <w:right w:w="15" w:type="dxa"/>
        </w:tblCellMar>
        <w:tblLook w:val="04A0" w:firstRow="1" w:lastRow="0" w:firstColumn="1" w:lastColumn="0" w:noHBand="0" w:noVBand="1"/>
      </w:tblPr>
      <w:tblGrid>
        <w:gridCol w:w="38"/>
        <w:gridCol w:w="2720"/>
        <w:gridCol w:w="37"/>
        <w:gridCol w:w="120"/>
        <w:gridCol w:w="700"/>
        <w:gridCol w:w="36"/>
        <w:gridCol w:w="36"/>
        <w:gridCol w:w="36"/>
        <w:gridCol w:w="36"/>
        <w:gridCol w:w="74"/>
        <w:gridCol w:w="646"/>
        <w:gridCol w:w="36"/>
        <w:gridCol w:w="36"/>
        <w:gridCol w:w="36"/>
        <w:gridCol w:w="36"/>
        <w:gridCol w:w="121"/>
        <w:gridCol w:w="658"/>
        <w:gridCol w:w="36"/>
        <w:gridCol w:w="36"/>
        <w:gridCol w:w="36"/>
        <w:gridCol w:w="36"/>
        <w:gridCol w:w="120"/>
        <w:gridCol w:w="700"/>
        <w:gridCol w:w="36"/>
        <w:gridCol w:w="36"/>
        <w:gridCol w:w="36"/>
        <w:gridCol w:w="36"/>
        <w:gridCol w:w="74"/>
        <w:gridCol w:w="646"/>
        <w:gridCol w:w="36"/>
        <w:gridCol w:w="36"/>
        <w:gridCol w:w="36"/>
        <w:gridCol w:w="36"/>
        <w:gridCol w:w="121"/>
        <w:gridCol w:w="702"/>
        <w:gridCol w:w="36"/>
      </w:tblGrid>
      <w:tr w:rsidR="00000000">
        <w:trPr>
          <w:jc w:val="center"/>
        </w:trPr>
        <w:tc>
          <w:tcPr>
            <w:tcW w:w="50" w:type="pct"/>
            <w:vAlign w:val="center"/>
            <w:hideMark/>
          </w:tcPr>
          <w:p w:rsidR="00000000" w:rsidRDefault="00613AEB">
            <w:pPr>
              <w:jc w:val="both"/>
              <w:rPr>
                <w:rFonts w:eastAsia="Times New Roman"/>
              </w:rPr>
            </w:pPr>
          </w:p>
        </w:tc>
        <w:tc>
          <w:tcPr>
            <w:tcW w:w="1832"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0" w:type="pct"/>
            <w:vAlign w:val="center"/>
            <w:hideMark/>
          </w:tcPr>
          <w:p w:rsidR="00000000" w:rsidRDefault="00613AEB">
            <w:pPr>
              <w:spacing w:after="100"/>
              <w:rPr>
                <w:rFonts w:eastAsia="Times New Roman"/>
                <w:sz w:val="20"/>
                <w:szCs w:val="20"/>
              </w:rPr>
            </w:pPr>
          </w:p>
        </w:tc>
        <w:tc>
          <w:tcPr>
            <w:tcW w:w="439"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19"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0" w:type="pct"/>
            <w:vAlign w:val="center"/>
            <w:hideMark/>
          </w:tcPr>
          <w:p w:rsidR="00000000" w:rsidRDefault="00613AEB">
            <w:pPr>
              <w:spacing w:after="100"/>
              <w:rPr>
                <w:rFonts w:eastAsia="Times New Roman"/>
                <w:sz w:val="20"/>
                <w:szCs w:val="20"/>
              </w:rPr>
            </w:pPr>
          </w:p>
        </w:tc>
        <w:tc>
          <w:tcPr>
            <w:tcW w:w="439"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19"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0" w:type="pct"/>
            <w:vAlign w:val="center"/>
            <w:hideMark/>
          </w:tcPr>
          <w:p w:rsidR="00000000" w:rsidRDefault="00613AEB">
            <w:pPr>
              <w:spacing w:after="100"/>
              <w:rPr>
                <w:rFonts w:eastAsia="Times New Roman"/>
                <w:sz w:val="20"/>
                <w:szCs w:val="20"/>
              </w:rPr>
            </w:pPr>
          </w:p>
        </w:tc>
        <w:tc>
          <w:tcPr>
            <w:tcW w:w="439"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19"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0" w:type="pct"/>
            <w:vAlign w:val="center"/>
            <w:hideMark/>
          </w:tcPr>
          <w:p w:rsidR="00000000" w:rsidRDefault="00613AEB">
            <w:pPr>
              <w:spacing w:after="100"/>
              <w:rPr>
                <w:rFonts w:eastAsia="Times New Roman"/>
                <w:sz w:val="20"/>
                <w:szCs w:val="20"/>
              </w:rPr>
            </w:pPr>
          </w:p>
        </w:tc>
        <w:tc>
          <w:tcPr>
            <w:tcW w:w="439"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19"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0" w:type="pct"/>
            <w:vAlign w:val="center"/>
            <w:hideMark/>
          </w:tcPr>
          <w:p w:rsidR="00000000" w:rsidRDefault="00613AEB">
            <w:pPr>
              <w:spacing w:after="100"/>
              <w:rPr>
                <w:rFonts w:eastAsia="Times New Roman"/>
                <w:sz w:val="20"/>
                <w:szCs w:val="20"/>
              </w:rPr>
            </w:pPr>
          </w:p>
        </w:tc>
        <w:tc>
          <w:tcPr>
            <w:tcW w:w="439"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19"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0" w:type="pct"/>
            <w:vAlign w:val="center"/>
            <w:hideMark/>
          </w:tcPr>
          <w:p w:rsidR="00000000" w:rsidRDefault="00613AEB">
            <w:pPr>
              <w:spacing w:after="100"/>
              <w:rPr>
                <w:rFonts w:eastAsia="Times New Roman"/>
                <w:sz w:val="20"/>
                <w:szCs w:val="20"/>
              </w:rPr>
            </w:pPr>
          </w:p>
        </w:tc>
        <w:tc>
          <w:tcPr>
            <w:tcW w:w="439"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 </w:t>
            </w:r>
          </w:p>
        </w:tc>
        <w:tc>
          <w:tcPr>
            <w:tcW w:w="0" w:type="auto"/>
            <w:gridSpan w:val="33"/>
            <w:tcBorders>
              <w:bottom w:val="single" w:sz="8" w:space="0" w:color="000000"/>
            </w:tcBorders>
            <w:tcMar>
              <w:top w:w="30" w:type="dxa"/>
              <w:left w:w="20" w:type="dxa"/>
              <w:bottom w:w="30" w:type="dxa"/>
              <w:right w:w="20" w:type="dxa"/>
            </w:tcMar>
            <w:vAlign w:val="bottom"/>
            <w:hideMark/>
          </w:tcPr>
          <w:p w:rsidR="00000000" w:rsidRDefault="00613AEB">
            <w:pPr>
              <w:spacing w:after="100"/>
              <w:jc w:val="center"/>
              <w:rPr>
                <w:rFonts w:eastAsia="Times New Roman"/>
              </w:rPr>
            </w:pPr>
            <w:r>
              <w:rPr>
                <w:rFonts w:eastAsia="Times New Roman"/>
                <w:b/>
                <w:bCs/>
                <w:color w:val="000000"/>
                <w:sz w:val="20"/>
                <w:szCs w:val="20"/>
              </w:rPr>
              <w:t>Fiscal Three Months Ended</w:t>
            </w:r>
          </w:p>
        </w:tc>
      </w:tr>
      <w:tr w:rsidR="00000000">
        <w:trPr>
          <w:jc w:val="center"/>
        </w:trPr>
        <w:tc>
          <w:tcPr>
            <w:tcW w:w="0" w:type="auto"/>
            <w:gridSpan w:val="3"/>
            <w:tcMar>
              <w:top w:w="0" w:type="dxa"/>
              <w:left w:w="20" w:type="dxa"/>
              <w:bottom w:w="0" w:type="dxa"/>
              <w:right w:w="20" w:type="dxa"/>
            </w:tcMar>
            <w:vAlign w:val="center"/>
            <w:hideMark/>
          </w:tcPr>
          <w:p w:rsidR="00000000" w:rsidRDefault="00613AEB">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613AEB">
            <w:pPr>
              <w:spacing w:after="100"/>
              <w:jc w:val="center"/>
              <w:rPr>
                <w:rFonts w:eastAsia="Times New Roman"/>
              </w:rPr>
            </w:pPr>
            <w:r>
              <w:rPr>
                <w:rFonts w:eastAsia="Times New Roman"/>
                <w:b/>
                <w:bCs/>
                <w:color w:val="000000"/>
                <w:sz w:val="20"/>
                <w:szCs w:val="20"/>
              </w:rPr>
              <w:t>June 25, 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13AEB">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613AEB">
            <w:pPr>
              <w:spacing w:after="100"/>
              <w:jc w:val="center"/>
              <w:rPr>
                <w:rFonts w:eastAsia="Times New Roman"/>
              </w:rPr>
            </w:pPr>
            <w:r>
              <w:rPr>
                <w:rFonts w:eastAsia="Times New Roman"/>
                <w:b/>
                <w:bCs/>
                <w:color w:val="000000"/>
                <w:sz w:val="20"/>
                <w:szCs w:val="20"/>
              </w:rPr>
              <w:t>June 26, 2021</w:t>
            </w:r>
          </w:p>
        </w:tc>
      </w:tr>
      <w:tr w:rsidR="00000000">
        <w:trPr>
          <w:jc w:val="center"/>
        </w:trPr>
        <w:tc>
          <w:tcPr>
            <w:tcW w:w="0" w:type="auto"/>
            <w:gridSpan w:val="3"/>
            <w:tcMar>
              <w:top w:w="30" w:type="dxa"/>
              <w:left w:w="20"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13AEB">
            <w:pPr>
              <w:spacing w:after="100"/>
              <w:jc w:val="center"/>
              <w:rPr>
                <w:rFonts w:eastAsia="Times New Roman"/>
              </w:rPr>
            </w:pPr>
            <w:r>
              <w:rPr>
                <w:rFonts w:eastAsia="Times New Roman"/>
                <w:b/>
                <w:bCs/>
                <w:color w:val="000000"/>
                <w:sz w:val="20"/>
                <w:szCs w:val="20"/>
              </w:rPr>
              <w:t>Income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13AE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13AEB">
            <w:pPr>
              <w:spacing w:after="100"/>
              <w:jc w:val="center"/>
              <w:rPr>
                <w:rFonts w:eastAsia="Times New Roman"/>
              </w:rPr>
            </w:pPr>
            <w:r>
              <w:rPr>
                <w:rFonts w:eastAsia="Times New Roman"/>
                <w:b/>
                <w:bCs/>
                <w:color w:val="000000"/>
                <w:sz w:val="20"/>
                <w:szCs w:val="20"/>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13AE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13AEB">
            <w:pPr>
              <w:spacing w:after="100"/>
              <w:jc w:val="center"/>
              <w:rPr>
                <w:rFonts w:eastAsia="Times New Roman"/>
              </w:rPr>
            </w:pPr>
            <w:r>
              <w:rPr>
                <w:rFonts w:eastAsia="Times New Roman"/>
                <w:b/>
                <w:bCs/>
                <w:color w:val="000000"/>
                <w:sz w:val="20"/>
                <w:szCs w:val="20"/>
              </w:rPr>
              <w:t>Per Share</w:t>
            </w:r>
            <w:r>
              <w:rPr>
                <w:rFonts w:eastAsia="Times New Roman"/>
                <w:b/>
                <w:bCs/>
                <w:color w:val="000000"/>
                <w:sz w:val="20"/>
                <w:szCs w:val="20"/>
              </w:rPr>
              <w:br/>
              <w:t>Amount</w:t>
            </w:r>
          </w:p>
        </w:tc>
        <w:tc>
          <w:tcPr>
            <w:tcW w:w="0" w:type="auto"/>
            <w:gridSpan w:val="3"/>
            <w:tcMar>
              <w:top w:w="0" w:type="dxa"/>
              <w:left w:w="20" w:type="dxa"/>
              <w:bottom w:w="0" w:type="dxa"/>
              <w:right w:w="20" w:type="dxa"/>
            </w:tcMar>
            <w:vAlign w:val="center"/>
            <w:hideMark/>
          </w:tcPr>
          <w:p w:rsidR="00000000" w:rsidRDefault="00613AE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13AEB">
            <w:pPr>
              <w:spacing w:after="100"/>
              <w:jc w:val="center"/>
              <w:rPr>
                <w:rFonts w:eastAsia="Times New Roman"/>
              </w:rPr>
            </w:pPr>
            <w:r>
              <w:rPr>
                <w:rFonts w:eastAsia="Times New Roman"/>
                <w:b/>
                <w:bCs/>
                <w:color w:val="000000"/>
                <w:sz w:val="20"/>
                <w:szCs w:val="20"/>
              </w:rPr>
              <w:t>Income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13AE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13AEB">
            <w:pPr>
              <w:spacing w:after="100"/>
              <w:jc w:val="center"/>
              <w:rPr>
                <w:rFonts w:eastAsia="Times New Roman"/>
              </w:rPr>
            </w:pPr>
            <w:r>
              <w:rPr>
                <w:rFonts w:eastAsia="Times New Roman"/>
                <w:b/>
                <w:bCs/>
                <w:color w:val="000000"/>
                <w:sz w:val="20"/>
                <w:szCs w:val="20"/>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13AE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13AEB">
            <w:pPr>
              <w:spacing w:after="100"/>
              <w:jc w:val="center"/>
              <w:rPr>
                <w:rFonts w:eastAsia="Times New Roman"/>
              </w:rPr>
            </w:pPr>
            <w:r>
              <w:rPr>
                <w:rFonts w:eastAsia="Times New Roman"/>
                <w:b/>
                <w:bCs/>
                <w:color w:val="000000"/>
                <w:sz w:val="20"/>
                <w:szCs w:val="20"/>
              </w:rPr>
              <w:t>Per Share</w:t>
            </w:r>
            <w:r>
              <w:rPr>
                <w:rFonts w:eastAsia="Times New Roman"/>
                <w:b/>
                <w:bCs/>
                <w:color w:val="000000"/>
                <w:sz w:val="20"/>
                <w:szCs w:val="20"/>
              </w:rPr>
              <w:br/>
              <w:t> Amount</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Basic net income per share: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396,478 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111,590 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3.55 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370,022 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115,133 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3.21 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r>
      <w:tr w:rsidR="00000000">
        <w:trPr>
          <w:jc w:val="center"/>
        </w:trPr>
        <w:tc>
          <w:tcPr>
            <w:tcW w:w="0" w:type="auto"/>
            <w:gridSpan w:val="3"/>
            <w:tcMar>
              <w:top w:w="30" w:type="dxa"/>
              <w:left w:w="245"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Dilutive effect of share-based awards</w:t>
            </w:r>
          </w:p>
        </w:tc>
        <w:tc>
          <w:tcPr>
            <w:tcW w:w="0" w:type="auto"/>
            <w:gridSpan w:val="2"/>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728 </w:t>
            </w:r>
          </w:p>
        </w:tc>
        <w:tc>
          <w:tcPr>
            <w:tcW w:w="0" w:type="auto"/>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(0.02)</w:t>
            </w:r>
          </w:p>
        </w:tc>
        <w:tc>
          <w:tcPr>
            <w:tcW w:w="0" w:type="auto"/>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958 </w:t>
            </w:r>
          </w:p>
        </w:tc>
        <w:tc>
          <w:tcPr>
            <w:tcW w:w="0" w:type="auto"/>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(0.02)</w:t>
            </w:r>
          </w:p>
        </w:tc>
        <w:tc>
          <w:tcPr>
            <w:tcW w:w="0" w:type="auto"/>
            <w:tcMar>
              <w:top w:w="30" w:type="dxa"/>
              <w:left w:w="0" w:type="dxa"/>
              <w:bottom w:w="30" w:type="dxa"/>
              <w:right w:w="20" w:type="dxa"/>
            </w:tcMar>
            <w:vAlign w:val="bottom"/>
            <w:hideMark/>
          </w:tcPr>
          <w:p w:rsidR="00000000" w:rsidRDefault="00613AEB">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Diluted net income per share:</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396,478 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112,318 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3.53 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370,022 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116,091 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3.19 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r>
    </w:tbl>
    <w:p w:rsidR="00000000" w:rsidRDefault="00613AEB">
      <w:pPr>
        <w:jc w:val="center"/>
        <w:rPr>
          <w:rFonts w:eastAsia="Times New Roman"/>
        </w:rPr>
      </w:pPr>
    </w:p>
    <w:p w:rsidR="00000000" w:rsidRDefault="00613AEB">
      <w:pPr>
        <w:jc w:val="center"/>
        <w:rPr>
          <w:rFonts w:eastAsia="Times New Roman"/>
        </w:rPr>
      </w:pPr>
    </w:p>
    <w:tbl>
      <w:tblPr>
        <w:tblW w:w="4956" w:type="pct"/>
        <w:jc w:val="center"/>
        <w:tblCellMar>
          <w:top w:w="15" w:type="dxa"/>
          <w:left w:w="15" w:type="dxa"/>
          <w:bottom w:w="15" w:type="dxa"/>
          <w:right w:w="15" w:type="dxa"/>
        </w:tblCellMar>
        <w:tblLook w:val="04A0" w:firstRow="1" w:lastRow="0" w:firstColumn="1" w:lastColumn="0" w:noHBand="0" w:noVBand="1"/>
      </w:tblPr>
      <w:tblGrid>
        <w:gridCol w:w="38"/>
        <w:gridCol w:w="2720"/>
        <w:gridCol w:w="37"/>
        <w:gridCol w:w="120"/>
        <w:gridCol w:w="700"/>
        <w:gridCol w:w="36"/>
        <w:gridCol w:w="36"/>
        <w:gridCol w:w="36"/>
        <w:gridCol w:w="36"/>
        <w:gridCol w:w="74"/>
        <w:gridCol w:w="646"/>
        <w:gridCol w:w="36"/>
        <w:gridCol w:w="36"/>
        <w:gridCol w:w="36"/>
        <w:gridCol w:w="36"/>
        <w:gridCol w:w="121"/>
        <w:gridCol w:w="658"/>
        <w:gridCol w:w="36"/>
        <w:gridCol w:w="36"/>
        <w:gridCol w:w="36"/>
        <w:gridCol w:w="36"/>
        <w:gridCol w:w="120"/>
        <w:gridCol w:w="700"/>
        <w:gridCol w:w="36"/>
        <w:gridCol w:w="36"/>
        <w:gridCol w:w="36"/>
        <w:gridCol w:w="36"/>
        <w:gridCol w:w="74"/>
        <w:gridCol w:w="646"/>
        <w:gridCol w:w="36"/>
        <w:gridCol w:w="36"/>
        <w:gridCol w:w="36"/>
        <w:gridCol w:w="36"/>
        <w:gridCol w:w="121"/>
        <w:gridCol w:w="702"/>
        <w:gridCol w:w="36"/>
      </w:tblGrid>
      <w:tr w:rsidR="00000000">
        <w:trPr>
          <w:jc w:val="center"/>
        </w:trPr>
        <w:tc>
          <w:tcPr>
            <w:tcW w:w="50" w:type="pct"/>
            <w:vAlign w:val="center"/>
            <w:hideMark/>
          </w:tcPr>
          <w:p w:rsidR="00000000" w:rsidRDefault="00613AEB">
            <w:pPr>
              <w:jc w:val="center"/>
              <w:rPr>
                <w:rFonts w:eastAsia="Times New Roman"/>
              </w:rPr>
            </w:pPr>
          </w:p>
        </w:tc>
        <w:tc>
          <w:tcPr>
            <w:tcW w:w="1832"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0" w:type="pct"/>
            <w:vAlign w:val="center"/>
            <w:hideMark/>
          </w:tcPr>
          <w:p w:rsidR="00000000" w:rsidRDefault="00613AEB">
            <w:pPr>
              <w:spacing w:after="100"/>
              <w:rPr>
                <w:rFonts w:eastAsia="Times New Roman"/>
                <w:sz w:val="20"/>
                <w:szCs w:val="20"/>
              </w:rPr>
            </w:pPr>
          </w:p>
        </w:tc>
        <w:tc>
          <w:tcPr>
            <w:tcW w:w="439"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19"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0" w:type="pct"/>
            <w:vAlign w:val="center"/>
            <w:hideMark/>
          </w:tcPr>
          <w:p w:rsidR="00000000" w:rsidRDefault="00613AEB">
            <w:pPr>
              <w:spacing w:after="100"/>
              <w:rPr>
                <w:rFonts w:eastAsia="Times New Roman"/>
                <w:sz w:val="20"/>
                <w:szCs w:val="20"/>
              </w:rPr>
            </w:pPr>
          </w:p>
        </w:tc>
        <w:tc>
          <w:tcPr>
            <w:tcW w:w="439"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19"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0" w:type="pct"/>
            <w:vAlign w:val="center"/>
            <w:hideMark/>
          </w:tcPr>
          <w:p w:rsidR="00000000" w:rsidRDefault="00613AEB">
            <w:pPr>
              <w:spacing w:after="100"/>
              <w:rPr>
                <w:rFonts w:eastAsia="Times New Roman"/>
                <w:sz w:val="20"/>
                <w:szCs w:val="20"/>
              </w:rPr>
            </w:pPr>
          </w:p>
        </w:tc>
        <w:tc>
          <w:tcPr>
            <w:tcW w:w="439"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19"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0" w:type="pct"/>
            <w:vAlign w:val="center"/>
            <w:hideMark/>
          </w:tcPr>
          <w:p w:rsidR="00000000" w:rsidRDefault="00613AEB">
            <w:pPr>
              <w:spacing w:after="100"/>
              <w:rPr>
                <w:rFonts w:eastAsia="Times New Roman"/>
                <w:sz w:val="20"/>
                <w:szCs w:val="20"/>
              </w:rPr>
            </w:pPr>
          </w:p>
        </w:tc>
        <w:tc>
          <w:tcPr>
            <w:tcW w:w="439"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19"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0" w:type="pct"/>
            <w:vAlign w:val="center"/>
            <w:hideMark/>
          </w:tcPr>
          <w:p w:rsidR="00000000" w:rsidRDefault="00613AEB">
            <w:pPr>
              <w:spacing w:after="100"/>
              <w:rPr>
                <w:rFonts w:eastAsia="Times New Roman"/>
                <w:sz w:val="20"/>
                <w:szCs w:val="20"/>
              </w:rPr>
            </w:pPr>
          </w:p>
        </w:tc>
        <w:tc>
          <w:tcPr>
            <w:tcW w:w="439"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19"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0" w:type="pct"/>
            <w:vAlign w:val="center"/>
            <w:hideMark/>
          </w:tcPr>
          <w:p w:rsidR="00000000" w:rsidRDefault="00613AEB">
            <w:pPr>
              <w:spacing w:after="100"/>
              <w:rPr>
                <w:rFonts w:eastAsia="Times New Roman"/>
                <w:sz w:val="20"/>
                <w:szCs w:val="20"/>
              </w:rPr>
            </w:pPr>
          </w:p>
        </w:tc>
        <w:tc>
          <w:tcPr>
            <w:tcW w:w="439"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 </w:t>
            </w:r>
          </w:p>
        </w:tc>
        <w:tc>
          <w:tcPr>
            <w:tcW w:w="0" w:type="auto"/>
            <w:gridSpan w:val="15"/>
            <w:tcBorders>
              <w:bottom w:val="single" w:sz="8" w:space="0" w:color="000000"/>
            </w:tcBorders>
            <w:tcMar>
              <w:top w:w="30" w:type="dxa"/>
              <w:left w:w="20" w:type="dxa"/>
              <w:bottom w:w="30" w:type="dxa"/>
              <w:right w:w="20" w:type="dxa"/>
            </w:tcMar>
            <w:vAlign w:val="bottom"/>
            <w:hideMark/>
          </w:tcPr>
          <w:p w:rsidR="00000000" w:rsidRDefault="00613AEB">
            <w:pPr>
              <w:spacing w:after="100"/>
              <w:jc w:val="center"/>
              <w:rPr>
                <w:rFonts w:eastAsia="Times New Roman"/>
              </w:rPr>
            </w:pPr>
            <w:r>
              <w:rPr>
                <w:rFonts w:eastAsia="Times New Roman"/>
                <w:b/>
                <w:bCs/>
                <w:color w:val="000000"/>
                <w:sz w:val="20"/>
                <w:szCs w:val="20"/>
              </w:rPr>
              <w:t>Fiscal Six Months Ended</w:t>
            </w:r>
          </w:p>
        </w:tc>
        <w:tc>
          <w:tcPr>
            <w:tcW w:w="0" w:type="auto"/>
            <w:gridSpan w:val="3"/>
            <w:tcMar>
              <w:top w:w="0" w:type="dxa"/>
              <w:left w:w="20" w:type="dxa"/>
              <w:bottom w:w="0" w:type="dxa"/>
              <w:right w:w="20" w:type="dxa"/>
            </w:tcMar>
            <w:vAlign w:val="center"/>
            <w:hideMark/>
          </w:tcPr>
          <w:p w:rsidR="00000000" w:rsidRDefault="00613AEB">
            <w:pPr>
              <w:spacing w:after="100"/>
              <w:jc w:val="center"/>
              <w:rPr>
                <w:rFonts w:eastAsia="Times New Roman"/>
              </w:rPr>
            </w:pPr>
          </w:p>
        </w:tc>
        <w:tc>
          <w:tcPr>
            <w:tcW w:w="0" w:type="auto"/>
            <w:gridSpan w:val="15"/>
            <w:tcBorders>
              <w:bottom w:val="single" w:sz="8" w:space="0" w:color="000000"/>
            </w:tcBorders>
            <w:tcMar>
              <w:top w:w="30" w:type="dxa"/>
              <w:left w:w="20" w:type="dxa"/>
              <w:bottom w:w="30" w:type="dxa"/>
              <w:right w:w="20" w:type="dxa"/>
            </w:tcMar>
            <w:vAlign w:val="bottom"/>
            <w:hideMark/>
          </w:tcPr>
          <w:p w:rsidR="00000000" w:rsidRDefault="00613AEB">
            <w:pPr>
              <w:spacing w:after="100"/>
              <w:jc w:val="center"/>
              <w:rPr>
                <w:rFonts w:eastAsia="Times New Roman"/>
              </w:rPr>
            </w:pPr>
            <w:r>
              <w:rPr>
                <w:rFonts w:eastAsia="Times New Roman"/>
                <w:b/>
                <w:bCs/>
                <w:color w:val="000000"/>
                <w:sz w:val="20"/>
                <w:szCs w:val="20"/>
              </w:rPr>
              <w:t>Fiscal Six Months Ended</w:t>
            </w:r>
          </w:p>
        </w:tc>
      </w:tr>
      <w:tr w:rsidR="00000000">
        <w:trPr>
          <w:jc w:val="center"/>
        </w:trPr>
        <w:tc>
          <w:tcPr>
            <w:tcW w:w="0" w:type="auto"/>
            <w:gridSpan w:val="3"/>
            <w:tcMar>
              <w:top w:w="0" w:type="dxa"/>
              <w:left w:w="20" w:type="dxa"/>
              <w:bottom w:w="0" w:type="dxa"/>
              <w:right w:w="20" w:type="dxa"/>
            </w:tcMar>
            <w:vAlign w:val="center"/>
            <w:hideMark/>
          </w:tcPr>
          <w:p w:rsidR="00000000" w:rsidRDefault="00613AEB">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613AEB">
            <w:pPr>
              <w:spacing w:after="100"/>
              <w:jc w:val="center"/>
              <w:rPr>
                <w:rFonts w:eastAsia="Times New Roman"/>
              </w:rPr>
            </w:pPr>
            <w:r>
              <w:rPr>
                <w:rFonts w:eastAsia="Times New Roman"/>
                <w:b/>
                <w:bCs/>
                <w:color w:val="000000"/>
                <w:sz w:val="20"/>
                <w:szCs w:val="20"/>
              </w:rPr>
              <w:t>June 25, 2022</w:t>
            </w:r>
          </w:p>
        </w:tc>
        <w:tc>
          <w:tcPr>
            <w:tcW w:w="0" w:type="auto"/>
            <w:gridSpan w:val="3"/>
            <w:tcMar>
              <w:top w:w="0" w:type="dxa"/>
              <w:left w:w="20" w:type="dxa"/>
              <w:bottom w:w="0" w:type="dxa"/>
              <w:right w:w="20" w:type="dxa"/>
            </w:tcMar>
            <w:vAlign w:val="center"/>
            <w:hideMark/>
          </w:tcPr>
          <w:p w:rsidR="00000000" w:rsidRDefault="00613AEB">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613AEB">
            <w:pPr>
              <w:spacing w:after="100"/>
              <w:jc w:val="center"/>
              <w:rPr>
                <w:rFonts w:eastAsia="Times New Roman"/>
              </w:rPr>
            </w:pPr>
            <w:r>
              <w:rPr>
                <w:rFonts w:eastAsia="Times New Roman"/>
                <w:b/>
                <w:bCs/>
                <w:color w:val="000000"/>
                <w:sz w:val="20"/>
                <w:szCs w:val="20"/>
              </w:rPr>
              <w:t>June 26, 2021</w:t>
            </w:r>
          </w:p>
        </w:tc>
      </w:tr>
      <w:tr w:rsidR="00000000">
        <w:trPr>
          <w:jc w:val="center"/>
        </w:trPr>
        <w:tc>
          <w:tcPr>
            <w:tcW w:w="0" w:type="auto"/>
            <w:gridSpan w:val="3"/>
            <w:tcMar>
              <w:top w:w="30" w:type="dxa"/>
              <w:left w:w="20"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13AEB">
            <w:pPr>
              <w:spacing w:after="100"/>
              <w:jc w:val="center"/>
              <w:rPr>
                <w:rFonts w:eastAsia="Times New Roman"/>
              </w:rPr>
            </w:pPr>
            <w:r>
              <w:rPr>
                <w:rFonts w:eastAsia="Times New Roman"/>
                <w:b/>
                <w:bCs/>
                <w:color w:val="000000"/>
                <w:sz w:val="20"/>
                <w:szCs w:val="20"/>
              </w:rPr>
              <w:t>Income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13AE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13AEB">
            <w:pPr>
              <w:spacing w:after="100"/>
              <w:jc w:val="center"/>
              <w:rPr>
                <w:rFonts w:eastAsia="Times New Roman"/>
              </w:rPr>
            </w:pPr>
            <w:r>
              <w:rPr>
                <w:rFonts w:eastAsia="Times New Roman"/>
                <w:b/>
                <w:bCs/>
                <w:color w:val="000000"/>
                <w:sz w:val="20"/>
                <w:szCs w:val="20"/>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13AE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13AEB">
            <w:pPr>
              <w:spacing w:after="100"/>
              <w:jc w:val="center"/>
              <w:rPr>
                <w:rFonts w:eastAsia="Times New Roman"/>
              </w:rPr>
            </w:pPr>
            <w:r>
              <w:rPr>
                <w:rFonts w:eastAsia="Times New Roman"/>
                <w:b/>
                <w:bCs/>
                <w:color w:val="000000"/>
                <w:sz w:val="20"/>
                <w:szCs w:val="20"/>
              </w:rPr>
              <w:t>Per Share</w:t>
            </w:r>
            <w:r>
              <w:rPr>
                <w:rFonts w:eastAsia="Times New Roman"/>
                <w:b/>
                <w:bCs/>
                <w:color w:val="000000"/>
                <w:sz w:val="20"/>
                <w:szCs w:val="20"/>
              </w:rPr>
              <w:br/>
              <w:t>Amount</w:t>
            </w:r>
          </w:p>
        </w:tc>
        <w:tc>
          <w:tcPr>
            <w:tcW w:w="0" w:type="auto"/>
            <w:gridSpan w:val="3"/>
            <w:tcMar>
              <w:top w:w="0" w:type="dxa"/>
              <w:left w:w="20" w:type="dxa"/>
              <w:bottom w:w="0" w:type="dxa"/>
              <w:right w:w="20" w:type="dxa"/>
            </w:tcMar>
            <w:vAlign w:val="center"/>
            <w:hideMark/>
          </w:tcPr>
          <w:p w:rsidR="00000000" w:rsidRDefault="00613AE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13AEB">
            <w:pPr>
              <w:spacing w:after="100"/>
              <w:jc w:val="center"/>
              <w:rPr>
                <w:rFonts w:eastAsia="Times New Roman"/>
              </w:rPr>
            </w:pPr>
            <w:r>
              <w:rPr>
                <w:rFonts w:eastAsia="Times New Roman"/>
                <w:b/>
                <w:bCs/>
                <w:color w:val="000000"/>
                <w:sz w:val="20"/>
                <w:szCs w:val="20"/>
              </w:rPr>
              <w:t>Income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13AE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13AEB">
            <w:pPr>
              <w:spacing w:after="100"/>
              <w:jc w:val="center"/>
              <w:rPr>
                <w:rFonts w:eastAsia="Times New Roman"/>
              </w:rPr>
            </w:pPr>
            <w:r>
              <w:rPr>
                <w:rFonts w:eastAsia="Times New Roman"/>
                <w:b/>
                <w:bCs/>
                <w:color w:val="000000"/>
                <w:sz w:val="20"/>
                <w:szCs w:val="20"/>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13AE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13AEB">
            <w:pPr>
              <w:spacing w:after="100"/>
              <w:jc w:val="center"/>
              <w:rPr>
                <w:rFonts w:eastAsia="Times New Roman"/>
              </w:rPr>
            </w:pPr>
            <w:r>
              <w:rPr>
                <w:rFonts w:eastAsia="Times New Roman"/>
                <w:b/>
                <w:bCs/>
                <w:color w:val="000000"/>
                <w:sz w:val="20"/>
                <w:szCs w:val="20"/>
              </w:rPr>
              <w:t>Per Share</w:t>
            </w:r>
            <w:r>
              <w:rPr>
                <w:rFonts w:eastAsia="Times New Roman"/>
                <w:b/>
                <w:bCs/>
                <w:color w:val="000000"/>
                <w:sz w:val="20"/>
                <w:szCs w:val="20"/>
              </w:rPr>
              <w:br/>
              <w:t> Amount</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Basic net income per share: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583,705 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112,060 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5.21 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551,376 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115,643 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4.77 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r>
      <w:tr w:rsidR="00000000">
        <w:trPr>
          <w:jc w:val="center"/>
        </w:trPr>
        <w:tc>
          <w:tcPr>
            <w:tcW w:w="0" w:type="auto"/>
            <w:gridSpan w:val="3"/>
            <w:tcMar>
              <w:top w:w="30" w:type="dxa"/>
              <w:left w:w="245"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Dilutive effect of share-based awards</w:t>
            </w:r>
          </w:p>
        </w:tc>
        <w:tc>
          <w:tcPr>
            <w:tcW w:w="0" w:type="auto"/>
            <w:gridSpan w:val="2"/>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851 </w:t>
            </w:r>
          </w:p>
        </w:tc>
        <w:tc>
          <w:tcPr>
            <w:tcW w:w="0" w:type="auto"/>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(0.04)</w:t>
            </w:r>
          </w:p>
        </w:tc>
        <w:tc>
          <w:tcPr>
            <w:tcW w:w="0" w:type="auto"/>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1,016 </w:t>
            </w:r>
          </w:p>
        </w:tc>
        <w:tc>
          <w:tcPr>
            <w:tcW w:w="0" w:type="auto"/>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(0.04)</w:t>
            </w:r>
          </w:p>
        </w:tc>
        <w:tc>
          <w:tcPr>
            <w:tcW w:w="0" w:type="auto"/>
            <w:tcMar>
              <w:top w:w="30" w:type="dxa"/>
              <w:left w:w="0" w:type="dxa"/>
              <w:bottom w:w="30" w:type="dxa"/>
              <w:right w:w="20" w:type="dxa"/>
            </w:tcMar>
            <w:vAlign w:val="bottom"/>
            <w:hideMark/>
          </w:tcPr>
          <w:p w:rsidR="00000000" w:rsidRDefault="00613AEB">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Diluted net income per share:</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583,705 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112,911 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5.17 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551,376 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116,659 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4.73 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r>
    </w:tbl>
    <w:p w:rsidR="00000000" w:rsidRDefault="00613AEB">
      <w:pPr>
        <w:jc w:val="center"/>
        <w:rPr>
          <w:rFonts w:eastAsia="Times New Roman"/>
        </w:rPr>
      </w:pPr>
    </w:p>
    <w:p w:rsidR="00000000" w:rsidRDefault="00613AEB">
      <w:pPr>
        <w:jc w:val="both"/>
        <w:rPr>
          <w:rFonts w:eastAsia="Times New Roman"/>
        </w:rPr>
      </w:pPr>
      <w:r>
        <w:rPr>
          <w:rFonts w:eastAsia="Times New Roman"/>
          <w:color w:val="000000"/>
          <w:sz w:val="20"/>
          <w:szCs w:val="20"/>
        </w:rPr>
        <w:t>Anti-dilutive stock awards excluded from the above calculations totaled approximately 0.2 million for fiscal three months ended June 25, 2022 and less than 0.1 million shares for t</w:t>
      </w:r>
      <w:r>
        <w:rPr>
          <w:rFonts w:eastAsia="Times New Roman"/>
          <w:color w:val="000000"/>
          <w:sz w:val="20"/>
          <w:szCs w:val="20"/>
        </w:rPr>
        <w:t>he fiscal three months ended June 26, 2021. Anti-dilutive stock awards excluded from the above calculations totaled approximately 0.1 million shares for the fiscal six months ended June 25, 2022 and approximately 0.2 million shares for the fiscal six month</w:t>
      </w:r>
      <w:r>
        <w:rPr>
          <w:rFonts w:eastAsia="Times New Roman"/>
          <w:color w:val="000000"/>
          <w:sz w:val="20"/>
          <w:szCs w:val="20"/>
        </w:rPr>
        <w:t>s ended June 26, 2021.</w:t>
      </w:r>
    </w:p>
    <w:p w:rsidR="00000000" w:rsidRDefault="00613AEB">
      <w:pPr>
        <w:jc w:val="both"/>
        <w:rPr>
          <w:rFonts w:eastAsia="Times New Roman"/>
        </w:rPr>
      </w:pPr>
    </w:p>
    <w:p w:rsidR="00000000" w:rsidRDefault="00613AEB">
      <w:pPr>
        <w:divId w:val="1249575794"/>
        <w:rPr>
          <w:rFonts w:eastAsia="Times New Roman"/>
        </w:rPr>
      </w:pPr>
      <w:r>
        <w:rPr>
          <w:rFonts w:eastAsia="Times New Roman"/>
          <w:b/>
          <w:bCs/>
          <w:color w:val="000000"/>
          <w:sz w:val="20"/>
          <w:szCs w:val="20"/>
        </w:rPr>
        <w:t>Note 5 – Debt:</w:t>
      </w:r>
    </w:p>
    <w:p w:rsidR="00000000" w:rsidRDefault="00613AEB">
      <w:pPr>
        <w:jc w:val="both"/>
        <w:rPr>
          <w:rFonts w:eastAsia="Times New Roman"/>
        </w:rPr>
      </w:pPr>
    </w:p>
    <w:p w:rsidR="00000000" w:rsidRDefault="00613AEB">
      <w:pPr>
        <w:jc w:val="both"/>
        <w:rPr>
          <w:rFonts w:eastAsia="Times New Roman"/>
        </w:rPr>
      </w:pPr>
      <w:r>
        <w:rPr>
          <w:rFonts w:eastAsia="Times New Roman"/>
          <w:color w:val="000000"/>
          <w:sz w:val="20"/>
          <w:szCs w:val="20"/>
        </w:rPr>
        <w:t>The following table summarizes the Company’s outstanding debt as of the dates indicated (in millions):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4336"/>
        <w:gridCol w:w="38"/>
        <w:gridCol w:w="36"/>
        <w:gridCol w:w="36"/>
        <w:gridCol w:w="36"/>
        <w:gridCol w:w="121"/>
        <w:gridCol w:w="1032"/>
        <w:gridCol w:w="36"/>
        <w:gridCol w:w="36"/>
        <w:gridCol w:w="36"/>
        <w:gridCol w:w="36"/>
        <w:gridCol w:w="121"/>
        <w:gridCol w:w="1032"/>
        <w:gridCol w:w="36"/>
        <w:gridCol w:w="36"/>
        <w:gridCol w:w="36"/>
        <w:gridCol w:w="36"/>
        <w:gridCol w:w="121"/>
        <w:gridCol w:w="1034"/>
        <w:gridCol w:w="36"/>
      </w:tblGrid>
      <w:tr w:rsidR="00000000">
        <w:trPr>
          <w:jc w:val="center"/>
        </w:trPr>
        <w:tc>
          <w:tcPr>
            <w:tcW w:w="50" w:type="pct"/>
            <w:vAlign w:val="center"/>
            <w:hideMark/>
          </w:tcPr>
          <w:p w:rsidR="00000000" w:rsidRDefault="00613AEB">
            <w:pPr>
              <w:jc w:val="both"/>
              <w:rPr>
                <w:rFonts w:eastAsia="Times New Roman"/>
              </w:rPr>
            </w:pPr>
          </w:p>
        </w:tc>
        <w:tc>
          <w:tcPr>
            <w:tcW w:w="2642"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26"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0" w:type="pct"/>
            <w:vAlign w:val="center"/>
            <w:hideMark/>
          </w:tcPr>
          <w:p w:rsidR="00000000" w:rsidRDefault="00613AEB">
            <w:pPr>
              <w:spacing w:after="100"/>
              <w:rPr>
                <w:rFonts w:eastAsia="Times New Roman"/>
                <w:sz w:val="20"/>
                <w:szCs w:val="20"/>
              </w:rPr>
            </w:pPr>
          </w:p>
        </w:tc>
        <w:tc>
          <w:tcPr>
            <w:tcW w:w="675"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26"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0" w:type="pct"/>
            <w:vAlign w:val="center"/>
            <w:hideMark/>
          </w:tcPr>
          <w:p w:rsidR="00000000" w:rsidRDefault="00613AEB">
            <w:pPr>
              <w:spacing w:after="100"/>
              <w:rPr>
                <w:rFonts w:eastAsia="Times New Roman"/>
                <w:sz w:val="20"/>
                <w:szCs w:val="20"/>
              </w:rPr>
            </w:pPr>
          </w:p>
        </w:tc>
        <w:tc>
          <w:tcPr>
            <w:tcW w:w="675"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26"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0" w:type="pct"/>
            <w:vAlign w:val="center"/>
            <w:hideMark/>
          </w:tcPr>
          <w:p w:rsidR="00000000" w:rsidRDefault="00613AEB">
            <w:pPr>
              <w:spacing w:after="100"/>
              <w:rPr>
                <w:rFonts w:eastAsia="Times New Roman"/>
                <w:sz w:val="20"/>
                <w:szCs w:val="20"/>
              </w:rPr>
            </w:pPr>
          </w:p>
        </w:tc>
        <w:tc>
          <w:tcPr>
            <w:tcW w:w="676"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613AEB">
            <w:pPr>
              <w:spacing w:after="100"/>
              <w:jc w:val="center"/>
              <w:rPr>
                <w:rFonts w:eastAsia="Times New Roman"/>
              </w:rPr>
            </w:pPr>
            <w:r>
              <w:rPr>
                <w:rFonts w:eastAsia="Times New Roman"/>
                <w:b/>
                <w:bCs/>
                <w:color w:val="000000"/>
                <w:sz w:val="20"/>
                <w:szCs w:val="20"/>
              </w:rPr>
              <w:t>June 25,</w:t>
            </w:r>
            <w:r>
              <w:rPr>
                <w:rFonts w:eastAsia="Times New Roman"/>
                <w:b/>
                <w:bCs/>
                <w:color w:val="000000"/>
                <w:sz w:val="20"/>
                <w:szCs w:val="20"/>
              </w:rPr>
              <w:br/>
              <w:t>2022</w:t>
            </w:r>
          </w:p>
        </w:tc>
        <w:tc>
          <w:tcPr>
            <w:tcW w:w="0" w:type="auto"/>
            <w:gridSpan w:val="3"/>
            <w:tcMar>
              <w:top w:w="0" w:type="dxa"/>
              <w:left w:w="20" w:type="dxa"/>
              <w:bottom w:w="0" w:type="dxa"/>
              <w:right w:w="20" w:type="dxa"/>
            </w:tcMar>
            <w:vAlign w:val="center"/>
            <w:hideMark/>
          </w:tcPr>
          <w:p w:rsidR="00000000" w:rsidRDefault="00613AE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13AEB">
            <w:pPr>
              <w:spacing w:after="100"/>
              <w:jc w:val="center"/>
              <w:rPr>
                <w:rFonts w:eastAsia="Times New Roman"/>
              </w:rPr>
            </w:pPr>
            <w:r>
              <w:rPr>
                <w:rFonts w:eastAsia="Times New Roman"/>
                <w:b/>
                <w:bCs/>
                <w:color w:val="000000"/>
                <w:sz w:val="20"/>
                <w:szCs w:val="20"/>
              </w:rPr>
              <w:t>December 25,</w:t>
            </w:r>
            <w:r>
              <w:rPr>
                <w:rFonts w:eastAsia="Times New Roman"/>
                <w:b/>
                <w:bCs/>
                <w:color w:val="000000"/>
                <w:sz w:val="20"/>
                <w:szCs w:val="20"/>
              </w:rPr>
              <w:br/>
              <w:t>2021</w:t>
            </w:r>
          </w:p>
        </w:tc>
        <w:tc>
          <w:tcPr>
            <w:tcW w:w="0" w:type="auto"/>
            <w:gridSpan w:val="3"/>
            <w:tcMar>
              <w:top w:w="0" w:type="dxa"/>
              <w:left w:w="20" w:type="dxa"/>
              <w:bottom w:w="0" w:type="dxa"/>
              <w:right w:w="20" w:type="dxa"/>
            </w:tcMar>
            <w:vAlign w:val="center"/>
            <w:hideMark/>
          </w:tcPr>
          <w:p w:rsidR="00000000" w:rsidRDefault="00613AE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13AEB">
            <w:pPr>
              <w:spacing w:after="100"/>
              <w:jc w:val="center"/>
              <w:rPr>
                <w:rFonts w:eastAsia="Times New Roman"/>
              </w:rPr>
            </w:pPr>
            <w:r>
              <w:rPr>
                <w:rFonts w:eastAsia="Times New Roman"/>
                <w:b/>
                <w:bCs/>
                <w:color w:val="000000"/>
                <w:sz w:val="20"/>
                <w:szCs w:val="20"/>
              </w:rPr>
              <w:t>June 26,</w:t>
            </w:r>
            <w:r>
              <w:rPr>
                <w:rFonts w:eastAsia="Times New Roman"/>
                <w:b/>
                <w:bCs/>
                <w:color w:val="000000"/>
                <w:sz w:val="20"/>
                <w:szCs w:val="20"/>
              </w:rPr>
              <w:br/>
              <w:t>2021</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1.75% Senior Notes due 2030</w:t>
            </w: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650.0 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650.0 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650.0 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613AEB">
            <w:pPr>
              <w:spacing w:after="100"/>
              <w:divId w:val="1098477740"/>
              <w:rPr>
                <w:rFonts w:eastAsia="Times New Roman"/>
              </w:rPr>
            </w:pPr>
            <w:r>
              <w:rPr>
                <w:rFonts w:eastAsia="Times New Roman"/>
                <w:color w:val="000000"/>
                <w:sz w:val="20"/>
                <w:szCs w:val="20"/>
              </w:rPr>
              <w:t>3.70% Senior Notes due 2029</w:t>
            </w:r>
            <w:r>
              <w:rPr>
                <w:rFonts w:eastAsia="Times New Roman"/>
                <w:color w:val="000000"/>
                <w:sz w:val="20"/>
                <w:szCs w:val="20"/>
              </w:rPr>
              <w:t xml:space="preserve"> </w:t>
            </w:r>
            <w:r>
              <w:rPr>
                <w:rFonts w:eastAsia="Times New Roman"/>
                <w:color w:val="000000"/>
                <w:sz w:val="13"/>
                <w:szCs w:val="13"/>
              </w:rPr>
              <w:t>(a</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150.0 </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150.0 </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150.0 </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Senior Credit Facility:</w:t>
            </w: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November 2020 Term Loan</w:t>
            </w: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200.0 </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200.0 </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200.0 </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Revolving credit loans</w:t>
            </w: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Total outstanding borrowings</w:t>
            </w: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1,000.0 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1,000.0 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1,000.0 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Less: unamortized debt discounts and issuance costs</w:t>
            </w: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(12.6)</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(13.6)</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(14.6)</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613AEB">
            <w:pPr>
              <w:spacing w:after="100"/>
              <w:rPr>
                <w:rFonts w:eastAsia="Times New Roman"/>
              </w:rPr>
            </w:pPr>
            <w:r>
              <w:rPr>
                <w:rFonts w:eastAsia="Times New Roman"/>
                <w:b/>
                <w:bCs/>
                <w:color w:val="000000"/>
                <w:sz w:val="20"/>
                <w:szCs w:val="20"/>
              </w:rPr>
              <w:t>Total debt</w:t>
            </w: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987.4 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986.4 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985.4 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Less: current portion of long-term debt</w:t>
            </w: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613AEB">
            <w:pPr>
              <w:spacing w:after="100"/>
              <w:rPr>
                <w:rFonts w:eastAsia="Times New Roman"/>
              </w:rPr>
            </w:pPr>
            <w:r>
              <w:rPr>
                <w:rFonts w:eastAsia="Times New Roman"/>
                <w:b/>
                <w:bCs/>
                <w:color w:val="000000"/>
                <w:sz w:val="20"/>
                <w:szCs w:val="20"/>
              </w:rPr>
              <w:t>Long-term debt</w:t>
            </w: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987.4 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986.4 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985.4 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r>
      <w:tr w:rsidR="00000000">
        <w:trPr>
          <w:trHeight w:val="160"/>
          <w:jc w:val="center"/>
        </w:trPr>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Outstanding letters of credit</w:t>
            </w: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57.6 </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52.9 </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68.1 </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r>
    </w:tbl>
    <w:p w:rsidR="00000000" w:rsidRDefault="00613AEB">
      <w:pPr>
        <w:ind w:hanging="270"/>
        <w:jc w:val="both"/>
        <w:rPr>
          <w:rFonts w:eastAsia="Times New Roman"/>
        </w:rPr>
      </w:pPr>
    </w:p>
    <w:p w:rsidR="00000000" w:rsidRDefault="00613AEB">
      <w:pPr>
        <w:ind w:hanging="270"/>
        <w:jc w:val="both"/>
        <w:rPr>
          <w:rFonts w:eastAsia="Times New Roman"/>
        </w:rPr>
      </w:pPr>
      <w:r>
        <w:rPr>
          <w:rFonts w:eastAsia="Times New Roman"/>
          <w:color w:val="000000"/>
          <w:sz w:val="16"/>
          <w:szCs w:val="16"/>
        </w:rPr>
        <w:t>(a) Also referred to herein as the "Note Purchase Agreement"</w:t>
      </w:r>
    </w:p>
    <w:p w:rsidR="00000000" w:rsidRDefault="00613AEB">
      <w:pPr>
        <w:ind w:hanging="270"/>
        <w:jc w:val="both"/>
        <w:rPr>
          <w:rFonts w:eastAsia="Times New Roman"/>
        </w:rPr>
      </w:pPr>
    </w:p>
    <w:p w:rsidR="00000000" w:rsidRDefault="00613AEB">
      <w:pPr>
        <w:jc w:val="both"/>
        <w:rPr>
          <w:rFonts w:eastAsia="Times New Roman"/>
        </w:rPr>
      </w:pPr>
      <w:r>
        <w:rPr>
          <w:rFonts w:eastAsia="Times New Roman"/>
          <w:color w:val="000000"/>
          <w:sz w:val="20"/>
          <w:szCs w:val="20"/>
        </w:rPr>
        <w:t xml:space="preserve">Borrowings under both the Company's $500 </w:t>
      </w:r>
      <w:r>
        <w:rPr>
          <w:rFonts w:eastAsia="Times New Roman"/>
          <w:color w:val="000000"/>
          <w:sz w:val="20"/>
          <w:szCs w:val="20"/>
        </w:rPr>
        <w:t xml:space="preserve">million revolving credit facility (the "Revolver") and the Company's November 2020 Term Loan, each under the Company's senior credit facility (the "Senior Credit Facility"), bear interest either at the bank’s </w:t>
      </w:r>
    </w:p>
    <w:p w:rsidR="00000000" w:rsidRDefault="00613AEB">
      <w:pPr>
        <w:jc w:val="center"/>
        <w:divId w:val="61685195"/>
        <w:rPr>
          <w:rFonts w:eastAsia="Times New Roman"/>
        </w:rPr>
      </w:pPr>
      <w:r>
        <w:rPr>
          <w:rFonts w:eastAsia="Times New Roman"/>
          <w:color w:val="000000"/>
          <w:sz w:val="20"/>
          <w:szCs w:val="20"/>
        </w:rPr>
        <w:t>Page 12</w:t>
      </w:r>
    </w:p>
    <w:p w:rsidR="00000000" w:rsidRDefault="00613AEB">
      <w:pPr>
        <w:rPr>
          <w:rFonts w:eastAsia="Times New Roman"/>
        </w:rPr>
      </w:pPr>
      <w:r>
        <w:rPr>
          <w:rFonts w:eastAsia="Times New Roman"/>
        </w:rPr>
        <w:pict>
          <v:rect id="_x0000_i1037" style="width:0;height:1.5pt" o:hralign="center" o:hrstd="t" o:hr="t" fillcolor="#a0a0a0" stroked="f"/>
        </w:pict>
      </w:r>
    </w:p>
    <w:p w:rsidR="00000000" w:rsidRDefault="00613AEB">
      <w:pPr>
        <w:divId w:val="1797871964"/>
        <w:rPr>
          <w:rFonts w:eastAsia="Times New Roman"/>
        </w:rPr>
      </w:pPr>
      <w:hyperlink w:anchor="i7b244a6903fc440faaf2365d228fe4ba_7" w:history="1">
        <w:r>
          <w:rPr>
            <w:rStyle w:val="a3"/>
            <w:rFonts w:eastAsia="Times New Roman"/>
            <w:sz w:val="16"/>
            <w:szCs w:val="16"/>
          </w:rPr>
          <w:t>Index</w:t>
        </w:r>
      </w:hyperlink>
    </w:p>
    <w:p w:rsidR="00000000" w:rsidRDefault="00613AEB">
      <w:pPr>
        <w:jc w:val="both"/>
        <w:rPr>
          <w:rFonts w:eastAsia="Times New Roman"/>
        </w:rPr>
      </w:pPr>
      <w:r>
        <w:rPr>
          <w:rFonts w:eastAsia="Times New Roman"/>
          <w:color w:val="000000"/>
          <w:sz w:val="20"/>
          <w:szCs w:val="20"/>
        </w:rPr>
        <w:t>base rate (4.750% at June 25, 2022) plus an additional amount ranging from 0.000% to 0.375% (0.125% at June 25, 2022) or at the London Inter-Bank Offer Rate (“LIBOR”) (1.633% at June 25, 2022) p</w:t>
      </w:r>
      <w:r>
        <w:rPr>
          <w:rFonts w:eastAsia="Times New Roman"/>
          <w:color w:val="000000"/>
          <w:sz w:val="20"/>
          <w:szCs w:val="20"/>
        </w:rPr>
        <w:t>lus an additional amount ranging from 0.875% to 1.375% per annum (1.125% at June 25, 2022), adjusted based on the Company's public credit ratings. The Company is also required to pay, quarterly in arrears, a commitment fee related to unused capacity on the</w:t>
      </w:r>
      <w:r>
        <w:rPr>
          <w:rFonts w:eastAsia="Times New Roman"/>
          <w:color w:val="000000"/>
          <w:sz w:val="20"/>
          <w:szCs w:val="20"/>
        </w:rPr>
        <w:t xml:space="preserve"> Revolver ranging from 0.090% to 0.200% per annum (0.125% at June 25, 2022), adjusted based on the Company's public credit ratings. </w:t>
      </w:r>
    </w:p>
    <w:p w:rsidR="00000000" w:rsidRDefault="00613AEB">
      <w:pPr>
        <w:jc w:val="both"/>
        <w:rPr>
          <w:rFonts w:eastAsia="Times New Roman"/>
        </w:rPr>
      </w:pPr>
    </w:p>
    <w:p w:rsidR="00000000" w:rsidRDefault="00613AEB">
      <w:pPr>
        <w:jc w:val="both"/>
        <w:rPr>
          <w:rFonts w:eastAsia="Times New Roman"/>
        </w:rPr>
      </w:pPr>
      <w:r>
        <w:rPr>
          <w:rFonts w:eastAsia="Times New Roman"/>
          <w:color w:val="000000"/>
          <w:sz w:val="20"/>
          <w:szCs w:val="20"/>
        </w:rPr>
        <w:t>The Company has entered into an interest rate swap agreement in order to hedge its exposure to variable rate interest pay</w:t>
      </w:r>
      <w:r>
        <w:rPr>
          <w:rFonts w:eastAsia="Times New Roman"/>
          <w:color w:val="000000"/>
          <w:sz w:val="20"/>
          <w:szCs w:val="20"/>
        </w:rPr>
        <w:t>ments associated with the Senior Credit Facility. The interest rate swap agreement will mature on March 18, 2025 and the notional amount of the agreement is fixed at $200 million.</w:t>
      </w:r>
    </w:p>
    <w:p w:rsidR="00000000" w:rsidRDefault="00613AEB">
      <w:pPr>
        <w:jc w:val="both"/>
        <w:rPr>
          <w:rFonts w:eastAsia="Times New Roman"/>
        </w:rPr>
      </w:pPr>
    </w:p>
    <w:p w:rsidR="00000000" w:rsidRDefault="00613AEB">
      <w:pPr>
        <w:jc w:val="both"/>
        <w:rPr>
          <w:rFonts w:eastAsia="Times New Roman"/>
        </w:rPr>
      </w:pPr>
      <w:r>
        <w:rPr>
          <w:rFonts w:eastAsia="Times New Roman"/>
          <w:color w:val="000000"/>
          <w:sz w:val="20"/>
          <w:szCs w:val="20"/>
          <w:u w:val="single"/>
        </w:rPr>
        <w:t>Covenants and Default Provisions of the Debt Agreements</w:t>
      </w:r>
    </w:p>
    <w:p w:rsidR="00000000" w:rsidRDefault="00613AEB">
      <w:pPr>
        <w:jc w:val="both"/>
        <w:rPr>
          <w:rFonts w:eastAsia="Times New Roman"/>
        </w:rPr>
      </w:pPr>
    </w:p>
    <w:p w:rsidR="00000000" w:rsidRDefault="00613AEB">
      <w:pPr>
        <w:jc w:val="both"/>
        <w:rPr>
          <w:rFonts w:eastAsia="Times New Roman"/>
        </w:rPr>
      </w:pPr>
      <w:r>
        <w:rPr>
          <w:rFonts w:eastAsia="Times New Roman"/>
          <w:color w:val="000000"/>
          <w:sz w:val="20"/>
          <w:szCs w:val="20"/>
        </w:rPr>
        <w:t>The Senior Credit Facility and the Note Purchase Agreement (collectively, the “Debt Agreements”) require quarterly compliance with respect to two material covenants: a fixed charge coverage ratio an</w:t>
      </w:r>
      <w:r>
        <w:rPr>
          <w:rFonts w:eastAsia="Times New Roman"/>
          <w:color w:val="000000"/>
          <w:sz w:val="20"/>
          <w:szCs w:val="20"/>
        </w:rPr>
        <w:t>d a leverage ratio.  Both ratios are calculated on a trailing twelve-month basis at the end of each fiscal quarter. The fixed charge coverage ratio compares earnings before interest, taxes, depreciation, amortization, share-based compensation, and rent exp</w:t>
      </w:r>
      <w:r>
        <w:rPr>
          <w:rFonts w:eastAsia="Times New Roman"/>
          <w:color w:val="000000"/>
          <w:sz w:val="20"/>
          <w:szCs w:val="20"/>
        </w:rPr>
        <w:t>ense (“consolidated EBITDAR”) to the sum of interest paid and rental expense (excluding any straight-line rent adjustments).  The fixed charge coverage ratio shall be greater than or equal to 2.0 to 1.0 as of the last day of each fiscal quarter. The levera</w:t>
      </w:r>
      <w:r>
        <w:rPr>
          <w:rFonts w:eastAsia="Times New Roman"/>
          <w:color w:val="000000"/>
          <w:sz w:val="20"/>
          <w:szCs w:val="20"/>
        </w:rPr>
        <w:t>ge ratio compares total funded debt to consolidated EBITDAR.  The leverage ratio shall be less than or equal to 4.0 to 1.0 as of the last day of each fiscal quarter. The Debt Agreements also contain certain other restrictions regarding additional subsidiar</w:t>
      </w:r>
      <w:r>
        <w:rPr>
          <w:rFonts w:eastAsia="Times New Roman"/>
          <w:color w:val="000000"/>
          <w:sz w:val="20"/>
          <w:szCs w:val="20"/>
        </w:rPr>
        <w:t>y indebtedness, business operations, subsidiary guarantees, mergers, consolidations and sales of assets, transactions with subsidiaries or affiliates, and liens.  As of June 25, 2022, the Company was in compliance with all debt covenants.</w:t>
      </w:r>
    </w:p>
    <w:p w:rsidR="00000000" w:rsidRDefault="00613AEB">
      <w:pPr>
        <w:divId w:val="1799449373"/>
        <w:rPr>
          <w:rFonts w:eastAsia="Times New Roman"/>
        </w:rPr>
      </w:pPr>
    </w:p>
    <w:p w:rsidR="00000000" w:rsidRDefault="00613AEB">
      <w:pPr>
        <w:jc w:val="both"/>
        <w:rPr>
          <w:rFonts w:eastAsia="Times New Roman"/>
        </w:rPr>
      </w:pPr>
      <w:r>
        <w:rPr>
          <w:rFonts w:eastAsia="Times New Roman"/>
          <w:color w:val="000000"/>
          <w:sz w:val="20"/>
          <w:szCs w:val="20"/>
        </w:rPr>
        <w:t>The Debt Agreem</w:t>
      </w:r>
      <w:r>
        <w:rPr>
          <w:rFonts w:eastAsia="Times New Roman"/>
          <w:color w:val="000000"/>
          <w:sz w:val="20"/>
          <w:szCs w:val="20"/>
        </w:rPr>
        <w:t>ents contain customary events of default, including payment defaults, breaches of representations and warranties, covenant defaults, cross-defaults to other material indebtedness, certain events of bankruptcy and insolvency, material judgments, certain ERI</w:t>
      </w:r>
      <w:r>
        <w:rPr>
          <w:rFonts w:eastAsia="Times New Roman"/>
          <w:color w:val="000000"/>
          <w:sz w:val="20"/>
          <w:szCs w:val="20"/>
        </w:rPr>
        <w:t>SA events, and invalidity of loan documents. Upon certain changes of control, payment under the Debt Agreements could become due and payable. In addition, under the Note Purchase Agreement, upon an event of default or change of control, the make whole paym</w:t>
      </w:r>
      <w:r>
        <w:rPr>
          <w:rFonts w:eastAsia="Times New Roman"/>
          <w:color w:val="000000"/>
          <w:sz w:val="20"/>
          <w:szCs w:val="20"/>
        </w:rPr>
        <w:t xml:space="preserve">ent described above may become due and payable. </w:t>
      </w:r>
    </w:p>
    <w:p w:rsidR="00000000" w:rsidRDefault="00613AEB">
      <w:pPr>
        <w:jc w:val="both"/>
        <w:rPr>
          <w:rFonts w:eastAsia="Times New Roman"/>
        </w:rPr>
      </w:pPr>
    </w:p>
    <w:p w:rsidR="00000000" w:rsidRDefault="00613AEB">
      <w:pPr>
        <w:jc w:val="both"/>
        <w:rPr>
          <w:rFonts w:eastAsia="Times New Roman"/>
        </w:rPr>
      </w:pPr>
      <w:r>
        <w:rPr>
          <w:rFonts w:eastAsia="Times New Roman"/>
          <w:color w:val="000000"/>
          <w:sz w:val="20"/>
          <w:szCs w:val="20"/>
        </w:rPr>
        <w:t>The Note Purchase Agreement also requires that, in the event the Company amends its Senior Credit Facility, or any subsequent credit facility of $100 million or greater, such that it contains covenant or d</w:t>
      </w:r>
      <w:r>
        <w:rPr>
          <w:rFonts w:eastAsia="Times New Roman"/>
          <w:color w:val="000000"/>
          <w:sz w:val="20"/>
          <w:szCs w:val="20"/>
        </w:rPr>
        <w:t>efault provisions that are not provided in the Note Purchase Agreement or that are similar to those contained in the Note Purchase Agreement but which contain percentages, amounts, formulas, or grace periods that are more restrictive than those set forth i</w:t>
      </w:r>
      <w:r>
        <w:rPr>
          <w:rFonts w:eastAsia="Times New Roman"/>
          <w:color w:val="000000"/>
          <w:sz w:val="20"/>
          <w:szCs w:val="20"/>
        </w:rPr>
        <w:t>n the Note Purchase Agreement or are otherwise more beneficial to the lenders thereunder, the Note Purchase Agreement shall be automatically amended to include such additional or amended covenants and/or default provisions.</w:t>
      </w:r>
    </w:p>
    <w:p w:rsidR="00000000" w:rsidRDefault="00613AEB">
      <w:pPr>
        <w:divId w:val="1869751807"/>
        <w:rPr>
          <w:rFonts w:eastAsia="Times New Roman"/>
        </w:rPr>
      </w:pPr>
    </w:p>
    <w:p w:rsidR="00000000" w:rsidRDefault="00613AEB">
      <w:pPr>
        <w:divId w:val="1058434944"/>
        <w:rPr>
          <w:rFonts w:eastAsia="Times New Roman"/>
        </w:rPr>
      </w:pPr>
      <w:r>
        <w:rPr>
          <w:rFonts w:eastAsia="Times New Roman"/>
          <w:b/>
          <w:bCs/>
          <w:color w:val="000000"/>
          <w:sz w:val="20"/>
          <w:szCs w:val="20"/>
        </w:rPr>
        <w:t>Note 6 – Capital Stock and Div</w:t>
      </w:r>
      <w:r>
        <w:rPr>
          <w:rFonts w:eastAsia="Times New Roman"/>
          <w:b/>
          <w:bCs/>
          <w:color w:val="000000"/>
          <w:sz w:val="20"/>
          <w:szCs w:val="20"/>
        </w:rPr>
        <w:t>idends:</w:t>
      </w:r>
    </w:p>
    <w:p w:rsidR="00000000" w:rsidRDefault="00613AEB">
      <w:pPr>
        <w:divId w:val="990790063"/>
        <w:rPr>
          <w:rFonts w:eastAsia="Times New Roman"/>
        </w:rPr>
      </w:pPr>
    </w:p>
    <w:p w:rsidR="00000000" w:rsidRDefault="00613AEB">
      <w:pPr>
        <w:jc w:val="both"/>
        <w:rPr>
          <w:rFonts w:eastAsia="Times New Roman"/>
        </w:rPr>
      </w:pPr>
      <w:r>
        <w:rPr>
          <w:rFonts w:eastAsia="Times New Roman"/>
          <w:color w:val="000000"/>
          <w:sz w:val="20"/>
          <w:szCs w:val="20"/>
          <w:u w:val="single"/>
        </w:rPr>
        <w:t>Capital Stock</w:t>
      </w:r>
    </w:p>
    <w:p w:rsidR="00000000" w:rsidRDefault="00613AEB">
      <w:pPr>
        <w:jc w:val="both"/>
        <w:rPr>
          <w:rFonts w:eastAsia="Times New Roman"/>
        </w:rPr>
      </w:pPr>
    </w:p>
    <w:p w:rsidR="00000000" w:rsidRDefault="00613AEB">
      <w:pPr>
        <w:jc w:val="both"/>
        <w:rPr>
          <w:rFonts w:eastAsia="Times New Roman"/>
        </w:rPr>
      </w:pPr>
      <w:r>
        <w:rPr>
          <w:rFonts w:eastAsia="Times New Roman"/>
          <w:color w:val="000000"/>
          <w:sz w:val="20"/>
          <w:szCs w:val="20"/>
        </w:rPr>
        <w:t>The authorized capital stock of the Company consists of common stock and preferred stock. The Company is authorized to issue 400 million shares of common stock. The Company is also authorized to issue 40 thousand shares of preferr</w:t>
      </w:r>
      <w:r>
        <w:rPr>
          <w:rFonts w:eastAsia="Times New Roman"/>
          <w:color w:val="000000"/>
          <w:sz w:val="20"/>
          <w:szCs w:val="20"/>
        </w:rPr>
        <w:t>ed stock, with such designations, rights and preferences as may be determined from time to time by the Company's Board of Directors.</w:t>
      </w:r>
    </w:p>
    <w:p w:rsidR="00000000" w:rsidRDefault="00613AEB">
      <w:pPr>
        <w:jc w:val="both"/>
        <w:rPr>
          <w:rFonts w:eastAsia="Times New Roman"/>
        </w:rPr>
      </w:pPr>
    </w:p>
    <w:p w:rsidR="00000000" w:rsidRDefault="00613AEB">
      <w:pPr>
        <w:jc w:val="both"/>
        <w:rPr>
          <w:rFonts w:eastAsia="Times New Roman"/>
        </w:rPr>
      </w:pPr>
      <w:r>
        <w:rPr>
          <w:rFonts w:eastAsia="Times New Roman"/>
          <w:color w:val="000000"/>
          <w:sz w:val="20"/>
          <w:szCs w:val="20"/>
          <w:u w:val="single"/>
        </w:rPr>
        <w:t>Dividends</w:t>
      </w:r>
    </w:p>
    <w:p w:rsidR="00000000" w:rsidRDefault="00613AEB">
      <w:pPr>
        <w:jc w:val="both"/>
        <w:rPr>
          <w:rFonts w:eastAsia="Times New Roman"/>
        </w:rPr>
      </w:pPr>
    </w:p>
    <w:p w:rsidR="00000000" w:rsidRDefault="00613AEB">
      <w:pPr>
        <w:jc w:val="both"/>
        <w:rPr>
          <w:rFonts w:eastAsia="Times New Roman"/>
        </w:rPr>
      </w:pPr>
      <w:r>
        <w:rPr>
          <w:rFonts w:eastAsia="Times New Roman"/>
          <w:color w:val="000000"/>
          <w:sz w:val="20"/>
          <w:szCs w:val="20"/>
        </w:rPr>
        <w:t>During the first six months of fiscal 2022 and fiscal 2021, the Company's Board of Directors declared the fol</w:t>
      </w:r>
      <w:r>
        <w:rPr>
          <w:rFonts w:eastAsia="Times New Roman"/>
          <w:color w:val="000000"/>
          <w:sz w:val="20"/>
          <w:szCs w:val="20"/>
        </w:rPr>
        <w:t>lowing cash dividends:</w:t>
      </w:r>
    </w:p>
    <w:tbl>
      <w:tblPr>
        <w:tblW w:w="4985" w:type="pct"/>
        <w:jc w:val="center"/>
        <w:tblCellMar>
          <w:top w:w="15" w:type="dxa"/>
          <w:left w:w="15" w:type="dxa"/>
          <w:bottom w:w="15" w:type="dxa"/>
          <w:right w:w="15" w:type="dxa"/>
        </w:tblCellMar>
        <w:tblLook w:val="04A0" w:firstRow="1" w:lastRow="0" w:firstColumn="1" w:lastColumn="0" w:noHBand="0" w:noVBand="1"/>
      </w:tblPr>
      <w:tblGrid>
        <w:gridCol w:w="51"/>
        <w:gridCol w:w="2209"/>
        <w:gridCol w:w="36"/>
        <w:gridCol w:w="36"/>
        <w:gridCol w:w="36"/>
        <w:gridCol w:w="36"/>
        <w:gridCol w:w="121"/>
        <w:gridCol w:w="1250"/>
        <w:gridCol w:w="36"/>
        <w:gridCol w:w="36"/>
        <w:gridCol w:w="36"/>
        <w:gridCol w:w="36"/>
        <w:gridCol w:w="38"/>
        <w:gridCol w:w="2245"/>
        <w:gridCol w:w="37"/>
        <w:gridCol w:w="36"/>
        <w:gridCol w:w="36"/>
        <w:gridCol w:w="36"/>
        <w:gridCol w:w="38"/>
        <w:gridCol w:w="1859"/>
        <w:gridCol w:w="37"/>
      </w:tblGrid>
      <w:tr w:rsidR="00000000">
        <w:trPr>
          <w:jc w:val="center"/>
        </w:trPr>
        <w:tc>
          <w:tcPr>
            <w:tcW w:w="50" w:type="pct"/>
            <w:vAlign w:val="center"/>
            <w:hideMark/>
          </w:tcPr>
          <w:p w:rsidR="00000000" w:rsidRDefault="00613AEB">
            <w:pPr>
              <w:jc w:val="both"/>
              <w:rPr>
                <w:rFonts w:eastAsia="Times New Roman"/>
              </w:rPr>
            </w:pPr>
          </w:p>
        </w:tc>
        <w:tc>
          <w:tcPr>
            <w:tcW w:w="1352"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26"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0" w:type="pct"/>
            <w:vAlign w:val="center"/>
            <w:hideMark/>
          </w:tcPr>
          <w:p w:rsidR="00000000" w:rsidRDefault="00613AEB">
            <w:pPr>
              <w:spacing w:after="100"/>
              <w:rPr>
                <w:rFonts w:eastAsia="Times New Roman"/>
                <w:sz w:val="20"/>
                <w:szCs w:val="20"/>
              </w:rPr>
            </w:pPr>
          </w:p>
        </w:tc>
        <w:tc>
          <w:tcPr>
            <w:tcW w:w="788"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26"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0" w:type="pct"/>
            <w:vAlign w:val="center"/>
            <w:hideMark/>
          </w:tcPr>
          <w:p w:rsidR="00000000" w:rsidRDefault="00613AEB">
            <w:pPr>
              <w:spacing w:after="100"/>
              <w:rPr>
                <w:rFonts w:eastAsia="Times New Roman"/>
                <w:sz w:val="20"/>
                <w:szCs w:val="20"/>
              </w:rPr>
            </w:pPr>
          </w:p>
        </w:tc>
        <w:tc>
          <w:tcPr>
            <w:tcW w:w="1381"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26"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0" w:type="pct"/>
            <w:vAlign w:val="center"/>
            <w:hideMark/>
          </w:tcPr>
          <w:p w:rsidR="00000000" w:rsidRDefault="00613AEB">
            <w:pPr>
              <w:spacing w:after="100"/>
              <w:rPr>
                <w:rFonts w:eastAsia="Times New Roman"/>
                <w:sz w:val="20"/>
                <w:szCs w:val="20"/>
              </w:rPr>
            </w:pPr>
          </w:p>
        </w:tc>
        <w:tc>
          <w:tcPr>
            <w:tcW w:w="1147"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613AEB">
            <w:pPr>
              <w:spacing w:after="100"/>
              <w:jc w:val="center"/>
              <w:rPr>
                <w:rFonts w:eastAsia="Times New Roman"/>
              </w:rPr>
            </w:pPr>
            <w:r>
              <w:rPr>
                <w:rFonts w:eastAsia="Times New Roman"/>
                <w:b/>
                <w:bCs/>
                <w:color w:val="000000"/>
                <w:sz w:val="20"/>
                <w:szCs w:val="20"/>
              </w:rPr>
              <w:t>Date Declared</w:t>
            </w:r>
          </w:p>
        </w:tc>
        <w:tc>
          <w:tcPr>
            <w:tcW w:w="0" w:type="auto"/>
            <w:gridSpan w:val="3"/>
            <w:tcMar>
              <w:top w:w="0" w:type="dxa"/>
              <w:left w:w="20" w:type="dxa"/>
              <w:bottom w:w="0" w:type="dxa"/>
              <w:right w:w="20" w:type="dxa"/>
            </w:tcMar>
            <w:vAlign w:val="center"/>
            <w:hideMark/>
          </w:tcPr>
          <w:p w:rsidR="00000000" w:rsidRDefault="00613AE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13AEB">
            <w:pPr>
              <w:spacing w:after="100"/>
              <w:jc w:val="center"/>
              <w:rPr>
                <w:rFonts w:eastAsia="Times New Roman"/>
              </w:rPr>
            </w:pPr>
            <w:r>
              <w:rPr>
                <w:rFonts w:eastAsia="Times New Roman"/>
                <w:b/>
                <w:bCs/>
                <w:color w:val="000000"/>
                <w:sz w:val="20"/>
                <w:szCs w:val="20"/>
              </w:rPr>
              <w:t>Dividend Amount</w:t>
            </w:r>
            <w:r>
              <w:rPr>
                <w:rFonts w:eastAsia="Times New Roman"/>
                <w:b/>
                <w:bCs/>
                <w:color w:val="000000"/>
                <w:sz w:val="20"/>
                <w:szCs w:val="20"/>
              </w:rPr>
              <w:br/>
              <w:t>Per Share of Common Stock</w:t>
            </w:r>
          </w:p>
        </w:tc>
        <w:tc>
          <w:tcPr>
            <w:tcW w:w="0" w:type="auto"/>
            <w:gridSpan w:val="3"/>
            <w:tcMar>
              <w:top w:w="0" w:type="dxa"/>
              <w:left w:w="20" w:type="dxa"/>
              <w:bottom w:w="0" w:type="dxa"/>
              <w:right w:w="20" w:type="dxa"/>
            </w:tcMar>
            <w:vAlign w:val="center"/>
            <w:hideMark/>
          </w:tcPr>
          <w:p w:rsidR="00000000" w:rsidRDefault="00613AE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13AEB">
            <w:pPr>
              <w:spacing w:after="100"/>
              <w:jc w:val="center"/>
              <w:rPr>
                <w:rFonts w:eastAsia="Times New Roman"/>
              </w:rPr>
            </w:pPr>
            <w:r>
              <w:rPr>
                <w:rFonts w:eastAsia="Times New Roman"/>
                <w:b/>
                <w:bCs/>
                <w:color w:val="000000"/>
                <w:sz w:val="20"/>
                <w:szCs w:val="20"/>
              </w:rPr>
              <w:t>Record Date</w:t>
            </w:r>
          </w:p>
        </w:tc>
        <w:tc>
          <w:tcPr>
            <w:tcW w:w="0" w:type="auto"/>
            <w:gridSpan w:val="3"/>
            <w:tcMar>
              <w:top w:w="0" w:type="dxa"/>
              <w:left w:w="20" w:type="dxa"/>
              <w:bottom w:w="0" w:type="dxa"/>
              <w:right w:w="20" w:type="dxa"/>
            </w:tcMar>
            <w:vAlign w:val="center"/>
            <w:hideMark/>
          </w:tcPr>
          <w:p w:rsidR="00000000" w:rsidRDefault="00613AE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13AEB">
            <w:pPr>
              <w:spacing w:after="100"/>
              <w:jc w:val="center"/>
              <w:rPr>
                <w:rFonts w:eastAsia="Times New Roman"/>
              </w:rPr>
            </w:pPr>
            <w:r>
              <w:rPr>
                <w:rFonts w:eastAsia="Times New Roman"/>
                <w:b/>
                <w:bCs/>
                <w:color w:val="000000"/>
                <w:sz w:val="20"/>
                <w:szCs w:val="20"/>
              </w:rPr>
              <w:t>Date Paid</w:t>
            </w:r>
          </w:p>
        </w:tc>
      </w:tr>
      <w:tr w:rsidR="00000000">
        <w:trPr>
          <w:jc w:val="center"/>
        </w:trPr>
        <w:tc>
          <w:tcPr>
            <w:tcW w:w="0" w:type="auto"/>
            <w:gridSpan w:val="3"/>
            <w:vAlign w:val="center"/>
            <w:hideMark/>
          </w:tcPr>
          <w:p w:rsidR="00000000" w:rsidRDefault="00613AEB">
            <w:pPr>
              <w:spacing w:after="100"/>
              <w:jc w:val="center"/>
              <w:rPr>
                <w:rFonts w:eastAsia="Times New Roman"/>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r>
      <w:tr w:rsidR="00000000">
        <w:trPr>
          <w:jc w:val="center"/>
        </w:trPr>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r>
      <w:tr w:rsidR="00000000">
        <w:trPr>
          <w:jc w:val="center"/>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613AEB">
            <w:pPr>
              <w:spacing w:after="100"/>
              <w:jc w:val="center"/>
              <w:rPr>
                <w:rFonts w:eastAsia="Times New Roman"/>
              </w:rPr>
            </w:pPr>
            <w:r>
              <w:rPr>
                <w:rFonts w:eastAsia="Times New Roman"/>
                <w:color w:val="000000"/>
                <w:sz w:val="20"/>
                <w:szCs w:val="20"/>
              </w:rPr>
              <w:t>May 10, 2022</w:t>
            </w: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cente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0.92 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613AEB">
            <w:pPr>
              <w:spacing w:after="100"/>
              <w:jc w:val="center"/>
              <w:rPr>
                <w:rFonts w:eastAsia="Times New Roman"/>
              </w:rPr>
            </w:pPr>
            <w:r>
              <w:rPr>
                <w:rFonts w:eastAsia="Times New Roman"/>
                <w:color w:val="000000"/>
                <w:sz w:val="20"/>
                <w:szCs w:val="20"/>
              </w:rPr>
              <w:t>May 25, 2022</w:t>
            </w: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613AEB">
            <w:pPr>
              <w:spacing w:after="100"/>
              <w:jc w:val="center"/>
              <w:rPr>
                <w:rFonts w:eastAsia="Times New Roman"/>
              </w:rPr>
            </w:pPr>
            <w:r>
              <w:rPr>
                <w:rFonts w:eastAsia="Times New Roman"/>
                <w:color w:val="000000"/>
                <w:sz w:val="20"/>
                <w:szCs w:val="20"/>
              </w:rPr>
              <w:t>June 8, 2022</w:t>
            </w: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613AEB">
            <w:pPr>
              <w:spacing w:after="100"/>
              <w:jc w:val="center"/>
              <w:rPr>
                <w:rFonts w:eastAsia="Times New Roman"/>
              </w:rPr>
            </w:pPr>
            <w:r>
              <w:rPr>
                <w:rFonts w:eastAsia="Times New Roman"/>
                <w:color w:val="000000"/>
                <w:sz w:val="20"/>
                <w:szCs w:val="20"/>
              </w:rPr>
              <w:t>January 26, 2022</w:t>
            </w: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cente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0.92 </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613AEB">
            <w:pPr>
              <w:spacing w:after="100"/>
              <w:jc w:val="center"/>
              <w:rPr>
                <w:rFonts w:eastAsia="Times New Roman"/>
              </w:rPr>
            </w:pPr>
            <w:r>
              <w:rPr>
                <w:rFonts w:eastAsia="Times New Roman"/>
                <w:color w:val="000000"/>
                <w:sz w:val="20"/>
                <w:szCs w:val="20"/>
              </w:rPr>
              <w:t>February 21, 2022</w:t>
            </w: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613AEB">
            <w:pPr>
              <w:spacing w:after="100"/>
              <w:jc w:val="center"/>
              <w:rPr>
                <w:rFonts w:eastAsia="Times New Roman"/>
              </w:rPr>
            </w:pPr>
            <w:r>
              <w:rPr>
                <w:rFonts w:eastAsia="Times New Roman"/>
                <w:color w:val="000000"/>
                <w:sz w:val="20"/>
                <w:szCs w:val="20"/>
              </w:rPr>
              <w:t>March 8, 2022</w:t>
            </w:r>
          </w:p>
        </w:tc>
      </w:tr>
      <w:tr w:rsidR="00000000">
        <w:trPr>
          <w:trHeight w:val="300"/>
          <w:jc w:val="center"/>
        </w:trPr>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cente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r>
      <w:tr w:rsidR="00000000">
        <w:trPr>
          <w:jc w:val="center"/>
        </w:trPr>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613AEB">
            <w:pPr>
              <w:spacing w:after="100"/>
              <w:jc w:val="center"/>
              <w:rPr>
                <w:rFonts w:eastAsia="Times New Roman"/>
              </w:rPr>
            </w:pPr>
            <w:r>
              <w:rPr>
                <w:rFonts w:eastAsia="Times New Roman"/>
                <w:color w:val="000000"/>
                <w:sz w:val="20"/>
                <w:szCs w:val="20"/>
              </w:rPr>
              <w:t>May 5, 2021</w:t>
            </w: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cente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0.52 </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613AEB">
            <w:pPr>
              <w:spacing w:after="100"/>
              <w:jc w:val="center"/>
              <w:rPr>
                <w:rFonts w:eastAsia="Times New Roman"/>
              </w:rPr>
            </w:pPr>
            <w:r>
              <w:rPr>
                <w:rFonts w:eastAsia="Times New Roman"/>
                <w:color w:val="000000"/>
                <w:sz w:val="20"/>
                <w:szCs w:val="20"/>
              </w:rPr>
              <w:t>May 24, 2021</w:t>
            </w: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613AEB">
            <w:pPr>
              <w:spacing w:after="100"/>
              <w:jc w:val="center"/>
              <w:rPr>
                <w:rFonts w:eastAsia="Times New Roman"/>
              </w:rPr>
            </w:pPr>
            <w:r>
              <w:rPr>
                <w:rFonts w:eastAsia="Times New Roman"/>
                <w:color w:val="000000"/>
                <w:sz w:val="20"/>
                <w:szCs w:val="20"/>
              </w:rPr>
              <w:t>June 8, 2021</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613AEB">
            <w:pPr>
              <w:spacing w:after="100"/>
              <w:jc w:val="center"/>
              <w:rPr>
                <w:rFonts w:eastAsia="Times New Roman"/>
              </w:rPr>
            </w:pPr>
            <w:r>
              <w:rPr>
                <w:rFonts w:eastAsia="Times New Roman"/>
                <w:color w:val="000000"/>
                <w:sz w:val="20"/>
                <w:szCs w:val="20"/>
              </w:rPr>
              <w:t>January 27, 2021</w:t>
            </w: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cente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0.52 </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613AEB">
            <w:pPr>
              <w:spacing w:after="100"/>
              <w:jc w:val="center"/>
              <w:rPr>
                <w:rFonts w:eastAsia="Times New Roman"/>
              </w:rPr>
            </w:pPr>
            <w:r>
              <w:rPr>
                <w:rFonts w:eastAsia="Times New Roman"/>
                <w:color w:val="000000"/>
                <w:sz w:val="20"/>
                <w:szCs w:val="20"/>
              </w:rPr>
              <w:t>February 22, 2021</w:t>
            </w: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613AEB">
            <w:pPr>
              <w:spacing w:after="100"/>
              <w:jc w:val="center"/>
              <w:rPr>
                <w:rFonts w:eastAsia="Times New Roman"/>
              </w:rPr>
            </w:pPr>
            <w:r>
              <w:rPr>
                <w:rFonts w:eastAsia="Times New Roman"/>
                <w:color w:val="000000"/>
                <w:sz w:val="20"/>
                <w:szCs w:val="20"/>
              </w:rPr>
              <w:t>March 9, 2021</w:t>
            </w:r>
          </w:p>
        </w:tc>
      </w:tr>
    </w:tbl>
    <w:p w:rsidR="00000000" w:rsidRDefault="00613AEB">
      <w:pPr>
        <w:divId w:val="1586764951"/>
        <w:rPr>
          <w:rFonts w:eastAsia="Times New Roman"/>
        </w:rPr>
      </w:pPr>
    </w:p>
    <w:p w:rsidR="00000000" w:rsidRDefault="00613AEB">
      <w:pPr>
        <w:jc w:val="center"/>
        <w:divId w:val="1823740169"/>
        <w:rPr>
          <w:rFonts w:eastAsia="Times New Roman"/>
        </w:rPr>
      </w:pPr>
      <w:r>
        <w:rPr>
          <w:rFonts w:eastAsia="Times New Roman"/>
          <w:color w:val="000000"/>
          <w:sz w:val="20"/>
          <w:szCs w:val="20"/>
        </w:rPr>
        <w:t>Page 13</w:t>
      </w:r>
    </w:p>
    <w:p w:rsidR="00000000" w:rsidRDefault="00613AEB">
      <w:pPr>
        <w:rPr>
          <w:rFonts w:eastAsia="Times New Roman"/>
        </w:rPr>
      </w:pPr>
      <w:r>
        <w:rPr>
          <w:rFonts w:eastAsia="Times New Roman"/>
        </w:rPr>
        <w:pict>
          <v:rect id="_x0000_i1038" style="width:0;height:1.5pt" o:hralign="center" o:hrstd="t" o:hr="t" fillcolor="#a0a0a0" stroked="f"/>
        </w:pict>
      </w:r>
    </w:p>
    <w:p w:rsidR="00000000" w:rsidRDefault="00613AEB">
      <w:pPr>
        <w:divId w:val="514880649"/>
        <w:rPr>
          <w:rFonts w:eastAsia="Times New Roman"/>
        </w:rPr>
      </w:pPr>
      <w:hyperlink w:anchor="i7b244a6903fc440faaf2365d228fe4ba_7" w:history="1">
        <w:r>
          <w:rPr>
            <w:rStyle w:val="a3"/>
            <w:rFonts w:eastAsia="Times New Roman"/>
            <w:sz w:val="16"/>
            <w:szCs w:val="16"/>
          </w:rPr>
          <w:t>Index</w:t>
        </w:r>
      </w:hyperlink>
    </w:p>
    <w:p w:rsidR="00000000" w:rsidRDefault="00613AEB">
      <w:pPr>
        <w:jc w:val="both"/>
        <w:rPr>
          <w:rFonts w:eastAsia="Times New Roman"/>
        </w:rPr>
      </w:pPr>
      <w:r>
        <w:rPr>
          <w:rFonts w:eastAsia="Times New Roman"/>
          <w:color w:val="000000"/>
          <w:sz w:val="20"/>
          <w:szCs w:val="20"/>
        </w:rPr>
        <w:t>It is the present intention of the Company’s Board of Directors to continue to pay a quarterly cash dividend; however, the declaration and payment of future</w:t>
      </w:r>
      <w:r>
        <w:rPr>
          <w:rFonts w:eastAsia="Times New Roman"/>
          <w:color w:val="000000"/>
          <w:sz w:val="20"/>
          <w:szCs w:val="20"/>
        </w:rPr>
        <w:t xml:space="preserve"> dividends will be determined by the Company’s Board of Directors in its sole discretion and will depend upon the earnings, financial condition, and capital needs of the Company, along with any other factors that the Company’s Board of Directors deem relev</w:t>
      </w:r>
      <w:r>
        <w:rPr>
          <w:rFonts w:eastAsia="Times New Roman"/>
          <w:color w:val="000000"/>
          <w:sz w:val="20"/>
          <w:szCs w:val="20"/>
        </w:rPr>
        <w:t xml:space="preserve">ant. </w:t>
      </w:r>
    </w:p>
    <w:p w:rsidR="00000000" w:rsidRDefault="00613AEB">
      <w:pPr>
        <w:jc w:val="both"/>
        <w:rPr>
          <w:rFonts w:eastAsia="Times New Roman"/>
        </w:rPr>
      </w:pPr>
    </w:p>
    <w:p w:rsidR="00000000" w:rsidRDefault="00613AEB">
      <w:pPr>
        <w:jc w:val="both"/>
        <w:rPr>
          <w:rFonts w:eastAsia="Times New Roman"/>
        </w:rPr>
      </w:pPr>
      <w:r>
        <w:rPr>
          <w:rFonts w:eastAsia="Times New Roman"/>
          <w:color w:val="000000"/>
          <w:sz w:val="20"/>
          <w:szCs w:val="20"/>
        </w:rPr>
        <w:t>On August 4, 2022, the Company's Board of Directors declared a quarterly cash dividend of $0.92 per share of the Company's outstanding common stock. The dividend will be paid on September 7, 2022, to stockholders of record as of the close of busine</w:t>
      </w:r>
      <w:r>
        <w:rPr>
          <w:rFonts w:eastAsia="Times New Roman"/>
          <w:color w:val="000000"/>
          <w:sz w:val="20"/>
          <w:szCs w:val="20"/>
        </w:rPr>
        <w:t>ss on August 22, 2022.</w:t>
      </w:r>
    </w:p>
    <w:p w:rsidR="00000000" w:rsidRDefault="00613AEB">
      <w:pPr>
        <w:jc w:val="both"/>
        <w:rPr>
          <w:rFonts w:eastAsia="Times New Roman"/>
        </w:rPr>
      </w:pPr>
    </w:p>
    <w:p w:rsidR="00000000" w:rsidRDefault="00613AEB">
      <w:pPr>
        <w:divId w:val="1925454146"/>
        <w:rPr>
          <w:rFonts w:eastAsia="Times New Roman"/>
        </w:rPr>
      </w:pPr>
      <w:r>
        <w:rPr>
          <w:rFonts w:eastAsia="Times New Roman"/>
          <w:b/>
          <w:bCs/>
          <w:color w:val="000000"/>
          <w:sz w:val="20"/>
          <w:szCs w:val="20"/>
        </w:rPr>
        <w:t>Note 7 – Treasury Stock:</w:t>
      </w:r>
    </w:p>
    <w:p w:rsidR="00000000" w:rsidRDefault="00613AEB">
      <w:pPr>
        <w:jc w:val="both"/>
        <w:rPr>
          <w:rFonts w:eastAsia="Times New Roman"/>
        </w:rPr>
      </w:pPr>
    </w:p>
    <w:p w:rsidR="00000000" w:rsidRDefault="00613AEB">
      <w:pPr>
        <w:jc w:val="both"/>
        <w:rPr>
          <w:rFonts w:eastAsia="Times New Roman"/>
        </w:rPr>
      </w:pPr>
      <w:r>
        <w:rPr>
          <w:rFonts w:eastAsia="Times New Roman"/>
          <w:color w:val="000000"/>
          <w:sz w:val="20"/>
          <w:szCs w:val="20"/>
        </w:rPr>
        <w:t>The Company’s Board of Directors has authorized common stock repurchases under a share repurchase program which was announced in February 2007. The total authorized amount was increased by the Company's B</w:t>
      </w:r>
      <w:r>
        <w:rPr>
          <w:rFonts w:eastAsia="Times New Roman"/>
          <w:color w:val="000000"/>
          <w:sz w:val="20"/>
          <w:szCs w:val="20"/>
        </w:rPr>
        <w:t>oard of Directors on January 26, 2022 by $2.0 billion for a total authorization of $6.5 billion, exclusive of any fees, commissions, or other expenses related to such repurchases. The share repurchase program does not have an expiration date. The repurchas</w:t>
      </w:r>
      <w:r>
        <w:rPr>
          <w:rFonts w:eastAsia="Times New Roman"/>
          <w:color w:val="000000"/>
          <w:sz w:val="20"/>
          <w:szCs w:val="20"/>
        </w:rPr>
        <w:t>es may be made from time to time on the open market or in privately negotiated transactions.  The timing and amount of any shares repurchased under the program will depend on a variety of factors, including price, corporate and regulatory requirements, cap</w:t>
      </w:r>
      <w:r>
        <w:rPr>
          <w:rFonts w:eastAsia="Times New Roman"/>
          <w:color w:val="000000"/>
          <w:sz w:val="20"/>
          <w:szCs w:val="20"/>
        </w:rPr>
        <w:t xml:space="preserve">ital availability, and other market conditions.  Repurchased shares are accounted for at cost and will be held in treasury for future issuance.  The program may be limited, temporarily paused, or terminated at any time without prior notice. As of June 25, </w:t>
      </w:r>
      <w:r>
        <w:rPr>
          <w:rFonts w:eastAsia="Times New Roman"/>
          <w:color w:val="000000"/>
          <w:sz w:val="20"/>
          <w:szCs w:val="20"/>
        </w:rPr>
        <w:t>2022, the Company had remaining authorization under the share repurchase program of $1.9 billion, exclusive of any fees, commissions, or other expenses.</w:t>
      </w:r>
    </w:p>
    <w:p w:rsidR="00000000" w:rsidRDefault="00613AEB">
      <w:pPr>
        <w:jc w:val="both"/>
        <w:rPr>
          <w:rFonts w:eastAsia="Times New Roman"/>
        </w:rPr>
      </w:pPr>
    </w:p>
    <w:p w:rsidR="00000000" w:rsidRDefault="00613AEB">
      <w:pPr>
        <w:jc w:val="both"/>
        <w:rPr>
          <w:rFonts w:eastAsia="Times New Roman"/>
        </w:rPr>
      </w:pPr>
      <w:r>
        <w:rPr>
          <w:rFonts w:eastAsia="Times New Roman"/>
          <w:color w:val="000000"/>
          <w:sz w:val="20"/>
          <w:szCs w:val="20"/>
        </w:rPr>
        <w:t>The following table provides the number of shares repurchased, average price paid per share, and tota</w:t>
      </w:r>
      <w:r>
        <w:rPr>
          <w:rFonts w:eastAsia="Times New Roman"/>
          <w:color w:val="000000"/>
          <w:sz w:val="20"/>
          <w:szCs w:val="20"/>
        </w:rPr>
        <w:t>l amount paid for share repurchases during the fiscal three months and fiscal six months ended June 25, 2022 and June 26, 2021, respectively (in thousands, except per share amounts):</w:t>
      </w:r>
    </w:p>
    <w:p w:rsidR="00000000" w:rsidRDefault="00613AEB">
      <w:pPr>
        <w:jc w:val="both"/>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3243"/>
        <w:gridCol w:w="36"/>
        <w:gridCol w:w="120"/>
        <w:gridCol w:w="1060"/>
        <w:gridCol w:w="36"/>
        <w:gridCol w:w="36"/>
        <w:gridCol w:w="36"/>
        <w:gridCol w:w="36"/>
        <w:gridCol w:w="120"/>
        <w:gridCol w:w="1017"/>
        <w:gridCol w:w="36"/>
        <w:gridCol w:w="36"/>
        <w:gridCol w:w="36"/>
        <w:gridCol w:w="36"/>
        <w:gridCol w:w="120"/>
        <w:gridCol w:w="982"/>
        <w:gridCol w:w="36"/>
        <w:gridCol w:w="36"/>
        <w:gridCol w:w="36"/>
        <w:gridCol w:w="36"/>
        <w:gridCol w:w="120"/>
        <w:gridCol w:w="983"/>
        <w:gridCol w:w="36"/>
      </w:tblGrid>
      <w:tr w:rsidR="00000000">
        <w:trPr>
          <w:jc w:val="center"/>
        </w:trPr>
        <w:tc>
          <w:tcPr>
            <w:tcW w:w="50" w:type="pct"/>
            <w:vAlign w:val="center"/>
            <w:hideMark/>
          </w:tcPr>
          <w:p w:rsidR="00000000" w:rsidRDefault="00613AEB">
            <w:pPr>
              <w:jc w:val="both"/>
              <w:rPr>
                <w:rFonts w:eastAsia="Times New Roman"/>
              </w:rPr>
            </w:pPr>
          </w:p>
        </w:tc>
        <w:tc>
          <w:tcPr>
            <w:tcW w:w="1984"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0" w:type="pct"/>
            <w:vAlign w:val="center"/>
            <w:hideMark/>
          </w:tcPr>
          <w:p w:rsidR="00000000" w:rsidRDefault="00613AEB">
            <w:pPr>
              <w:spacing w:after="100"/>
              <w:rPr>
                <w:rFonts w:eastAsia="Times New Roman"/>
                <w:sz w:val="20"/>
                <w:szCs w:val="20"/>
              </w:rPr>
            </w:pPr>
          </w:p>
        </w:tc>
        <w:tc>
          <w:tcPr>
            <w:tcW w:w="668"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26"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0" w:type="pct"/>
            <w:vAlign w:val="center"/>
            <w:hideMark/>
          </w:tcPr>
          <w:p w:rsidR="00000000" w:rsidRDefault="00613AEB">
            <w:pPr>
              <w:spacing w:after="100"/>
              <w:rPr>
                <w:rFonts w:eastAsia="Times New Roman"/>
                <w:sz w:val="20"/>
                <w:szCs w:val="20"/>
              </w:rPr>
            </w:pPr>
          </w:p>
        </w:tc>
        <w:tc>
          <w:tcPr>
            <w:tcW w:w="668"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26"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0" w:type="pct"/>
            <w:vAlign w:val="center"/>
            <w:hideMark/>
          </w:tcPr>
          <w:p w:rsidR="00000000" w:rsidRDefault="00613AEB">
            <w:pPr>
              <w:spacing w:after="100"/>
              <w:rPr>
                <w:rFonts w:eastAsia="Times New Roman"/>
                <w:sz w:val="20"/>
                <w:szCs w:val="20"/>
              </w:rPr>
            </w:pPr>
          </w:p>
        </w:tc>
        <w:tc>
          <w:tcPr>
            <w:tcW w:w="646"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26"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0" w:type="pct"/>
            <w:vAlign w:val="center"/>
            <w:hideMark/>
          </w:tcPr>
          <w:p w:rsidR="00000000" w:rsidRDefault="00613AEB">
            <w:pPr>
              <w:spacing w:after="100"/>
              <w:rPr>
                <w:rFonts w:eastAsia="Times New Roman"/>
                <w:sz w:val="20"/>
                <w:szCs w:val="20"/>
              </w:rPr>
            </w:pPr>
          </w:p>
        </w:tc>
        <w:tc>
          <w:tcPr>
            <w:tcW w:w="647"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613AEB">
            <w:pPr>
              <w:spacing w:after="100"/>
              <w:jc w:val="center"/>
              <w:rPr>
                <w:rFonts w:eastAsia="Times New Roman"/>
              </w:rPr>
            </w:pPr>
            <w:r>
              <w:rPr>
                <w:rFonts w:eastAsia="Times New Roman"/>
                <w:b/>
                <w:bCs/>
                <w:color w:val="000000"/>
                <w:sz w:val="20"/>
                <w:szCs w:val="20"/>
              </w:rPr>
              <w:t>Fiscal Three Months Ended</w:t>
            </w:r>
          </w:p>
        </w:tc>
        <w:tc>
          <w:tcPr>
            <w:tcW w:w="0" w:type="auto"/>
            <w:gridSpan w:val="3"/>
            <w:tcMar>
              <w:top w:w="0" w:type="dxa"/>
              <w:left w:w="20" w:type="dxa"/>
              <w:bottom w:w="0" w:type="dxa"/>
              <w:right w:w="20" w:type="dxa"/>
            </w:tcMar>
            <w:vAlign w:val="center"/>
            <w:hideMark/>
          </w:tcPr>
          <w:p w:rsidR="00000000" w:rsidRDefault="00613AEB">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613AEB">
            <w:pPr>
              <w:spacing w:after="100"/>
              <w:jc w:val="center"/>
              <w:rPr>
                <w:rFonts w:eastAsia="Times New Roman"/>
              </w:rPr>
            </w:pPr>
            <w:r>
              <w:rPr>
                <w:rFonts w:eastAsia="Times New Roman"/>
                <w:b/>
                <w:bCs/>
                <w:color w:val="000000"/>
                <w:sz w:val="20"/>
                <w:szCs w:val="20"/>
              </w:rPr>
              <w:t>Fiscal Six Months Ended</w:t>
            </w:r>
          </w:p>
        </w:tc>
      </w:tr>
      <w:tr w:rsidR="00000000">
        <w:trPr>
          <w:jc w:val="center"/>
        </w:trPr>
        <w:tc>
          <w:tcPr>
            <w:tcW w:w="0" w:type="auto"/>
            <w:gridSpan w:val="3"/>
            <w:tcMar>
              <w:top w:w="0" w:type="dxa"/>
              <w:left w:w="20" w:type="dxa"/>
              <w:bottom w:w="0" w:type="dxa"/>
              <w:right w:w="20" w:type="dxa"/>
            </w:tcMar>
            <w:vAlign w:val="center"/>
            <w:hideMark/>
          </w:tcPr>
          <w:p w:rsidR="00000000" w:rsidRDefault="00613AE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13AEB">
            <w:pPr>
              <w:spacing w:after="100"/>
              <w:jc w:val="center"/>
              <w:rPr>
                <w:rFonts w:eastAsia="Times New Roman"/>
              </w:rPr>
            </w:pPr>
            <w:r>
              <w:rPr>
                <w:rFonts w:eastAsia="Times New Roman"/>
                <w:b/>
                <w:bCs/>
                <w:color w:val="000000"/>
                <w:sz w:val="20"/>
                <w:szCs w:val="20"/>
              </w:rPr>
              <w:t>June 25,</w:t>
            </w:r>
            <w:r>
              <w:rPr>
                <w:rFonts w:eastAsia="Times New Roman"/>
                <w:b/>
                <w:bCs/>
                <w:color w:val="000000"/>
                <w:sz w:val="20"/>
                <w:szCs w:val="20"/>
              </w:rPr>
              <w:b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13AE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13AEB">
            <w:pPr>
              <w:spacing w:after="100"/>
              <w:jc w:val="center"/>
              <w:rPr>
                <w:rFonts w:eastAsia="Times New Roman"/>
              </w:rPr>
            </w:pPr>
            <w:r>
              <w:rPr>
                <w:rFonts w:eastAsia="Times New Roman"/>
                <w:b/>
                <w:bCs/>
                <w:color w:val="000000"/>
                <w:sz w:val="20"/>
                <w:szCs w:val="20"/>
              </w:rPr>
              <w:t>June 26,</w:t>
            </w:r>
            <w:r>
              <w:rPr>
                <w:rFonts w:eastAsia="Times New Roman"/>
                <w:b/>
                <w:bCs/>
                <w:color w:val="000000"/>
                <w:sz w:val="20"/>
                <w:szCs w:val="20"/>
              </w:rPr>
              <w:br/>
              <w:t>2021</w:t>
            </w:r>
          </w:p>
        </w:tc>
        <w:tc>
          <w:tcPr>
            <w:tcW w:w="0" w:type="auto"/>
            <w:gridSpan w:val="3"/>
            <w:tcMar>
              <w:top w:w="0" w:type="dxa"/>
              <w:left w:w="20" w:type="dxa"/>
              <w:bottom w:w="0" w:type="dxa"/>
              <w:right w:w="20" w:type="dxa"/>
            </w:tcMar>
            <w:vAlign w:val="center"/>
            <w:hideMark/>
          </w:tcPr>
          <w:p w:rsidR="00000000" w:rsidRDefault="00613AE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13AEB">
            <w:pPr>
              <w:spacing w:after="100"/>
              <w:jc w:val="center"/>
              <w:rPr>
                <w:rFonts w:eastAsia="Times New Roman"/>
              </w:rPr>
            </w:pPr>
            <w:r>
              <w:rPr>
                <w:rFonts w:eastAsia="Times New Roman"/>
                <w:b/>
                <w:bCs/>
                <w:color w:val="000000"/>
                <w:sz w:val="20"/>
                <w:szCs w:val="20"/>
              </w:rPr>
              <w:t>June 25,</w:t>
            </w:r>
            <w:r>
              <w:rPr>
                <w:rFonts w:eastAsia="Times New Roman"/>
                <w:b/>
                <w:bCs/>
                <w:color w:val="000000"/>
                <w:sz w:val="20"/>
                <w:szCs w:val="20"/>
              </w:rPr>
              <w:b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13AE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13AEB">
            <w:pPr>
              <w:spacing w:after="100"/>
              <w:jc w:val="center"/>
              <w:rPr>
                <w:rFonts w:eastAsia="Times New Roman"/>
              </w:rPr>
            </w:pPr>
            <w:r>
              <w:rPr>
                <w:rFonts w:eastAsia="Times New Roman"/>
                <w:b/>
                <w:bCs/>
                <w:color w:val="000000"/>
                <w:sz w:val="20"/>
                <w:szCs w:val="20"/>
              </w:rPr>
              <w:t>June 26,</w:t>
            </w:r>
            <w:r>
              <w:rPr>
                <w:rFonts w:eastAsia="Times New Roman"/>
                <w:b/>
                <w:bCs/>
                <w:color w:val="000000"/>
                <w:sz w:val="20"/>
                <w:szCs w:val="20"/>
              </w:rPr>
              <w:br/>
              <w:t>2021</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Total number of shares repurchased</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942 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1,118 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2,300 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2,718 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Average price paid per share</w:t>
            </w:r>
          </w:p>
        </w:tc>
        <w:tc>
          <w:tcPr>
            <w:tcW w:w="0" w:type="auto"/>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199.88 </w:t>
            </w:r>
          </w:p>
        </w:tc>
        <w:tc>
          <w:tcPr>
            <w:tcW w:w="0" w:type="auto"/>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181.81 </w:t>
            </w:r>
          </w:p>
        </w:tc>
        <w:tc>
          <w:tcPr>
            <w:tcW w:w="0" w:type="auto"/>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210.62 </w:t>
            </w:r>
          </w:p>
        </w:tc>
        <w:tc>
          <w:tcPr>
            <w:tcW w:w="0" w:type="auto"/>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168.00 </w:t>
            </w:r>
          </w:p>
        </w:tc>
        <w:tc>
          <w:tcPr>
            <w:tcW w:w="0" w:type="auto"/>
            <w:tcMar>
              <w:top w:w="30" w:type="dxa"/>
              <w:left w:w="0" w:type="dxa"/>
              <w:bottom w:w="30" w:type="dxa"/>
              <w:right w:w="20" w:type="dxa"/>
            </w:tcMar>
            <w:vAlign w:val="bottom"/>
            <w:hideMark/>
          </w:tcPr>
          <w:p w:rsidR="00000000" w:rsidRDefault="00613AEB">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Total cash paid for share repurchases</w:t>
            </w:r>
          </w:p>
        </w:tc>
        <w:tc>
          <w:tcPr>
            <w:tcW w:w="0" w:type="auto"/>
            <w:shd w:val="clear" w:color="auto" w:fill="CCEE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188,210 </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203,305 </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484,390 </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456,714 </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r>
    </w:tbl>
    <w:p w:rsidR="00000000" w:rsidRDefault="00613AEB">
      <w:pPr>
        <w:jc w:val="both"/>
        <w:rPr>
          <w:rFonts w:eastAsia="Times New Roman"/>
        </w:rPr>
      </w:pPr>
    </w:p>
    <w:p w:rsidR="00000000" w:rsidRDefault="00613AEB">
      <w:pPr>
        <w:jc w:val="both"/>
        <w:rPr>
          <w:rFonts w:eastAsia="Times New Roman"/>
        </w:rPr>
      </w:pPr>
      <w:r>
        <w:rPr>
          <w:rFonts w:eastAsia="Times New Roman"/>
          <w:b/>
          <w:bCs/>
          <w:color w:val="000000"/>
          <w:sz w:val="20"/>
          <w:szCs w:val="20"/>
        </w:rPr>
        <w:t>Note 8 – Income Taxes:</w:t>
      </w:r>
    </w:p>
    <w:p w:rsidR="00000000" w:rsidRDefault="00613AEB">
      <w:pPr>
        <w:jc w:val="both"/>
        <w:rPr>
          <w:rFonts w:eastAsia="Times New Roman"/>
        </w:rPr>
      </w:pPr>
    </w:p>
    <w:p w:rsidR="00000000" w:rsidRDefault="00613AEB">
      <w:pPr>
        <w:jc w:val="both"/>
        <w:rPr>
          <w:rFonts w:eastAsia="Times New Roman"/>
        </w:rPr>
      </w:pPr>
      <w:r>
        <w:rPr>
          <w:rFonts w:eastAsia="Times New Roman"/>
          <w:color w:val="000000"/>
          <w:sz w:val="20"/>
          <w:szCs w:val="20"/>
        </w:rPr>
        <w:t>The Company’s effective income tax rate was 23.5% in the second quarter of fiscal 2022 compared to 22.8% in the second quarter of fiscal 2021. The effective income tax rate was 22.7% in the first six months of fiscal 2022 compared to 21.5% in the first six</w:t>
      </w:r>
      <w:r>
        <w:rPr>
          <w:rFonts w:eastAsia="Times New Roman"/>
          <w:color w:val="000000"/>
          <w:sz w:val="20"/>
          <w:szCs w:val="20"/>
        </w:rPr>
        <w:t xml:space="preserve"> months of fiscal 2021. The increase in the effective income tax rate in the first six months of fiscal 2022 compared to the first six months of fiscal 2021 was driven primarily by a decrease in the benefit derived from share-based compensation awards and </w:t>
      </w:r>
      <w:r>
        <w:rPr>
          <w:rFonts w:eastAsia="Times New Roman"/>
          <w:color w:val="000000"/>
          <w:sz w:val="20"/>
          <w:szCs w:val="20"/>
        </w:rPr>
        <w:t>lower discrete state tax credits relative to pre-tax income.</w:t>
      </w:r>
    </w:p>
    <w:p w:rsidR="00000000" w:rsidRDefault="00613AEB">
      <w:pPr>
        <w:jc w:val="both"/>
        <w:rPr>
          <w:rFonts w:eastAsia="Times New Roman"/>
        </w:rPr>
      </w:pPr>
    </w:p>
    <w:p w:rsidR="00000000" w:rsidRDefault="00613AEB">
      <w:pPr>
        <w:jc w:val="both"/>
        <w:rPr>
          <w:rFonts w:eastAsia="Times New Roman"/>
        </w:rPr>
      </w:pPr>
      <w:r>
        <w:rPr>
          <w:rFonts w:eastAsia="Times New Roman"/>
          <w:b/>
          <w:bCs/>
          <w:color w:val="000000"/>
          <w:sz w:val="20"/>
          <w:szCs w:val="20"/>
        </w:rPr>
        <w:t>Note 9 – Commitments and Contingencies:</w:t>
      </w:r>
    </w:p>
    <w:p w:rsidR="00000000" w:rsidRDefault="00613AEB">
      <w:pPr>
        <w:jc w:val="both"/>
        <w:rPr>
          <w:rFonts w:eastAsia="Times New Roman"/>
        </w:rPr>
      </w:pPr>
    </w:p>
    <w:p w:rsidR="00000000" w:rsidRDefault="00613AEB">
      <w:pPr>
        <w:jc w:val="both"/>
        <w:rPr>
          <w:rFonts w:eastAsia="Times New Roman"/>
        </w:rPr>
      </w:pPr>
      <w:r>
        <w:rPr>
          <w:rFonts w:eastAsia="Times New Roman"/>
          <w:color w:val="000000"/>
          <w:sz w:val="20"/>
          <w:szCs w:val="20"/>
          <w:u w:val="single"/>
        </w:rPr>
        <w:t>Construction and Real Estate Commitments</w:t>
      </w:r>
    </w:p>
    <w:p w:rsidR="00000000" w:rsidRDefault="00613AEB">
      <w:pPr>
        <w:jc w:val="both"/>
        <w:rPr>
          <w:rFonts w:eastAsia="Times New Roman"/>
        </w:rPr>
      </w:pPr>
    </w:p>
    <w:p w:rsidR="00000000" w:rsidRDefault="00613AEB">
      <w:pPr>
        <w:jc w:val="both"/>
        <w:rPr>
          <w:rFonts w:eastAsia="Times New Roman"/>
        </w:rPr>
      </w:pPr>
      <w:r>
        <w:rPr>
          <w:rFonts w:eastAsia="Times New Roman"/>
          <w:color w:val="000000"/>
          <w:sz w:val="20"/>
          <w:szCs w:val="20"/>
        </w:rPr>
        <w:t>The Company is building new distribution centers in Maumelle, Arkansas and Navarre, Ohio, for which, as of June 25, 2022, the Company had contractual commitments of approximately $76 million and $34 million, respectively.</w:t>
      </w:r>
    </w:p>
    <w:p w:rsidR="00000000" w:rsidRDefault="00613AEB">
      <w:pPr>
        <w:jc w:val="center"/>
        <w:divId w:val="519199038"/>
        <w:rPr>
          <w:rFonts w:eastAsia="Times New Roman"/>
        </w:rPr>
      </w:pPr>
      <w:r>
        <w:rPr>
          <w:rFonts w:eastAsia="Times New Roman"/>
          <w:color w:val="000000"/>
          <w:sz w:val="20"/>
          <w:szCs w:val="20"/>
        </w:rPr>
        <w:t>Page 14</w:t>
      </w:r>
    </w:p>
    <w:p w:rsidR="00000000" w:rsidRDefault="00613AEB">
      <w:pPr>
        <w:rPr>
          <w:rFonts w:eastAsia="Times New Roman"/>
        </w:rPr>
      </w:pPr>
      <w:r>
        <w:rPr>
          <w:rFonts w:eastAsia="Times New Roman"/>
        </w:rPr>
        <w:pict>
          <v:rect id="_x0000_i1039" style="width:0;height:1.5pt" o:hralign="center" o:hrstd="t" o:hr="t" fillcolor="#a0a0a0" stroked="f"/>
        </w:pict>
      </w:r>
    </w:p>
    <w:p w:rsidR="00000000" w:rsidRDefault="00613AEB">
      <w:pPr>
        <w:divId w:val="520361931"/>
        <w:rPr>
          <w:rFonts w:eastAsia="Times New Roman"/>
        </w:rPr>
      </w:pPr>
      <w:hyperlink w:anchor="i7b244a6903fc440faaf2365d228fe4ba_7" w:history="1">
        <w:r>
          <w:rPr>
            <w:rStyle w:val="a3"/>
            <w:rFonts w:eastAsia="Times New Roman"/>
            <w:sz w:val="16"/>
            <w:szCs w:val="16"/>
          </w:rPr>
          <w:t>Index</w:t>
        </w:r>
      </w:hyperlink>
    </w:p>
    <w:p w:rsidR="00000000" w:rsidRDefault="00613AEB">
      <w:pPr>
        <w:jc w:val="both"/>
        <w:rPr>
          <w:rFonts w:eastAsia="Times New Roman"/>
        </w:rPr>
      </w:pPr>
    </w:p>
    <w:p w:rsidR="00000000" w:rsidRDefault="00613AEB">
      <w:pPr>
        <w:jc w:val="both"/>
        <w:rPr>
          <w:rFonts w:eastAsia="Times New Roman"/>
        </w:rPr>
      </w:pPr>
      <w:r>
        <w:rPr>
          <w:rFonts w:eastAsia="Times New Roman"/>
          <w:color w:val="000000"/>
          <w:sz w:val="20"/>
          <w:szCs w:val="20"/>
          <w:u w:val="single"/>
        </w:rPr>
        <w:t>Letters of Credit</w:t>
      </w:r>
    </w:p>
    <w:p w:rsidR="00000000" w:rsidRDefault="00613AEB">
      <w:pPr>
        <w:jc w:val="both"/>
        <w:rPr>
          <w:rFonts w:eastAsia="Times New Roman"/>
        </w:rPr>
      </w:pPr>
    </w:p>
    <w:p w:rsidR="00000000" w:rsidRDefault="00613AEB">
      <w:pPr>
        <w:jc w:val="both"/>
        <w:rPr>
          <w:rFonts w:eastAsia="Times New Roman"/>
        </w:rPr>
      </w:pPr>
      <w:r>
        <w:rPr>
          <w:rFonts w:eastAsia="Times New Roman"/>
          <w:color w:val="000000"/>
          <w:sz w:val="20"/>
          <w:szCs w:val="20"/>
        </w:rPr>
        <w:t>At June 25, 2022, the Company had $57.6 million in outstanding letters of credit under the Senior Credit Facility.</w:t>
      </w:r>
    </w:p>
    <w:p w:rsidR="00000000" w:rsidRDefault="00613AEB">
      <w:pPr>
        <w:jc w:val="both"/>
        <w:rPr>
          <w:rFonts w:eastAsia="Times New Roman"/>
        </w:rPr>
      </w:pPr>
    </w:p>
    <w:p w:rsidR="00000000" w:rsidRDefault="00613AEB">
      <w:pPr>
        <w:jc w:val="both"/>
        <w:rPr>
          <w:rFonts w:eastAsia="Times New Roman"/>
        </w:rPr>
      </w:pPr>
      <w:r>
        <w:rPr>
          <w:rFonts w:eastAsia="Times New Roman"/>
          <w:color w:val="000000"/>
          <w:sz w:val="20"/>
          <w:szCs w:val="20"/>
          <w:u w:val="single"/>
        </w:rPr>
        <w:t>Litigation</w:t>
      </w:r>
    </w:p>
    <w:p w:rsidR="00000000" w:rsidRDefault="00613AEB">
      <w:pPr>
        <w:jc w:val="both"/>
        <w:rPr>
          <w:rFonts w:eastAsia="Times New Roman"/>
        </w:rPr>
      </w:pPr>
    </w:p>
    <w:p w:rsidR="00000000" w:rsidRDefault="00613AEB">
      <w:pPr>
        <w:jc w:val="both"/>
        <w:rPr>
          <w:rFonts w:eastAsia="Times New Roman"/>
        </w:rPr>
      </w:pPr>
      <w:r>
        <w:rPr>
          <w:rFonts w:eastAsia="Times New Roman"/>
          <w:color w:val="000000"/>
          <w:sz w:val="20"/>
          <w:szCs w:val="20"/>
        </w:rPr>
        <w:t>The Company is involved in var</w:t>
      </w:r>
      <w:r>
        <w:rPr>
          <w:rFonts w:eastAsia="Times New Roman"/>
          <w:color w:val="000000"/>
          <w:sz w:val="20"/>
          <w:szCs w:val="20"/>
        </w:rPr>
        <w:t>ious litigation matters arising in the ordinary course of business. The Company believes that, based upon information currently available, any estimated loss related to such matters has been adequately provided for in accrued liabilities to the extent prob</w:t>
      </w:r>
      <w:r>
        <w:rPr>
          <w:rFonts w:eastAsia="Times New Roman"/>
          <w:color w:val="000000"/>
          <w:sz w:val="20"/>
          <w:szCs w:val="20"/>
        </w:rPr>
        <w:t>able and reasonably estimable. Accordingly, the Company currently expects these matters will be resolved without material adverse effect on its consolidated financial position, results of operations, or cash flows.  However, litigation and other legal matt</w:t>
      </w:r>
      <w:r>
        <w:rPr>
          <w:rFonts w:eastAsia="Times New Roman"/>
          <w:color w:val="000000"/>
          <w:sz w:val="20"/>
          <w:szCs w:val="20"/>
        </w:rPr>
        <w:t>ers involve an element of uncertainty. Future developments in such matters, including adverse decisions or settlements or resulting required changes to the Company's business operations, could affect our consolidated operating results when resolved in futu</w:t>
      </w:r>
      <w:r>
        <w:rPr>
          <w:rFonts w:eastAsia="Times New Roman"/>
          <w:color w:val="000000"/>
          <w:sz w:val="20"/>
          <w:szCs w:val="20"/>
        </w:rPr>
        <w:t xml:space="preserve">re periods or could result in liability or other amounts material to the Company's Condensed Consolidated Financial Statements. </w:t>
      </w:r>
    </w:p>
    <w:p w:rsidR="00000000" w:rsidRDefault="00613AEB">
      <w:pPr>
        <w:jc w:val="both"/>
        <w:rPr>
          <w:rFonts w:eastAsia="Times New Roman"/>
        </w:rPr>
      </w:pPr>
    </w:p>
    <w:p w:rsidR="00000000" w:rsidRDefault="00613AEB">
      <w:pPr>
        <w:jc w:val="both"/>
        <w:rPr>
          <w:rFonts w:eastAsia="Times New Roman"/>
        </w:rPr>
      </w:pPr>
      <w:r>
        <w:rPr>
          <w:rFonts w:eastAsia="Times New Roman"/>
          <w:b/>
          <w:bCs/>
          <w:color w:val="000000"/>
          <w:sz w:val="20"/>
          <w:szCs w:val="20"/>
        </w:rPr>
        <w:t>Note 10 – Segment Reporting:</w:t>
      </w:r>
    </w:p>
    <w:p w:rsidR="00000000" w:rsidRDefault="00613AEB">
      <w:pPr>
        <w:divId w:val="1429153293"/>
        <w:rPr>
          <w:rFonts w:eastAsia="Times New Roman"/>
        </w:rPr>
      </w:pPr>
    </w:p>
    <w:p w:rsidR="00000000" w:rsidRDefault="00613AEB">
      <w:pPr>
        <w:jc w:val="both"/>
        <w:rPr>
          <w:rFonts w:eastAsia="Times New Roman"/>
        </w:rPr>
      </w:pPr>
      <w:r>
        <w:rPr>
          <w:rFonts w:eastAsia="Times New Roman"/>
          <w:color w:val="000000"/>
          <w:sz w:val="20"/>
          <w:szCs w:val="20"/>
        </w:rPr>
        <w:t>The Company has one reportable segment which is the retail sale of products that support the r</w:t>
      </w:r>
      <w:r>
        <w:rPr>
          <w:rFonts w:eastAsia="Times New Roman"/>
          <w:color w:val="000000"/>
          <w:sz w:val="20"/>
          <w:szCs w:val="20"/>
        </w:rPr>
        <w:t>ural lifestyle.  The following table indicates the percentage of net sales represented by each major product category during the fiscal three and six months ended June 25, 2022 and June 26, 2021:</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3164"/>
        <w:gridCol w:w="39"/>
        <w:gridCol w:w="38"/>
        <w:gridCol w:w="1014"/>
        <w:gridCol w:w="188"/>
        <w:gridCol w:w="37"/>
        <w:gridCol w:w="36"/>
        <w:gridCol w:w="36"/>
        <w:gridCol w:w="37"/>
        <w:gridCol w:w="951"/>
        <w:gridCol w:w="187"/>
        <w:gridCol w:w="36"/>
        <w:gridCol w:w="36"/>
        <w:gridCol w:w="36"/>
        <w:gridCol w:w="38"/>
        <w:gridCol w:w="916"/>
        <w:gridCol w:w="188"/>
        <w:gridCol w:w="37"/>
        <w:gridCol w:w="37"/>
        <w:gridCol w:w="36"/>
        <w:gridCol w:w="37"/>
        <w:gridCol w:w="955"/>
        <w:gridCol w:w="187"/>
      </w:tblGrid>
      <w:tr w:rsidR="00000000">
        <w:trPr>
          <w:jc w:val="center"/>
        </w:trPr>
        <w:tc>
          <w:tcPr>
            <w:tcW w:w="50" w:type="pct"/>
            <w:vAlign w:val="center"/>
            <w:hideMark/>
          </w:tcPr>
          <w:p w:rsidR="00000000" w:rsidRDefault="00613AEB">
            <w:pPr>
              <w:jc w:val="both"/>
              <w:rPr>
                <w:rFonts w:eastAsia="Times New Roman"/>
              </w:rPr>
            </w:pPr>
          </w:p>
        </w:tc>
        <w:tc>
          <w:tcPr>
            <w:tcW w:w="1962"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0" w:type="pct"/>
            <w:vAlign w:val="center"/>
            <w:hideMark/>
          </w:tcPr>
          <w:p w:rsidR="00000000" w:rsidRDefault="00613AEB">
            <w:pPr>
              <w:spacing w:after="100"/>
              <w:rPr>
                <w:rFonts w:eastAsia="Times New Roman"/>
                <w:sz w:val="20"/>
                <w:szCs w:val="20"/>
              </w:rPr>
            </w:pPr>
          </w:p>
        </w:tc>
        <w:tc>
          <w:tcPr>
            <w:tcW w:w="668"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26"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0" w:type="pct"/>
            <w:vAlign w:val="center"/>
            <w:hideMark/>
          </w:tcPr>
          <w:p w:rsidR="00000000" w:rsidRDefault="00613AEB">
            <w:pPr>
              <w:spacing w:after="100"/>
              <w:rPr>
                <w:rFonts w:eastAsia="Times New Roman"/>
                <w:sz w:val="20"/>
                <w:szCs w:val="20"/>
              </w:rPr>
            </w:pPr>
          </w:p>
        </w:tc>
        <w:tc>
          <w:tcPr>
            <w:tcW w:w="668"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26"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0" w:type="pct"/>
            <w:vAlign w:val="center"/>
            <w:hideMark/>
          </w:tcPr>
          <w:p w:rsidR="00000000" w:rsidRDefault="00613AEB">
            <w:pPr>
              <w:spacing w:after="100"/>
              <w:rPr>
                <w:rFonts w:eastAsia="Times New Roman"/>
                <w:sz w:val="20"/>
                <w:szCs w:val="20"/>
              </w:rPr>
            </w:pPr>
          </w:p>
        </w:tc>
        <w:tc>
          <w:tcPr>
            <w:tcW w:w="646"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48"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0" w:type="pct"/>
            <w:vAlign w:val="center"/>
            <w:hideMark/>
          </w:tcPr>
          <w:p w:rsidR="00000000" w:rsidRDefault="00613AEB">
            <w:pPr>
              <w:spacing w:after="100"/>
              <w:rPr>
                <w:rFonts w:eastAsia="Times New Roman"/>
                <w:sz w:val="20"/>
                <w:szCs w:val="20"/>
              </w:rPr>
            </w:pPr>
          </w:p>
        </w:tc>
        <w:tc>
          <w:tcPr>
            <w:tcW w:w="647"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 </w:t>
            </w:r>
          </w:p>
        </w:tc>
        <w:tc>
          <w:tcPr>
            <w:tcW w:w="0" w:type="auto"/>
            <w:gridSpan w:val="9"/>
            <w:tcMar>
              <w:top w:w="30" w:type="dxa"/>
              <w:left w:w="20" w:type="dxa"/>
              <w:bottom w:w="30" w:type="dxa"/>
              <w:right w:w="20" w:type="dxa"/>
            </w:tcMar>
            <w:vAlign w:val="bottom"/>
            <w:hideMark/>
          </w:tcPr>
          <w:p w:rsidR="00000000" w:rsidRDefault="00613AEB">
            <w:pPr>
              <w:spacing w:after="100"/>
              <w:jc w:val="center"/>
              <w:rPr>
                <w:rFonts w:eastAsia="Times New Roman"/>
              </w:rPr>
            </w:pPr>
            <w:r>
              <w:rPr>
                <w:rFonts w:eastAsia="Times New Roman"/>
                <w:b/>
                <w:bCs/>
                <w:color w:val="000000"/>
                <w:sz w:val="20"/>
                <w:szCs w:val="20"/>
              </w:rPr>
              <w:t>Fiscal Three Months Ended</w:t>
            </w:r>
          </w:p>
        </w:tc>
        <w:tc>
          <w:tcPr>
            <w:tcW w:w="0" w:type="auto"/>
            <w:gridSpan w:val="3"/>
            <w:tcMar>
              <w:top w:w="0" w:type="dxa"/>
              <w:left w:w="20" w:type="dxa"/>
              <w:bottom w:w="0" w:type="dxa"/>
              <w:right w:w="20" w:type="dxa"/>
            </w:tcMar>
            <w:vAlign w:val="center"/>
            <w:hideMark/>
          </w:tcPr>
          <w:p w:rsidR="00000000" w:rsidRDefault="00613AEB">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613AEB">
            <w:pPr>
              <w:spacing w:after="100"/>
              <w:jc w:val="center"/>
              <w:rPr>
                <w:rFonts w:eastAsia="Times New Roman"/>
              </w:rPr>
            </w:pPr>
            <w:r>
              <w:rPr>
                <w:rFonts w:eastAsia="Times New Roman"/>
                <w:b/>
                <w:bCs/>
                <w:color w:val="000000"/>
                <w:sz w:val="20"/>
                <w:szCs w:val="20"/>
              </w:rPr>
              <w:t>Fiscal Six Months Ended</w:t>
            </w: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613AEB">
            <w:pPr>
              <w:spacing w:after="100"/>
              <w:rPr>
                <w:rFonts w:eastAsia="Times New Roman"/>
              </w:rPr>
            </w:pPr>
            <w:r>
              <w:rPr>
                <w:rFonts w:eastAsia="Times New Roman"/>
                <w:b/>
                <w:bCs/>
                <w:color w:val="000000"/>
                <w:sz w:val="20"/>
                <w:szCs w:val="20"/>
              </w:rPr>
              <w:t>Product Category:</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13AEB">
            <w:pPr>
              <w:spacing w:after="100"/>
              <w:jc w:val="center"/>
              <w:rPr>
                <w:rFonts w:eastAsia="Times New Roman"/>
              </w:rPr>
            </w:pPr>
            <w:r>
              <w:rPr>
                <w:rFonts w:eastAsia="Times New Roman"/>
                <w:b/>
                <w:bCs/>
                <w:color w:val="000000"/>
                <w:sz w:val="20"/>
                <w:szCs w:val="20"/>
              </w:rPr>
              <w:t>June 25,</w:t>
            </w:r>
            <w:r>
              <w:rPr>
                <w:rFonts w:eastAsia="Times New Roman"/>
                <w:b/>
                <w:bCs/>
                <w:color w:val="000000"/>
                <w:sz w:val="20"/>
                <w:szCs w:val="20"/>
              </w:rPr>
              <w:b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13AE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13AEB">
            <w:pPr>
              <w:spacing w:after="100"/>
              <w:jc w:val="center"/>
              <w:rPr>
                <w:rFonts w:eastAsia="Times New Roman"/>
              </w:rPr>
            </w:pPr>
            <w:r>
              <w:rPr>
                <w:rFonts w:eastAsia="Times New Roman"/>
                <w:b/>
                <w:bCs/>
                <w:color w:val="000000"/>
                <w:sz w:val="20"/>
                <w:szCs w:val="20"/>
              </w:rPr>
              <w:t>June 26,</w:t>
            </w:r>
            <w:r>
              <w:rPr>
                <w:rFonts w:eastAsia="Times New Roman"/>
                <w:b/>
                <w:bCs/>
                <w:color w:val="000000"/>
                <w:sz w:val="20"/>
                <w:szCs w:val="20"/>
              </w:rPr>
              <w:br/>
              <w:t>2021</w:t>
            </w:r>
          </w:p>
        </w:tc>
        <w:tc>
          <w:tcPr>
            <w:tcW w:w="0" w:type="auto"/>
            <w:gridSpan w:val="3"/>
            <w:tcMar>
              <w:top w:w="0" w:type="dxa"/>
              <w:left w:w="20" w:type="dxa"/>
              <w:bottom w:w="0" w:type="dxa"/>
              <w:right w:w="20" w:type="dxa"/>
            </w:tcMar>
            <w:vAlign w:val="center"/>
            <w:hideMark/>
          </w:tcPr>
          <w:p w:rsidR="00000000" w:rsidRDefault="00613AE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13AEB">
            <w:pPr>
              <w:spacing w:after="100"/>
              <w:jc w:val="center"/>
              <w:rPr>
                <w:rFonts w:eastAsia="Times New Roman"/>
              </w:rPr>
            </w:pPr>
            <w:r>
              <w:rPr>
                <w:rFonts w:eastAsia="Times New Roman"/>
                <w:b/>
                <w:bCs/>
                <w:color w:val="000000"/>
                <w:sz w:val="20"/>
                <w:szCs w:val="20"/>
              </w:rPr>
              <w:t>June 25,</w:t>
            </w:r>
            <w:r>
              <w:rPr>
                <w:rFonts w:eastAsia="Times New Roman"/>
                <w:b/>
                <w:bCs/>
                <w:color w:val="000000"/>
                <w:sz w:val="20"/>
                <w:szCs w:val="20"/>
              </w:rPr>
              <w:b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13AE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13AEB">
            <w:pPr>
              <w:spacing w:after="100"/>
              <w:jc w:val="center"/>
              <w:rPr>
                <w:rFonts w:eastAsia="Times New Roman"/>
              </w:rPr>
            </w:pPr>
            <w:r>
              <w:rPr>
                <w:rFonts w:eastAsia="Times New Roman"/>
                <w:b/>
                <w:bCs/>
                <w:color w:val="000000"/>
                <w:sz w:val="20"/>
                <w:szCs w:val="20"/>
              </w:rPr>
              <w:t>June 26,</w:t>
            </w:r>
            <w:r>
              <w:rPr>
                <w:rFonts w:eastAsia="Times New Roman"/>
                <w:b/>
                <w:bCs/>
                <w:color w:val="000000"/>
                <w:sz w:val="20"/>
                <w:szCs w:val="20"/>
              </w:rPr>
              <w:br/>
              <w:t>2021</w:t>
            </w: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Livestock and Pet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45 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50 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r>
              <w:rPr>
                <w:rFonts w:eastAsia="Times New Roman"/>
                <w:color w:val="000000"/>
                <w:sz w:val="20"/>
                <w:szCs w:val="20"/>
              </w:rPr>
              <w:t>%</w:t>
            </w: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Seasonal, Gift and Toy Products</w:t>
            </w:r>
          </w:p>
        </w:tc>
        <w:tc>
          <w:tcPr>
            <w:tcW w:w="0" w:type="auto"/>
            <w:gridSpan w:val="2"/>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25 </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25 </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22 </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22 </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Hardware, Tools and Truck</w:t>
            </w: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18 </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20 </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18 </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21 </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Clothing and Footwear</w:t>
            </w:r>
          </w:p>
        </w:tc>
        <w:tc>
          <w:tcPr>
            <w:tcW w:w="0" w:type="auto"/>
            <w:gridSpan w:val="2"/>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6 </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6 </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Agriculture</w:t>
            </w: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r>
      <w:tr w:rsidR="00000000">
        <w:trPr>
          <w:jc w:val="center"/>
        </w:trPr>
        <w:tc>
          <w:tcPr>
            <w:tcW w:w="0" w:type="auto"/>
            <w:gridSpan w:val="3"/>
            <w:shd w:val="clear" w:color="auto" w:fill="FFFFFF"/>
            <w:tcMar>
              <w:top w:w="30" w:type="dxa"/>
              <w:left w:w="515"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Total</w:t>
            </w: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100 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100 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100 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100 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r>
              <w:rPr>
                <w:rFonts w:eastAsia="Times New Roman"/>
                <w:color w:val="000000"/>
                <w:sz w:val="20"/>
                <w:szCs w:val="20"/>
              </w:rPr>
              <w:t>%</w:t>
            </w:r>
          </w:p>
        </w:tc>
      </w:tr>
    </w:tbl>
    <w:p w:rsidR="00000000" w:rsidRDefault="00613AEB">
      <w:pPr>
        <w:divId w:val="967705793"/>
        <w:rPr>
          <w:rFonts w:eastAsia="Times New Roman"/>
        </w:rPr>
      </w:pPr>
    </w:p>
    <w:p w:rsidR="00000000" w:rsidRDefault="00613AEB">
      <w:pPr>
        <w:jc w:val="center"/>
        <w:divId w:val="1535463692"/>
        <w:rPr>
          <w:rFonts w:eastAsia="Times New Roman"/>
        </w:rPr>
      </w:pPr>
      <w:r>
        <w:rPr>
          <w:rFonts w:eastAsia="Times New Roman"/>
          <w:color w:val="000000"/>
          <w:sz w:val="20"/>
          <w:szCs w:val="20"/>
        </w:rPr>
        <w:t>Page 15</w:t>
      </w:r>
    </w:p>
    <w:p w:rsidR="00000000" w:rsidRDefault="00613AEB">
      <w:pPr>
        <w:rPr>
          <w:rFonts w:eastAsia="Times New Roman"/>
        </w:rPr>
      </w:pPr>
      <w:r>
        <w:rPr>
          <w:rFonts w:eastAsia="Times New Roman"/>
        </w:rPr>
        <w:pict>
          <v:rect id="_x0000_i1040" style="width:0;height:1.5pt" o:hralign="center" o:hrstd="t" o:hr="t" fillcolor="#a0a0a0" stroked="f"/>
        </w:pict>
      </w:r>
    </w:p>
    <w:p w:rsidR="00000000" w:rsidRDefault="00613AEB">
      <w:pPr>
        <w:divId w:val="713769076"/>
        <w:rPr>
          <w:rFonts w:eastAsia="Times New Roman"/>
        </w:rPr>
      </w:pPr>
      <w:hyperlink w:anchor="i7b244a6903fc440faaf2365d228fe4ba_7" w:history="1">
        <w:r>
          <w:rPr>
            <w:rStyle w:val="a3"/>
            <w:rFonts w:eastAsia="Times New Roman"/>
            <w:sz w:val="16"/>
            <w:szCs w:val="16"/>
          </w:rPr>
          <w:t>Index</w:t>
        </w:r>
      </w:hyperlink>
    </w:p>
    <w:p w:rsidR="00000000" w:rsidRDefault="00613AEB">
      <w:pPr>
        <w:divId w:val="691300485"/>
        <w:rPr>
          <w:rFonts w:eastAsia="Times New Roman"/>
        </w:rPr>
      </w:pPr>
      <w:r>
        <w:rPr>
          <w:rFonts w:eastAsia="Times New Roman"/>
          <w:b/>
          <w:bCs/>
          <w:color w:val="000000"/>
          <w:sz w:val="20"/>
          <w:szCs w:val="20"/>
          <w:u w:val="single"/>
        </w:rPr>
        <w:t>Item 2.  Management’s Discussion and Analysis of Financial Condition and Results of Operations</w:t>
      </w:r>
    </w:p>
    <w:p w:rsidR="00000000" w:rsidRDefault="00613AEB">
      <w:pPr>
        <w:divId w:val="1870607697"/>
        <w:rPr>
          <w:rFonts w:eastAsia="Times New Roman"/>
        </w:rPr>
      </w:pPr>
    </w:p>
    <w:p w:rsidR="00000000" w:rsidRDefault="00613AEB">
      <w:pPr>
        <w:jc w:val="both"/>
        <w:rPr>
          <w:rFonts w:eastAsia="Times New Roman"/>
        </w:rPr>
      </w:pPr>
      <w:r>
        <w:rPr>
          <w:rFonts w:eastAsia="Times New Roman"/>
          <w:b/>
          <w:bCs/>
          <w:color w:val="000000"/>
          <w:sz w:val="20"/>
          <w:szCs w:val="20"/>
        </w:rPr>
        <w:t>General</w:t>
      </w:r>
    </w:p>
    <w:p w:rsidR="00000000" w:rsidRDefault="00613AEB">
      <w:pPr>
        <w:divId w:val="2087680971"/>
        <w:rPr>
          <w:rFonts w:eastAsia="Times New Roman"/>
        </w:rPr>
      </w:pPr>
    </w:p>
    <w:p w:rsidR="00000000" w:rsidRDefault="00613AEB">
      <w:pPr>
        <w:jc w:val="both"/>
        <w:rPr>
          <w:rFonts w:eastAsia="Times New Roman"/>
        </w:rPr>
      </w:pPr>
      <w:r>
        <w:rPr>
          <w:rFonts w:eastAsia="Times New Roman"/>
          <w:color w:val="000000"/>
          <w:sz w:val="20"/>
          <w:szCs w:val="20"/>
        </w:rPr>
        <w:t>The following discussion and analysis should be r</w:t>
      </w:r>
      <w:r>
        <w:rPr>
          <w:rFonts w:eastAsia="Times New Roman"/>
          <w:color w:val="000000"/>
          <w:sz w:val="20"/>
          <w:szCs w:val="20"/>
        </w:rPr>
        <w:t xml:space="preserve">ead in conjunction with our </w:t>
      </w:r>
      <w:hyperlink r:id="rId6" w:history="1">
        <w:r>
          <w:rPr>
            <w:rStyle w:val="a3"/>
            <w:rFonts w:eastAsia="Times New Roman"/>
            <w:sz w:val="20"/>
            <w:szCs w:val="20"/>
          </w:rPr>
          <w:t>Annual Report on Form 10-K</w:t>
        </w:r>
      </w:hyperlink>
      <w:r>
        <w:rPr>
          <w:rFonts w:eastAsia="Times New Roman"/>
          <w:color w:val="000000"/>
          <w:sz w:val="20"/>
          <w:szCs w:val="20"/>
        </w:rPr>
        <w:t xml:space="preserve"> for the fiscal year ended December 25, 2021 (the "2021 Form 10-K"). This Quarterly Report on </w:t>
      </w:r>
      <w:r>
        <w:rPr>
          <w:rFonts w:eastAsia="Times New Roman"/>
          <w:color w:val="000000"/>
          <w:sz w:val="20"/>
          <w:szCs w:val="20"/>
        </w:rPr>
        <w:t>Form 10-Q also contains forward-looking statements and information. The forward-looking statements included herein are made pursuant to the safe harbor provisions of the Private Securities Litigation Reform Act of 1995 (the “Act”).  All statements, other t</w:t>
      </w:r>
      <w:r>
        <w:rPr>
          <w:rFonts w:eastAsia="Times New Roman"/>
          <w:color w:val="000000"/>
          <w:sz w:val="20"/>
          <w:szCs w:val="20"/>
        </w:rPr>
        <w:t xml:space="preserve">han statements of historical facts, which address activities, events, or developments that we expect or anticipate will or may occur in the future, including sales and earnings growth, estimated results of operations in future periods, the declaration and </w:t>
      </w:r>
      <w:r>
        <w:rPr>
          <w:rFonts w:eastAsia="Times New Roman"/>
          <w:color w:val="000000"/>
          <w:sz w:val="20"/>
          <w:szCs w:val="20"/>
        </w:rPr>
        <w:t>payment of dividends, the timing and amount of share repurchases, future capital expenditures (including their amount and nature), business strategy, strategic initiatives, expansion and growth of our business operations, and other such matters are forward</w:t>
      </w:r>
      <w:r>
        <w:rPr>
          <w:rFonts w:eastAsia="Times New Roman"/>
          <w:color w:val="000000"/>
          <w:sz w:val="20"/>
          <w:szCs w:val="20"/>
        </w:rPr>
        <w:t>-looking statements.  Forward-looking statements are usually identified by or are associated with such words as "intend," "expect," "believe," "anticipate," "optimistic," "forecasted" and similar terminology. These forward-looking statements may be affecte</w:t>
      </w:r>
      <w:r>
        <w:rPr>
          <w:rFonts w:eastAsia="Times New Roman"/>
          <w:color w:val="000000"/>
          <w:sz w:val="20"/>
          <w:szCs w:val="20"/>
        </w:rPr>
        <w:t>d by certain risks and uncertainties, any one, or a combination of which, could materially affect the results of our operations. To take advantage of the safe harbor provided by the Act, we are identifying certain factors that could cause actual results to</w:t>
      </w:r>
      <w:r>
        <w:rPr>
          <w:rFonts w:eastAsia="Times New Roman"/>
          <w:color w:val="000000"/>
          <w:sz w:val="20"/>
          <w:szCs w:val="20"/>
        </w:rPr>
        <w:t xml:space="preserve"> differ materially from those expressed in any forward-looking statements.</w:t>
      </w:r>
    </w:p>
    <w:p w:rsidR="00000000" w:rsidRDefault="00613AEB">
      <w:pPr>
        <w:jc w:val="both"/>
        <w:rPr>
          <w:rFonts w:eastAsia="Times New Roman"/>
        </w:rPr>
      </w:pPr>
    </w:p>
    <w:p w:rsidR="00000000" w:rsidRDefault="00613AEB">
      <w:pPr>
        <w:jc w:val="both"/>
        <w:rPr>
          <w:rFonts w:eastAsia="Times New Roman"/>
        </w:rPr>
      </w:pPr>
      <w:r>
        <w:rPr>
          <w:rFonts w:eastAsia="Times New Roman"/>
          <w:color w:val="000000"/>
          <w:sz w:val="20"/>
          <w:szCs w:val="20"/>
        </w:rPr>
        <w:t>As with any business, all phases of our operations are subject to influences outside our control. These factors include, without limitation, the timing of normalized macroeconomic</w:t>
      </w:r>
      <w:r>
        <w:rPr>
          <w:rFonts w:eastAsia="Times New Roman"/>
          <w:color w:val="000000"/>
          <w:sz w:val="20"/>
          <w:szCs w:val="20"/>
        </w:rPr>
        <w:t xml:space="preserve"> conditions from the impacts of the COVID-19 pandemic; the Company's ability to predict the timing of normalized macroeconomic conditions, national, regional and local economic conditions affecting consumer spending, including the effects of COVID-19; infl</w:t>
      </w:r>
      <w:r>
        <w:rPr>
          <w:rFonts w:eastAsia="Times New Roman"/>
          <w:color w:val="000000"/>
          <w:sz w:val="20"/>
          <w:szCs w:val="20"/>
        </w:rPr>
        <w:t>ation and gas prices; effects resulting from wars or other military operations, including the heightened risk of cyberattacks as a result of the hostilities between Russia and Ukraine; the availability of information technology hardware; the effects that “</w:t>
      </w:r>
      <w:r>
        <w:rPr>
          <w:rFonts w:eastAsia="Times New Roman"/>
          <w:color w:val="000000"/>
          <w:sz w:val="20"/>
          <w:szCs w:val="20"/>
        </w:rPr>
        <w:t>shelter in place” or other similar mandated or suggested social distancing protocols could have on our business; the effectiveness of the Company’s responses to COVID-19 and customer response with respect to those actions; the effects of COVID-19 on our su</w:t>
      </w:r>
      <w:r>
        <w:rPr>
          <w:rFonts w:eastAsia="Times New Roman"/>
          <w:color w:val="000000"/>
          <w:sz w:val="20"/>
          <w:szCs w:val="20"/>
        </w:rPr>
        <w:t>ppliers, business partners and supply chain; the timing and acceptance of new products; the timing and mix of goods sold; weather conditions; the seasonal nature of our business; transportation costs, including but not limited to, carrier rates, fuel costs</w:t>
      </w:r>
      <w:r>
        <w:rPr>
          <w:rFonts w:eastAsia="Times New Roman"/>
          <w:color w:val="000000"/>
          <w:sz w:val="20"/>
          <w:szCs w:val="20"/>
        </w:rPr>
        <w:t>, and other pressures across our supply chain; purchase price volatility (including inflationary and deflationary pressures); the ability to increase sales at existing stores or on our e-commerce platform; the ability to manage growth and identify suitable</w:t>
      </w:r>
      <w:r>
        <w:rPr>
          <w:rFonts w:eastAsia="Times New Roman"/>
          <w:color w:val="000000"/>
          <w:sz w:val="20"/>
          <w:szCs w:val="20"/>
        </w:rPr>
        <w:t xml:space="preserve"> locations for our stores; the possibility that the acquisition of Orscheln Farm and Home (the “Transaction”) will not close or that the closing may be delayed; the possibility that we may be unable to obtain regulatory clearance for the Transaction; the p</w:t>
      </w:r>
      <w:r>
        <w:rPr>
          <w:rFonts w:eastAsia="Times New Roman"/>
          <w:color w:val="000000"/>
          <w:sz w:val="20"/>
          <w:szCs w:val="20"/>
        </w:rPr>
        <w:t>otential for litigation or governmental investigations relating to the Transaction; the occurrence of events, changes or circumstances that could give rise to the termination of the definitive agreement for the Transaction; the risk that we may be unable t</w:t>
      </w:r>
      <w:r>
        <w:rPr>
          <w:rFonts w:eastAsia="Times New Roman"/>
          <w:color w:val="000000"/>
          <w:sz w:val="20"/>
          <w:szCs w:val="20"/>
        </w:rPr>
        <w:t>o successfully integrate any acquired business or that we may not realize the benefits expected from an acquisition, including the Transaction; potential adverse reactions or changes to business or employee relationships, including those resulting from the</w:t>
      </w:r>
      <w:r>
        <w:rPr>
          <w:rFonts w:eastAsia="Times New Roman"/>
          <w:color w:val="000000"/>
          <w:sz w:val="20"/>
          <w:szCs w:val="20"/>
        </w:rPr>
        <w:t xml:space="preserve"> announcement of an acquisition, including the Transaction; failure of an acquisition to produce anticipated results; the ability to successfully manage expenses, including but not limited to, increases in wages, the ability to successfully execute key gro</w:t>
      </w:r>
      <w:r>
        <w:rPr>
          <w:rFonts w:eastAsia="Times New Roman"/>
          <w:color w:val="000000"/>
          <w:sz w:val="20"/>
          <w:szCs w:val="20"/>
        </w:rPr>
        <w:t>ss margin enhancing initiatives; the availability of favorable credit sources; capital market conditions in general; the timing and amount of share repurchases; the ability to open new stores in the manner, timing and number currently contemplated; the imp</w:t>
      </w:r>
      <w:r>
        <w:rPr>
          <w:rFonts w:eastAsia="Times New Roman"/>
          <w:color w:val="000000"/>
          <w:sz w:val="20"/>
          <w:szCs w:val="20"/>
        </w:rPr>
        <w:t xml:space="preserve">act of new stores on the business, competition, including competition from online retailers, marketing, merchandising and strategic initiatives; effective merchandising initiatives and marketing emphasis; the ability to retain vendors; reliance on foreign </w:t>
      </w:r>
      <w:r>
        <w:rPr>
          <w:rFonts w:eastAsia="Times New Roman"/>
          <w:color w:val="000000"/>
          <w:sz w:val="20"/>
          <w:szCs w:val="20"/>
        </w:rPr>
        <w:t>suppliers; the ability to attract, train and retain qualified employees; our ability to meet our sustainability, stewardship, carbon emission and Diversity, Equity &amp; Inclusion related Environmental, Social and Governance projections, goals and commitments;</w:t>
      </w:r>
      <w:r>
        <w:rPr>
          <w:rFonts w:eastAsia="Times New Roman"/>
          <w:color w:val="000000"/>
          <w:sz w:val="20"/>
          <w:szCs w:val="20"/>
        </w:rPr>
        <w:t xml:space="preserve"> product liability and other claims; changes in federal, state or local regulations; potential judgments, fines, legal fees and other costs; breach of information systems or theft of employee or customer data; ongoing and potential future legal or regulato</w:t>
      </w:r>
      <w:r>
        <w:rPr>
          <w:rFonts w:eastAsia="Times New Roman"/>
          <w:color w:val="000000"/>
          <w:sz w:val="20"/>
          <w:szCs w:val="20"/>
        </w:rPr>
        <w:t>ry proceedings; management of our information systems, failure to develop and implement new technologies; the failure of customer-facing technology systems; business disruption including from the implementation of supply chain technologies; effective tax r</w:t>
      </w:r>
      <w:r>
        <w:rPr>
          <w:rFonts w:eastAsia="Times New Roman"/>
          <w:color w:val="000000"/>
          <w:sz w:val="20"/>
          <w:szCs w:val="20"/>
        </w:rPr>
        <w:t>ate changes and results of examination by taxing authorities; the imposition of tariffs on imported products or the disallowance of tax deductions on imported products; the ability to maintain an effective system of internal control over financial reportin</w:t>
      </w:r>
      <w:r>
        <w:rPr>
          <w:rFonts w:eastAsia="Times New Roman"/>
          <w:color w:val="000000"/>
          <w:sz w:val="20"/>
          <w:szCs w:val="20"/>
        </w:rPr>
        <w:t>g; and changes in accounting standards, assumptions and estimates. Forward-looking statements made by or on behalf of the Company are based on our knowledge of our business and the environment in which we operate, but because of the factors listed above or</w:t>
      </w:r>
      <w:r>
        <w:rPr>
          <w:rFonts w:eastAsia="Times New Roman"/>
          <w:color w:val="000000"/>
          <w:sz w:val="20"/>
          <w:szCs w:val="20"/>
        </w:rPr>
        <w:t xml:space="preserve"> other factors, actual results could differ materially from those reflected by any forward-looking statements. Consequently, all of the forward-looking statements made are qualified by these cautionary statements and those contained in the Company’s </w:t>
      </w:r>
      <w:hyperlink r:id="rId7" w:history="1">
        <w:r>
          <w:rPr>
            <w:rStyle w:val="a3"/>
            <w:rFonts w:eastAsia="Times New Roman"/>
            <w:sz w:val="20"/>
            <w:szCs w:val="20"/>
          </w:rPr>
          <w:t>Annual Report on Form 10-K</w:t>
        </w:r>
      </w:hyperlink>
      <w:r>
        <w:rPr>
          <w:rFonts w:eastAsia="Times New Roman"/>
          <w:color w:val="000000"/>
          <w:sz w:val="20"/>
          <w:szCs w:val="20"/>
        </w:rPr>
        <w:t xml:space="preserve"> and other filings with the Securities and Exchange Commission (the "SEC"). There can be no assurance that the actual results or</w:t>
      </w:r>
      <w:r>
        <w:rPr>
          <w:rFonts w:eastAsia="Times New Roman"/>
          <w:color w:val="000000"/>
          <w:sz w:val="20"/>
          <w:szCs w:val="20"/>
        </w:rPr>
        <w:t xml:space="preserve"> developments anticipated by the Company will be realized or, even if substantially realized, that they will have the expected consequences to or effects on the Company or our business and operations. Readers are cautioned not to place undue reliance on th</w:t>
      </w:r>
      <w:r>
        <w:rPr>
          <w:rFonts w:eastAsia="Times New Roman"/>
          <w:color w:val="000000"/>
          <w:sz w:val="20"/>
          <w:szCs w:val="20"/>
        </w:rPr>
        <w:t>ese forward-looking statements, which speak only as of the date hereof. We do not undertake any obligation to release publicly any revisions to these forward-looking statements to reflect events or circumstances after the date hereof or to reflect the occu</w:t>
      </w:r>
      <w:r>
        <w:rPr>
          <w:rFonts w:eastAsia="Times New Roman"/>
          <w:color w:val="000000"/>
          <w:sz w:val="20"/>
          <w:szCs w:val="20"/>
        </w:rPr>
        <w:t>rrence of unanticipated events, except as required by law.</w:t>
      </w:r>
    </w:p>
    <w:p w:rsidR="00000000" w:rsidRDefault="00613AEB">
      <w:pPr>
        <w:jc w:val="both"/>
        <w:rPr>
          <w:rFonts w:eastAsia="Times New Roman"/>
        </w:rPr>
      </w:pPr>
    </w:p>
    <w:p w:rsidR="00000000" w:rsidRDefault="00613AEB">
      <w:pPr>
        <w:jc w:val="center"/>
        <w:divId w:val="1156646139"/>
        <w:rPr>
          <w:rFonts w:eastAsia="Times New Roman"/>
        </w:rPr>
      </w:pPr>
      <w:r>
        <w:rPr>
          <w:rFonts w:eastAsia="Times New Roman"/>
          <w:color w:val="000000"/>
          <w:sz w:val="20"/>
          <w:szCs w:val="20"/>
        </w:rPr>
        <w:t>Page 16</w:t>
      </w:r>
    </w:p>
    <w:p w:rsidR="00000000" w:rsidRDefault="00613AEB">
      <w:pPr>
        <w:rPr>
          <w:rFonts w:eastAsia="Times New Roman"/>
        </w:rPr>
      </w:pPr>
      <w:r>
        <w:rPr>
          <w:rFonts w:eastAsia="Times New Roman"/>
        </w:rPr>
        <w:pict>
          <v:rect id="_x0000_i1041" style="width:0;height:1.5pt" o:hralign="center" o:hrstd="t" o:hr="t" fillcolor="#a0a0a0" stroked="f"/>
        </w:pict>
      </w:r>
    </w:p>
    <w:p w:rsidR="00000000" w:rsidRDefault="00613AEB">
      <w:pPr>
        <w:divId w:val="1918244198"/>
        <w:rPr>
          <w:rFonts w:eastAsia="Times New Roman"/>
        </w:rPr>
      </w:pPr>
      <w:hyperlink w:anchor="i7b244a6903fc440faaf2365d228fe4ba_7" w:history="1">
        <w:r>
          <w:rPr>
            <w:rStyle w:val="a3"/>
            <w:rFonts w:eastAsia="Times New Roman"/>
            <w:sz w:val="16"/>
            <w:szCs w:val="16"/>
          </w:rPr>
          <w:t>Index</w:t>
        </w:r>
      </w:hyperlink>
    </w:p>
    <w:p w:rsidR="00000000" w:rsidRDefault="00613AEB">
      <w:pPr>
        <w:jc w:val="both"/>
        <w:rPr>
          <w:rFonts w:eastAsia="Times New Roman"/>
        </w:rPr>
      </w:pPr>
      <w:r>
        <w:rPr>
          <w:rFonts w:eastAsia="Times New Roman"/>
          <w:b/>
          <w:bCs/>
          <w:color w:val="000000"/>
          <w:sz w:val="20"/>
          <w:szCs w:val="20"/>
        </w:rPr>
        <w:t>Seasonality and Weather</w:t>
      </w:r>
    </w:p>
    <w:p w:rsidR="00000000" w:rsidRDefault="00613AEB">
      <w:pPr>
        <w:divId w:val="1329092031"/>
        <w:rPr>
          <w:rFonts w:eastAsia="Times New Roman"/>
        </w:rPr>
      </w:pPr>
    </w:p>
    <w:p w:rsidR="00000000" w:rsidRDefault="00613AEB">
      <w:pPr>
        <w:jc w:val="both"/>
        <w:rPr>
          <w:rFonts w:eastAsia="Times New Roman"/>
        </w:rPr>
      </w:pPr>
      <w:r>
        <w:rPr>
          <w:rFonts w:eastAsia="Times New Roman"/>
          <w:color w:val="000000"/>
          <w:sz w:val="20"/>
          <w:szCs w:val="20"/>
        </w:rPr>
        <w:t>Our business is seasonal.  </w:t>
      </w:r>
      <w:r>
        <w:rPr>
          <w:rFonts w:eastAsia="Times New Roman"/>
          <w:color w:val="000000"/>
          <w:sz w:val="20"/>
          <w:szCs w:val="20"/>
        </w:rPr>
        <w:t>Historically, our sales and profits are the highest in the second and fourth fiscal quarters due to the sale of seasonal products. We usually experience our highest inventory and accounts payable balances during our first fiscal quarter for purchases of se</w:t>
      </w:r>
      <w:r>
        <w:rPr>
          <w:rFonts w:eastAsia="Times New Roman"/>
          <w:color w:val="000000"/>
          <w:sz w:val="20"/>
          <w:szCs w:val="20"/>
        </w:rPr>
        <w:t>asonal products to support the higher sales volume of the spring selling season, and again during our third fiscal quarter to support the higher sales volume of the cold weather selling season. We believe that our business can be more accurately assessed b</w:t>
      </w:r>
      <w:r>
        <w:rPr>
          <w:rFonts w:eastAsia="Times New Roman"/>
          <w:color w:val="000000"/>
          <w:sz w:val="20"/>
          <w:szCs w:val="20"/>
        </w:rPr>
        <w:t>y focusing on the performance of the halves, not the quarters, due to the fact that different weather patterns from year-to-year can shift the timing of sales and profits between quarters, particularly between the first and second fiscal quarters and the t</w:t>
      </w:r>
      <w:r>
        <w:rPr>
          <w:rFonts w:eastAsia="Times New Roman"/>
          <w:color w:val="000000"/>
          <w:sz w:val="20"/>
          <w:szCs w:val="20"/>
        </w:rPr>
        <w:t xml:space="preserve">hird and fourth fiscal quarters. </w:t>
      </w:r>
    </w:p>
    <w:p w:rsidR="00000000" w:rsidRDefault="00613AEB">
      <w:pPr>
        <w:jc w:val="both"/>
        <w:rPr>
          <w:rFonts w:eastAsia="Times New Roman"/>
        </w:rPr>
      </w:pPr>
    </w:p>
    <w:p w:rsidR="00000000" w:rsidRDefault="00613AEB">
      <w:pPr>
        <w:jc w:val="both"/>
        <w:rPr>
          <w:rFonts w:eastAsia="Times New Roman"/>
        </w:rPr>
      </w:pPr>
      <w:r>
        <w:rPr>
          <w:rFonts w:eastAsia="Times New Roman"/>
          <w:color w:val="000000"/>
          <w:sz w:val="20"/>
          <w:szCs w:val="20"/>
        </w:rPr>
        <w:t>Historically, weather conditions, including unseasonably warm weather in the fall and winter months and unseasonably cool weather in the spring and summer months, have unfavorably affected the timing and volume of our sa</w:t>
      </w:r>
      <w:r>
        <w:rPr>
          <w:rFonts w:eastAsia="Times New Roman"/>
          <w:color w:val="000000"/>
          <w:sz w:val="20"/>
          <w:szCs w:val="20"/>
        </w:rPr>
        <w:t>les and results of operations. In addition, extreme weather conditions, including snow and ice storms, flood and wind damage, hurricanes, tornadoes, extreme rain, and droughts have impacted operating results both negatively and positively, depending on the</w:t>
      </w:r>
      <w:r>
        <w:rPr>
          <w:rFonts w:eastAsia="Times New Roman"/>
          <w:color w:val="000000"/>
          <w:sz w:val="20"/>
          <w:szCs w:val="20"/>
        </w:rPr>
        <w:t xml:space="preserve"> severity and length of these conditions. Our strategy is to manage product flow and adjust merchandise assortments and depth of inventory to capitalize on seasonal demand trends.</w:t>
      </w:r>
    </w:p>
    <w:p w:rsidR="00000000" w:rsidRDefault="00613AEB">
      <w:pPr>
        <w:jc w:val="both"/>
        <w:rPr>
          <w:rFonts w:eastAsia="Times New Roman"/>
        </w:rPr>
      </w:pPr>
    </w:p>
    <w:p w:rsidR="00000000" w:rsidRDefault="00613AEB">
      <w:pPr>
        <w:jc w:val="both"/>
        <w:rPr>
          <w:rFonts w:eastAsia="Times New Roman"/>
        </w:rPr>
      </w:pPr>
      <w:r>
        <w:rPr>
          <w:rFonts w:eastAsia="Times New Roman"/>
          <w:b/>
          <w:bCs/>
          <w:color w:val="000000"/>
          <w:sz w:val="20"/>
          <w:szCs w:val="20"/>
        </w:rPr>
        <w:t>Performance Metrics</w:t>
      </w:r>
    </w:p>
    <w:p w:rsidR="00000000" w:rsidRDefault="00613AEB">
      <w:pPr>
        <w:jc w:val="both"/>
        <w:rPr>
          <w:rFonts w:eastAsia="Times New Roman"/>
        </w:rPr>
      </w:pPr>
    </w:p>
    <w:p w:rsidR="00000000" w:rsidRDefault="00613AEB">
      <w:pPr>
        <w:jc w:val="both"/>
        <w:rPr>
          <w:rFonts w:eastAsia="Times New Roman"/>
        </w:rPr>
      </w:pPr>
      <w:r>
        <w:rPr>
          <w:rFonts w:eastAsia="Times New Roman"/>
          <w:color w:val="000000"/>
          <w:sz w:val="20"/>
          <w:szCs w:val="20"/>
          <w:u w:val="single"/>
        </w:rPr>
        <w:t>Comparable Store Metrics</w:t>
      </w:r>
    </w:p>
    <w:p w:rsidR="00000000" w:rsidRDefault="00613AEB">
      <w:pPr>
        <w:jc w:val="both"/>
        <w:rPr>
          <w:rFonts w:eastAsia="Times New Roman"/>
        </w:rPr>
      </w:pPr>
    </w:p>
    <w:p w:rsidR="00000000" w:rsidRDefault="00613AEB">
      <w:pPr>
        <w:jc w:val="both"/>
        <w:rPr>
          <w:rFonts w:eastAsia="Times New Roman"/>
        </w:rPr>
      </w:pPr>
      <w:r>
        <w:rPr>
          <w:rFonts w:eastAsia="Times New Roman"/>
          <w:color w:val="000000"/>
          <w:sz w:val="20"/>
          <w:szCs w:val="20"/>
        </w:rPr>
        <w:t xml:space="preserve">Comparable store metrics </w:t>
      </w:r>
      <w:r>
        <w:rPr>
          <w:rFonts w:eastAsia="Times New Roman"/>
          <w:color w:val="000000"/>
          <w:sz w:val="20"/>
          <w:szCs w:val="20"/>
        </w:rPr>
        <w:t>are a key performance indicator used in the retail industry and by the Company to measure the performance of the underlying business. Our comparable store metrics are calculated on an annual basis using sales generated from all stores open at least one yea</w:t>
      </w:r>
      <w:r>
        <w:rPr>
          <w:rFonts w:eastAsia="Times New Roman"/>
          <w:color w:val="000000"/>
          <w:sz w:val="20"/>
          <w:szCs w:val="20"/>
        </w:rPr>
        <w:t>r and all online sales and exclude certain adjustments to net sales. Stores closed during either of the years being compared are removed from our comparable store metrics calculations. Stores relocated during either of the years being compared are not remo</w:t>
      </w:r>
      <w:r>
        <w:rPr>
          <w:rFonts w:eastAsia="Times New Roman"/>
          <w:color w:val="000000"/>
          <w:sz w:val="20"/>
          <w:szCs w:val="20"/>
        </w:rPr>
        <w:t>ved from our comparable store metrics calculations. If the effect of relocated stores on our comparable store metrics calculations became material, we would remove relocated stores from the calculations.</w:t>
      </w:r>
    </w:p>
    <w:p w:rsidR="00000000" w:rsidRDefault="00613AEB">
      <w:pPr>
        <w:jc w:val="both"/>
        <w:rPr>
          <w:rFonts w:eastAsia="Times New Roman"/>
        </w:rPr>
      </w:pPr>
    </w:p>
    <w:p w:rsidR="00000000" w:rsidRDefault="00613AEB">
      <w:pPr>
        <w:jc w:val="both"/>
        <w:rPr>
          <w:rFonts w:eastAsia="Times New Roman"/>
        </w:rPr>
      </w:pPr>
      <w:r>
        <w:rPr>
          <w:rFonts w:eastAsia="Times New Roman"/>
          <w:color w:val="000000"/>
          <w:sz w:val="20"/>
          <w:szCs w:val="20"/>
          <w:u w:val="single"/>
        </w:rPr>
        <w:t>Transaction Count and Transaction Value</w:t>
      </w:r>
    </w:p>
    <w:p w:rsidR="00000000" w:rsidRDefault="00613AEB">
      <w:pPr>
        <w:jc w:val="both"/>
        <w:rPr>
          <w:rFonts w:eastAsia="Times New Roman"/>
        </w:rPr>
      </w:pPr>
    </w:p>
    <w:p w:rsidR="00000000" w:rsidRDefault="00613AEB">
      <w:pPr>
        <w:jc w:val="both"/>
        <w:rPr>
          <w:rFonts w:eastAsia="Times New Roman"/>
        </w:rPr>
      </w:pPr>
      <w:r>
        <w:rPr>
          <w:rFonts w:eastAsia="Times New Roman"/>
          <w:color w:val="000000"/>
          <w:sz w:val="20"/>
          <w:szCs w:val="20"/>
        </w:rPr>
        <w:t>Transaction count and transaction value metrics are used by the Company to measure sales performance. Transaction count represents the number of customer transactions during a given period. Transaction value repres</w:t>
      </w:r>
      <w:r>
        <w:rPr>
          <w:rFonts w:eastAsia="Times New Roman"/>
          <w:color w:val="000000"/>
          <w:sz w:val="20"/>
          <w:szCs w:val="20"/>
        </w:rPr>
        <w:t>ents the average amount paid per transaction and is calculated as net sales divided by the total number of customer transactions during a given period.</w:t>
      </w:r>
    </w:p>
    <w:p w:rsidR="00000000" w:rsidRDefault="00613AEB">
      <w:pPr>
        <w:jc w:val="both"/>
        <w:rPr>
          <w:rFonts w:eastAsia="Times New Roman"/>
        </w:rPr>
      </w:pPr>
    </w:p>
    <w:p w:rsidR="00000000" w:rsidRDefault="00613AEB">
      <w:pPr>
        <w:jc w:val="both"/>
        <w:rPr>
          <w:rFonts w:eastAsia="Times New Roman"/>
        </w:rPr>
      </w:pPr>
      <w:r>
        <w:rPr>
          <w:rFonts w:eastAsia="Times New Roman"/>
          <w:b/>
          <w:bCs/>
          <w:color w:val="000000"/>
          <w:sz w:val="20"/>
          <w:szCs w:val="20"/>
        </w:rPr>
        <w:t>Results of Operations</w:t>
      </w:r>
    </w:p>
    <w:p w:rsidR="00000000" w:rsidRDefault="00613AEB">
      <w:pPr>
        <w:jc w:val="both"/>
        <w:rPr>
          <w:rFonts w:eastAsia="Times New Roman"/>
        </w:rPr>
      </w:pPr>
    </w:p>
    <w:p w:rsidR="00000000" w:rsidRDefault="00613AEB">
      <w:pPr>
        <w:jc w:val="both"/>
        <w:rPr>
          <w:rFonts w:eastAsia="Times New Roman"/>
        </w:rPr>
      </w:pPr>
      <w:r>
        <w:rPr>
          <w:rFonts w:eastAsia="Times New Roman"/>
          <w:color w:val="000000"/>
          <w:sz w:val="20"/>
          <w:szCs w:val="20"/>
          <w:u w:val="single"/>
        </w:rPr>
        <w:t xml:space="preserve">Fiscal Three Months (Second Quarter) Ended June 25, 2022 and June 26, 2021 </w:t>
      </w:r>
    </w:p>
    <w:p w:rsidR="00000000" w:rsidRDefault="00613AEB">
      <w:pPr>
        <w:jc w:val="both"/>
        <w:rPr>
          <w:rFonts w:eastAsia="Times New Roman"/>
        </w:rPr>
      </w:pPr>
    </w:p>
    <w:p w:rsidR="00000000" w:rsidRDefault="00613AEB">
      <w:pPr>
        <w:jc w:val="both"/>
        <w:rPr>
          <w:rFonts w:eastAsia="Times New Roman"/>
        </w:rPr>
      </w:pPr>
      <w:r>
        <w:rPr>
          <w:rFonts w:eastAsia="Times New Roman"/>
          <w:color w:val="000000"/>
          <w:sz w:val="20"/>
          <w:szCs w:val="20"/>
        </w:rPr>
        <w:t>Net sales for the second quarter of fiscal 2022 increased 8.4% to $3.90 billion from $3.60 billion for the second quarter of fiscal 2021. Comparable store sales for the second quarter of fiscal 2022 were $3.82 billion, a 5.5% increase as compared to the se</w:t>
      </w:r>
      <w:r>
        <w:rPr>
          <w:rFonts w:eastAsia="Times New Roman"/>
          <w:color w:val="000000"/>
          <w:sz w:val="20"/>
          <w:szCs w:val="20"/>
        </w:rPr>
        <w:t xml:space="preserve">cond quarter of fiscal 2021. In the second quarter of fiscal 2021, net sales increased 13.4% and comparable store sales increased 10.5%. </w:t>
      </w:r>
    </w:p>
    <w:p w:rsidR="00000000" w:rsidRDefault="00613AEB">
      <w:pPr>
        <w:jc w:val="both"/>
        <w:rPr>
          <w:rFonts w:eastAsia="Times New Roman"/>
        </w:rPr>
      </w:pPr>
    </w:p>
    <w:p w:rsidR="00000000" w:rsidRDefault="00613AEB">
      <w:pPr>
        <w:jc w:val="both"/>
        <w:rPr>
          <w:rFonts w:eastAsia="Times New Roman"/>
        </w:rPr>
      </w:pPr>
      <w:r>
        <w:rPr>
          <w:rFonts w:eastAsia="Times New Roman"/>
          <w:color w:val="000000"/>
          <w:sz w:val="20"/>
          <w:szCs w:val="20"/>
        </w:rPr>
        <w:t xml:space="preserve">The comparable store sales results for the second quarter of fiscal 2022 included an increase in comparable average </w:t>
      </w:r>
      <w:r>
        <w:rPr>
          <w:rFonts w:eastAsia="Times New Roman"/>
          <w:color w:val="000000"/>
          <w:sz w:val="20"/>
          <w:szCs w:val="20"/>
        </w:rPr>
        <w:t xml:space="preserve">transaction value of 7.5% and a decrease in comparable average transaction count of 2.0%, each as compared to the second quarter of fiscal 2021. </w:t>
      </w:r>
      <w:r>
        <w:rPr>
          <w:rFonts w:eastAsia="Times New Roman"/>
          <w:color w:val="000000"/>
          <w:sz w:val="20"/>
          <w:szCs w:val="20"/>
          <w:shd w:val="clear" w:color="auto" w:fill="FFFFFF"/>
        </w:rPr>
        <w:t>Comparable store sales growth reflects continued strength in everyday, needs-based merchandise, including consu</w:t>
      </w:r>
      <w:r>
        <w:rPr>
          <w:rFonts w:eastAsia="Times New Roman"/>
          <w:color w:val="000000"/>
          <w:sz w:val="20"/>
          <w:szCs w:val="20"/>
          <w:shd w:val="clear" w:color="auto" w:fill="FFFFFF"/>
        </w:rPr>
        <w:t>mable, usable and edible (“C.U.E.”) products and year-round product categories.</w:t>
      </w:r>
      <w:r>
        <w:rPr>
          <w:rFonts w:eastAsia="Times New Roman"/>
          <w:color w:val="000000"/>
          <w:sz w:val="20"/>
          <w:szCs w:val="20"/>
        </w:rPr>
        <w:t xml:space="preserve"> The comparable store sales in the prior year benefited from government stimulus and ideal weather for the spring and summer sales seasons.</w:t>
      </w:r>
    </w:p>
    <w:p w:rsidR="00000000" w:rsidRDefault="00613AEB">
      <w:pPr>
        <w:jc w:val="both"/>
        <w:rPr>
          <w:rFonts w:eastAsia="Times New Roman"/>
        </w:rPr>
      </w:pPr>
    </w:p>
    <w:p w:rsidR="00000000" w:rsidRDefault="00613AEB">
      <w:pPr>
        <w:jc w:val="both"/>
        <w:rPr>
          <w:rFonts w:eastAsia="Times New Roman"/>
        </w:rPr>
      </w:pPr>
      <w:r>
        <w:rPr>
          <w:rFonts w:eastAsia="Times New Roman"/>
          <w:color w:val="000000"/>
          <w:sz w:val="20"/>
          <w:szCs w:val="20"/>
        </w:rPr>
        <w:t>In addition to comparable store sal</w:t>
      </w:r>
      <w:r>
        <w:rPr>
          <w:rFonts w:eastAsia="Times New Roman"/>
          <w:color w:val="000000"/>
          <w:sz w:val="20"/>
          <w:szCs w:val="20"/>
        </w:rPr>
        <w:t>es growth for the second quarter of fiscal 2022, sales from stores open less than one year were $86.9 million for the second quarter of fiscal 2022, which represented 2.4 percentage points of the 8.4% increase over second quarter fiscal 2021 net sales. For</w:t>
      </w:r>
      <w:r>
        <w:rPr>
          <w:rFonts w:eastAsia="Times New Roman"/>
          <w:color w:val="000000"/>
          <w:sz w:val="20"/>
          <w:szCs w:val="20"/>
        </w:rPr>
        <w:t xml:space="preserve"> the second quarter of fiscal 2021, sales from stores open less than one year were $101.0 million, which represented 3.2 percentage points of the 13.4% increase over second quarter fiscal 2020 net sales. </w:t>
      </w:r>
    </w:p>
    <w:p w:rsidR="00000000" w:rsidRDefault="00613AEB">
      <w:pPr>
        <w:jc w:val="both"/>
        <w:rPr>
          <w:rFonts w:eastAsia="Times New Roman"/>
        </w:rPr>
      </w:pPr>
    </w:p>
    <w:p w:rsidR="00000000" w:rsidRDefault="00613AEB">
      <w:pPr>
        <w:jc w:val="both"/>
        <w:rPr>
          <w:rFonts w:eastAsia="Times New Roman"/>
        </w:rPr>
      </w:pPr>
      <w:r>
        <w:rPr>
          <w:rFonts w:eastAsia="Times New Roman"/>
          <w:color w:val="000000"/>
          <w:sz w:val="20"/>
          <w:szCs w:val="20"/>
        </w:rPr>
        <w:t>The following table summarizes store growth for t</w:t>
      </w:r>
      <w:r>
        <w:rPr>
          <w:rFonts w:eastAsia="Times New Roman"/>
          <w:color w:val="000000"/>
          <w:sz w:val="20"/>
          <w:szCs w:val="20"/>
        </w:rPr>
        <w:t>he fiscal three months ended June 25, 2022 and June 26, 2021:</w:t>
      </w:r>
    </w:p>
    <w:p w:rsidR="00000000" w:rsidRDefault="00613AEB">
      <w:pPr>
        <w:jc w:val="center"/>
        <w:divId w:val="454786883"/>
        <w:rPr>
          <w:rFonts w:eastAsia="Times New Roman"/>
        </w:rPr>
      </w:pPr>
      <w:r>
        <w:rPr>
          <w:rFonts w:eastAsia="Times New Roman"/>
          <w:color w:val="000000"/>
          <w:sz w:val="20"/>
          <w:szCs w:val="20"/>
        </w:rPr>
        <w:t>Page 17</w:t>
      </w:r>
    </w:p>
    <w:p w:rsidR="00000000" w:rsidRDefault="00613AEB">
      <w:pPr>
        <w:rPr>
          <w:rFonts w:eastAsia="Times New Roman"/>
        </w:rPr>
      </w:pPr>
      <w:r>
        <w:rPr>
          <w:rFonts w:eastAsia="Times New Roman"/>
        </w:rPr>
        <w:pict>
          <v:rect id="_x0000_i1042" style="width:0;height:1.5pt" o:hralign="center" o:hrstd="t" o:hr="t" fillcolor="#a0a0a0" stroked="f"/>
        </w:pict>
      </w:r>
    </w:p>
    <w:p w:rsidR="00000000" w:rsidRDefault="00613AEB">
      <w:pPr>
        <w:divId w:val="1991979074"/>
        <w:rPr>
          <w:rFonts w:eastAsia="Times New Roman"/>
        </w:rPr>
      </w:pPr>
      <w:hyperlink w:anchor="i7b244a6903fc440faaf2365d228fe4ba_7" w:history="1">
        <w:r>
          <w:rPr>
            <w:rStyle w:val="a3"/>
            <w:rFonts w:eastAsia="Times New Roman"/>
            <w:sz w:val="16"/>
            <w:szCs w:val="16"/>
          </w:rPr>
          <w:t>Index</w:t>
        </w:r>
      </w:hyperlink>
    </w:p>
    <w:tbl>
      <w:tblPr>
        <w:tblW w:w="4985" w:type="pct"/>
        <w:jc w:val="center"/>
        <w:tblCellMar>
          <w:top w:w="15" w:type="dxa"/>
          <w:left w:w="15" w:type="dxa"/>
          <w:bottom w:w="15" w:type="dxa"/>
          <w:right w:w="15" w:type="dxa"/>
        </w:tblCellMar>
        <w:tblLook w:val="04A0" w:firstRow="1" w:lastRow="0" w:firstColumn="1" w:lastColumn="0" w:noHBand="0" w:noVBand="1"/>
      </w:tblPr>
      <w:tblGrid>
        <w:gridCol w:w="63"/>
        <w:gridCol w:w="5657"/>
        <w:gridCol w:w="36"/>
        <w:gridCol w:w="63"/>
        <w:gridCol w:w="1114"/>
        <w:gridCol w:w="38"/>
        <w:gridCol w:w="37"/>
        <w:gridCol w:w="37"/>
        <w:gridCol w:w="36"/>
        <w:gridCol w:w="49"/>
        <w:gridCol w:w="1114"/>
        <w:gridCol w:w="37"/>
      </w:tblGrid>
      <w:tr w:rsidR="00000000">
        <w:trPr>
          <w:jc w:val="center"/>
        </w:trPr>
        <w:tc>
          <w:tcPr>
            <w:tcW w:w="50" w:type="pct"/>
            <w:vAlign w:val="center"/>
            <w:hideMark/>
          </w:tcPr>
          <w:p w:rsidR="00000000" w:rsidRDefault="00613AEB">
            <w:pPr>
              <w:rPr>
                <w:rFonts w:eastAsia="Times New Roman"/>
              </w:rPr>
            </w:pPr>
          </w:p>
        </w:tc>
        <w:tc>
          <w:tcPr>
            <w:tcW w:w="3427"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0" w:type="pct"/>
            <w:vAlign w:val="center"/>
            <w:hideMark/>
          </w:tcPr>
          <w:p w:rsidR="00000000" w:rsidRDefault="00613AEB">
            <w:pPr>
              <w:spacing w:after="100"/>
              <w:rPr>
                <w:rFonts w:eastAsia="Times New Roman"/>
                <w:sz w:val="20"/>
                <w:szCs w:val="20"/>
              </w:rPr>
            </w:pPr>
          </w:p>
        </w:tc>
        <w:tc>
          <w:tcPr>
            <w:tcW w:w="685"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26"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0" w:type="pct"/>
            <w:vAlign w:val="center"/>
            <w:hideMark/>
          </w:tcPr>
          <w:p w:rsidR="00000000" w:rsidRDefault="00613AEB">
            <w:pPr>
              <w:spacing w:after="100"/>
              <w:rPr>
                <w:rFonts w:eastAsia="Times New Roman"/>
                <w:sz w:val="20"/>
                <w:szCs w:val="20"/>
              </w:rPr>
            </w:pPr>
          </w:p>
        </w:tc>
        <w:tc>
          <w:tcPr>
            <w:tcW w:w="685"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613AEB">
            <w:pPr>
              <w:spacing w:after="100"/>
              <w:jc w:val="center"/>
              <w:rPr>
                <w:rFonts w:eastAsia="Times New Roman"/>
              </w:rPr>
            </w:pPr>
            <w:r>
              <w:rPr>
                <w:rFonts w:eastAsia="Times New Roman"/>
                <w:b/>
                <w:bCs/>
                <w:color w:val="000000"/>
                <w:sz w:val="20"/>
                <w:szCs w:val="20"/>
              </w:rPr>
              <w:t>Fiscal Three Months Ended</w:t>
            </w:r>
          </w:p>
        </w:tc>
      </w:tr>
      <w:tr w:rsidR="00000000">
        <w:trPr>
          <w:jc w:val="center"/>
        </w:trPr>
        <w:tc>
          <w:tcPr>
            <w:tcW w:w="0" w:type="auto"/>
            <w:gridSpan w:val="3"/>
            <w:tcMar>
              <w:top w:w="30" w:type="dxa"/>
              <w:left w:w="20" w:type="dxa"/>
              <w:bottom w:w="30" w:type="dxa"/>
              <w:right w:w="20" w:type="dxa"/>
            </w:tcMar>
            <w:vAlign w:val="bottom"/>
            <w:hideMark/>
          </w:tcPr>
          <w:p w:rsidR="00000000" w:rsidRDefault="00613AEB">
            <w:pPr>
              <w:spacing w:after="100"/>
              <w:rPr>
                <w:rFonts w:eastAsia="Times New Roman"/>
              </w:rPr>
            </w:pPr>
            <w:r>
              <w:rPr>
                <w:rFonts w:eastAsia="Times New Roman"/>
                <w:b/>
                <w:bCs/>
                <w:color w:val="000000"/>
                <w:sz w:val="20"/>
                <w:szCs w:val="20"/>
              </w:rPr>
              <w:t>Store Count Information:</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13AEB">
            <w:pPr>
              <w:spacing w:after="100"/>
              <w:jc w:val="center"/>
              <w:rPr>
                <w:rFonts w:eastAsia="Times New Roman"/>
              </w:rPr>
            </w:pPr>
            <w:r>
              <w:rPr>
                <w:rFonts w:eastAsia="Times New Roman"/>
                <w:b/>
                <w:bCs/>
                <w:color w:val="000000"/>
                <w:sz w:val="20"/>
                <w:szCs w:val="20"/>
              </w:rPr>
              <w:t>June 25,</w:t>
            </w:r>
            <w:r>
              <w:rPr>
                <w:rFonts w:eastAsia="Times New Roman"/>
                <w:b/>
                <w:bCs/>
                <w:color w:val="000000"/>
                <w:sz w:val="20"/>
                <w:szCs w:val="20"/>
              </w:rPr>
              <w:b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13AE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13AEB">
            <w:pPr>
              <w:spacing w:after="100"/>
              <w:jc w:val="center"/>
              <w:rPr>
                <w:rFonts w:eastAsia="Times New Roman"/>
              </w:rPr>
            </w:pPr>
            <w:r>
              <w:rPr>
                <w:rFonts w:eastAsia="Times New Roman"/>
                <w:b/>
                <w:bCs/>
                <w:color w:val="000000"/>
                <w:sz w:val="20"/>
                <w:szCs w:val="20"/>
              </w:rPr>
              <w:t>June 26,</w:t>
            </w:r>
            <w:r>
              <w:rPr>
                <w:rFonts w:eastAsia="Times New Roman"/>
                <w:b/>
                <w:bCs/>
                <w:color w:val="000000"/>
                <w:sz w:val="20"/>
                <w:szCs w:val="20"/>
              </w:rPr>
              <w:br/>
              <w:t>2021</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613AEB">
            <w:pPr>
              <w:spacing w:after="100"/>
              <w:rPr>
                <w:rFonts w:eastAsia="Times New Roman"/>
              </w:rPr>
            </w:pPr>
            <w:r>
              <w:rPr>
                <w:rFonts w:eastAsia="Times New Roman"/>
                <w:i/>
                <w:iCs/>
                <w:color w:val="000000"/>
                <w:sz w:val="20"/>
                <w:szCs w:val="20"/>
                <w:u w:val="single"/>
              </w:rPr>
              <w:t>Tractor Supply</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13AE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Beginning of period</w:t>
            </w:r>
          </w:p>
        </w:tc>
        <w:tc>
          <w:tcPr>
            <w:tcW w:w="0" w:type="auto"/>
            <w:gridSpan w:val="2"/>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2,003 </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1,944 </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r>
      <w:tr w:rsidR="00000000">
        <w:trPr>
          <w:jc w:val="center"/>
        </w:trPr>
        <w:tc>
          <w:tcPr>
            <w:tcW w:w="0" w:type="auto"/>
            <w:gridSpan w:val="3"/>
            <w:shd w:val="clear" w:color="auto" w:fill="CCEEFF"/>
            <w:tcMar>
              <w:top w:w="30" w:type="dxa"/>
              <w:left w:w="515"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New stores opened</w:t>
            </w: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13 </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11 </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r>
      <w:tr w:rsidR="00000000">
        <w:trPr>
          <w:jc w:val="center"/>
        </w:trPr>
        <w:tc>
          <w:tcPr>
            <w:tcW w:w="0" w:type="auto"/>
            <w:gridSpan w:val="3"/>
            <w:shd w:val="clear" w:color="auto" w:fill="FFFFFF"/>
            <w:tcMar>
              <w:top w:w="30" w:type="dxa"/>
              <w:left w:w="515"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Stores closed</w:t>
            </w:r>
          </w:p>
        </w:tc>
        <w:tc>
          <w:tcPr>
            <w:tcW w:w="0" w:type="auto"/>
            <w:gridSpan w:val="2"/>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End of period</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2,016 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1,955 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613AEB">
            <w:pPr>
              <w:spacing w:after="100"/>
              <w:rPr>
                <w:rFonts w:eastAsia="Times New Roman"/>
              </w:rPr>
            </w:pPr>
            <w:r>
              <w:rPr>
                <w:rFonts w:eastAsia="Times New Roman"/>
                <w:i/>
                <w:iCs/>
                <w:color w:val="000000"/>
                <w:sz w:val="20"/>
                <w:szCs w:val="20"/>
                <w:u w:val="single"/>
              </w:rPr>
              <w:t>Petsense</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613AE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Beginning of period</w:t>
            </w: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178 </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177 </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r>
      <w:tr w:rsidR="00000000">
        <w:trPr>
          <w:jc w:val="center"/>
        </w:trPr>
        <w:tc>
          <w:tcPr>
            <w:tcW w:w="0" w:type="auto"/>
            <w:gridSpan w:val="3"/>
            <w:shd w:val="clear" w:color="auto" w:fill="FFFFFF"/>
            <w:tcMar>
              <w:top w:w="30" w:type="dxa"/>
              <w:left w:w="515"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New stores opened</w:t>
            </w:r>
          </w:p>
        </w:tc>
        <w:tc>
          <w:tcPr>
            <w:tcW w:w="0" w:type="auto"/>
            <w:gridSpan w:val="2"/>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r>
      <w:tr w:rsidR="00000000">
        <w:trPr>
          <w:jc w:val="center"/>
        </w:trPr>
        <w:tc>
          <w:tcPr>
            <w:tcW w:w="0" w:type="auto"/>
            <w:gridSpan w:val="3"/>
            <w:shd w:val="clear" w:color="auto" w:fill="CCEEFF"/>
            <w:tcMar>
              <w:top w:w="30" w:type="dxa"/>
              <w:left w:w="515"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Stores closed</w:t>
            </w: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(4)</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End of period</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178 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174 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Consolidated, end of period</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2,194 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2,129 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Stores relocated</w:t>
            </w: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3 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r>
    </w:tbl>
    <w:p w:rsidR="00000000" w:rsidRDefault="00613AEB">
      <w:pPr>
        <w:jc w:val="both"/>
        <w:rPr>
          <w:rFonts w:eastAsia="Times New Roman"/>
        </w:rPr>
      </w:pPr>
    </w:p>
    <w:p w:rsidR="00000000" w:rsidRDefault="00613AEB">
      <w:pPr>
        <w:jc w:val="both"/>
        <w:rPr>
          <w:rFonts w:eastAsia="Times New Roman"/>
        </w:rPr>
      </w:pPr>
      <w:r>
        <w:rPr>
          <w:rFonts w:eastAsia="Times New Roman"/>
          <w:color w:val="000000"/>
          <w:sz w:val="20"/>
          <w:szCs w:val="20"/>
        </w:rPr>
        <w:t>The following table indicates the percentage of net sales represented by each of our major product categories for the fiscal three months ended June 25, 2022 and June 26, 2021:</w:t>
      </w:r>
    </w:p>
    <w:p w:rsidR="00000000" w:rsidRDefault="00613AEB">
      <w:pPr>
        <w:jc w:val="both"/>
        <w:rPr>
          <w:rFonts w:eastAsia="Times New Roman"/>
        </w:rPr>
      </w:pPr>
    </w:p>
    <w:tbl>
      <w:tblPr>
        <w:tblW w:w="4985" w:type="pct"/>
        <w:jc w:val="center"/>
        <w:tblCellMar>
          <w:top w:w="15" w:type="dxa"/>
          <w:left w:w="15" w:type="dxa"/>
          <w:bottom w:w="15" w:type="dxa"/>
          <w:right w:w="15" w:type="dxa"/>
        </w:tblCellMar>
        <w:tblLook w:val="04A0" w:firstRow="1" w:lastRow="0" w:firstColumn="1" w:lastColumn="0" w:noHBand="0" w:noVBand="1"/>
      </w:tblPr>
      <w:tblGrid>
        <w:gridCol w:w="39"/>
        <w:gridCol w:w="5292"/>
        <w:gridCol w:w="38"/>
        <w:gridCol w:w="38"/>
        <w:gridCol w:w="989"/>
        <w:gridCol w:w="188"/>
        <w:gridCol w:w="37"/>
        <w:gridCol w:w="37"/>
        <w:gridCol w:w="36"/>
        <w:gridCol w:w="37"/>
        <w:gridCol w:w="931"/>
        <w:gridCol w:w="187"/>
        <w:gridCol w:w="36"/>
        <w:gridCol w:w="36"/>
        <w:gridCol w:w="36"/>
        <w:gridCol w:w="36"/>
        <w:gridCol w:w="36"/>
        <w:gridCol w:w="36"/>
        <w:gridCol w:w="36"/>
        <w:gridCol w:w="36"/>
        <w:gridCol w:w="36"/>
        <w:gridCol w:w="36"/>
        <w:gridCol w:w="36"/>
        <w:gridCol w:w="36"/>
      </w:tblGrid>
      <w:tr w:rsidR="00000000">
        <w:trPr>
          <w:gridAfter w:val="12"/>
          <w:jc w:val="center"/>
        </w:trPr>
        <w:tc>
          <w:tcPr>
            <w:tcW w:w="50" w:type="pct"/>
            <w:vAlign w:val="center"/>
            <w:hideMark/>
          </w:tcPr>
          <w:p w:rsidR="00000000" w:rsidRDefault="00613AEB">
            <w:pPr>
              <w:jc w:val="both"/>
              <w:rPr>
                <w:rFonts w:eastAsia="Times New Roman"/>
              </w:rPr>
            </w:pPr>
          </w:p>
        </w:tc>
        <w:tc>
          <w:tcPr>
            <w:tcW w:w="3427"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0" w:type="pct"/>
            <w:vAlign w:val="center"/>
            <w:hideMark/>
          </w:tcPr>
          <w:p w:rsidR="00000000" w:rsidRDefault="00613AEB">
            <w:pPr>
              <w:spacing w:after="100"/>
              <w:rPr>
                <w:rFonts w:eastAsia="Times New Roman"/>
                <w:sz w:val="20"/>
                <w:szCs w:val="20"/>
              </w:rPr>
            </w:pPr>
          </w:p>
        </w:tc>
        <w:tc>
          <w:tcPr>
            <w:tcW w:w="685"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26"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0" w:type="pct"/>
            <w:vAlign w:val="center"/>
            <w:hideMark/>
          </w:tcPr>
          <w:p w:rsidR="00000000" w:rsidRDefault="00613AEB">
            <w:pPr>
              <w:spacing w:after="100"/>
              <w:rPr>
                <w:rFonts w:eastAsia="Times New Roman"/>
                <w:sz w:val="20"/>
                <w:szCs w:val="20"/>
              </w:rPr>
            </w:pPr>
          </w:p>
        </w:tc>
        <w:tc>
          <w:tcPr>
            <w:tcW w:w="685"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r>
      <w:tr w:rsidR="00000000">
        <w:trPr>
          <w:gridAfter w:val="12"/>
          <w:jc w:val="center"/>
        </w:trPr>
        <w:tc>
          <w:tcPr>
            <w:tcW w:w="0" w:type="auto"/>
            <w:gridSpan w:val="3"/>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613AEB">
            <w:pPr>
              <w:spacing w:after="100"/>
              <w:jc w:val="center"/>
              <w:rPr>
                <w:rFonts w:eastAsia="Times New Roman"/>
              </w:rPr>
            </w:pPr>
            <w:r>
              <w:rPr>
                <w:rFonts w:eastAsia="Times New Roman"/>
                <w:b/>
                <w:bCs/>
                <w:color w:val="000000"/>
                <w:sz w:val="20"/>
                <w:szCs w:val="20"/>
              </w:rPr>
              <w:t>Percent of Net Sales</w:t>
            </w:r>
          </w:p>
        </w:tc>
      </w:tr>
      <w:tr w:rsidR="00000000">
        <w:trPr>
          <w:gridAfter w:val="12"/>
          <w:trHeight w:val="230"/>
          <w:jc w:val="center"/>
        </w:trPr>
        <w:tc>
          <w:tcPr>
            <w:tcW w:w="0" w:type="auto"/>
            <w:gridSpan w:val="3"/>
            <w:vMerge w:val="restart"/>
            <w:tcMar>
              <w:top w:w="30" w:type="dxa"/>
              <w:left w:w="20"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 </w:t>
            </w:r>
          </w:p>
        </w:tc>
        <w:tc>
          <w:tcPr>
            <w:tcW w:w="0" w:type="auto"/>
            <w:gridSpan w:val="9"/>
            <w:vMerge w:val="restart"/>
            <w:tcMar>
              <w:top w:w="30" w:type="dxa"/>
              <w:left w:w="20" w:type="dxa"/>
              <w:bottom w:w="30" w:type="dxa"/>
              <w:right w:w="20" w:type="dxa"/>
            </w:tcMar>
            <w:vAlign w:val="bottom"/>
            <w:hideMark/>
          </w:tcPr>
          <w:p w:rsidR="00000000" w:rsidRDefault="00613AEB">
            <w:pPr>
              <w:spacing w:after="100"/>
              <w:jc w:val="center"/>
              <w:rPr>
                <w:rFonts w:eastAsia="Times New Roman"/>
              </w:rPr>
            </w:pPr>
            <w:r>
              <w:rPr>
                <w:rFonts w:eastAsia="Times New Roman"/>
                <w:b/>
                <w:bCs/>
                <w:color w:val="000000"/>
                <w:sz w:val="20"/>
                <w:szCs w:val="20"/>
              </w:rPr>
              <w:t>Fiscal Three Months Ended</w:t>
            </w:r>
          </w:p>
        </w:tc>
      </w:tr>
      <w:tr w:rsidR="00000000">
        <w:trPr>
          <w:trHeight w:val="160"/>
          <w:jc w:val="center"/>
        </w:trPr>
        <w:tc>
          <w:tcPr>
            <w:tcW w:w="0" w:type="auto"/>
            <w:gridSpan w:val="3"/>
            <w:vMerge/>
            <w:vAlign w:val="center"/>
            <w:hideMark/>
          </w:tcPr>
          <w:p w:rsidR="00000000" w:rsidRDefault="00613AEB">
            <w:pPr>
              <w:spacing w:after="100"/>
              <w:rPr>
                <w:rFonts w:eastAsia="Times New Roman"/>
              </w:rPr>
            </w:pPr>
          </w:p>
        </w:tc>
        <w:tc>
          <w:tcPr>
            <w:tcW w:w="0" w:type="auto"/>
            <w:gridSpan w:val="9"/>
            <w:vMerge/>
            <w:vAlign w:val="center"/>
            <w:hideMark/>
          </w:tcPr>
          <w:p w:rsidR="00000000" w:rsidRDefault="00613AEB">
            <w:pPr>
              <w:spacing w:after="100"/>
              <w:rPr>
                <w:rFonts w:eastAsia="Times New Roman"/>
              </w:rPr>
            </w:pPr>
          </w:p>
        </w:tc>
        <w:tc>
          <w:tcPr>
            <w:tcW w:w="0" w:type="auto"/>
            <w:gridSpan w:val="12"/>
            <w:vAlign w:val="center"/>
            <w:hideMark/>
          </w:tcPr>
          <w:p w:rsidR="00000000" w:rsidRDefault="00613AEB">
            <w:pPr>
              <w:spacing w:after="100"/>
              <w:jc w:val="center"/>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613AEB">
            <w:pPr>
              <w:spacing w:after="100"/>
              <w:rPr>
                <w:rFonts w:eastAsia="Times New Roman"/>
              </w:rPr>
            </w:pPr>
            <w:r>
              <w:rPr>
                <w:rFonts w:eastAsia="Times New Roman"/>
                <w:b/>
                <w:bCs/>
                <w:color w:val="000000"/>
                <w:sz w:val="20"/>
                <w:szCs w:val="20"/>
              </w:rPr>
              <w:t>Product Category:</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13AEB">
            <w:pPr>
              <w:spacing w:after="100"/>
              <w:jc w:val="center"/>
              <w:rPr>
                <w:rFonts w:eastAsia="Times New Roman"/>
              </w:rPr>
            </w:pPr>
            <w:r>
              <w:rPr>
                <w:rFonts w:eastAsia="Times New Roman"/>
                <w:b/>
                <w:bCs/>
                <w:color w:val="000000"/>
                <w:sz w:val="20"/>
                <w:szCs w:val="20"/>
              </w:rPr>
              <w:t>June 25,</w:t>
            </w:r>
            <w:r>
              <w:rPr>
                <w:rFonts w:eastAsia="Times New Roman"/>
                <w:b/>
                <w:bCs/>
                <w:color w:val="000000"/>
                <w:sz w:val="20"/>
                <w:szCs w:val="20"/>
              </w:rPr>
              <w:b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13AE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13AEB">
            <w:pPr>
              <w:spacing w:after="100"/>
              <w:jc w:val="center"/>
              <w:rPr>
                <w:rFonts w:eastAsia="Times New Roman"/>
              </w:rPr>
            </w:pPr>
            <w:r>
              <w:rPr>
                <w:rFonts w:eastAsia="Times New Roman"/>
                <w:b/>
                <w:bCs/>
                <w:color w:val="000000"/>
                <w:sz w:val="20"/>
                <w:szCs w:val="20"/>
              </w:rPr>
              <w:t>June 26,</w:t>
            </w:r>
            <w:r>
              <w:rPr>
                <w:rFonts w:eastAsia="Times New Roman"/>
                <w:b/>
                <w:bCs/>
                <w:color w:val="000000"/>
                <w:sz w:val="20"/>
                <w:szCs w:val="20"/>
              </w:rPr>
              <w:br/>
              <w:t>2021</w:t>
            </w:r>
          </w:p>
        </w:tc>
        <w:tc>
          <w:tcPr>
            <w:tcW w:w="0" w:type="auto"/>
            <w:vAlign w:val="center"/>
            <w:hideMark/>
          </w:tcPr>
          <w:p w:rsidR="00000000" w:rsidRDefault="00613AEB">
            <w:pPr>
              <w:spacing w:after="100"/>
              <w:rPr>
                <w:rFonts w:eastAsia="Times New Roman"/>
                <w:sz w:val="20"/>
                <w:szCs w:val="20"/>
              </w:rPr>
            </w:pPr>
          </w:p>
        </w:tc>
        <w:tc>
          <w:tcPr>
            <w:tcW w:w="0" w:type="auto"/>
            <w:vAlign w:val="center"/>
            <w:hideMark/>
          </w:tcPr>
          <w:p w:rsidR="00000000" w:rsidRDefault="00613AEB">
            <w:pPr>
              <w:spacing w:after="100"/>
              <w:rPr>
                <w:rFonts w:eastAsia="Times New Roman"/>
                <w:sz w:val="20"/>
                <w:szCs w:val="20"/>
              </w:rPr>
            </w:pPr>
          </w:p>
        </w:tc>
        <w:tc>
          <w:tcPr>
            <w:tcW w:w="0" w:type="auto"/>
            <w:vAlign w:val="center"/>
            <w:hideMark/>
          </w:tcPr>
          <w:p w:rsidR="00000000" w:rsidRDefault="00613AEB">
            <w:pPr>
              <w:spacing w:after="100"/>
              <w:rPr>
                <w:rFonts w:eastAsia="Times New Roman"/>
                <w:sz w:val="20"/>
                <w:szCs w:val="20"/>
              </w:rPr>
            </w:pPr>
          </w:p>
        </w:tc>
        <w:tc>
          <w:tcPr>
            <w:tcW w:w="0" w:type="auto"/>
            <w:vAlign w:val="center"/>
            <w:hideMark/>
          </w:tcPr>
          <w:p w:rsidR="00000000" w:rsidRDefault="00613AEB">
            <w:pPr>
              <w:spacing w:after="100"/>
              <w:rPr>
                <w:rFonts w:eastAsia="Times New Roman"/>
                <w:sz w:val="20"/>
                <w:szCs w:val="20"/>
              </w:rPr>
            </w:pPr>
          </w:p>
        </w:tc>
        <w:tc>
          <w:tcPr>
            <w:tcW w:w="0" w:type="auto"/>
            <w:vAlign w:val="center"/>
            <w:hideMark/>
          </w:tcPr>
          <w:p w:rsidR="00000000" w:rsidRDefault="00613AEB">
            <w:pPr>
              <w:spacing w:after="100"/>
              <w:rPr>
                <w:rFonts w:eastAsia="Times New Roman"/>
                <w:sz w:val="20"/>
                <w:szCs w:val="20"/>
              </w:rPr>
            </w:pPr>
          </w:p>
        </w:tc>
        <w:tc>
          <w:tcPr>
            <w:tcW w:w="0" w:type="auto"/>
            <w:vAlign w:val="center"/>
            <w:hideMark/>
          </w:tcPr>
          <w:p w:rsidR="00000000" w:rsidRDefault="00613AEB">
            <w:pPr>
              <w:spacing w:after="100"/>
              <w:rPr>
                <w:rFonts w:eastAsia="Times New Roman"/>
                <w:sz w:val="20"/>
                <w:szCs w:val="20"/>
              </w:rPr>
            </w:pPr>
          </w:p>
        </w:tc>
        <w:tc>
          <w:tcPr>
            <w:tcW w:w="0" w:type="auto"/>
            <w:vAlign w:val="center"/>
            <w:hideMark/>
          </w:tcPr>
          <w:p w:rsidR="00000000" w:rsidRDefault="00613AEB">
            <w:pPr>
              <w:spacing w:after="100"/>
              <w:rPr>
                <w:rFonts w:eastAsia="Times New Roman"/>
                <w:sz w:val="20"/>
                <w:szCs w:val="20"/>
              </w:rPr>
            </w:pPr>
          </w:p>
        </w:tc>
        <w:tc>
          <w:tcPr>
            <w:tcW w:w="0" w:type="auto"/>
            <w:vAlign w:val="center"/>
            <w:hideMark/>
          </w:tcPr>
          <w:p w:rsidR="00000000" w:rsidRDefault="00613AEB">
            <w:pPr>
              <w:spacing w:after="100"/>
              <w:rPr>
                <w:rFonts w:eastAsia="Times New Roman"/>
                <w:sz w:val="20"/>
                <w:szCs w:val="20"/>
              </w:rPr>
            </w:pPr>
          </w:p>
        </w:tc>
        <w:tc>
          <w:tcPr>
            <w:tcW w:w="0" w:type="auto"/>
            <w:vAlign w:val="center"/>
            <w:hideMark/>
          </w:tcPr>
          <w:p w:rsidR="00000000" w:rsidRDefault="00613AEB">
            <w:pPr>
              <w:spacing w:after="100"/>
              <w:rPr>
                <w:rFonts w:eastAsia="Times New Roman"/>
                <w:sz w:val="20"/>
                <w:szCs w:val="20"/>
              </w:rPr>
            </w:pPr>
          </w:p>
        </w:tc>
        <w:tc>
          <w:tcPr>
            <w:tcW w:w="0" w:type="auto"/>
            <w:vAlign w:val="center"/>
            <w:hideMark/>
          </w:tcPr>
          <w:p w:rsidR="00000000" w:rsidRDefault="00613AEB">
            <w:pPr>
              <w:spacing w:after="100"/>
              <w:rPr>
                <w:rFonts w:eastAsia="Times New Roman"/>
                <w:sz w:val="20"/>
                <w:szCs w:val="20"/>
              </w:rPr>
            </w:pPr>
          </w:p>
        </w:tc>
        <w:tc>
          <w:tcPr>
            <w:tcW w:w="0" w:type="auto"/>
            <w:vAlign w:val="center"/>
            <w:hideMark/>
          </w:tcPr>
          <w:p w:rsidR="00000000" w:rsidRDefault="00613AEB">
            <w:pPr>
              <w:spacing w:after="100"/>
              <w:rPr>
                <w:rFonts w:eastAsia="Times New Roman"/>
                <w:sz w:val="20"/>
                <w:szCs w:val="20"/>
              </w:rPr>
            </w:pPr>
          </w:p>
        </w:tc>
        <w:tc>
          <w:tcPr>
            <w:tcW w:w="0" w:type="auto"/>
            <w:vAlign w:val="center"/>
            <w:hideMark/>
          </w:tcPr>
          <w:p w:rsidR="00000000" w:rsidRDefault="00613AEB">
            <w:pPr>
              <w:spacing w:after="100"/>
              <w:rPr>
                <w:rFonts w:eastAsia="Times New Roman"/>
                <w:sz w:val="20"/>
                <w:szCs w:val="20"/>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Livestock and Pet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45 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613AEB">
            <w:pPr>
              <w:spacing w:after="100"/>
              <w:rPr>
                <w:rFonts w:eastAsia="Times New Roman"/>
                <w:sz w:val="20"/>
                <w:szCs w:val="20"/>
              </w:rPr>
            </w:pPr>
          </w:p>
        </w:tc>
        <w:tc>
          <w:tcPr>
            <w:tcW w:w="0" w:type="auto"/>
            <w:vAlign w:val="center"/>
            <w:hideMark/>
          </w:tcPr>
          <w:p w:rsidR="00000000" w:rsidRDefault="00613AEB">
            <w:pPr>
              <w:spacing w:after="100"/>
              <w:rPr>
                <w:rFonts w:eastAsia="Times New Roman"/>
                <w:sz w:val="20"/>
                <w:szCs w:val="20"/>
              </w:rPr>
            </w:pPr>
          </w:p>
        </w:tc>
        <w:tc>
          <w:tcPr>
            <w:tcW w:w="0" w:type="auto"/>
            <w:vAlign w:val="center"/>
            <w:hideMark/>
          </w:tcPr>
          <w:p w:rsidR="00000000" w:rsidRDefault="00613AEB">
            <w:pPr>
              <w:spacing w:after="100"/>
              <w:rPr>
                <w:rFonts w:eastAsia="Times New Roman"/>
                <w:sz w:val="20"/>
                <w:szCs w:val="20"/>
              </w:rPr>
            </w:pPr>
          </w:p>
        </w:tc>
        <w:tc>
          <w:tcPr>
            <w:tcW w:w="0" w:type="auto"/>
            <w:vAlign w:val="center"/>
            <w:hideMark/>
          </w:tcPr>
          <w:p w:rsidR="00000000" w:rsidRDefault="00613AEB">
            <w:pPr>
              <w:spacing w:after="100"/>
              <w:rPr>
                <w:rFonts w:eastAsia="Times New Roman"/>
                <w:sz w:val="20"/>
                <w:szCs w:val="20"/>
              </w:rPr>
            </w:pPr>
          </w:p>
        </w:tc>
        <w:tc>
          <w:tcPr>
            <w:tcW w:w="0" w:type="auto"/>
            <w:vAlign w:val="center"/>
            <w:hideMark/>
          </w:tcPr>
          <w:p w:rsidR="00000000" w:rsidRDefault="00613AEB">
            <w:pPr>
              <w:spacing w:after="100"/>
              <w:rPr>
                <w:rFonts w:eastAsia="Times New Roman"/>
                <w:sz w:val="20"/>
                <w:szCs w:val="20"/>
              </w:rPr>
            </w:pPr>
          </w:p>
        </w:tc>
        <w:tc>
          <w:tcPr>
            <w:tcW w:w="0" w:type="auto"/>
            <w:vAlign w:val="center"/>
            <w:hideMark/>
          </w:tcPr>
          <w:p w:rsidR="00000000" w:rsidRDefault="00613AEB">
            <w:pPr>
              <w:spacing w:after="100"/>
              <w:rPr>
                <w:rFonts w:eastAsia="Times New Roman"/>
                <w:sz w:val="20"/>
                <w:szCs w:val="20"/>
              </w:rPr>
            </w:pPr>
          </w:p>
        </w:tc>
        <w:tc>
          <w:tcPr>
            <w:tcW w:w="0" w:type="auto"/>
            <w:vAlign w:val="center"/>
            <w:hideMark/>
          </w:tcPr>
          <w:p w:rsidR="00000000" w:rsidRDefault="00613AEB">
            <w:pPr>
              <w:spacing w:after="100"/>
              <w:rPr>
                <w:rFonts w:eastAsia="Times New Roman"/>
                <w:sz w:val="20"/>
                <w:szCs w:val="20"/>
              </w:rPr>
            </w:pPr>
          </w:p>
        </w:tc>
        <w:tc>
          <w:tcPr>
            <w:tcW w:w="0" w:type="auto"/>
            <w:vAlign w:val="center"/>
            <w:hideMark/>
          </w:tcPr>
          <w:p w:rsidR="00000000" w:rsidRDefault="00613AEB">
            <w:pPr>
              <w:spacing w:after="100"/>
              <w:rPr>
                <w:rFonts w:eastAsia="Times New Roman"/>
                <w:sz w:val="20"/>
                <w:szCs w:val="20"/>
              </w:rPr>
            </w:pPr>
          </w:p>
        </w:tc>
        <w:tc>
          <w:tcPr>
            <w:tcW w:w="0" w:type="auto"/>
            <w:vAlign w:val="center"/>
            <w:hideMark/>
          </w:tcPr>
          <w:p w:rsidR="00000000" w:rsidRDefault="00613AEB">
            <w:pPr>
              <w:spacing w:after="100"/>
              <w:rPr>
                <w:rFonts w:eastAsia="Times New Roman"/>
                <w:sz w:val="20"/>
                <w:szCs w:val="20"/>
              </w:rPr>
            </w:pPr>
          </w:p>
        </w:tc>
        <w:tc>
          <w:tcPr>
            <w:tcW w:w="0" w:type="auto"/>
            <w:vAlign w:val="center"/>
            <w:hideMark/>
          </w:tcPr>
          <w:p w:rsidR="00000000" w:rsidRDefault="00613AEB">
            <w:pPr>
              <w:spacing w:after="100"/>
              <w:rPr>
                <w:rFonts w:eastAsia="Times New Roman"/>
                <w:sz w:val="20"/>
                <w:szCs w:val="20"/>
              </w:rPr>
            </w:pPr>
          </w:p>
        </w:tc>
        <w:tc>
          <w:tcPr>
            <w:tcW w:w="0" w:type="auto"/>
            <w:vAlign w:val="center"/>
            <w:hideMark/>
          </w:tcPr>
          <w:p w:rsidR="00000000" w:rsidRDefault="00613AEB">
            <w:pPr>
              <w:spacing w:after="100"/>
              <w:rPr>
                <w:rFonts w:eastAsia="Times New Roman"/>
                <w:sz w:val="20"/>
                <w:szCs w:val="20"/>
              </w:rPr>
            </w:pPr>
          </w:p>
        </w:tc>
        <w:tc>
          <w:tcPr>
            <w:tcW w:w="0" w:type="auto"/>
            <w:vAlign w:val="center"/>
            <w:hideMark/>
          </w:tcPr>
          <w:p w:rsidR="00000000" w:rsidRDefault="00613AEB">
            <w:pPr>
              <w:spacing w:after="100"/>
              <w:rPr>
                <w:rFonts w:eastAsia="Times New Roman"/>
                <w:sz w:val="20"/>
                <w:szCs w:val="20"/>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Seasonal, Gift and Toy Products</w:t>
            </w:r>
          </w:p>
        </w:tc>
        <w:tc>
          <w:tcPr>
            <w:tcW w:w="0" w:type="auto"/>
            <w:gridSpan w:val="2"/>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25 </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25 </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vAlign w:val="center"/>
            <w:hideMark/>
          </w:tcPr>
          <w:p w:rsidR="00000000" w:rsidRDefault="00613AEB">
            <w:pPr>
              <w:spacing w:after="100"/>
              <w:rPr>
                <w:rFonts w:eastAsia="Times New Roman"/>
                <w:sz w:val="20"/>
                <w:szCs w:val="20"/>
              </w:rPr>
            </w:pPr>
          </w:p>
        </w:tc>
        <w:tc>
          <w:tcPr>
            <w:tcW w:w="0" w:type="auto"/>
            <w:vAlign w:val="center"/>
            <w:hideMark/>
          </w:tcPr>
          <w:p w:rsidR="00000000" w:rsidRDefault="00613AEB">
            <w:pPr>
              <w:spacing w:after="100"/>
              <w:rPr>
                <w:rFonts w:eastAsia="Times New Roman"/>
                <w:sz w:val="20"/>
                <w:szCs w:val="20"/>
              </w:rPr>
            </w:pPr>
          </w:p>
        </w:tc>
        <w:tc>
          <w:tcPr>
            <w:tcW w:w="0" w:type="auto"/>
            <w:vAlign w:val="center"/>
            <w:hideMark/>
          </w:tcPr>
          <w:p w:rsidR="00000000" w:rsidRDefault="00613AEB">
            <w:pPr>
              <w:spacing w:after="100"/>
              <w:rPr>
                <w:rFonts w:eastAsia="Times New Roman"/>
                <w:sz w:val="20"/>
                <w:szCs w:val="20"/>
              </w:rPr>
            </w:pPr>
          </w:p>
        </w:tc>
        <w:tc>
          <w:tcPr>
            <w:tcW w:w="0" w:type="auto"/>
            <w:vAlign w:val="center"/>
            <w:hideMark/>
          </w:tcPr>
          <w:p w:rsidR="00000000" w:rsidRDefault="00613AEB">
            <w:pPr>
              <w:spacing w:after="100"/>
              <w:rPr>
                <w:rFonts w:eastAsia="Times New Roman"/>
                <w:sz w:val="20"/>
                <w:szCs w:val="20"/>
              </w:rPr>
            </w:pPr>
          </w:p>
        </w:tc>
        <w:tc>
          <w:tcPr>
            <w:tcW w:w="0" w:type="auto"/>
            <w:vAlign w:val="center"/>
            <w:hideMark/>
          </w:tcPr>
          <w:p w:rsidR="00000000" w:rsidRDefault="00613AEB">
            <w:pPr>
              <w:spacing w:after="100"/>
              <w:rPr>
                <w:rFonts w:eastAsia="Times New Roman"/>
                <w:sz w:val="20"/>
                <w:szCs w:val="20"/>
              </w:rPr>
            </w:pPr>
          </w:p>
        </w:tc>
        <w:tc>
          <w:tcPr>
            <w:tcW w:w="0" w:type="auto"/>
            <w:vAlign w:val="center"/>
            <w:hideMark/>
          </w:tcPr>
          <w:p w:rsidR="00000000" w:rsidRDefault="00613AEB">
            <w:pPr>
              <w:spacing w:after="100"/>
              <w:rPr>
                <w:rFonts w:eastAsia="Times New Roman"/>
                <w:sz w:val="20"/>
                <w:szCs w:val="20"/>
              </w:rPr>
            </w:pPr>
          </w:p>
        </w:tc>
        <w:tc>
          <w:tcPr>
            <w:tcW w:w="0" w:type="auto"/>
            <w:vAlign w:val="center"/>
            <w:hideMark/>
          </w:tcPr>
          <w:p w:rsidR="00000000" w:rsidRDefault="00613AEB">
            <w:pPr>
              <w:spacing w:after="100"/>
              <w:rPr>
                <w:rFonts w:eastAsia="Times New Roman"/>
                <w:sz w:val="20"/>
                <w:szCs w:val="20"/>
              </w:rPr>
            </w:pPr>
          </w:p>
        </w:tc>
        <w:tc>
          <w:tcPr>
            <w:tcW w:w="0" w:type="auto"/>
            <w:vAlign w:val="center"/>
            <w:hideMark/>
          </w:tcPr>
          <w:p w:rsidR="00000000" w:rsidRDefault="00613AEB">
            <w:pPr>
              <w:spacing w:after="100"/>
              <w:rPr>
                <w:rFonts w:eastAsia="Times New Roman"/>
                <w:sz w:val="20"/>
                <w:szCs w:val="20"/>
              </w:rPr>
            </w:pPr>
          </w:p>
        </w:tc>
        <w:tc>
          <w:tcPr>
            <w:tcW w:w="0" w:type="auto"/>
            <w:vAlign w:val="center"/>
            <w:hideMark/>
          </w:tcPr>
          <w:p w:rsidR="00000000" w:rsidRDefault="00613AEB">
            <w:pPr>
              <w:spacing w:after="100"/>
              <w:rPr>
                <w:rFonts w:eastAsia="Times New Roman"/>
                <w:sz w:val="20"/>
                <w:szCs w:val="20"/>
              </w:rPr>
            </w:pPr>
          </w:p>
        </w:tc>
        <w:tc>
          <w:tcPr>
            <w:tcW w:w="0" w:type="auto"/>
            <w:vAlign w:val="center"/>
            <w:hideMark/>
          </w:tcPr>
          <w:p w:rsidR="00000000" w:rsidRDefault="00613AEB">
            <w:pPr>
              <w:spacing w:after="100"/>
              <w:rPr>
                <w:rFonts w:eastAsia="Times New Roman"/>
                <w:sz w:val="20"/>
                <w:szCs w:val="20"/>
              </w:rPr>
            </w:pPr>
          </w:p>
        </w:tc>
        <w:tc>
          <w:tcPr>
            <w:tcW w:w="0" w:type="auto"/>
            <w:vAlign w:val="center"/>
            <w:hideMark/>
          </w:tcPr>
          <w:p w:rsidR="00000000" w:rsidRDefault="00613AEB">
            <w:pPr>
              <w:spacing w:after="100"/>
              <w:rPr>
                <w:rFonts w:eastAsia="Times New Roman"/>
                <w:sz w:val="20"/>
                <w:szCs w:val="20"/>
              </w:rPr>
            </w:pPr>
          </w:p>
        </w:tc>
        <w:tc>
          <w:tcPr>
            <w:tcW w:w="0" w:type="auto"/>
            <w:vAlign w:val="center"/>
            <w:hideMark/>
          </w:tcPr>
          <w:p w:rsidR="00000000" w:rsidRDefault="00613AEB">
            <w:pPr>
              <w:spacing w:after="100"/>
              <w:rPr>
                <w:rFonts w:eastAsia="Times New Roman"/>
                <w:sz w:val="20"/>
                <w:szCs w:val="20"/>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Hardware, Tools and Truck</w:t>
            </w: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18 </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20 </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vAlign w:val="center"/>
            <w:hideMark/>
          </w:tcPr>
          <w:p w:rsidR="00000000" w:rsidRDefault="00613AEB">
            <w:pPr>
              <w:spacing w:after="100"/>
              <w:rPr>
                <w:rFonts w:eastAsia="Times New Roman"/>
                <w:sz w:val="20"/>
                <w:szCs w:val="20"/>
              </w:rPr>
            </w:pPr>
          </w:p>
        </w:tc>
        <w:tc>
          <w:tcPr>
            <w:tcW w:w="0" w:type="auto"/>
            <w:vAlign w:val="center"/>
            <w:hideMark/>
          </w:tcPr>
          <w:p w:rsidR="00000000" w:rsidRDefault="00613AEB">
            <w:pPr>
              <w:spacing w:after="100"/>
              <w:rPr>
                <w:rFonts w:eastAsia="Times New Roman"/>
                <w:sz w:val="20"/>
                <w:szCs w:val="20"/>
              </w:rPr>
            </w:pPr>
          </w:p>
        </w:tc>
        <w:tc>
          <w:tcPr>
            <w:tcW w:w="0" w:type="auto"/>
            <w:vAlign w:val="center"/>
            <w:hideMark/>
          </w:tcPr>
          <w:p w:rsidR="00000000" w:rsidRDefault="00613AEB">
            <w:pPr>
              <w:spacing w:after="100"/>
              <w:rPr>
                <w:rFonts w:eastAsia="Times New Roman"/>
                <w:sz w:val="20"/>
                <w:szCs w:val="20"/>
              </w:rPr>
            </w:pPr>
          </w:p>
        </w:tc>
        <w:tc>
          <w:tcPr>
            <w:tcW w:w="0" w:type="auto"/>
            <w:vAlign w:val="center"/>
            <w:hideMark/>
          </w:tcPr>
          <w:p w:rsidR="00000000" w:rsidRDefault="00613AEB">
            <w:pPr>
              <w:spacing w:after="100"/>
              <w:rPr>
                <w:rFonts w:eastAsia="Times New Roman"/>
                <w:sz w:val="20"/>
                <w:szCs w:val="20"/>
              </w:rPr>
            </w:pPr>
          </w:p>
        </w:tc>
        <w:tc>
          <w:tcPr>
            <w:tcW w:w="0" w:type="auto"/>
            <w:vAlign w:val="center"/>
            <w:hideMark/>
          </w:tcPr>
          <w:p w:rsidR="00000000" w:rsidRDefault="00613AEB">
            <w:pPr>
              <w:spacing w:after="100"/>
              <w:rPr>
                <w:rFonts w:eastAsia="Times New Roman"/>
                <w:sz w:val="20"/>
                <w:szCs w:val="20"/>
              </w:rPr>
            </w:pPr>
          </w:p>
        </w:tc>
        <w:tc>
          <w:tcPr>
            <w:tcW w:w="0" w:type="auto"/>
            <w:vAlign w:val="center"/>
            <w:hideMark/>
          </w:tcPr>
          <w:p w:rsidR="00000000" w:rsidRDefault="00613AEB">
            <w:pPr>
              <w:spacing w:after="100"/>
              <w:rPr>
                <w:rFonts w:eastAsia="Times New Roman"/>
                <w:sz w:val="20"/>
                <w:szCs w:val="20"/>
              </w:rPr>
            </w:pPr>
          </w:p>
        </w:tc>
        <w:tc>
          <w:tcPr>
            <w:tcW w:w="0" w:type="auto"/>
            <w:vAlign w:val="center"/>
            <w:hideMark/>
          </w:tcPr>
          <w:p w:rsidR="00000000" w:rsidRDefault="00613AEB">
            <w:pPr>
              <w:spacing w:after="100"/>
              <w:rPr>
                <w:rFonts w:eastAsia="Times New Roman"/>
                <w:sz w:val="20"/>
                <w:szCs w:val="20"/>
              </w:rPr>
            </w:pPr>
          </w:p>
        </w:tc>
        <w:tc>
          <w:tcPr>
            <w:tcW w:w="0" w:type="auto"/>
            <w:vAlign w:val="center"/>
            <w:hideMark/>
          </w:tcPr>
          <w:p w:rsidR="00000000" w:rsidRDefault="00613AEB">
            <w:pPr>
              <w:spacing w:after="100"/>
              <w:rPr>
                <w:rFonts w:eastAsia="Times New Roman"/>
                <w:sz w:val="20"/>
                <w:szCs w:val="20"/>
              </w:rPr>
            </w:pPr>
          </w:p>
        </w:tc>
        <w:tc>
          <w:tcPr>
            <w:tcW w:w="0" w:type="auto"/>
            <w:vAlign w:val="center"/>
            <w:hideMark/>
          </w:tcPr>
          <w:p w:rsidR="00000000" w:rsidRDefault="00613AEB">
            <w:pPr>
              <w:spacing w:after="100"/>
              <w:rPr>
                <w:rFonts w:eastAsia="Times New Roman"/>
                <w:sz w:val="20"/>
                <w:szCs w:val="20"/>
              </w:rPr>
            </w:pPr>
          </w:p>
        </w:tc>
        <w:tc>
          <w:tcPr>
            <w:tcW w:w="0" w:type="auto"/>
            <w:vAlign w:val="center"/>
            <w:hideMark/>
          </w:tcPr>
          <w:p w:rsidR="00000000" w:rsidRDefault="00613AEB">
            <w:pPr>
              <w:spacing w:after="100"/>
              <w:rPr>
                <w:rFonts w:eastAsia="Times New Roman"/>
                <w:sz w:val="20"/>
                <w:szCs w:val="20"/>
              </w:rPr>
            </w:pPr>
          </w:p>
        </w:tc>
        <w:tc>
          <w:tcPr>
            <w:tcW w:w="0" w:type="auto"/>
            <w:vAlign w:val="center"/>
            <w:hideMark/>
          </w:tcPr>
          <w:p w:rsidR="00000000" w:rsidRDefault="00613AEB">
            <w:pPr>
              <w:spacing w:after="100"/>
              <w:rPr>
                <w:rFonts w:eastAsia="Times New Roman"/>
                <w:sz w:val="20"/>
                <w:szCs w:val="20"/>
              </w:rPr>
            </w:pPr>
          </w:p>
        </w:tc>
        <w:tc>
          <w:tcPr>
            <w:tcW w:w="0" w:type="auto"/>
            <w:vAlign w:val="center"/>
            <w:hideMark/>
          </w:tcPr>
          <w:p w:rsidR="00000000" w:rsidRDefault="00613AEB">
            <w:pPr>
              <w:spacing w:after="100"/>
              <w:rPr>
                <w:rFonts w:eastAsia="Times New Roman"/>
                <w:sz w:val="20"/>
                <w:szCs w:val="20"/>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Clothing and Footwear</w:t>
            </w:r>
          </w:p>
        </w:tc>
        <w:tc>
          <w:tcPr>
            <w:tcW w:w="0" w:type="auto"/>
            <w:gridSpan w:val="2"/>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vAlign w:val="center"/>
            <w:hideMark/>
          </w:tcPr>
          <w:p w:rsidR="00000000" w:rsidRDefault="00613AEB">
            <w:pPr>
              <w:spacing w:after="100"/>
              <w:rPr>
                <w:rFonts w:eastAsia="Times New Roman"/>
                <w:sz w:val="20"/>
                <w:szCs w:val="20"/>
              </w:rPr>
            </w:pPr>
          </w:p>
        </w:tc>
        <w:tc>
          <w:tcPr>
            <w:tcW w:w="0" w:type="auto"/>
            <w:vAlign w:val="center"/>
            <w:hideMark/>
          </w:tcPr>
          <w:p w:rsidR="00000000" w:rsidRDefault="00613AEB">
            <w:pPr>
              <w:spacing w:after="100"/>
              <w:rPr>
                <w:rFonts w:eastAsia="Times New Roman"/>
                <w:sz w:val="20"/>
                <w:szCs w:val="20"/>
              </w:rPr>
            </w:pPr>
          </w:p>
        </w:tc>
        <w:tc>
          <w:tcPr>
            <w:tcW w:w="0" w:type="auto"/>
            <w:vAlign w:val="center"/>
            <w:hideMark/>
          </w:tcPr>
          <w:p w:rsidR="00000000" w:rsidRDefault="00613AEB">
            <w:pPr>
              <w:spacing w:after="100"/>
              <w:rPr>
                <w:rFonts w:eastAsia="Times New Roman"/>
                <w:sz w:val="20"/>
                <w:szCs w:val="20"/>
              </w:rPr>
            </w:pPr>
          </w:p>
        </w:tc>
        <w:tc>
          <w:tcPr>
            <w:tcW w:w="0" w:type="auto"/>
            <w:vAlign w:val="center"/>
            <w:hideMark/>
          </w:tcPr>
          <w:p w:rsidR="00000000" w:rsidRDefault="00613AEB">
            <w:pPr>
              <w:spacing w:after="100"/>
              <w:rPr>
                <w:rFonts w:eastAsia="Times New Roman"/>
                <w:sz w:val="20"/>
                <w:szCs w:val="20"/>
              </w:rPr>
            </w:pPr>
          </w:p>
        </w:tc>
        <w:tc>
          <w:tcPr>
            <w:tcW w:w="0" w:type="auto"/>
            <w:vAlign w:val="center"/>
            <w:hideMark/>
          </w:tcPr>
          <w:p w:rsidR="00000000" w:rsidRDefault="00613AEB">
            <w:pPr>
              <w:spacing w:after="100"/>
              <w:rPr>
                <w:rFonts w:eastAsia="Times New Roman"/>
                <w:sz w:val="20"/>
                <w:szCs w:val="20"/>
              </w:rPr>
            </w:pPr>
          </w:p>
        </w:tc>
        <w:tc>
          <w:tcPr>
            <w:tcW w:w="0" w:type="auto"/>
            <w:vAlign w:val="center"/>
            <w:hideMark/>
          </w:tcPr>
          <w:p w:rsidR="00000000" w:rsidRDefault="00613AEB">
            <w:pPr>
              <w:spacing w:after="100"/>
              <w:rPr>
                <w:rFonts w:eastAsia="Times New Roman"/>
                <w:sz w:val="20"/>
                <w:szCs w:val="20"/>
              </w:rPr>
            </w:pPr>
          </w:p>
        </w:tc>
        <w:tc>
          <w:tcPr>
            <w:tcW w:w="0" w:type="auto"/>
            <w:vAlign w:val="center"/>
            <w:hideMark/>
          </w:tcPr>
          <w:p w:rsidR="00000000" w:rsidRDefault="00613AEB">
            <w:pPr>
              <w:spacing w:after="100"/>
              <w:rPr>
                <w:rFonts w:eastAsia="Times New Roman"/>
                <w:sz w:val="20"/>
                <w:szCs w:val="20"/>
              </w:rPr>
            </w:pPr>
          </w:p>
        </w:tc>
        <w:tc>
          <w:tcPr>
            <w:tcW w:w="0" w:type="auto"/>
            <w:vAlign w:val="center"/>
            <w:hideMark/>
          </w:tcPr>
          <w:p w:rsidR="00000000" w:rsidRDefault="00613AEB">
            <w:pPr>
              <w:spacing w:after="100"/>
              <w:rPr>
                <w:rFonts w:eastAsia="Times New Roman"/>
                <w:sz w:val="20"/>
                <w:szCs w:val="20"/>
              </w:rPr>
            </w:pPr>
          </w:p>
        </w:tc>
        <w:tc>
          <w:tcPr>
            <w:tcW w:w="0" w:type="auto"/>
            <w:vAlign w:val="center"/>
            <w:hideMark/>
          </w:tcPr>
          <w:p w:rsidR="00000000" w:rsidRDefault="00613AEB">
            <w:pPr>
              <w:spacing w:after="100"/>
              <w:rPr>
                <w:rFonts w:eastAsia="Times New Roman"/>
                <w:sz w:val="20"/>
                <w:szCs w:val="20"/>
              </w:rPr>
            </w:pPr>
          </w:p>
        </w:tc>
        <w:tc>
          <w:tcPr>
            <w:tcW w:w="0" w:type="auto"/>
            <w:vAlign w:val="center"/>
            <w:hideMark/>
          </w:tcPr>
          <w:p w:rsidR="00000000" w:rsidRDefault="00613AEB">
            <w:pPr>
              <w:spacing w:after="100"/>
              <w:rPr>
                <w:rFonts w:eastAsia="Times New Roman"/>
                <w:sz w:val="20"/>
                <w:szCs w:val="20"/>
              </w:rPr>
            </w:pPr>
          </w:p>
        </w:tc>
        <w:tc>
          <w:tcPr>
            <w:tcW w:w="0" w:type="auto"/>
            <w:vAlign w:val="center"/>
            <w:hideMark/>
          </w:tcPr>
          <w:p w:rsidR="00000000" w:rsidRDefault="00613AEB">
            <w:pPr>
              <w:spacing w:after="100"/>
              <w:rPr>
                <w:rFonts w:eastAsia="Times New Roman"/>
                <w:sz w:val="20"/>
                <w:szCs w:val="20"/>
              </w:rPr>
            </w:pPr>
          </w:p>
        </w:tc>
        <w:tc>
          <w:tcPr>
            <w:tcW w:w="0" w:type="auto"/>
            <w:vAlign w:val="center"/>
            <w:hideMark/>
          </w:tcPr>
          <w:p w:rsidR="00000000" w:rsidRDefault="00613AEB">
            <w:pPr>
              <w:spacing w:after="100"/>
              <w:rPr>
                <w:rFonts w:eastAsia="Times New Roman"/>
                <w:sz w:val="20"/>
                <w:szCs w:val="20"/>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Agriculture</w:t>
            </w: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vAlign w:val="center"/>
            <w:hideMark/>
          </w:tcPr>
          <w:p w:rsidR="00000000" w:rsidRDefault="00613AEB">
            <w:pPr>
              <w:spacing w:after="100"/>
              <w:rPr>
                <w:rFonts w:eastAsia="Times New Roman"/>
                <w:sz w:val="20"/>
                <w:szCs w:val="20"/>
              </w:rPr>
            </w:pPr>
          </w:p>
        </w:tc>
        <w:tc>
          <w:tcPr>
            <w:tcW w:w="0" w:type="auto"/>
            <w:vAlign w:val="center"/>
            <w:hideMark/>
          </w:tcPr>
          <w:p w:rsidR="00000000" w:rsidRDefault="00613AEB">
            <w:pPr>
              <w:spacing w:after="100"/>
              <w:rPr>
                <w:rFonts w:eastAsia="Times New Roman"/>
                <w:sz w:val="20"/>
                <w:szCs w:val="20"/>
              </w:rPr>
            </w:pPr>
          </w:p>
        </w:tc>
        <w:tc>
          <w:tcPr>
            <w:tcW w:w="0" w:type="auto"/>
            <w:vAlign w:val="center"/>
            <w:hideMark/>
          </w:tcPr>
          <w:p w:rsidR="00000000" w:rsidRDefault="00613AEB">
            <w:pPr>
              <w:spacing w:after="100"/>
              <w:rPr>
                <w:rFonts w:eastAsia="Times New Roman"/>
                <w:sz w:val="20"/>
                <w:szCs w:val="20"/>
              </w:rPr>
            </w:pPr>
          </w:p>
        </w:tc>
        <w:tc>
          <w:tcPr>
            <w:tcW w:w="0" w:type="auto"/>
            <w:vAlign w:val="center"/>
            <w:hideMark/>
          </w:tcPr>
          <w:p w:rsidR="00000000" w:rsidRDefault="00613AEB">
            <w:pPr>
              <w:spacing w:after="100"/>
              <w:rPr>
                <w:rFonts w:eastAsia="Times New Roman"/>
                <w:sz w:val="20"/>
                <w:szCs w:val="20"/>
              </w:rPr>
            </w:pPr>
          </w:p>
        </w:tc>
        <w:tc>
          <w:tcPr>
            <w:tcW w:w="0" w:type="auto"/>
            <w:vAlign w:val="center"/>
            <w:hideMark/>
          </w:tcPr>
          <w:p w:rsidR="00000000" w:rsidRDefault="00613AEB">
            <w:pPr>
              <w:spacing w:after="100"/>
              <w:rPr>
                <w:rFonts w:eastAsia="Times New Roman"/>
                <w:sz w:val="20"/>
                <w:szCs w:val="20"/>
              </w:rPr>
            </w:pPr>
          </w:p>
        </w:tc>
        <w:tc>
          <w:tcPr>
            <w:tcW w:w="0" w:type="auto"/>
            <w:vAlign w:val="center"/>
            <w:hideMark/>
          </w:tcPr>
          <w:p w:rsidR="00000000" w:rsidRDefault="00613AEB">
            <w:pPr>
              <w:spacing w:after="100"/>
              <w:rPr>
                <w:rFonts w:eastAsia="Times New Roman"/>
                <w:sz w:val="20"/>
                <w:szCs w:val="20"/>
              </w:rPr>
            </w:pPr>
          </w:p>
        </w:tc>
        <w:tc>
          <w:tcPr>
            <w:tcW w:w="0" w:type="auto"/>
            <w:vAlign w:val="center"/>
            <w:hideMark/>
          </w:tcPr>
          <w:p w:rsidR="00000000" w:rsidRDefault="00613AEB">
            <w:pPr>
              <w:spacing w:after="100"/>
              <w:rPr>
                <w:rFonts w:eastAsia="Times New Roman"/>
                <w:sz w:val="20"/>
                <w:szCs w:val="20"/>
              </w:rPr>
            </w:pPr>
          </w:p>
        </w:tc>
        <w:tc>
          <w:tcPr>
            <w:tcW w:w="0" w:type="auto"/>
            <w:vAlign w:val="center"/>
            <w:hideMark/>
          </w:tcPr>
          <w:p w:rsidR="00000000" w:rsidRDefault="00613AEB">
            <w:pPr>
              <w:spacing w:after="100"/>
              <w:rPr>
                <w:rFonts w:eastAsia="Times New Roman"/>
                <w:sz w:val="20"/>
                <w:szCs w:val="20"/>
              </w:rPr>
            </w:pPr>
          </w:p>
        </w:tc>
        <w:tc>
          <w:tcPr>
            <w:tcW w:w="0" w:type="auto"/>
            <w:vAlign w:val="center"/>
            <w:hideMark/>
          </w:tcPr>
          <w:p w:rsidR="00000000" w:rsidRDefault="00613AEB">
            <w:pPr>
              <w:spacing w:after="100"/>
              <w:rPr>
                <w:rFonts w:eastAsia="Times New Roman"/>
                <w:sz w:val="20"/>
                <w:szCs w:val="20"/>
              </w:rPr>
            </w:pPr>
          </w:p>
        </w:tc>
        <w:tc>
          <w:tcPr>
            <w:tcW w:w="0" w:type="auto"/>
            <w:vAlign w:val="center"/>
            <w:hideMark/>
          </w:tcPr>
          <w:p w:rsidR="00000000" w:rsidRDefault="00613AEB">
            <w:pPr>
              <w:spacing w:after="100"/>
              <w:rPr>
                <w:rFonts w:eastAsia="Times New Roman"/>
                <w:sz w:val="20"/>
                <w:szCs w:val="20"/>
              </w:rPr>
            </w:pPr>
          </w:p>
        </w:tc>
        <w:tc>
          <w:tcPr>
            <w:tcW w:w="0" w:type="auto"/>
            <w:vAlign w:val="center"/>
            <w:hideMark/>
          </w:tcPr>
          <w:p w:rsidR="00000000" w:rsidRDefault="00613AEB">
            <w:pPr>
              <w:spacing w:after="100"/>
              <w:rPr>
                <w:rFonts w:eastAsia="Times New Roman"/>
                <w:sz w:val="20"/>
                <w:szCs w:val="20"/>
              </w:rPr>
            </w:pPr>
          </w:p>
        </w:tc>
        <w:tc>
          <w:tcPr>
            <w:tcW w:w="0" w:type="auto"/>
            <w:vAlign w:val="center"/>
            <w:hideMark/>
          </w:tcPr>
          <w:p w:rsidR="00000000" w:rsidRDefault="00613AEB">
            <w:pPr>
              <w:spacing w:after="100"/>
              <w:rPr>
                <w:rFonts w:eastAsia="Times New Roman"/>
                <w:sz w:val="20"/>
                <w:szCs w:val="20"/>
              </w:rPr>
            </w:pPr>
          </w:p>
        </w:tc>
      </w:tr>
      <w:tr w:rsidR="00000000">
        <w:trPr>
          <w:jc w:val="center"/>
        </w:trPr>
        <w:tc>
          <w:tcPr>
            <w:tcW w:w="0" w:type="auto"/>
            <w:gridSpan w:val="3"/>
            <w:shd w:val="clear" w:color="auto" w:fill="FFFFFF"/>
            <w:tcMar>
              <w:top w:w="30" w:type="dxa"/>
              <w:left w:w="515"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Total</w:t>
            </w: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100 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100 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613AEB">
            <w:pPr>
              <w:spacing w:after="100"/>
              <w:rPr>
                <w:rFonts w:eastAsia="Times New Roman"/>
                <w:sz w:val="20"/>
                <w:szCs w:val="20"/>
              </w:rPr>
            </w:pPr>
          </w:p>
        </w:tc>
        <w:tc>
          <w:tcPr>
            <w:tcW w:w="0" w:type="auto"/>
            <w:vAlign w:val="center"/>
            <w:hideMark/>
          </w:tcPr>
          <w:p w:rsidR="00000000" w:rsidRDefault="00613AEB">
            <w:pPr>
              <w:spacing w:after="100"/>
              <w:rPr>
                <w:rFonts w:eastAsia="Times New Roman"/>
                <w:sz w:val="20"/>
                <w:szCs w:val="20"/>
              </w:rPr>
            </w:pPr>
          </w:p>
        </w:tc>
        <w:tc>
          <w:tcPr>
            <w:tcW w:w="0" w:type="auto"/>
            <w:vAlign w:val="center"/>
            <w:hideMark/>
          </w:tcPr>
          <w:p w:rsidR="00000000" w:rsidRDefault="00613AEB">
            <w:pPr>
              <w:spacing w:after="100"/>
              <w:rPr>
                <w:rFonts w:eastAsia="Times New Roman"/>
                <w:sz w:val="20"/>
                <w:szCs w:val="20"/>
              </w:rPr>
            </w:pPr>
          </w:p>
        </w:tc>
        <w:tc>
          <w:tcPr>
            <w:tcW w:w="0" w:type="auto"/>
            <w:vAlign w:val="center"/>
            <w:hideMark/>
          </w:tcPr>
          <w:p w:rsidR="00000000" w:rsidRDefault="00613AEB">
            <w:pPr>
              <w:spacing w:after="100"/>
              <w:rPr>
                <w:rFonts w:eastAsia="Times New Roman"/>
                <w:sz w:val="20"/>
                <w:szCs w:val="20"/>
              </w:rPr>
            </w:pPr>
          </w:p>
        </w:tc>
        <w:tc>
          <w:tcPr>
            <w:tcW w:w="0" w:type="auto"/>
            <w:vAlign w:val="center"/>
            <w:hideMark/>
          </w:tcPr>
          <w:p w:rsidR="00000000" w:rsidRDefault="00613AEB">
            <w:pPr>
              <w:spacing w:after="100"/>
              <w:rPr>
                <w:rFonts w:eastAsia="Times New Roman"/>
                <w:sz w:val="20"/>
                <w:szCs w:val="20"/>
              </w:rPr>
            </w:pPr>
          </w:p>
        </w:tc>
        <w:tc>
          <w:tcPr>
            <w:tcW w:w="0" w:type="auto"/>
            <w:vAlign w:val="center"/>
            <w:hideMark/>
          </w:tcPr>
          <w:p w:rsidR="00000000" w:rsidRDefault="00613AEB">
            <w:pPr>
              <w:spacing w:after="100"/>
              <w:rPr>
                <w:rFonts w:eastAsia="Times New Roman"/>
                <w:sz w:val="20"/>
                <w:szCs w:val="20"/>
              </w:rPr>
            </w:pPr>
          </w:p>
        </w:tc>
        <w:tc>
          <w:tcPr>
            <w:tcW w:w="0" w:type="auto"/>
            <w:vAlign w:val="center"/>
            <w:hideMark/>
          </w:tcPr>
          <w:p w:rsidR="00000000" w:rsidRDefault="00613AEB">
            <w:pPr>
              <w:spacing w:after="100"/>
              <w:rPr>
                <w:rFonts w:eastAsia="Times New Roman"/>
                <w:sz w:val="20"/>
                <w:szCs w:val="20"/>
              </w:rPr>
            </w:pPr>
          </w:p>
        </w:tc>
        <w:tc>
          <w:tcPr>
            <w:tcW w:w="0" w:type="auto"/>
            <w:vAlign w:val="center"/>
            <w:hideMark/>
          </w:tcPr>
          <w:p w:rsidR="00000000" w:rsidRDefault="00613AEB">
            <w:pPr>
              <w:spacing w:after="100"/>
              <w:rPr>
                <w:rFonts w:eastAsia="Times New Roman"/>
                <w:sz w:val="20"/>
                <w:szCs w:val="20"/>
              </w:rPr>
            </w:pPr>
          </w:p>
        </w:tc>
        <w:tc>
          <w:tcPr>
            <w:tcW w:w="0" w:type="auto"/>
            <w:vAlign w:val="center"/>
            <w:hideMark/>
          </w:tcPr>
          <w:p w:rsidR="00000000" w:rsidRDefault="00613AEB">
            <w:pPr>
              <w:spacing w:after="100"/>
              <w:rPr>
                <w:rFonts w:eastAsia="Times New Roman"/>
                <w:sz w:val="20"/>
                <w:szCs w:val="20"/>
              </w:rPr>
            </w:pPr>
          </w:p>
        </w:tc>
        <w:tc>
          <w:tcPr>
            <w:tcW w:w="0" w:type="auto"/>
            <w:vAlign w:val="center"/>
            <w:hideMark/>
          </w:tcPr>
          <w:p w:rsidR="00000000" w:rsidRDefault="00613AEB">
            <w:pPr>
              <w:spacing w:after="100"/>
              <w:rPr>
                <w:rFonts w:eastAsia="Times New Roman"/>
                <w:sz w:val="20"/>
                <w:szCs w:val="20"/>
              </w:rPr>
            </w:pPr>
          </w:p>
        </w:tc>
        <w:tc>
          <w:tcPr>
            <w:tcW w:w="0" w:type="auto"/>
            <w:vAlign w:val="center"/>
            <w:hideMark/>
          </w:tcPr>
          <w:p w:rsidR="00000000" w:rsidRDefault="00613AEB">
            <w:pPr>
              <w:spacing w:after="100"/>
              <w:rPr>
                <w:rFonts w:eastAsia="Times New Roman"/>
                <w:sz w:val="20"/>
                <w:szCs w:val="20"/>
              </w:rPr>
            </w:pPr>
          </w:p>
        </w:tc>
        <w:tc>
          <w:tcPr>
            <w:tcW w:w="0" w:type="auto"/>
            <w:vAlign w:val="center"/>
            <w:hideMark/>
          </w:tcPr>
          <w:p w:rsidR="00000000" w:rsidRDefault="00613AEB">
            <w:pPr>
              <w:spacing w:after="100"/>
              <w:rPr>
                <w:rFonts w:eastAsia="Times New Roman"/>
                <w:sz w:val="20"/>
                <w:szCs w:val="20"/>
              </w:rPr>
            </w:pPr>
          </w:p>
        </w:tc>
      </w:tr>
    </w:tbl>
    <w:p w:rsidR="00000000" w:rsidRDefault="00613AEB">
      <w:pPr>
        <w:jc w:val="center"/>
        <w:rPr>
          <w:rFonts w:eastAsia="Times New Roman"/>
        </w:rPr>
      </w:pPr>
      <w:r>
        <w:rPr>
          <w:rFonts w:eastAsia="Times New Roman"/>
          <w:color w:val="000000"/>
          <w:sz w:val="20"/>
          <w:szCs w:val="20"/>
        </w:rPr>
        <w:t> </w:t>
      </w:r>
    </w:p>
    <w:p w:rsidR="00000000" w:rsidRDefault="00613AEB">
      <w:pPr>
        <w:jc w:val="both"/>
        <w:rPr>
          <w:rFonts w:eastAsia="Times New Roman"/>
        </w:rPr>
      </w:pPr>
      <w:r>
        <w:rPr>
          <w:rFonts w:eastAsia="Times New Roman"/>
          <w:color w:val="000000"/>
          <w:sz w:val="20"/>
          <w:szCs w:val="20"/>
        </w:rPr>
        <w:t>Gross profit increased 7.7% to $1.39 billion for the second quarter of fiscal 2022 from $1.29 billion for the second quarter of fiscal 2021. As a percent of net sales, gross margin in the second quarter of fiscal 2022 decreased 24 basis points to 35.5% fro</w:t>
      </w:r>
      <w:r>
        <w:rPr>
          <w:rFonts w:eastAsia="Times New Roman"/>
          <w:color w:val="000000"/>
          <w:sz w:val="20"/>
          <w:szCs w:val="20"/>
        </w:rPr>
        <w:t>m 35.8% in the second quarter of fiscal 2021. The decrease in gross margin as a percent of net sales was primarily driven by higher product cost inflation, higher transportation costs, and, to a lesser extent, product mix shift towards C.U.E. products, whi</w:t>
      </w:r>
      <w:r>
        <w:rPr>
          <w:rFonts w:eastAsia="Times New Roman"/>
          <w:color w:val="000000"/>
          <w:sz w:val="20"/>
          <w:szCs w:val="20"/>
        </w:rPr>
        <w:t>ch run at a slightly lower margin rate. Heightened transportation costs were experienced in domestic and import freight, along with rising fuel prices. The Company's price management program and other margin driving initiatives effectively offset a signifi</w:t>
      </w:r>
      <w:r>
        <w:rPr>
          <w:rFonts w:eastAsia="Times New Roman"/>
          <w:color w:val="000000"/>
          <w:sz w:val="20"/>
          <w:szCs w:val="20"/>
        </w:rPr>
        <w:t>cant portion of these gross margin pressures.</w:t>
      </w:r>
    </w:p>
    <w:p w:rsidR="00000000" w:rsidRDefault="00613AEB">
      <w:pPr>
        <w:jc w:val="both"/>
        <w:rPr>
          <w:rFonts w:eastAsia="Times New Roman"/>
        </w:rPr>
      </w:pPr>
    </w:p>
    <w:p w:rsidR="00000000" w:rsidRDefault="00613AEB">
      <w:pPr>
        <w:jc w:val="both"/>
        <w:rPr>
          <w:rFonts w:eastAsia="Times New Roman"/>
        </w:rPr>
      </w:pPr>
      <w:r>
        <w:rPr>
          <w:rFonts w:eastAsia="Times New Roman"/>
          <w:color w:val="000000"/>
          <w:sz w:val="20"/>
          <w:szCs w:val="20"/>
        </w:rPr>
        <w:t>Selling, general and administrative (“SG&amp;A”) expenses, including depreciation and amortization, increased 7.4% to $861.2 million for the second quarter of fiscal 2022 from $801.6 million for the second quarte</w:t>
      </w:r>
      <w:r>
        <w:rPr>
          <w:rFonts w:eastAsia="Times New Roman"/>
          <w:color w:val="000000"/>
          <w:sz w:val="20"/>
          <w:szCs w:val="20"/>
        </w:rPr>
        <w:t>r of fiscal 2021. As a percent of net sales, SG&amp;A expenses were 22.1%, a 19 basis point improvement over the prior year's second quarter. The improvement in SG&amp;A as a percent of net sales was primarily attributable to more normalized incentive compensation</w:t>
      </w:r>
      <w:r>
        <w:rPr>
          <w:rFonts w:eastAsia="Times New Roman"/>
          <w:color w:val="000000"/>
          <w:sz w:val="20"/>
          <w:szCs w:val="20"/>
        </w:rPr>
        <w:t xml:space="preserve"> and a moderation of COVID-19 response costs, as well as leverage in occupancy and other costs from the increase in comparable store sales. The improvement in SG&amp;A expenses was partially offset by investments in store wages and the Company's strategic grow</w:t>
      </w:r>
      <w:r>
        <w:rPr>
          <w:rFonts w:eastAsia="Times New Roman"/>
          <w:color w:val="000000"/>
          <w:sz w:val="20"/>
          <w:szCs w:val="20"/>
        </w:rPr>
        <w:t>th investments.</w:t>
      </w:r>
    </w:p>
    <w:p w:rsidR="00000000" w:rsidRDefault="00613AEB">
      <w:pPr>
        <w:jc w:val="both"/>
        <w:rPr>
          <w:rFonts w:eastAsia="Times New Roman"/>
        </w:rPr>
      </w:pPr>
    </w:p>
    <w:p w:rsidR="00000000" w:rsidRDefault="00613AEB">
      <w:pPr>
        <w:jc w:val="both"/>
        <w:rPr>
          <w:rFonts w:eastAsia="Times New Roman"/>
        </w:rPr>
      </w:pPr>
      <w:r>
        <w:rPr>
          <w:rFonts w:eastAsia="Times New Roman"/>
          <w:color w:val="000000"/>
          <w:sz w:val="20"/>
          <w:szCs w:val="20"/>
        </w:rPr>
        <w:t>Operating income for the second quarter of fiscal 2022 increased 8.1% to $525.0 million compared to $485.9 million in the second quarter of fiscal 2021.</w:t>
      </w:r>
    </w:p>
    <w:p w:rsidR="00000000" w:rsidRDefault="00613AEB">
      <w:pPr>
        <w:jc w:val="both"/>
        <w:rPr>
          <w:rFonts w:eastAsia="Times New Roman"/>
        </w:rPr>
      </w:pPr>
    </w:p>
    <w:p w:rsidR="00000000" w:rsidRDefault="00613AEB">
      <w:pPr>
        <w:jc w:val="both"/>
        <w:rPr>
          <w:rFonts w:eastAsia="Times New Roman"/>
        </w:rPr>
      </w:pPr>
      <w:r>
        <w:rPr>
          <w:rFonts w:eastAsia="Times New Roman"/>
          <w:color w:val="000000"/>
          <w:sz w:val="20"/>
          <w:szCs w:val="20"/>
        </w:rPr>
        <w:t>The effective income tax rate was 23.5% in the second quarter of fiscal 2022 compared to 22.8% in the</w:t>
      </w:r>
      <w:r>
        <w:rPr>
          <w:rFonts w:eastAsia="Times New Roman"/>
          <w:color w:val="000000"/>
          <w:sz w:val="20"/>
          <w:szCs w:val="20"/>
        </w:rPr>
        <w:t xml:space="preserve"> second quarter of fiscal 2021. The increase in the effective income tax rate in the second quarter of fiscal 2022 compared to the second quarter of fiscal 2021 was driven primarily by lower discrete state tax credits relative to pre-tax income.</w:t>
      </w:r>
    </w:p>
    <w:p w:rsidR="00000000" w:rsidRDefault="00613AEB">
      <w:pPr>
        <w:jc w:val="both"/>
        <w:rPr>
          <w:rFonts w:eastAsia="Times New Roman"/>
        </w:rPr>
      </w:pPr>
    </w:p>
    <w:p w:rsidR="00000000" w:rsidRDefault="00613AEB">
      <w:pPr>
        <w:jc w:val="center"/>
        <w:divId w:val="823006737"/>
        <w:rPr>
          <w:rFonts w:eastAsia="Times New Roman"/>
        </w:rPr>
      </w:pPr>
      <w:r>
        <w:rPr>
          <w:rFonts w:eastAsia="Times New Roman"/>
          <w:color w:val="000000"/>
          <w:sz w:val="20"/>
          <w:szCs w:val="20"/>
        </w:rPr>
        <w:t>Page 18</w:t>
      </w:r>
    </w:p>
    <w:p w:rsidR="00000000" w:rsidRDefault="00613AEB">
      <w:pPr>
        <w:rPr>
          <w:rFonts w:eastAsia="Times New Roman"/>
        </w:rPr>
      </w:pPr>
      <w:r>
        <w:rPr>
          <w:rFonts w:eastAsia="Times New Roman"/>
        </w:rPr>
        <w:pict>
          <v:rect id="_x0000_i1043" style="width:0;height:1.5pt" o:hralign="center" o:hrstd="t" o:hr="t" fillcolor="#a0a0a0" stroked="f"/>
        </w:pict>
      </w:r>
    </w:p>
    <w:p w:rsidR="00000000" w:rsidRDefault="00613AEB">
      <w:pPr>
        <w:divId w:val="1800488204"/>
        <w:rPr>
          <w:rFonts w:eastAsia="Times New Roman"/>
        </w:rPr>
      </w:pPr>
      <w:hyperlink w:anchor="i7b244a6903fc440faaf2365d228fe4ba_7" w:history="1">
        <w:r>
          <w:rPr>
            <w:rStyle w:val="a3"/>
            <w:rFonts w:eastAsia="Times New Roman"/>
            <w:sz w:val="16"/>
            <w:szCs w:val="16"/>
          </w:rPr>
          <w:t>Index</w:t>
        </w:r>
      </w:hyperlink>
    </w:p>
    <w:p w:rsidR="00000000" w:rsidRDefault="00613AEB">
      <w:pPr>
        <w:jc w:val="both"/>
        <w:rPr>
          <w:rFonts w:eastAsia="Times New Roman"/>
        </w:rPr>
      </w:pPr>
      <w:r>
        <w:rPr>
          <w:rFonts w:eastAsia="Times New Roman"/>
          <w:color w:val="000000"/>
          <w:sz w:val="20"/>
          <w:szCs w:val="20"/>
        </w:rPr>
        <w:t>As a result of the foregoing factors, net income for the second quarter of fiscal 2022 increased 7.1% to $396.5 million, or $3.53 per diluted share, as comp</w:t>
      </w:r>
      <w:r>
        <w:rPr>
          <w:rFonts w:eastAsia="Times New Roman"/>
          <w:color w:val="000000"/>
          <w:sz w:val="20"/>
          <w:szCs w:val="20"/>
        </w:rPr>
        <w:t>ared to net income of $370.0 million, or $3.19 per diluted share, for the second quarter of fiscal 2021.</w:t>
      </w:r>
    </w:p>
    <w:p w:rsidR="00000000" w:rsidRDefault="00613AEB">
      <w:pPr>
        <w:jc w:val="both"/>
        <w:rPr>
          <w:rFonts w:eastAsia="Times New Roman"/>
        </w:rPr>
      </w:pPr>
    </w:p>
    <w:p w:rsidR="00000000" w:rsidRDefault="00613AEB">
      <w:pPr>
        <w:jc w:val="both"/>
        <w:rPr>
          <w:rFonts w:eastAsia="Times New Roman"/>
        </w:rPr>
      </w:pPr>
      <w:r>
        <w:rPr>
          <w:rFonts w:eastAsia="Times New Roman"/>
          <w:color w:val="000000"/>
          <w:sz w:val="20"/>
          <w:szCs w:val="20"/>
        </w:rPr>
        <w:t>During the second quarter of fiscal 2022, we repurchased approximately 0.9 million shares of the Company’s common stock at a total cost of $188.2 mil</w:t>
      </w:r>
      <w:r>
        <w:rPr>
          <w:rFonts w:eastAsia="Times New Roman"/>
          <w:color w:val="000000"/>
          <w:sz w:val="20"/>
          <w:szCs w:val="20"/>
        </w:rPr>
        <w:t>lion as part of our share repurchase program and paid quarterly cash dividends totaling $102.6 million, returning approximately $290.8 million to our stockholders.</w:t>
      </w:r>
    </w:p>
    <w:p w:rsidR="00000000" w:rsidRDefault="00613AEB">
      <w:pPr>
        <w:jc w:val="both"/>
        <w:rPr>
          <w:rFonts w:eastAsia="Times New Roman"/>
        </w:rPr>
      </w:pPr>
    </w:p>
    <w:p w:rsidR="00000000" w:rsidRDefault="00613AEB">
      <w:pPr>
        <w:jc w:val="both"/>
        <w:rPr>
          <w:rFonts w:eastAsia="Times New Roman"/>
        </w:rPr>
      </w:pPr>
      <w:r>
        <w:rPr>
          <w:rFonts w:eastAsia="Times New Roman"/>
          <w:color w:val="000000"/>
          <w:sz w:val="20"/>
          <w:szCs w:val="20"/>
          <w:u w:val="single"/>
        </w:rPr>
        <w:t xml:space="preserve">Fiscal Six Months Ended June 25, 2022 and June 26, 2021 </w:t>
      </w:r>
    </w:p>
    <w:p w:rsidR="00000000" w:rsidRDefault="00613AEB">
      <w:pPr>
        <w:jc w:val="both"/>
        <w:rPr>
          <w:rFonts w:eastAsia="Times New Roman"/>
        </w:rPr>
      </w:pPr>
    </w:p>
    <w:p w:rsidR="00000000" w:rsidRDefault="00613AEB">
      <w:pPr>
        <w:jc w:val="both"/>
        <w:rPr>
          <w:rFonts w:eastAsia="Times New Roman"/>
        </w:rPr>
      </w:pPr>
      <w:r>
        <w:rPr>
          <w:rFonts w:eastAsia="Times New Roman"/>
          <w:color w:val="000000"/>
          <w:sz w:val="20"/>
          <w:szCs w:val="20"/>
        </w:rPr>
        <w:t>Net sales increased 8.3% to $6.</w:t>
      </w:r>
      <w:r>
        <w:rPr>
          <w:rFonts w:eastAsia="Times New Roman"/>
          <w:color w:val="000000"/>
          <w:sz w:val="20"/>
          <w:szCs w:val="20"/>
        </w:rPr>
        <w:t xml:space="preserve">93 billion for the first six months of fiscal 2022 from $6.39 billion for the first six months of fiscal 2021. Comparable store sales for the first six months of fiscal 2022 were $6.76 billion, a 5.4% increase as compared to the first six months of fiscal </w:t>
      </w:r>
      <w:r>
        <w:rPr>
          <w:rFonts w:eastAsia="Times New Roman"/>
          <w:color w:val="000000"/>
          <w:sz w:val="20"/>
          <w:szCs w:val="20"/>
        </w:rPr>
        <w:t xml:space="preserve">2021. Net sales increased 24.5% and comparable store sales increased 21.2% in the first six months of fiscal 2021. </w:t>
      </w:r>
    </w:p>
    <w:p w:rsidR="00000000" w:rsidRDefault="00613AEB">
      <w:pPr>
        <w:jc w:val="both"/>
        <w:rPr>
          <w:rFonts w:eastAsia="Times New Roman"/>
        </w:rPr>
      </w:pPr>
    </w:p>
    <w:p w:rsidR="00000000" w:rsidRDefault="00613AEB">
      <w:pPr>
        <w:jc w:val="both"/>
        <w:rPr>
          <w:rFonts w:eastAsia="Times New Roman"/>
        </w:rPr>
      </w:pPr>
      <w:r>
        <w:rPr>
          <w:rFonts w:eastAsia="Times New Roman"/>
          <w:color w:val="000000"/>
          <w:sz w:val="20"/>
          <w:szCs w:val="20"/>
        </w:rPr>
        <w:t>The comparable store sales results for the first six months of fiscal 2022 included an increase in comparable average transaction value of</w:t>
      </w:r>
      <w:r>
        <w:rPr>
          <w:rFonts w:eastAsia="Times New Roman"/>
          <w:color w:val="000000"/>
          <w:sz w:val="20"/>
          <w:szCs w:val="20"/>
        </w:rPr>
        <w:t xml:space="preserve"> 7.1% and a decrease in comparable average transaction count of 1.7%, each as compared to the first six months of fiscal 2021. Comparable stores sales growth reflects continued strength in everyday, needs-based merchandise, including C.U.E. products and st</w:t>
      </w:r>
      <w:r>
        <w:rPr>
          <w:rFonts w:eastAsia="Times New Roman"/>
          <w:color w:val="000000"/>
          <w:sz w:val="20"/>
          <w:szCs w:val="20"/>
        </w:rPr>
        <w:t>rength in winter seasonal goods and year-round product categories, partially offset by a delayed start to the spring selling season in the first quarter of fiscal 2022 and continued unfavorable weather conditions into the second quarter of fiscal 2022. The</w:t>
      </w:r>
      <w:r>
        <w:rPr>
          <w:rFonts w:eastAsia="Times New Roman"/>
          <w:color w:val="000000"/>
          <w:sz w:val="20"/>
          <w:szCs w:val="20"/>
        </w:rPr>
        <w:t xml:space="preserve"> comparable store sales in the prior year benefited from favorable weather conditions in the first quarter as well as government stimulus throughout the first six months of fiscal 2021.</w:t>
      </w:r>
    </w:p>
    <w:p w:rsidR="00000000" w:rsidRDefault="00613AEB">
      <w:pPr>
        <w:jc w:val="both"/>
        <w:rPr>
          <w:rFonts w:eastAsia="Times New Roman"/>
        </w:rPr>
      </w:pPr>
    </w:p>
    <w:p w:rsidR="00000000" w:rsidRDefault="00613AEB">
      <w:pPr>
        <w:jc w:val="both"/>
        <w:rPr>
          <w:rFonts w:eastAsia="Times New Roman"/>
        </w:rPr>
      </w:pPr>
      <w:r>
        <w:rPr>
          <w:rFonts w:eastAsia="Times New Roman"/>
          <w:color w:val="000000"/>
          <w:sz w:val="20"/>
          <w:szCs w:val="20"/>
        </w:rPr>
        <w:t>In addition to comparable store sales growth for the first six month</w:t>
      </w:r>
      <w:r>
        <w:rPr>
          <w:rFonts w:eastAsia="Times New Roman"/>
          <w:color w:val="000000"/>
          <w:sz w:val="20"/>
          <w:szCs w:val="20"/>
        </w:rPr>
        <w:t>s of fiscal 2022, sales from stores open less than one year were $164.6 million for the first six months of fiscal 2022, which represented 2.6 percentage points of the 8.3% increase over the first six months of fiscal 2021 net sales. For the first six mont</w:t>
      </w:r>
      <w:r>
        <w:rPr>
          <w:rFonts w:eastAsia="Times New Roman"/>
          <w:color w:val="000000"/>
          <w:sz w:val="20"/>
          <w:szCs w:val="20"/>
        </w:rPr>
        <w:t xml:space="preserve">hs of fiscal 2021, sales from stores open less than one year were $183.4 million, which represented 3.6 percentage points of the 24.5% increase over the first six months of fiscal 2020 net sales. </w:t>
      </w:r>
    </w:p>
    <w:p w:rsidR="00000000" w:rsidRDefault="00613AEB">
      <w:pPr>
        <w:jc w:val="both"/>
        <w:rPr>
          <w:rFonts w:eastAsia="Times New Roman"/>
        </w:rPr>
      </w:pPr>
    </w:p>
    <w:p w:rsidR="00000000" w:rsidRDefault="00613AEB">
      <w:pPr>
        <w:jc w:val="center"/>
        <w:divId w:val="147596860"/>
        <w:rPr>
          <w:rFonts w:eastAsia="Times New Roman"/>
        </w:rPr>
      </w:pPr>
      <w:r>
        <w:rPr>
          <w:rFonts w:eastAsia="Times New Roman"/>
          <w:color w:val="000000"/>
          <w:sz w:val="20"/>
          <w:szCs w:val="20"/>
        </w:rPr>
        <w:t>Page 19</w:t>
      </w:r>
    </w:p>
    <w:p w:rsidR="00000000" w:rsidRDefault="00613AEB">
      <w:pPr>
        <w:rPr>
          <w:rFonts w:eastAsia="Times New Roman"/>
        </w:rPr>
      </w:pPr>
      <w:r>
        <w:rPr>
          <w:rFonts w:eastAsia="Times New Roman"/>
        </w:rPr>
        <w:pict>
          <v:rect id="_x0000_i1044" style="width:0;height:1.5pt" o:hralign="center" o:hrstd="t" o:hr="t" fillcolor="#a0a0a0" stroked="f"/>
        </w:pict>
      </w:r>
    </w:p>
    <w:p w:rsidR="00000000" w:rsidRDefault="00613AEB">
      <w:pPr>
        <w:divId w:val="104009154"/>
        <w:rPr>
          <w:rFonts w:eastAsia="Times New Roman"/>
        </w:rPr>
      </w:pPr>
      <w:hyperlink w:anchor="i7b244a6903fc440faaf2365d228fe4ba_7" w:history="1">
        <w:r>
          <w:rPr>
            <w:rStyle w:val="a3"/>
            <w:rFonts w:eastAsia="Times New Roman"/>
            <w:sz w:val="16"/>
            <w:szCs w:val="16"/>
          </w:rPr>
          <w:t>Index</w:t>
        </w:r>
      </w:hyperlink>
    </w:p>
    <w:p w:rsidR="00000000" w:rsidRDefault="00613AEB">
      <w:pPr>
        <w:jc w:val="both"/>
        <w:rPr>
          <w:rFonts w:eastAsia="Times New Roman"/>
        </w:rPr>
      </w:pPr>
      <w:r>
        <w:rPr>
          <w:rFonts w:eastAsia="Times New Roman"/>
          <w:color w:val="000000"/>
          <w:sz w:val="20"/>
          <w:szCs w:val="20"/>
        </w:rPr>
        <w:t>The following table summarizes store growth for the fiscal six months ended June 25, 2022 and June 26, 2021:</w:t>
      </w:r>
    </w:p>
    <w:tbl>
      <w:tblPr>
        <w:tblW w:w="4992" w:type="pct"/>
        <w:jc w:val="center"/>
        <w:tblCellMar>
          <w:top w:w="15" w:type="dxa"/>
          <w:left w:w="15" w:type="dxa"/>
          <w:bottom w:w="15" w:type="dxa"/>
          <w:right w:w="15" w:type="dxa"/>
        </w:tblCellMar>
        <w:tblLook w:val="04A0" w:firstRow="1" w:lastRow="0" w:firstColumn="1" w:lastColumn="0" w:noHBand="0" w:noVBand="1"/>
      </w:tblPr>
      <w:tblGrid>
        <w:gridCol w:w="63"/>
        <w:gridCol w:w="5669"/>
        <w:gridCol w:w="36"/>
        <w:gridCol w:w="63"/>
        <w:gridCol w:w="1114"/>
        <w:gridCol w:w="38"/>
        <w:gridCol w:w="37"/>
        <w:gridCol w:w="37"/>
        <w:gridCol w:w="36"/>
        <w:gridCol w:w="49"/>
        <w:gridCol w:w="1114"/>
        <w:gridCol w:w="37"/>
      </w:tblGrid>
      <w:tr w:rsidR="00000000">
        <w:trPr>
          <w:jc w:val="center"/>
        </w:trPr>
        <w:tc>
          <w:tcPr>
            <w:tcW w:w="50" w:type="pct"/>
            <w:vAlign w:val="center"/>
            <w:hideMark/>
          </w:tcPr>
          <w:p w:rsidR="00000000" w:rsidRDefault="00613AEB">
            <w:pPr>
              <w:jc w:val="both"/>
              <w:rPr>
                <w:rFonts w:eastAsia="Times New Roman"/>
              </w:rPr>
            </w:pPr>
          </w:p>
        </w:tc>
        <w:tc>
          <w:tcPr>
            <w:tcW w:w="3429"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0" w:type="pct"/>
            <w:vAlign w:val="center"/>
            <w:hideMark/>
          </w:tcPr>
          <w:p w:rsidR="00000000" w:rsidRDefault="00613AEB">
            <w:pPr>
              <w:spacing w:after="100"/>
              <w:rPr>
                <w:rFonts w:eastAsia="Times New Roman"/>
                <w:sz w:val="20"/>
                <w:szCs w:val="20"/>
              </w:rPr>
            </w:pPr>
          </w:p>
        </w:tc>
        <w:tc>
          <w:tcPr>
            <w:tcW w:w="684"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26"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0" w:type="pct"/>
            <w:vAlign w:val="center"/>
            <w:hideMark/>
          </w:tcPr>
          <w:p w:rsidR="00000000" w:rsidRDefault="00613AEB">
            <w:pPr>
              <w:spacing w:after="100"/>
              <w:rPr>
                <w:rFonts w:eastAsia="Times New Roman"/>
                <w:sz w:val="20"/>
                <w:szCs w:val="20"/>
              </w:rPr>
            </w:pPr>
          </w:p>
        </w:tc>
        <w:tc>
          <w:tcPr>
            <w:tcW w:w="684"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613AEB">
            <w:pPr>
              <w:spacing w:after="100"/>
              <w:jc w:val="center"/>
              <w:rPr>
                <w:rFonts w:eastAsia="Times New Roman"/>
              </w:rPr>
            </w:pPr>
            <w:r>
              <w:rPr>
                <w:rFonts w:eastAsia="Times New Roman"/>
                <w:b/>
                <w:bCs/>
                <w:color w:val="000000"/>
                <w:sz w:val="20"/>
                <w:szCs w:val="20"/>
              </w:rPr>
              <w:t>Fiscal Six Months Ended</w:t>
            </w:r>
          </w:p>
        </w:tc>
      </w:tr>
      <w:tr w:rsidR="00000000">
        <w:trPr>
          <w:jc w:val="center"/>
        </w:trPr>
        <w:tc>
          <w:tcPr>
            <w:tcW w:w="0" w:type="auto"/>
            <w:gridSpan w:val="3"/>
            <w:tcMar>
              <w:top w:w="30" w:type="dxa"/>
              <w:left w:w="20" w:type="dxa"/>
              <w:bottom w:w="30" w:type="dxa"/>
              <w:right w:w="20" w:type="dxa"/>
            </w:tcMar>
            <w:vAlign w:val="bottom"/>
            <w:hideMark/>
          </w:tcPr>
          <w:p w:rsidR="00000000" w:rsidRDefault="00613AEB">
            <w:pPr>
              <w:spacing w:after="100"/>
              <w:rPr>
                <w:rFonts w:eastAsia="Times New Roman"/>
              </w:rPr>
            </w:pPr>
            <w:r>
              <w:rPr>
                <w:rFonts w:eastAsia="Times New Roman"/>
                <w:b/>
                <w:bCs/>
                <w:color w:val="000000"/>
                <w:sz w:val="20"/>
                <w:szCs w:val="20"/>
              </w:rPr>
              <w:t>Store Count Information:</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13AEB">
            <w:pPr>
              <w:spacing w:after="100"/>
              <w:jc w:val="center"/>
              <w:rPr>
                <w:rFonts w:eastAsia="Times New Roman"/>
              </w:rPr>
            </w:pPr>
            <w:r>
              <w:rPr>
                <w:rFonts w:eastAsia="Times New Roman"/>
                <w:b/>
                <w:bCs/>
                <w:color w:val="000000"/>
                <w:sz w:val="20"/>
                <w:szCs w:val="20"/>
              </w:rPr>
              <w:t>June 25,</w:t>
            </w:r>
            <w:r>
              <w:rPr>
                <w:rFonts w:eastAsia="Times New Roman"/>
                <w:b/>
                <w:bCs/>
                <w:color w:val="000000"/>
                <w:sz w:val="20"/>
                <w:szCs w:val="20"/>
              </w:rPr>
              <w:b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13AE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13AEB">
            <w:pPr>
              <w:spacing w:after="100"/>
              <w:jc w:val="center"/>
              <w:rPr>
                <w:rFonts w:eastAsia="Times New Roman"/>
              </w:rPr>
            </w:pPr>
            <w:r>
              <w:rPr>
                <w:rFonts w:eastAsia="Times New Roman"/>
                <w:b/>
                <w:bCs/>
                <w:color w:val="000000"/>
                <w:sz w:val="20"/>
                <w:szCs w:val="20"/>
              </w:rPr>
              <w:t>June 26,</w:t>
            </w:r>
            <w:r>
              <w:rPr>
                <w:rFonts w:eastAsia="Times New Roman"/>
                <w:b/>
                <w:bCs/>
                <w:color w:val="000000"/>
                <w:sz w:val="20"/>
                <w:szCs w:val="20"/>
              </w:rPr>
              <w:br/>
              <w:t>2021</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613AEB">
            <w:pPr>
              <w:spacing w:after="100"/>
              <w:rPr>
                <w:rFonts w:eastAsia="Times New Roman"/>
              </w:rPr>
            </w:pPr>
            <w:r>
              <w:rPr>
                <w:rFonts w:eastAsia="Times New Roman"/>
                <w:i/>
                <w:iCs/>
                <w:color w:val="000000"/>
                <w:sz w:val="20"/>
                <w:szCs w:val="20"/>
                <w:u w:val="single"/>
              </w:rPr>
              <w:t>Tractor Supply</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13AE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Beginning of period</w:t>
            </w:r>
          </w:p>
        </w:tc>
        <w:tc>
          <w:tcPr>
            <w:tcW w:w="0" w:type="auto"/>
            <w:gridSpan w:val="2"/>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2,003 </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1,923 </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r>
      <w:tr w:rsidR="00000000">
        <w:trPr>
          <w:jc w:val="center"/>
        </w:trPr>
        <w:tc>
          <w:tcPr>
            <w:tcW w:w="0" w:type="auto"/>
            <w:gridSpan w:val="3"/>
            <w:shd w:val="clear" w:color="auto" w:fill="CCEEFF"/>
            <w:tcMar>
              <w:top w:w="30" w:type="dxa"/>
              <w:left w:w="515"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New stores opened</w:t>
            </w: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13 </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32 </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r>
      <w:tr w:rsidR="00000000">
        <w:trPr>
          <w:jc w:val="center"/>
        </w:trPr>
        <w:tc>
          <w:tcPr>
            <w:tcW w:w="0" w:type="auto"/>
            <w:gridSpan w:val="3"/>
            <w:shd w:val="clear" w:color="auto" w:fill="FFFFFF"/>
            <w:tcMar>
              <w:top w:w="30" w:type="dxa"/>
              <w:left w:w="515"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Stores closed</w:t>
            </w:r>
          </w:p>
        </w:tc>
        <w:tc>
          <w:tcPr>
            <w:tcW w:w="0" w:type="auto"/>
            <w:gridSpan w:val="2"/>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End of period</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2,016 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1,955 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613AEB">
            <w:pPr>
              <w:spacing w:after="100"/>
              <w:rPr>
                <w:rFonts w:eastAsia="Times New Roman"/>
              </w:rPr>
            </w:pPr>
            <w:r>
              <w:rPr>
                <w:rFonts w:eastAsia="Times New Roman"/>
                <w:i/>
                <w:iCs/>
                <w:color w:val="000000"/>
                <w:sz w:val="20"/>
                <w:szCs w:val="20"/>
                <w:u w:val="single"/>
              </w:rPr>
              <w:t>Petsense</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613AE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Beginning of period</w:t>
            </w: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178 </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182 </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r>
      <w:tr w:rsidR="00000000">
        <w:trPr>
          <w:jc w:val="center"/>
        </w:trPr>
        <w:tc>
          <w:tcPr>
            <w:tcW w:w="0" w:type="auto"/>
            <w:gridSpan w:val="3"/>
            <w:shd w:val="clear" w:color="auto" w:fill="FFFFFF"/>
            <w:tcMar>
              <w:top w:w="30" w:type="dxa"/>
              <w:left w:w="515"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New stores opened</w:t>
            </w:r>
          </w:p>
        </w:tc>
        <w:tc>
          <w:tcPr>
            <w:tcW w:w="0" w:type="auto"/>
            <w:gridSpan w:val="2"/>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r>
      <w:tr w:rsidR="00000000">
        <w:trPr>
          <w:jc w:val="center"/>
        </w:trPr>
        <w:tc>
          <w:tcPr>
            <w:tcW w:w="0" w:type="auto"/>
            <w:gridSpan w:val="3"/>
            <w:shd w:val="clear" w:color="auto" w:fill="CCEEFF"/>
            <w:tcMar>
              <w:top w:w="30" w:type="dxa"/>
              <w:left w:w="515"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Stores closed</w:t>
            </w: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(11)</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End of period</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178 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174 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Consolidated, end of period</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2,194 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2,129 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Stores relocated</w:t>
            </w: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4 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r>
    </w:tbl>
    <w:p w:rsidR="00000000" w:rsidRDefault="00613AEB">
      <w:pPr>
        <w:jc w:val="both"/>
        <w:rPr>
          <w:rFonts w:eastAsia="Times New Roman"/>
        </w:rPr>
      </w:pPr>
    </w:p>
    <w:p w:rsidR="00000000" w:rsidRDefault="00613AEB">
      <w:pPr>
        <w:jc w:val="both"/>
        <w:rPr>
          <w:rFonts w:eastAsia="Times New Roman"/>
        </w:rPr>
      </w:pPr>
      <w:r>
        <w:rPr>
          <w:rFonts w:eastAsia="Times New Roman"/>
          <w:color w:val="000000"/>
          <w:sz w:val="20"/>
          <w:szCs w:val="20"/>
        </w:rPr>
        <w:t>The following table indicates the percentage of net sales represented by each of our major product categories for the fiscal six months ended June 25, 2022 and June 26, 2021:</w:t>
      </w:r>
    </w:p>
    <w:tbl>
      <w:tblPr>
        <w:tblW w:w="4992" w:type="pct"/>
        <w:jc w:val="center"/>
        <w:tblCellMar>
          <w:top w:w="15" w:type="dxa"/>
          <w:left w:w="15" w:type="dxa"/>
          <w:bottom w:w="15" w:type="dxa"/>
          <w:right w:w="15" w:type="dxa"/>
        </w:tblCellMar>
        <w:tblLook w:val="04A0" w:firstRow="1" w:lastRow="0" w:firstColumn="1" w:lastColumn="0" w:noHBand="0" w:noVBand="1"/>
      </w:tblPr>
      <w:tblGrid>
        <w:gridCol w:w="39"/>
        <w:gridCol w:w="5305"/>
        <w:gridCol w:w="38"/>
        <w:gridCol w:w="38"/>
        <w:gridCol w:w="988"/>
        <w:gridCol w:w="188"/>
        <w:gridCol w:w="37"/>
        <w:gridCol w:w="37"/>
        <w:gridCol w:w="36"/>
        <w:gridCol w:w="37"/>
        <w:gridCol w:w="931"/>
        <w:gridCol w:w="187"/>
        <w:gridCol w:w="36"/>
        <w:gridCol w:w="36"/>
        <w:gridCol w:w="36"/>
        <w:gridCol w:w="36"/>
        <w:gridCol w:w="36"/>
        <w:gridCol w:w="36"/>
        <w:gridCol w:w="36"/>
        <w:gridCol w:w="36"/>
        <w:gridCol w:w="36"/>
        <w:gridCol w:w="36"/>
        <w:gridCol w:w="36"/>
        <w:gridCol w:w="36"/>
      </w:tblGrid>
      <w:tr w:rsidR="00000000">
        <w:trPr>
          <w:gridAfter w:val="12"/>
          <w:jc w:val="center"/>
        </w:trPr>
        <w:tc>
          <w:tcPr>
            <w:tcW w:w="50" w:type="pct"/>
            <w:vAlign w:val="center"/>
            <w:hideMark/>
          </w:tcPr>
          <w:p w:rsidR="00000000" w:rsidRDefault="00613AEB">
            <w:pPr>
              <w:jc w:val="both"/>
              <w:rPr>
                <w:rFonts w:eastAsia="Times New Roman"/>
              </w:rPr>
            </w:pPr>
          </w:p>
        </w:tc>
        <w:tc>
          <w:tcPr>
            <w:tcW w:w="3429"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0" w:type="pct"/>
            <w:vAlign w:val="center"/>
            <w:hideMark/>
          </w:tcPr>
          <w:p w:rsidR="00000000" w:rsidRDefault="00613AEB">
            <w:pPr>
              <w:spacing w:after="100"/>
              <w:rPr>
                <w:rFonts w:eastAsia="Times New Roman"/>
                <w:sz w:val="20"/>
                <w:szCs w:val="20"/>
              </w:rPr>
            </w:pPr>
          </w:p>
        </w:tc>
        <w:tc>
          <w:tcPr>
            <w:tcW w:w="684"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26"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0" w:type="pct"/>
            <w:vAlign w:val="center"/>
            <w:hideMark/>
          </w:tcPr>
          <w:p w:rsidR="00000000" w:rsidRDefault="00613AEB">
            <w:pPr>
              <w:spacing w:after="100"/>
              <w:rPr>
                <w:rFonts w:eastAsia="Times New Roman"/>
                <w:sz w:val="20"/>
                <w:szCs w:val="20"/>
              </w:rPr>
            </w:pPr>
          </w:p>
        </w:tc>
        <w:tc>
          <w:tcPr>
            <w:tcW w:w="684"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r>
      <w:tr w:rsidR="00000000">
        <w:trPr>
          <w:gridAfter w:val="12"/>
          <w:jc w:val="center"/>
        </w:trPr>
        <w:tc>
          <w:tcPr>
            <w:tcW w:w="0" w:type="auto"/>
            <w:gridSpan w:val="3"/>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613AEB">
            <w:pPr>
              <w:spacing w:after="100"/>
              <w:jc w:val="center"/>
              <w:rPr>
                <w:rFonts w:eastAsia="Times New Roman"/>
              </w:rPr>
            </w:pPr>
            <w:r>
              <w:rPr>
                <w:rFonts w:eastAsia="Times New Roman"/>
                <w:b/>
                <w:bCs/>
                <w:color w:val="000000"/>
                <w:sz w:val="20"/>
                <w:szCs w:val="20"/>
              </w:rPr>
              <w:t>Percent of Net Sales</w:t>
            </w:r>
          </w:p>
        </w:tc>
      </w:tr>
      <w:tr w:rsidR="00000000">
        <w:trPr>
          <w:gridAfter w:val="12"/>
          <w:trHeight w:val="230"/>
          <w:jc w:val="center"/>
        </w:trPr>
        <w:tc>
          <w:tcPr>
            <w:tcW w:w="0" w:type="auto"/>
            <w:gridSpan w:val="3"/>
            <w:vMerge w:val="restart"/>
            <w:tcMar>
              <w:top w:w="30" w:type="dxa"/>
              <w:left w:w="20"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 </w:t>
            </w:r>
          </w:p>
        </w:tc>
        <w:tc>
          <w:tcPr>
            <w:tcW w:w="0" w:type="auto"/>
            <w:gridSpan w:val="9"/>
            <w:vMerge w:val="restart"/>
            <w:tcMar>
              <w:top w:w="30" w:type="dxa"/>
              <w:left w:w="20" w:type="dxa"/>
              <w:bottom w:w="30" w:type="dxa"/>
              <w:right w:w="20" w:type="dxa"/>
            </w:tcMar>
            <w:vAlign w:val="bottom"/>
            <w:hideMark/>
          </w:tcPr>
          <w:p w:rsidR="00000000" w:rsidRDefault="00613AEB">
            <w:pPr>
              <w:spacing w:after="100"/>
              <w:jc w:val="center"/>
              <w:rPr>
                <w:rFonts w:eastAsia="Times New Roman"/>
              </w:rPr>
            </w:pPr>
            <w:r>
              <w:rPr>
                <w:rFonts w:eastAsia="Times New Roman"/>
                <w:b/>
                <w:bCs/>
                <w:color w:val="000000"/>
                <w:sz w:val="20"/>
                <w:szCs w:val="20"/>
              </w:rPr>
              <w:t>Fiscal Six Months Ended</w:t>
            </w:r>
          </w:p>
        </w:tc>
      </w:tr>
      <w:tr w:rsidR="00000000">
        <w:trPr>
          <w:trHeight w:val="160"/>
          <w:jc w:val="center"/>
        </w:trPr>
        <w:tc>
          <w:tcPr>
            <w:tcW w:w="0" w:type="auto"/>
            <w:gridSpan w:val="3"/>
            <w:vMerge/>
            <w:vAlign w:val="center"/>
            <w:hideMark/>
          </w:tcPr>
          <w:p w:rsidR="00000000" w:rsidRDefault="00613AEB">
            <w:pPr>
              <w:spacing w:after="100"/>
              <w:rPr>
                <w:rFonts w:eastAsia="Times New Roman"/>
              </w:rPr>
            </w:pPr>
          </w:p>
        </w:tc>
        <w:tc>
          <w:tcPr>
            <w:tcW w:w="0" w:type="auto"/>
            <w:gridSpan w:val="9"/>
            <w:vMerge/>
            <w:vAlign w:val="center"/>
            <w:hideMark/>
          </w:tcPr>
          <w:p w:rsidR="00000000" w:rsidRDefault="00613AEB">
            <w:pPr>
              <w:spacing w:after="100"/>
              <w:rPr>
                <w:rFonts w:eastAsia="Times New Roman"/>
              </w:rPr>
            </w:pPr>
          </w:p>
        </w:tc>
        <w:tc>
          <w:tcPr>
            <w:tcW w:w="0" w:type="auto"/>
            <w:gridSpan w:val="12"/>
            <w:vAlign w:val="center"/>
            <w:hideMark/>
          </w:tcPr>
          <w:p w:rsidR="00000000" w:rsidRDefault="00613AEB">
            <w:pPr>
              <w:spacing w:after="100"/>
              <w:jc w:val="center"/>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613AEB">
            <w:pPr>
              <w:spacing w:after="100"/>
              <w:rPr>
                <w:rFonts w:eastAsia="Times New Roman"/>
              </w:rPr>
            </w:pPr>
            <w:r>
              <w:rPr>
                <w:rFonts w:eastAsia="Times New Roman"/>
                <w:b/>
                <w:bCs/>
                <w:color w:val="000000"/>
                <w:sz w:val="20"/>
                <w:szCs w:val="20"/>
              </w:rPr>
              <w:t>Product Category:</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13AEB">
            <w:pPr>
              <w:spacing w:after="100"/>
              <w:jc w:val="center"/>
              <w:rPr>
                <w:rFonts w:eastAsia="Times New Roman"/>
              </w:rPr>
            </w:pPr>
            <w:r>
              <w:rPr>
                <w:rFonts w:eastAsia="Times New Roman"/>
                <w:b/>
                <w:bCs/>
                <w:color w:val="000000"/>
                <w:sz w:val="20"/>
                <w:szCs w:val="20"/>
              </w:rPr>
              <w:t>June 25,</w:t>
            </w:r>
            <w:r>
              <w:rPr>
                <w:rFonts w:eastAsia="Times New Roman"/>
                <w:b/>
                <w:bCs/>
                <w:color w:val="000000"/>
                <w:sz w:val="20"/>
                <w:szCs w:val="20"/>
              </w:rPr>
              <w:b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13AE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13AEB">
            <w:pPr>
              <w:spacing w:after="100"/>
              <w:jc w:val="center"/>
              <w:rPr>
                <w:rFonts w:eastAsia="Times New Roman"/>
              </w:rPr>
            </w:pPr>
            <w:r>
              <w:rPr>
                <w:rFonts w:eastAsia="Times New Roman"/>
                <w:b/>
                <w:bCs/>
                <w:color w:val="000000"/>
                <w:sz w:val="20"/>
                <w:szCs w:val="20"/>
              </w:rPr>
              <w:t>June 26,</w:t>
            </w:r>
            <w:r>
              <w:rPr>
                <w:rFonts w:eastAsia="Times New Roman"/>
                <w:b/>
                <w:bCs/>
                <w:color w:val="000000"/>
                <w:sz w:val="20"/>
                <w:szCs w:val="20"/>
              </w:rPr>
              <w:br/>
              <w:t>2021</w:t>
            </w:r>
          </w:p>
        </w:tc>
        <w:tc>
          <w:tcPr>
            <w:tcW w:w="0" w:type="auto"/>
            <w:vAlign w:val="center"/>
            <w:hideMark/>
          </w:tcPr>
          <w:p w:rsidR="00000000" w:rsidRDefault="00613AEB">
            <w:pPr>
              <w:spacing w:after="100"/>
              <w:rPr>
                <w:rFonts w:eastAsia="Times New Roman"/>
                <w:sz w:val="20"/>
                <w:szCs w:val="20"/>
              </w:rPr>
            </w:pPr>
          </w:p>
        </w:tc>
        <w:tc>
          <w:tcPr>
            <w:tcW w:w="0" w:type="auto"/>
            <w:vAlign w:val="center"/>
            <w:hideMark/>
          </w:tcPr>
          <w:p w:rsidR="00000000" w:rsidRDefault="00613AEB">
            <w:pPr>
              <w:spacing w:after="100"/>
              <w:rPr>
                <w:rFonts w:eastAsia="Times New Roman"/>
                <w:sz w:val="20"/>
                <w:szCs w:val="20"/>
              </w:rPr>
            </w:pPr>
          </w:p>
        </w:tc>
        <w:tc>
          <w:tcPr>
            <w:tcW w:w="0" w:type="auto"/>
            <w:vAlign w:val="center"/>
            <w:hideMark/>
          </w:tcPr>
          <w:p w:rsidR="00000000" w:rsidRDefault="00613AEB">
            <w:pPr>
              <w:spacing w:after="100"/>
              <w:rPr>
                <w:rFonts w:eastAsia="Times New Roman"/>
                <w:sz w:val="20"/>
                <w:szCs w:val="20"/>
              </w:rPr>
            </w:pPr>
          </w:p>
        </w:tc>
        <w:tc>
          <w:tcPr>
            <w:tcW w:w="0" w:type="auto"/>
            <w:vAlign w:val="center"/>
            <w:hideMark/>
          </w:tcPr>
          <w:p w:rsidR="00000000" w:rsidRDefault="00613AEB">
            <w:pPr>
              <w:spacing w:after="100"/>
              <w:rPr>
                <w:rFonts w:eastAsia="Times New Roman"/>
                <w:sz w:val="20"/>
                <w:szCs w:val="20"/>
              </w:rPr>
            </w:pPr>
          </w:p>
        </w:tc>
        <w:tc>
          <w:tcPr>
            <w:tcW w:w="0" w:type="auto"/>
            <w:vAlign w:val="center"/>
            <w:hideMark/>
          </w:tcPr>
          <w:p w:rsidR="00000000" w:rsidRDefault="00613AEB">
            <w:pPr>
              <w:spacing w:after="100"/>
              <w:rPr>
                <w:rFonts w:eastAsia="Times New Roman"/>
                <w:sz w:val="20"/>
                <w:szCs w:val="20"/>
              </w:rPr>
            </w:pPr>
          </w:p>
        </w:tc>
        <w:tc>
          <w:tcPr>
            <w:tcW w:w="0" w:type="auto"/>
            <w:vAlign w:val="center"/>
            <w:hideMark/>
          </w:tcPr>
          <w:p w:rsidR="00000000" w:rsidRDefault="00613AEB">
            <w:pPr>
              <w:spacing w:after="100"/>
              <w:rPr>
                <w:rFonts w:eastAsia="Times New Roman"/>
                <w:sz w:val="20"/>
                <w:szCs w:val="20"/>
              </w:rPr>
            </w:pPr>
          </w:p>
        </w:tc>
        <w:tc>
          <w:tcPr>
            <w:tcW w:w="0" w:type="auto"/>
            <w:vAlign w:val="center"/>
            <w:hideMark/>
          </w:tcPr>
          <w:p w:rsidR="00000000" w:rsidRDefault="00613AEB">
            <w:pPr>
              <w:spacing w:after="100"/>
              <w:rPr>
                <w:rFonts w:eastAsia="Times New Roman"/>
                <w:sz w:val="20"/>
                <w:szCs w:val="20"/>
              </w:rPr>
            </w:pPr>
          </w:p>
        </w:tc>
        <w:tc>
          <w:tcPr>
            <w:tcW w:w="0" w:type="auto"/>
            <w:vAlign w:val="center"/>
            <w:hideMark/>
          </w:tcPr>
          <w:p w:rsidR="00000000" w:rsidRDefault="00613AEB">
            <w:pPr>
              <w:spacing w:after="100"/>
              <w:rPr>
                <w:rFonts w:eastAsia="Times New Roman"/>
                <w:sz w:val="20"/>
                <w:szCs w:val="20"/>
              </w:rPr>
            </w:pPr>
          </w:p>
        </w:tc>
        <w:tc>
          <w:tcPr>
            <w:tcW w:w="0" w:type="auto"/>
            <w:vAlign w:val="center"/>
            <w:hideMark/>
          </w:tcPr>
          <w:p w:rsidR="00000000" w:rsidRDefault="00613AEB">
            <w:pPr>
              <w:spacing w:after="100"/>
              <w:rPr>
                <w:rFonts w:eastAsia="Times New Roman"/>
                <w:sz w:val="20"/>
                <w:szCs w:val="20"/>
              </w:rPr>
            </w:pPr>
          </w:p>
        </w:tc>
        <w:tc>
          <w:tcPr>
            <w:tcW w:w="0" w:type="auto"/>
            <w:vAlign w:val="center"/>
            <w:hideMark/>
          </w:tcPr>
          <w:p w:rsidR="00000000" w:rsidRDefault="00613AEB">
            <w:pPr>
              <w:spacing w:after="100"/>
              <w:rPr>
                <w:rFonts w:eastAsia="Times New Roman"/>
                <w:sz w:val="20"/>
                <w:szCs w:val="20"/>
              </w:rPr>
            </w:pPr>
          </w:p>
        </w:tc>
        <w:tc>
          <w:tcPr>
            <w:tcW w:w="0" w:type="auto"/>
            <w:vAlign w:val="center"/>
            <w:hideMark/>
          </w:tcPr>
          <w:p w:rsidR="00000000" w:rsidRDefault="00613AEB">
            <w:pPr>
              <w:spacing w:after="100"/>
              <w:rPr>
                <w:rFonts w:eastAsia="Times New Roman"/>
                <w:sz w:val="20"/>
                <w:szCs w:val="20"/>
              </w:rPr>
            </w:pPr>
          </w:p>
        </w:tc>
        <w:tc>
          <w:tcPr>
            <w:tcW w:w="0" w:type="auto"/>
            <w:vAlign w:val="center"/>
            <w:hideMark/>
          </w:tcPr>
          <w:p w:rsidR="00000000" w:rsidRDefault="00613AEB">
            <w:pPr>
              <w:spacing w:after="100"/>
              <w:rPr>
                <w:rFonts w:eastAsia="Times New Roman"/>
                <w:sz w:val="20"/>
                <w:szCs w:val="20"/>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Livestock and Pet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50 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613AEB">
            <w:pPr>
              <w:spacing w:after="100"/>
              <w:rPr>
                <w:rFonts w:eastAsia="Times New Roman"/>
                <w:sz w:val="20"/>
                <w:szCs w:val="20"/>
              </w:rPr>
            </w:pPr>
          </w:p>
        </w:tc>
        <w:tc>
          <w:tcPr>
            <w:tcW w:w="0" w:type="auto"/>
            <w:vAlign w:val="center"/>
            <w:hideMark/>
          </w:tcPr>
          <w:p w:rsidR="00000000" w:rsidRDefault="00613AEB">
            <w:pPr>
              <w:spacing w:after="100"/>
              <w:rPr>
                <w:rFonts w:eastAsia="Times New Roman"/>
                <w:sz w:val="20"/>
                <w:szCs w:val="20"/>
              </w:rPr>
            </w:pPr>
          </w:p>
        </w:tc>
        <w:tc>
          <w:tcPr>
            <w:tcW w:w="0" w:type="auto"/>
            <w:vAlign w:val="center"/>
            <w:hideMark/>
          </w:tcPr>
          <w:p w:rsidR="00000000" w:rsidRDefault="00613AEB">
            <w:pPr>
              <w:spacing w:after="100"/>
              <w:rPr>
                <w:rFonts w:eastAsia="Times New Roman"/>
                <w:sz w:val="20"/>
                <w:szCs w:val="20"/>
              </w:rPr>
            </w:pPr>
          </w:p>
        </w:tc>
        <w:tc>
          <w:tcPr>
            <w:tcW w:w="0" w:type="auto"/>
            <w:vAlign w:val="center"/>
            <w:hideMark/>
          </w:tcPr>
          <w:p w:rsidR="00000000" w:rsidRDefault="00613AEB">
            <w:pPr>
              <w:spacing w:after="100"/>
              <w:rPr>
                <w:rFonts w:eastAsia="Times New Roman"/>
                <w:sz w:val="20"/>
                <w:szCs w:val="20"/>
              </w:rPr>
            </w:pPr>
          </w:p>
        </w:tc>
        <w:tc>
          <w:tcPr>
            <w:tcW w:w="0" w:type="auto"/>
            <w:vAlign w:val="center"/>
            <w:hideMark/>
          </w:tcPr>
          <w:p w:rsidR="00000000" w:rsidRDefault="00613AEB">
            <w:pPr>
              <w:spacing w:after="100"/>
              <w:rPr>
                <w:rFonts w:eastAsia="Times New Roman"/>
                <w:sz w:val="20"/>
                <w:szCs w:val="20"/>
              </w:rPr>
            </w:pPr>
          </w:p>
        </w:tc>
        <w:tc>
          <w:tcPr>
            <w:tcW w:w="0" w:type="auto"/>
            <w:vAlign w:val="center"/>
            <w:hideMark/>
          </w:tcPr>
          <w:p w:rsidR="00000000" w:rsidRDefault="00613AEB">
            <w:pPr>
              <w:spacing w:after="100"/>
              <w:rPr>
                <w:rFonts w:eastAsia="Times New Roman"/>
                <w:sz w:val="20"/>
                <w:szCs w:val="20"/>
              </w:rPr>
            </w:pPr>
          </w:p>
        </w:tc>
        <w:tc>
          <w:tcPr>
            <w:tcW w:w="0" w:type="auto"/>
            <w:vAlign w:val="center"/>
            <w:hideMark/>
          </w:tcPr>
          <w:p w:rsidR="00000000" w:rsidRDefault="00613AEB">
            <w:pPr>
              <w:spacing w:after="100"/>
              <w:rPr>
                <w:rFonts w:eastAsia="Times New Roman"/>
                <w:sz w:val="20"/>
                <w:szCs w:val="20"/>
              </w:rPr>
            </w:pPr>
          </w:p>
        </w:tc>
        <w:tc>
          <w:tcPr>
            <w:tcW w:w="0" w:type="auto"/>
            <w:vAlign w:val="center"/>
            <w:hideMark/>
          </w:tcPr>
          <w:p w:rsidR="00000000" w:rsidRDefault="00613AEB">
            <w:pPr>
              <w:spacing w:after="100"/>
              <w:rPr>
                <w:rFonts w:eastAsia="Times New Roman"/>
                <w:sz w:val="20"/>
                <w:szCs w:val="20"/>
              </w:rPr>
            </w:pPr>
          </w:p>
        </w:tc>
        <w:tc>
          <w:tcPr>
            <w:tcW w:w="0" w:type="auto"/>
            <w:vAlign w:val="center"/>
            <w:hideMark/>
          </w:tcPr>
          <w:p w:rsidR="00000000" w:rsidRDefault="00613AEB">
            <w:pPr>
              <w:spacing w:after="100"/>
              <w:rPr>
                <w:rFonts w:eastAsia="Times New Roman"/>
                <w:sz w:val="20"/>
                <w:szCs w:val="20"/>
              </w:rPr>
            </w:pPr>
          </w:p>
        </w:tc>
        <w:tc>
          <w:tcPr>
            <w:tcW w:w="0" w:type="auto"/>
            <w:vAlign w:val="center"/>
            <w:hideMark/>
          </w:tcPr>
          <w:p w:rsidR="00000000" w:rsidRDefault="00613AEB">
            <w:pPr>
              <w:spacing w:after="100"/>
              <w:rPr>
                <w:rFonts w:eastAsia="Times New Roman"/>
                <w:sz w:val="20"/>
                <w:szCs w:val="20"/>
              </w:rPr>
            </w:pPr>
          </w:p>
        </w:tc>
        <w:tc>
          <w:tcPr>
            <w:tcW w:w="0" w:type="auto"/>
            <w:vAlign w:val="center"/>
            <w:hideMark/>
          </w:tcPr>
          <w:p w:rsidR="00000000" w:rsidRDefault="00613AEB">
            <w:pPr>
              <w:spacing w:after="100"/>
              <w:rPr>
                <w:rFonts w:eastAsia="Times New Roman"/>
                <w:sz w:val="20"/>
                <w:szCs w:val="20"/>
              </w:rPr>
            </w:pPr>
          </w:p>
        </w:tc>
        <w:tc>
          <w:tcPr>
            <w:tcW w:w="0" w:type="auto"/>
            <w:vAlign w:val="center"/>
            <w:hideMark/>
          </w:tcPr>
          <w:p w:rsidR="00000000" w:rsidRDefault="00613AEB">
            <w:pPr>
              <w:spacing w:after="100"/>
              <w:rPr>
                <w:rFonts w:eastAsia="Times New Roman"/>
                <w:sz w:val="20"/>
                <w:szCs w:val="20"/>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Seasonal, Gift and Toy Products</w:t>
            </w:r>
          </w:p>
        </w:tc>
        <w:tc>
          <w:tcPr>
            <w:tcW w:w="0" w:type="auto"/>
            <w:gridSpan w:val="2"/>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22 </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22 </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vAlign w:val="center"/>
            <w:hideMark/>
          </w:tcPr>
          <w:p w:rsidR="00000000" w:rsidRDefault="00613AEB">
            <w:pPr>
              <w:spacing w:after="100"/>
              <w:rPr>
                <w:rFonts w:eastAsia="Times New Roman"/>
                <w:sz w:val="20"/>
                <w:szCs w:val="20"/>
              </w:rPr>
            </w:pPr>
          </w:p>
        </w:tc>
        <w:tc>
          <w:tcPr>
            <w:tcW w:w="0" w:type="auto"/>
            <w:vAlign w:val="center"/>
            <w:hideMark/>
          </w:tcPr>
          <w:p w:rsidR="00000000" w:rsidRDefault="00613AEB">
            <w:pPr>
              <w:spacing w:after="100"/>
              <w:rPr>
                <w:rFonts w:eastAsia="Times New Roman"/>
                <w:sz w:val="20"/>
                <w:szCs w:val="20"/>
              </w:rPr>
            </w:pPr>
          </w:p>
        </w:tc>
        <w:tc>
          <w:tcPr>
            <w:tcW w:w="0" w:type="auto"/>
            <w:vAlign w:val="center"/>
            <w:hideMark/>
          </w:tcPr>
          <w:p w:rsidR="00000000" w:rsidRDefault="00613AEB">
            <w:pPr>
              <w:spacing w:after="100"/>
              <w:rPr>
                <w:rFonts w:eastAsia="Times New Roman"/>
                <w:sz w:val="20"/>
                <w:szCs w:val="20"/>
              </w:rPr>
            </w:pPr>
          </w:p>
        </w:tc>
        <w:tc>
          <w:tcPr>
            <w:tcW w:w="0" w:type="auto"/>
            <w:vAlign w:val="center"/>
            <w:hideMark/>
          </w:tcPr>
          <w:p w:rsidR="00000000" w:rsidRDefault="00613AEB">
            <w:pPr>
              <w:spacing w:after="100"/>
              <w:rPr>
                <w:rFonts w:eastAsia="Times New Roman"/>
                <w:sz w:val="20"/>
                <w:szCs w:val="20"/>
              </w:rPr>
            </w:pPr>
          </w:p>
        </w:tc>
        <w:tc>
          <w:tcPr>
            <w:tcW w:w="0" w:type="auto"/>
            <w:vAlign w:val="center"/>
            <w:hideMark/>
          </w:tcPr>
          <w:p w:rsidR="00000000" w:rsidRDefault="00613AEB">
            <w:pPr>
              <w:spacing w:after="100"/>
              <w:rPr>
                <w:rFonts w:eastAsia="Times New Roman"/>
                <w:sz w:val="20"/>
                <w:szCs w:val="20"/>
              </w:rPr>
            </w:pPr>
          </w:p>
        </w:tc>
        <w:tc>
          <w:tcPr>
            <w:tcW w:w="0" w:type="auto"/>
            <w:vAlign w:val="center"/>
            <w:hideMark/>
          </w:tcPr>
          <w:p w:rsidR="00000000" w:rsidRDefault="00613AEB">
            <w:pPr>
              <w:spacing w:after="100"/>
              <w:rPr>
                <w:rFonts w:eastAsia="Times New Roman"/>
                <w:sz w:val="20"/>
                <w:szCs w:val="20"/>
              </w:rPr>
            </w:pPr>
          </w:p>
        </w:tc>
        <w:tc>
          <w:tcPr>
            <w:tcW w:w="0" w:type="auto"/>
            <w:vAlign w:val="center"/>
            <w:hideMark/>
          </w:tcPr>
          <w:p w:rsidR="00000000" w:rsidRDefault="00613AEB">
            <w:pPr>
              <w:spacing w:after="100"/>
              <w:rPr>
                <w:rFonts w:eastAsia="Times New Roman"/>
                <w:sz w:val="20"/>
                <w:szCs w:val="20"/>
              </w:rPr>
            </w:pPr>
          </w:p>
        </w:tc>
        <w:tc>
          <w:tcPr>
            <w:tcW w:w="0" w:type="auto"/>
            <w:vAlign w:val="center"/>
            <w:hideMark/>
          </w:tcPr>
          <w:p w:rsidR="00000000" w:rsidRDefault="00613AEB">
            <w:pPr>
              <w:spacing w:after="100"/>
              <w:rPr>
                <w:rFonts w:eastAsia="Times New Roman"/>
                <w:sz w:val="20"/>
                <w:szCs w:val="20"/>
              </w:rPr>
            </w:pPr>
          </w:p>
        </w:tc>
        <w:tc>
          <w:tcPr>
            <w:tcW w:w="0" w:type="auto"/>
            <w:vAlign w:val="center"/>
            <w:hideMark/>
          </w:tcPr>
          <w:p w:rsidR="00000000" w:rsidRDefault="00613AEB">
            <w:pPr>
              <w:spacing w:after="100"/>
              <w:rPr>
                <w:rFonts w:eastAsia="Times New Roman"/>
                <w:sz w:val="20"/>
                <w:szCs w:val="20"/>
              </w:rPr>
            </w:pPr>
          </w:p>
        </w:tc>
        <w:tc>
          <w:tcPr>
            <w:tcW w:w="0" w:type="auto"/>
            <w:vAlign w:val="center"/>
            <w:hideMark/>
          </w:tcPr>
          <w:p w:rsidR="00000000" w:rsidRDefault="00613AEB">
            <w:pPr>
              <w:spacing w:after="100"/>
              <w:rPr>
                <w:rFonts w:eastAsia="Times New Roman"/>
                <w:sz w:val="20"/>
                <w:szCs w:val="20"/>
              </w:rPr>
            </w:pPr>
          </w:p>
        </w:tc>
        <w:tc>
          <w:tcPr>
            <w:tcW w:w="0" w:type="auto"/>
            <w:vAlign w:val="center"/>
            <w:hideMark/>
          </w:tcPr>
          <w:p w:rsidR="00000000" w:rsidRDefault="00613AEB">
            <w:pPr>
              <w:spacing w:after="100"/>
              <w:rPr>
                <w:rFonts w:eastAsia="Times New Roman"/>
                <w:sz w:val="20"/>
                <w:szCs w:val="20"/>
              </w:rPr>
            </w:pPr>
          </w:p>
        </w:tc>
        <w:tc>
          <w:tcPr>
            <w:tcW w:w="0" w:type="auto"/>
            <w:vAlign w:val="center"/>
            <w:hideMark/>
          </w:tcPr>
          <w:p w:rsidR="00000000" w:rsidRDefault="00613AEB">
            <w:pPr>
              <w:spacing w:after="100"/>
              <w:rPr>
                <w:rFonts w:eastAsia="Times New Roman"/>
                <w:sz w:val="20"/>
                <w:szCs w:val="20"/>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Hardware, Tools and Truck</w:t>
            </w: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18 </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21 </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vAlign w:val="center"/>
            <w:hideMark/>
          </w:tcPr>
          <w:p w:rsidR="00000000" w:rsidRDefault="00613AEB">
            <w:pPr>
              <w:spacing w:after="100"/>
              <w:rPr>
                <w:rFonts w:eastAsia="Times New Roman"/>
                <w:sz w:val="20"/>
                <w:szCs w:val="20"/>
              </w:rPr>
            </w:pPr>
          </w:p>
        </w:tc>
        <w:tc>
          <w:tcPr>
            <w:tcW w:w="0" w:type="auto"/>
            <w:vAlign w:val="center"/>
            <w:hideMark/>
          </w:tcPr>
          <w:p w:rsidR="00000000" w:rsidRDefault="00613AEB">
            <w:pPr>
              <w:spacing w:after="100"/>
              <w:rPr>
                <w:rFonts w:eastAsia="Times New Roman"/>
                <w:sz w:val="20"/>
                <w:szCs w:val="20"/>
              </w:rPr>
            </w:pPr>
          </w:p>
        </w:tc>
        <w:tc>
          <w:tcPr>
            <w:tcW w:w="0" w:type="auto"/>
            <w:vAlign w:val="center"/>
            <w:hideMark/>
          </w:tcPr>
          <w:p w:rsidR="00000000" w:rsidRDefault="00613AEB">
            <w:pPr>
              <w:spacing w:after="100"/>
              <w:rPr>
                <w:rFonts w:eastAsia="Times New Roman"/>
                <w:sz w:val="20"/>
                <w:szCs w:val="20"/>
              </w:rPr>
            </w:pPr>
          </w:p>
        </w:tc>
        <w:tc>
          <w:tcPr>
            <w:tcW w:w="0" w:type="auto"/>
            <w:vAlign w:val="center"/>
            <w:hideMark/>
          </w:tcPr>
          <w:p w:rsidR="00000000" w:rsidRDefault="00613AEB">
            <w:pPr>
              <w:spacing w:after="100"/>
              <w:rPr>
                <w:rFonts w:eastAsia="Times New Roman"/>
                <w:sz w:val="20"/>
                <w:szCs w:val="20"/>
              </w:rPr>
            </w:pPr>
          </w:p>
        </w:tc>
        <w:tc>
          <w:tcPr>
            <w:tcW w:w="0" w:type="auto"/>
            <w:vAlign w:val="center"/>
            <w:hideMark/>
          </w:tcPr>
          <w:p w:rsidR="00000000" w:rsidRDefault="00613AEB">
            <w:pPr>
              <w:spacing w:after="100"/>
              <w:rPr>
                <w:rFonts w:eastAsia="Times New Roman"/>
                <w:sz w:val="20"/>
                <w:szCs w:val="20"/>
              </w:rPr>
            </w:pPr>
          </w:p>
        </w:tc>
        <w:tc>
          <w:tcPr>
            <w:tcW w:w="0" w:type="auto"/>
            <w:vAlign w:val="center"/>
            <w:hideMark/>
          </w:tcPr>
          <w:p w:rsidR="00000000" w:rsidRDefault="00613AEB">
            <w:pPr>
              <w:spacing w:after="100"/>
              <w:rPr>
                <w:rFonts w:eastAsia="Times New Roman"/>
                <w:sz w:val="20"/>
                <w:szCs w:val="20"/>
              </w:rPr>
            </w:pPr>
          </w:p>
        </w:tc>
        <w:tc>
          <w:tcPr>
            <w:tcW w:w="0" w:type="auto"/>
            <w:vAlign w:val="center"/>
            <w:hideMark/>
          </w:tcPr>
          <w:p w:rsidR="00000000" w:rsidRDefault="00613AEB">
            <w:pPr>
              <w:spacing w:after="100"/>
              <w:rPr>
                <w:rFonts w:eastAsia="Times New Roman"/>
                <w:sz w:val="20"/>
                <w:szCs w:val="20"/>
              </w:rPr>
            </w:pPr>
          </w:p>
        </w:tc>
        <w:tc>
          <w:tcPr>
            <w:tcW w:w="0" w:type="auto"/>
            <w:vAlign w:val="center"/>
            <w:hideMark/>
          </w:tcPr>
          <w:p w:rsidR="00000000" w:rsidRDefault="00613AEB">
            <w:pPr>
              <w:spacing w:after="100"/>
              <w:rPr>
                <w:rFonts w:eastAsia="Times New Roman"/>
                <w:sz w:val="20"/>
                <w:szCs w:val="20"/>
              </w:rPr>
            </w:pPr>
          </w:p>
        </w:tc>
        <w:tc>
          <w:tcPr>
            <w:tcW w:w="0" w:type="auto"/>
            <w:vAlign w:val="center"/>
            <w:hideMark/>
          </w:tcPr>
          <w:p w:rsidR="00000000" w:rsidRDefault="00613AEB">
            <w:pPr>
              <w:spacing w:after="100"/>
              <w:rPr>
                <w:rFonts w:eastAsia="Times New Roman"/>
                <w:sz w:val="20"/>
                <w:szCs w:val="20"/>
              </w:rPr>
            </w:pPr>
          </w:p>
        </w:tc>
        <w:tc>
          <w:tcPr>
            <w:tcW w:w="0" w:type="auto"/>
            <w:vAlign w:val="center"/>
            <w:hideMark/>
          </w:tcPr>
          <w:p w:rsidR="00000000" w:rsidRDefault="00613AEB">
            <w:pPr>
              <w:spacing w:after="100"/>
              <w:rPr>
                <w:rFonts w:eastAsia="Times New Roman"/>
                <w:sz w:val="20"/>
                <w:szCs w:val="20"/>
              </w:rPr>
            </w:pPr>
          </w:p>
        </w:tc>
        <w:tc>
          <w:tcPr>
            <w:tcW w:w="0" w:type="auto"/>
            <w:vAlign w:val="center"/>
            <w:hideMark/>
          </w:tcPr>
          <w:p w:rsidR="00000000" w:rsidRDefault="00613AEB">
            <w:pPr>
              <w:spacing w:after="100"/>
              <w:rPr>
                <w:rFonts w:eastAsia="Times New Roman"/>
                <w:sz w:val="20"/>
                <w:szCs w:val="20"/>
              </w:rPr>
            </w:pPr>
          </w:p>
        </w:tc>
        <w:tc>
          <w:tcPr>
            <w:tcW w:w="0" w:type="auto"/>
            <w:vAlign w:val="center"/>
            <w:hideMark/>
          </w:tcPr>
          <w:p w:rsidR="00000000" w:rsidRDefault="00613AEB">
            <w:pPr>
              <w:spacing w:after="100"/>
              <w:rPr>
                <w:rFonts w:eastAsia="Times New Roman"/>
                <w:sz w:val="20"/>
                <w:szCs w:val="20"/>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Clothing and Footwear</w:t>
            </w:r>
          </w:p>
        </w:tc>
        <w:tc>
          <w:tcPr>
            <w:tcW w:w="0" w:type="auto"/>
            <w:gridSpan w:val="2"/>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6 </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6 </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vAlign w:val="center"/>
            <w:hideMark/>
          </w:tcPr>
          <w:p w:rsidR="00000000" w:rsidRDefault="00613AEB">
            <w:pPr>
              <w:spacing w:after="100"/>
              <w:rPr>
                <w:rFonts w:eastAsia="Times New Roman"/>
                <w:sz w:val="20"/>
                <w:szCs w:val="20"/>
              </w:rPr>
            </w:pPr>
          </w:p>
        </w:tc>
        <w:tc>
          <w:tcPr>
            <w:tcW w:w="0" w:type="auto"/>
            <w:vAlign w:val="center"/>
            <w:hideMark/>
          </w:tcPr>
          <w:p w:rsidR="00000000" w:rsidRDefault="00613AEB">
            <w:pPr>
              <w:spacing w:after="100"/>
              <w:rPr>
                <w:rFonts w:eastAsia="Times New Roman"/>
                <w:sz w:val="20"/>
                <w:szCs w:val="20"/>
              </w:rPr>
            </w:pPr>
          </w:p>
        </w:tc>
        <w:tc>
          <w:tcPr>
            <w:tcW w:w="0" w:type="auto"/>
            <w:vAlign w:val="center"/>
            <w:hideMark/>
          </w:tcPr>
          <w:p w:rsidR="00000000" w:rsidRDefault="00613AEB">
            <w:pPr>
              <w:spacing w:after="100"/>
              <w:rPr>
                <w:rFonts w:eastAsia="Times New Roman"/>
                <w:sz w:val="20"/>
                <w:szCs w:val="20"/>
              </w:rPr>
            </w:pPr>
          </w:p>
        </w:tc>
        <w:tc>
          <w:tcPr>
            <w:tcW w:w="0" w:type="auto"/>
            <w:vAlign w:val="center"/>
            <w:hideMark/>
          </w:tcPr>
          <w:p w:rsidR="00000000" w:rsidRDefault="00613AEB">
            <w:pPr>
              <w:spacing w:after="100"/>
              <w:rPr>
                <w:rFonts w:eastAsia="Times New Roman"/>
                <w:sz w:val="20"/>
                <w:szCs w:val="20"/>
              </w:rPr>
            </w:pPr>
          </w:p>
        </w:tc>
        <w:tc>
          <w:tcPr>
            <w:tcW w:w="0" w:type="auto"/>
            <w:vAlign w:val="center"/>
            <w:hideMark/>
          </w:tcPr>
          <w:p w:rsidR="00000000" w:rsidRDefault="00613AEB">
            <w:pPr>
              <w:spacing w:after="100"/>
              <w:rPr>
                <w:rFonts w:eastAsia="Times New Roman"/>
                <w:sz w:val="20"/>
                <w:szCs w:val="20"/>
              </w:rPr>
            </w:pPr>
          </w:p>
        </w:tc>
        <w:tc>
          <w:tcPr>
            <w:tcW w:w="0" w:type="auto"/>
            <w:vAlign w:val="center"/>
            <w:hideMark/>
          </w:tcPr>
          <w:p w:rsidR="00000000" w:rsidRDefault="00613AEB">
            <w:pPr>
              <w:spacing w:after="100"/>
              <w:rPr>
                <w:rFonts w:eastAsia="Times New Roman"/>
                <w:sz w:val="20"/>
                <w:szCs w:val="20"/>
              </w:rPr>
            </w:pPr>
          </w:p>
        </w:tc>
        <w:tc>
          <w:tcPr>
            <w:tcW w:w="0" w:type="auto"/>
            <w:vAlign w:val="center"/>
            <w:hideMark/>
          </w:tcPr>
          <w:p w:rsidR="00000000" w:rsidRDefault="00613AEB">
            <w:pPr>
              <w:spacing w:after="100"/>
              <w:rPr>
                <w:rFonts w:eastAsia="Times New Roman"/>
                <w:sz w:val="20"/>
                <w:szCs w:val="20"/>
              </w:rPr>
            </w:pPr>
          </w:p>
        </w:tc>
        <w:tc>
          <w:tcPr>
            <w:tcW w:w="0" w:type="auto"/>
            <w:vAlign w:val="center"/>
            <w:hideMark/>
          </w:tcPr>
          <w:p w:rsidR="00000000" w:rsidRDefault="00613AEB">
            <w:pPr>
              <w:spacing w:after="100"/>
              <w:rPr>
                <w:rFonts w:eastAsia="Times New Roman"/>
                <w:sz w:val="20"/>
                <w:szCs w:val="20"/>
              </w:rPr>
            </w:pPr>
          </w:p>
        </w:tc>
        <w:tc>
          <w:tcPr>
            <w:tcW w:w="0" w:type="auto"/>
            <w:vAlign w:val="center"/>
            <w:hideMark/>
          </w:tcPr>
          <w:p w:rsidR="00000000" w:rsidRDefault="00613AEB">
            <w:pPr>
              <w:spacing w:after="100"/>
              <w:rPr>
                <w:rFonts w:eastAsia="Times New Roman"/>
                <w:sz w:val="20"/>
                <w:szCs w:val="20"/>
              </w:rPr>
            </w:pPr>
          </w:p>
        </w:tc>
        <w:tc>
          <w:tcPr>
            <w:tcW w:w="0" w:type="auto"/>
            <w:vAlign w:val="center"/>
            <w:hideMark/>
          </w:tcPr>
          <w:p w:rsidR="00000000" w:rsidRDefault="00613AEB">
            <w:pPr>
              <w:spacing w:after="100"/>
              <w:rPr>
                <w:rFonts w:eastAsia="Times New Roman"/>
                <w:sz w:val="20"/>
                <w:szCs w:val="20"/>
              </w:rPr>
            </w:pPr>
          </w:p>
        </w:tc>
        <w:tc>
          <w:tcPr>
            <w:tcW w:w="0" w:type="auto"/>
            <w:vAlign w:val="center"/>
            <w:hideMark/>
          </w:tcPr>
          <w:p w:rsidR="00000000" w:rsidRDefault="00613AEB">
            <w:pPr>
              <w:spacing w:after="100"/>
              <w:rPr>
                <w:rFonts w:eastAsia="Times New Roman"/>
                <w:sz w:val="20"/>
                <w:szCs w:val="20"/>
              </w:rPr>
            </w:pPr>
          </w:p>
        </w:tc>
        <w:tc>
          <w:tcPr>
            <w:tcW w:w="0" w:type="auto"/>
            <w:vAlign w:val="center"/>
            <w:hideMark/>
          </w:tcPr>
          <w:p w:rsidR="00000000" w:rsidRDefault="00613AEB">
            <w:pPr>
              <w:spacing w:after="100"/>
              <w:rPr>
                <w:rFonts w:eastAsia="Times New Roman"/>
                <w:sz w:val="20"/>
                <w:szCs w:val="20"/>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Agriculture</w:t>
            </w: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vAlign w:val="center"/>
            <w:hideMark/>
          </w:tcPr>
          <w:p w:rsidR="00000000" w:rsidRDefault="00613AEB">
            <w:pPr>
              <w:spacing w:after="100"/>
              <w:rPr>
                <w:rFonts w:eastAsia="Times New Roman"/>
                <w:sz w:val="20"/>
                <w:szCs w:val="20"/>
              </w:rPr>
            </w:pPr>
          </w:p>
        </w:tc>
        <w:tc>
          <w:tcPr>
            <w:tcW w:w="0" w:type="auto"/>
            <w:vAlign w:val="center"/>
            <w:hideMark/>
          </w:tcPr>
          <w:p w:rsidR="00000000" w:rsidRDefault="00613AEB">
            <w:pPr>
              <w:spacing w:after="100"/>
              <w:rPr>
                <w:rFonts w:eastAsia="Times New Roman"/>
                <w:sz w:val="20"/>
                <w:szCs w:val="20"/>
              </w:rPr>
            </w:pPr>
          </w:p>
        </w:tc>
        <w:tc>
          <w:tcPr>
            <w:tcW w:w="0" w:type="auto"/>
            <w:vAlign w:val="center"/>
            <w:hideMark/>
          </w:tcPr>
          <w:p w:rsidR="00000000" w:rsidRDefault="00613AEB">
            <w:pPr>
              <w:spacing w:after="100"/>
              <w:rPr>
                <w:rFonts w:eastAsia="Times New Roman"/>
                <w:sz w:val="20"/>
                <w:szCs w:val="20"/>
              </w:rPr>
            </w:pPr>
          </w:p>
        </w:tc>
        <w:tc>
          <w:tcPr>
            <w:tcW w:w="0" w:type="auto"/>
            <w:vAlign w:val="center"/>
            <w:hideMark/>
          </w:tcPr>
          <w:p w:rsidR="00000000" w:rsidRDefault="00613AEB">
            <w:pPr>
              <w:spacing w:after="100"/>
              <w:rPr>
                <w:rFonts w:eastAsia="Times New Roman"/>
                <w:sz w:val="20"/>
                <w:szCs w:val="20"/>
              </w:rPr>
            </w:pPr>
          </w:p>
        </w:tc>
        <w:tc>
          <w:tcPr>
            <w:tcW w:w="0" w:type="auto"/>
            <w:vAlign w:val="center"/>
            <w:hideMark/>
          </w:tcPr>
          <w:p w:rsidR="00000000" w:rsidRDefault="00613AEB">
            <w:pPr>
              <w:spacing w:after="100"/>
              <w:rPr>
                <w:rFonts w:eastAsia="Times New Roman"/>
                <w:sz w:val="20"/>
                <w:szCs w:val="20"/>
              </w:rPr>
            </w:pPr>
          </w:p>
        </w:tc>
        <w:tc>
          <w:tcPr>
            <w:tcW w:w="0" w:type="auto"/>
            <w:vAlign w:val="center"/>
            <w:hideMark/>
          </w:tcPr>
          <w:p w:rsidR="00000000" w:rsidRDefault="00613AEB">
            <w:pPr>
              <w:spacing w:after="100"/>
              <w:rPr>
                <w:rFonts w:eastAsia="Times New Roman"/>
                <w:sz w:val="20"/>
                <w:szCs w:val="20"/>
              </w:rPr>
            </w:pPr>
          </w:p>
        </w:tc>
        <w:tc>
          <w:tcPr>
            <w:tcW w:w="0" w:type="auto"/>
            <w:vAlign w:val="center"/>
            <w:hideMark/>
          </w:tcPr>
          <w:p w:rsidR="00000000" w:rsidRDefault="00613AEB">
            <w:pPr>
              <w:spacing w:after="100"/>
              <w:rPr>
                <w:rFonts w:eastAsia="Times New Roman"/>
                <w:sz w:val="20"/>
                <w:szCs w:val="20"/>
              </w:rPr>
            </w:pPr>
          </w:p>
        </w:tc>
        <w:tc>
          <w:tcPr>
            <w:tcW w:w="0" w:type="auto"/>
            <w:vAlign w:val="center"/>
            <w:hideMark/>
          </w:tcPr>
          <w:p w:rsidR="00000000" w:rsidRDefault="00613AEB">
            <w:pPr>
              <w:spacing w:after="100"/>
              <w:rPr>
                <w:rFonts w:eastAsia="Times New Roman"/>
                <w:sz w:val="20"/>
                <w:szCs w:val="20"/>
              </w:rPr>
            </w:pPr>
          </w:p>
        </w:tc>
        <w:tc>
          <w:tcPr>
            <w:tcW w:w="0" w:type="auto"/>
            <w:vAlign w:val="center"/>
            <w:hideMark/>
          </w:tcPr>
          <w:p w:rsidR="00000000" w:rsidRDefault="00613AEB">
            <w:pPr>
              <w:spacing w:after="100"/>
              <w:rPr>
                <w:rFonts w:eastAsia="Times New Roman"/>
                <w:sz w:val="20"/>
                <w:szCs w:val="20"/>
              </w:rPr>
            </w:pPr>
          </w:p>
        </w:tc>
        <w:tc>
          <w:tcPr>
            <w:tcW w:w="0" w:type="auto"/>
            <w:vAlign w:val="center"/>
            <w:hideMark/>
          </w:tcPr>
          <w:p w:rsidR="00000000" w:rsidRDefault="00613AEB">
            <w:pPr>
              <w:spacing w:after="100"/>
              <w:rPr>
                <w:rFonts w:eastAsia="Times New Roman"/>
                <w:sz w:val="20"/>
                <w:szCs w:val="20"/>
              </w:rPr>
            </w:pPr>
          </w:p>
        </w:tc>
        <w:tc>
          <w:tcPr>
            <w:tcW w:w="0" w:type="auto"/>
            <w:vAlign w:val="center"/>
            <w:hideMark/>
          </w:tcPr>
          <w:p w:rsidR="00000000" w:rsidRDefault="00613AEB">
            <w:pPr>
              <w:spacing w:after="100"/>
              <w:rPr>
                <w:rFonts w:eastAsia="Times New Roman"/>
                <w:sz w:val="20"/>
                <w:szCs w:val="20"/>
              </w:rPr>
            </w:pPr>
          </w:p>
        </w:tc>
        <w:tc>
          <w:tcPr>
            <w:tcW w:w="0" w:type="auto"/>
            <w:vAlign w:val="center"/>
            <w:hideMark/>
          </w:tcPr>
          <w:p w:rsidR="00000000" w:rsidRDefault="00613AEB">
            <w:pPr>
              <w:spacing w:after="100"/>
              <w:rPr>
                <w:rFonts w:eastAsia="Times New Roman"/>
                <w:sz w:val="20"/>
                <w:szCs w:val="20"/>
              </w:rPr>
            </w:pPr>
          </w:p>
        </w:tc>
      </w:tr>
      <w:tr w:rsidR="00000000">
        <w:trPr>
          <w:jc w:val="center"/>
        </w:trPr>
        <w:tc>
          <w:tcPr>
            <w:tcW w:w="0" w:type="auto"/>
            <w:gridSpan w:val="3"/>
            <w:shd w:val="clear" w:color="auto" w:fill="FFFFFF"/>
            <w:tcMar>
              <w:top w:w="30" w:type="dxa"/>
              <w:left w:w="515"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Total</w:t>
            </w: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100 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100 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613AEB">
            <w:pPr>
              <w:spacing w:after="100"/>
              <w:rPr>
                <w:rFonts w:eastAsia="Times New Roman"/>
                <w:sz w:val="20"/>
                <w:szCs w:val="20"/>
              </w:rPr>
            </w:pPr>
          </w:p>
        </w:tc>
        <w:tc>
          <w:tcPr>
            <w:tcW w:w="0" w:type="auto"/>
            <w:vAlign w:val="center"/>
            <w:hideMark/>
          </w:tcPr>
          <w:p w:rsidR="00000000" w:rsidRDefault="00613AEB">
            <w:pPr>
              <w:spacing w:after="100"/>
              <w:rPr>
                <w:rFonts w:eastAsia="Times New Roman"/>
                <w:sz w:val="20"/>
                <w:szCs w:val="20"/>
              </w:rPr>
            </w:pPr>
          </w:p>
        </w:tc>
        <w:tc>
          <w:tcPr>
            <w:tcW w:w="0" w:type="auto"/>
            <w:vAlign w:val="center"/>
            <w:hideMark/>
          </w:tcPr>
          <w:p w:rsidR="00000000" w:rsidRDefault="00613AEB">
            <w:pPr>
              <w:spacing w:after="100"/>
              <w:rPr>
                <w:rFonts w:eastAsia="Times New Roman"/>
                <w:sz w:val="20"/>
                <w:szCs w:val="20"/>
              </w:rPr>
            </w:pPr>
          </w:p>
        </w:tc>
        <w:tc>
          <w:tcPr>
            <w:tcW w:w="0" w:type="auto"/>
            <w:vAlign w:val="center"/>
            <w:hideMark/>
          </w:tcPr>
          <w:p w:rsidR="00000000" w:rsidRDefault="00613AEB">
            <w:pPr>
              <w:spacing w:after="100"/>
              <w:rPr>
                <w:rFonts w:eastAsia="Times New Roman"/>
                <w:sz w:val="20"/>
                <w:szCs w:val="20"/>
              </w:rPr>
            </w:pPr>
          </w:p>
        </w:tc>
        <w:tc>
          <w:tcPr>
            <w:tcW w:w="0" w:type="auto"/>
            <w:vAlign w:val="center"/>
            <w:hideMark/>
          </w:tcPr>
          <w:p w:rsidR="00000000" w:rsidRDefault="00613AEB">
            <w:pPr>
              <w:spacing w:after="100"/>
              <w:rPr>
                <w:rFonts w:eastAsia="Times New Roman"/>
                <w:sz w:val="20"/>
                <w:szCs w:val="20"/>
              </w:rPr>
            </w:pPr>
          </w:p>
        </w:tc>
        <w:tc>
          <w:tcPr>
            <w:tcW w:w="0" w:type="auto"/>
            <w:vAlign w:val="center"/>
            <w:hideMark/>
          </w:tcPr>
          <w:p w:rsidR="00000000" w:rsidRDefault="00613AEB">
            <w:pPr>
              <w:spacing w:after="100"/>
              <w:rPr>
                <w:rFonts w:eastAsia="Times New Roman"/>
                <w:sz w:val="20"/>
                <w:szCs w:val="20"/>
              </w:rPr>
            </w:pPr>
          </w:p>
        </w:tc>
        <w:tc>
          <w:tcPr>
            <w:tcW w:w="0" w:type="auto"/>
            <w:vAlign w:val="center"/>
            <w:hideMark/>
          </w:tcPr>
          <w:p w:rsidR="00000000" w:rsidRDefault="00613AEB">
            <w:pPr>
              <w:spacing w:after="100"/>
              <w:rPr>
                <w:rFonts w:eastAsia="Times New Roman"/>
                <w:sz w:val="20"/>
                <w:szCs w:val="20"/>
              </w:rPr>
            </w:pPr>
          </w:p>
        </w:tc>
        <w:tc>
          <w:tcPr>
            <w:tcW w:w="0" w:type="auto"/>
            <w:vAlign w:val="center"/>
            <w:hideMark/>
          </w:tcPr>
          <w:p w:rsidR="00000000" w:rsidRDefault="00613AEB">
            <w:pPr>
              <w:spacing w:after="100"/>
              <w:rPr>
                <w:rFonts w:eastAsia="Times New Roman"/>
                <w:sz w:val="20"/>
                <w:szCs w:val="20"/>
              </w:rPr>
            </w:pPr>
          </w:p>
        </w:tc>
        <w:tc>
          <w:tcPr>
            <w:tcW w:w="0" w:type="auto"/>
            <w:vAlign w:val="center"/>
            <w:hideMark/>
          </w:tcPr>
          <w:p w:rsidR="00000000" w:rsidRDefault="00613AEB">
            <w:pPr>
              <w:spacing w:after="100"/>
              <w:rPr>
                <w:rFonts w:eastAsia="Times New Roman"/>
                <w:sz w:val="20"/>
                <w:szCs w:val="20"/>
              </w:rPr>
            </w:pPr>
          </w:p>
        </w:tc>
        <w:tc>
          <w:tcPr>
            <w:tcW w:w="0" w:type="auto"/>
            <w:vAlign w:val="center"/>
            <w:hideMark/>
          </w:tcPr>
          <w:p w:rsidR="00000000" w:rsidRDefault="00613AEB">
            <w:pPr>
              <w:spacing w:after="100"/>
              <w:rPr>
                <w:rFonts w:eastAsia="Times New Roman"/>
                <w:sz w:val="20"/>
                <w:szCs w:val="20"/>
              </w:rPr>
            </w:pPr>
          </w:p>
        </w:tc>
        <w:tc>
          <w:tcPr>
            <w:tcW w:w="0" w:type="auto"/>
            <w:vAlign w:val="center"/>
            <w:hideMark/>
          </w:tcPr>
          <w:p w:rsidR="00000000" w:rsidRDefault="00613AEB">
            <w:pPr>
              <w:spacing w:after="100"/>
              <w:rPr>
                <w:rFonts w:eastAsia="Times New Roman"/>
                <w:sz w:val="20"/>
                <w:szCs w:val="20"/>
              </w:rPr>
            </w:pPr>
          </w:p>
        </w:tc>
        <w:tc>
          <w:tcPr>
            <w:tcW w:w="0" w:type="auto"/>
            <w:vAlign w:val="center"/>
            <w:hideMark/>
          </w:tcPr>
          <w:p w:rsidR="00000000" w:rsidRDefault="00613AEB">
            <w:pPr>
              <w:spacing w:after="100"/>
              <w:rPr>
                <w:rFonts w:eastAsia="Times New Roman"/>
                <w:sz w:val="20"/>
                <w:szCs w:val="20"/>
              </w:rPr>
            </w:pPr>
          </w:p>
        </w:tc>
      </w:tr>
    </w:tbl>
    <w:p w:rsidR="00000000" w:rsidRDefault="00613AEB">
      <w:pPr>
        <w:jc w:val="both"/>
        <w:rPr>
          <w:rFonts w:eastAsia="Times New Roman"/>
        </w:rPr>
      </w:pPr>
    </w:p>
    <w:p w:rsidR="00000000" w:rsidRDefault="00613AEB">
      <w:pPr>
        <w:jc w:val="both"/>
        <w:rPr>
          <w:rFonts w:eastAsia="Times New Roman"/>
        </w:rPr>
      </w:pPr>
      <w:r>
        <w:rPr>
          <w:rFonts w:eastAsia="Times New Roman"/>
          <w:color w:val="000000"/>
          <w:sz w:val="20"/>
          <w:szCs w:val="20"/>
        </w:rPr>
        <w:t>Gross profit increased 7.6% to $2.44 billion for the first six months of fiscal 2022 from $2.27 billion for the first six months of fiscal 2021. As a percent of net sales, gross margin in the first six months of fiscal 2022 decreased 26 basis points to 35.</w:t>
      </w:r>
      <w:r>
        <w:rPr>
          <w:rFonts w:eastAsia="Times New Roman"/>
          <w:color w:val="000000"/>
          <w:sz w:val="20"/>
          <w:szCs w:val="20"/>
        </w:rPr>
        <w:t>3% from 35.5% in the first six months of fiscal 2021. The decrease in gross margin as a percent of net sales was primarily driven by higher product cost inflation, higher transportation costs, and, to a lesser extent, product mix shift towards C.U.E. produ</w:t>
      </w:r>
      <w:r>
        <w:rPr>
          <w:rFonts w:eastAsia="Times New Roman"/>
          <w:color w:val="000000"/>
          <w:sz w:val="20"/>
          <w:szCs w:val="20"/>
        </w:rPr>
        <w:t>cts, which run at a slightly lower margin rate. Heightened transportation costs were experienced in domestic and import freight, along with rising fuel prices. The Company's price management program and other key gross margin enhancing initiatives effectiv</w:t>
      </w:r>
      <w:r>
        <w:rPr>
          <w:rFonts w:eastAsia="Times New Roman"/>
          <w:color w:val="000000"/>
          <w:sz w:val="20"/>
          <w:szCs w:val="20"/>
        </w:rPr>
        <w:t>ely offset a significant portion of these gross margin pressures.</w:t>
      </w:r>
    </w:p>
    <w:p w:rsidR="00000000" w:rsidRDefault="00613AEB">
      <w:pPr>
        <w:jc w:val="both"/>
        <w:rPr>
          <w:rFonts w:eastAsia="Times New Roman"/>
        </w:rPr>
      </w:pPr>
    </w:p>
    <w:p w:rsidR="00000000" w:rsidRDefault="00613AEB">
      <w:pPr>
        <w:jc w:val="both"/>
        <w:rPr>
          <w:rFonts w:eastAsia="Times New Roman"/>
        </w:rPr>
      </w:pPr>
      <w:r>
        <w:rPr>
          <w:rFonts w:eastAsia="Times New Roman"/>
          <w:color w:val="000000"/>
          <w:sz w:val="20"/>
          <w:szCs w:val="20"/>
        </w:rPr>
        <w:t xml:space="preserve">SG&amp;A expenses, including depreciation and amortization, increased 7.6% to $1.67 billion for the first six months of fiscal 2022 from $1.55 billion for the first six months of fiscal 2021. </w:t>
      </w:r>
      <w:r>
        <w:rPr>
          <w:rFonts w:eastAsia="Times New Roman"/>
          <w:color w:val="000000"/>
          <w:sz w:val="20"/>
          <w:szCs w:val="20"/>
        </w:rPr>
        <w:t>As a percent of net sales, SG&amp;A expenses improved 16 basis points to 24.2% for the first six months of fiscal 2022 from 24.3% for the first six months of fiscal 2021. The improvement in SG&amp;A as a percent of net sales was primarily attributable to more norm</w:t>
      </w:r>
      <w:r>
        <w:rPr>
          <w:rFonts w:eastAsia="Times New Roman"/>
          <w:color w:val="000000"/>
          <w:sz w:val="20"/>
          <w:szCs w:val="20"/>
        </w:rPr>
        <w:t xml:space="preserve">alized incentive compensation and a moderation of COVID-19 response costs, as well as leverage in personnel, occupancy, and other costs from the increase in comparable store sales. The improvement was partially offset by investments in store wages and the </w:t>
      </w:r>
      <w:r>
        <w:rPr>
          <w:rFonts w:eastAsia="Times New Roman"/>
          <w:color w:val="000000"/>
          <w:sz w:val="20"/>
          <w:szCs w:val="20"/>
        </w:rPr>
        <w:t>Company's strategic growth initiatives.</w:t>
      </w:r>
    </w:p>
    <w:p w:rsidR="00000000" w:rsidRDefault="00613AEB">
      <w:pPr>
        <w:jc w:val="both"/>
        <w:rPr>
          <w:rFonts w:eastAsia="Times New Roman"/>
        </w:rPr>
      </w:pPr>
    </w:p>
    <w:p w:rsidR="00000000" w:rsidRDefault="00613AEB">
      <w:pPr>
        <w:jc w:val="both"/>
        <w:rPr>
          <w:rFonts w:eastAsia="Times New Roman"/>
        </w:rPr>
      </w:pPr>
      <w:r>
        <w:rPr>
          <w:rFonts w:eastAsia="Times New Roman"/>
          <w:color w:val="000000"/>
          <w:sz w:val="20"/>
          <w:szCs w:val="20"/>
        </w:rPr>
        <w:t xml:space="preserve">Operating income for the first six months of fiscal 2022 increased 7.4% to $769.3 million compared to $716.4 million in the first six months of fiscal 2021. </w:t>
      </w:r>
    </w:p>
    <w:p w:rsidR="00000000" w:rsidRDefault="00613AEB">
      <w:pPr>
        <w:jc w:val="both"/>
        <w:rPr>
          <w:rFonts w:eastAsia="Times New Roman"/>
        </w:rPr>
      </w:pPr>
    </w:p>
    <w:p w:rsidR="00000000" w:rsidRDefault="00613AEB">
      <w:pPr>
        <w:jc w:val="both"/>
        <w:rPr>
          <w:rFonts w:eastAsia="Times New Roman"/>
        </w:rPr>
      </w:pPr>
      <w:r>
        <w:rPr>
          <w:rFonts w:eastAsia="Times New Roman"/>
          <w:color w:val="000000"/>
          <w:sz w:val="20"/>
          <w:szCs w:val="20"/>
        </w:rPr>
        <w:t>The effective income tax rate was 22.7% in the first six months of fiscal 2022 compared to 21.5%</w:t>
      </w:r>
      <w:r>
        <w:rPr>
          <w:rFonts w:eastAsia="Times New Roman"/>
          <w:color w:val="000000"/>
          <w:sz w:val="20"/>
          <w:szCs w:val="20"/>
        </w:rPr>
        <w:t xml:space="preserve"> in the first six months of fiscal 2021. The increase in the effective income tax rate in the first six months of fiscal 2022 compared to the first six months of fiscal 2021 was driven primarily by a decrease in the benefit derived from share-based compens</w:t>
      </w:r>
      <w:r>
        <w:rPr>
          <w:rFonts w:eastAsia="Times New Roman"/>
          <w:color w:val="000000"/>
          <w:sz w:val="20"/>
          <w:szCs w:val="20"/>
        </w:rPr>
        <w:t>ation awards and lower discrete state tax credits relative to pre-tax income.</w:t>
      </w:r>
    </w:p>
    <w:p w:rsidR="00000000" w:rsidRDefault="00613AEB">
      <w:pPr>
        <w:jc w:val="both"/>
        <w:rPr>
          <w:rFonts w:eastAsia="Times New Roman"/>
        </w:rPr>
      </w:pPr>
    </w:p>
    <w:p w:rsidR="00000000" w:rsidRDefault="00613AEB">
      <w:pPr>
        <w:jc w:val="center"/>
        <w:divId w:val="1146122285"/>
        <w:rPr>
          <w:rFonts w:eastAsia="Times New Roman"/>
        </w:rPr>
      </w:pPr>
      <w:r>
        <w:rPr>
          <w:rFonts w:eastAsia="Times New Roman"/>
          <w:color w:val="000000"/>
          <w:sz w:val="20"/>
          <w:szCs w:val="20"/>
        </w:rPr>
        <w:t>Page 20</w:t>
      </w:r>
    </w:p>
    <w:p w:rsidR="00000000" w:rsidRDefault="00613AEB">
      <w:pPr>
        <w:rPr>
          <w:rFonts w:eastAsia="Times New Roman"/>
        </w:rPr>
      </w:pPr>
      <w:r>
        <w:rPr>
          <w:rFonts w:eastAsia="Times New Roman"/>
        </w:rPr>
        <w:pict>
          <v:rect id="_x0000_i1045" style="width:0;height:1.5pt" o:hralign="center" o:hrstd="t" o:hr="t" fillcolor="#a0a0a0" stroked="f"/>
        </w:pict>
      </w:r>
    </w:p>
    <w:p w:rsidR="00000000" w:rsidRDefault="00613AEB">
      <w:pPr>
        <w:divId w:val="2088070307"/>
        <w:rPr>
          <w:rFonts w:eastAsia="Times New Roman"/>
        </w:rPr>
      </w:pPr>
      <w:hyperlink w:anchor="i7b244a6903fc440faaf2365d228fe4ba_7" w:history="1">
        <w:r>
          <w:rPr>
            <w:rStyle w:val="a3"/>
            <w:rFonts w:eastAsia="Times New Roman"/>
            <w:sz w:val="16"/>
            <w:szCs w:val="16"/>
          </w:rPr>
          <w:t>Index</w:t>
        </w:r>
      </w:hyperlink>
    </w:p>
    <w:p w:rsidR="00000000" w:rsidRDefault="00613AEB">
      <w:pPr>
        <w:jc w:val="both"/>
        <w:rPr>
          <w:rFonts w:eastAsia="Times New Roman"/>
        </w:rPr>
      </w:pPr>
      <w:r>
        <w:rPr>
          <w:rFonts w:eastAsia="Times New Roman"/>
          <w:color w:val="000000"/>
          <w:sz w:val="20"/>
          <w:szCs w:val="20"/>
        </w:rPr>
        <w:t>As a result of the foregoing factors, net income for the first six m</w:t>
      </w:r>
      <w:r>
        <w:rPr>
          <w:rFonts w:eastAsia="Times New Roman"/>
          <w:color w:val="000000"/>
          <w:sz w:val="20"/>
          <w:szCs w:val="20"/>
        </w:rPr>
        <w:t>onths of fiscal 2022 increased 5.9% to $583.7 million, or $5.17 per diluted share, as compared to net income of $551.4 million, or $4.73 per diluted share, for the first six months of fiscal 2021.</w:t>
      </w:r>
    </w:p>
    <w:p w:rsidR="00000000" w:rsidRDefault="00613AEB">
      <w:pPr>
        <w:jc w:val="both"/>
        <w:rPr>
          <w:rFonts w:eastAsia="Times New Roman"/>
        </w:rPr>
      </w:pPr>
    </w:p>
    <w:p w:rsidR="00000000" w:rsidRDefault="00613AEB">
      <w:pPr>
        <w:jc w:val="both"/>
        <w:rPr>
          <w:rFonts w:eastAsia="Times New Roman"/>
        </w:rPr>
      </w:pPr>
      <w:r>
        <w:rPr>
          <w:rFonts w:eastAsia="Times New Roman"/>
          <w:color w:val="000000"/>
          <w:sz w:val="20"/>
          <w:szCs w:val="20"/>
        </w:rPr>
        <w:t>During the first six months of fiscal 2022, we repurchase</w:t>
      </w:r>
      <w:r>
        <w:rPr>
          <w:rFonts w:eastAsia="Times New Roman"/>
          <w:color w:val="000000"/>
          <w:sz w:val="20"/>
          <w:szCs w:val="20"/>
        </w:rPr>
        <w:t>d approximately 2.3 million shares of the Company’s common stock at a total cost of $484.4 million as part of our share repurchase program and paid quarterly cash dividends totaling $206.1 million, returning $690.5 million to stockholders.</w:t>
      </w:r>
    </w:p>
    <w:p w:rsidR="00000000" w:rsidRDefault="00613AEB">
      <w:pPr>
        <w:jc w:val="both"/>
        <w:rPr>
          <w:rFonts w:eastAsia="Times New Roman"/>
        </w:rPr>
      </w:pPr>
    </w:p>
    <w:p w:rsidR="00000000" w:rsidRDefault="00613AEB">
      <w:pPr>
        <w:divId w:val="1096898594"/>
        <w:rPr>
          <w:rFonts w:eastAsia="Times New Roman"/>
        </w:rPr>
      </w:pPr>
      <w:r>
        <w:rPr>
          <w:rFonts w:eastAsia="Times New Roman"/>
          <w:b/>
          <w:bCs/>
          <w:color w:val="000000"/>
          <w:sz w:val="20"/>
          <w:szCs w:val="20"/>
        </w:rPr>
        <w:t xml:space="preserve">Liquidity and </w:t>
      </w:r>
      <w:r>
        <w:rPr>
          <w:rFonts w:eastAsia="Times New Roman"/>
          <w:b/>
          <w:bCs/>
          <w:color w:val="000000"/>
          <w:sz w:val="20"/>
          <w:szCs w:val="20"/>
        </w:rPr>
        <w:t>Capital Resources</w:t>
      </w:r>
    </w:p>
    <w:p w:rsidR="00000000" w:rsidRDefault="00613AEB">
      <w:pPr>
        <w:jc w:val="both"/>
        <w:rPr>
          <w:rFonts w:eastAsia="Times New Roman"/>
        </w:rPr>
      </w:pPr>
    </w:p>
    <w:p w:rsidR="00000000" w:rsidRDefault="00613AEB">
      <w:pPr>
        <w:jc w:val="both"/>
        <w:rPr>
          <w:rFonts w:eastAsia="Times New Roman"/>
        </w:rPr>
      </w:pPr>
      <w:r>
        <w:rPr>
          <w:rFonts w:eastAsia="Times New Roman"/>
          <w:color w:val="000000"/>
          <w:sz w:val="20"/>
          <w:szCs w:val="20"/>
        </w:rPr>
        <w:t>In addition to normal operating expenses, our primary ongoing cash requirements are for new store expansion, existing store remodeling and improvements, store relocations, distribution facility capacity and improvements, information tec</w:t>
      </w:r>
      <w:r>
        <w:rPr>
          <w:rFonts w:eastAsia="Times New Roman"/>
          <w:color w:val="000000"/>
          <w:sz w:val="20"/>
          <w:szCs w:val="20"/>
        </w:rPr>
        <w:t>hnology, inventory purchases, repayment of existing borrowings under our debt facilities, share repurchases, cash dividends, and selective acquisitions as opportunities arise.  </w:t>
      </w:r>
    </w:p>
    <w:p w:rsidR="00000000" w:rsidRDefault="00613AEB">
      <w:pPr>
        <w:jc w:val="both"/>
        <w:rPr>
          <w:rFonts w:eastAsia="Times New Roman"/>
        </w:rPr>
      </w:pPr>
    </w:p>
    <w:p w:rsidR="00000000" w:rsidRDefault="00613AEB">
      <w:pPr>
        <w:jc w:val="both"/>
        <w:rPr>
          <w:rFonts w:eastAsia="Times New Roman"/>
        </w:rPr>
      </w:pPr>
      <w:r>
        <w:rPr>
          <w:rFonts w:eastAsia="Times New Roman"/>
          <w:color w:val="000000"/>
          <w:sz w:val="20"/>
          <w:szCs w:val="20"/>
        </w:rPr>
        <w:t>Our primary ongoing sources of liquidity are existing cash balances, cash pr</w:t>
      </w:r>
      <w:r>
        <w:rPr>
          <w:rFonts w:eastAsia="Times New Roman"/>
          <w:color w:val="000000"/>
          <w:sz w:val="20"/>
          <w:szCs w:val="20"/>
        </w:rPr>
        <w:t>ovided from operations, remaining funds available under our debt facilities, operating and finance leases, and normal trade credit.  Our inventory and accounts payable levels typically build in the first and third fiscal quarters to support the higher sale</w:t>
      </w:r>
      <w:r>
        <w:rPr>
          <w:rFonts w:eastAsia="Times New Roman"/>
          <w:color w:val="000000"/>
          <w:sz w:val="20"/>
          <w:szCs w:val="20"/>
        </w:rPr>
        <w:t>s volume of the spring and cold-weather selling seasons, respectively.</w:t>
      </w:r>
    </w:p>
    <w:p w:rsidR="00000000" w:rsidRDefault="00613AEB">
      <w:pPr>
        <w:jc w:val="both"/>
        <w:rPr>
          <w:rFonts w:eastAsia="Times New Roman"/>
        </w:rPr>
      </w:pPr>
    </w:p>
    <w:p w:rsidR="00000000" w:rsidRDefault="00613AEB">
      <w:pPr>
        <w:jc w:val="both"/>
        <w:rPr>
          <w:rFonts w:eastAsia="Times New Roman"/>
        </w:rPr>
      </w:pPr>
      <w:r>
        <w:rPr>
          <w:rFonts w:eastAsia="Times New Roman"/>
          <w:color w:val="000000"/>
          <w:sz w:val="20"/>
          <w:szCs w:val="20"/>
        </w:rPr>
        <w:t>We believe that our existing cash balances, expected cash flow from future operations, funds available under our debt facilities, operating and finance leases, normal trade credit, an</w:t>
      </w:r>
      <w:r>
        <w:rPr>
          <w:rFonts w:eastAsia="Times New Roman"/>
          <w:color w:val="000000"/>
          <w:sz w:val="20"/>
          <w:szCs w:val="20"/>
        </w:rPr>
        <w:t>d access to the long-term debt capital markets will be sufficient to fund our operations and our capital expenditure needs, including new store openings, existing store remodeling and improvements, store relocations, distribution facility capacity and impr</w:t>
      </w:r>
      <w:r>
        <w:rPr>
          <w:rFonts w:eastAsia="Times New Roman"/>
          <w:color w:val="000000"/>
          <w:sz w:val="20"/>
          <w:szCs w:val="20"/>
        </w:rPr>
        <w:t>ovements, and information technology improvements, through the end of fiscal 2022 and through the next several fiscal years. We are not aware of any trends or events that would materially affect our capital requirements or liquidity.</w:t>
      </w:r>
    </w:p>
    <w:p w:rsidR="00000000" w:rsidRDefault="00613AEB">
      <w:pPr>
        <w:jc w:val="both"/>
        <w:rPr>
          <w:rFonts w:eastAsia="Times New Roman"/>
        </w:rPr>
      </w:pPr>
    </w:p>
    <w:p w:rsidR="00000000" w:rsidRDefault="00613AEB">
      <w:pPr>
        <w:divId w:val="734861286"/>
        <w:rPr>
          <w:rFonts w:eastAsia="Times New Roman"/>
        </w:rPr>
      </w:pPr>
      <w:r>
        <w:rPr>
          <w:rFonts w:eastAsia="Times New Roman"/>
          <w:b/>
          <w:bCs/>
          <w:color w:val="000000"/>
          <w:sz w:val="20"/>
          <w:szCs w:val="20"/>
        </w:rPr>
        <w:t>Working Capital</w:t>
      </w:r>
    </w:p>
    <w:p w:rsidR="00000000" w:rsidRDefault="00613AEB">
      <w:pPr>
        <w:jc w:val="both"/>
        <w:rPr>
          <w:rFonts w:eastAsia="Times New Roman"/>
        </w:rPr>
      </w:pPr>
    </w:p>
    <w:p w:rsidR="00000000" w:rsidRDefault="00613AEB">
      <w:pPr>
        <w:jc w:val="both"/>
        <w:rPr>
          <w:rFonts w:eastAsia="Times New Roman"/>
        </w:rPr>
      </w:pPr>
      <w:r>
        <w:rPr>
          <w:rFonts w:eastAsia="Times New Roman"/>
          <w:color w:val="000000"/>
          <w:sz w:val="20"/>
          <w:szCs w:val="20"/>
        </w:rPr>
        <w:t>At</w:t>
      </w:r>
      <w:r>
        <w:rPr>
          <w:rFonts w:eastAsia="Times New Roman"/>
          <w:color w:val="000000"/>
          <w:sz w:val="20"/>
          <w:szCs w:val="20"/>
        </w:rPr>
        <w:t xml:space="preserve"> June 25, 2022, the Company had working capital of $988.2 million, which decreased $197.5 million from December 25, 2021, and decreased $495.5 million from June 26, 2021.  The shifts in working capital were attributable to changes in the following componen</w:t>
      </w:r>
      <w:r>
        <w:rPr>
          <w:rFonts w:eastAsia="Times New Roman"/>
          <w:color w:val="000000"/>
          <w:sz w:val="20"/>
          <w:szCs w:val="20"/>
        </w:rPr>
        <w:t>ts of current assets and current liabilities (in millions):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3004"/>
        <w:gridCol w:w="38"/>
        <w:gridCol w:w="120"/>
        <w:gridCol w:w="910"/>
        <w:gridCol w:w="36"/>
        <w:gridCol w:w="36"/>
        <w:gridCol w:w="36"/>
        <w:gridCol w:w="36"/>
        <w:gridCol w:w="121"/>
        <w:gridCol w:w="853"/>
        <w:gridCol w:w="36"/>
        <w:gridCol w:w="36"/>
        <w:gridCol w:w="36"/>
        <w:gridCol w:w="36"/>
        <w:gridCol w:w="121"/>
        <w:gridCol w:w="726"/>
        <w:gridCol w:w="36"/>
        <w:gridCol w:w="36"/>
        <w:gridCol w:w="36"/>
        <w:gridCol w:w="36"/>
        <w:gridCol w:w="120"/>
        <w:gridCol w:w="795"/>
        <w:gridCol w:w="36"/>
        <w:gridCol w:w="36"/>
        <w:gridCol w:w="36"/>
        <w:gridCol w:w="36"/>
        <w:gridCol w:w="121"/>
        <w:gridCol w:w="726"/>
        <w:gridCol w:w="36"/>
      </w:tblGrid>
      <w:tr w:rsidR="00000000">
        <w:trPr>
          <w:jc w:val="center"/>
        </w:trPr>
        <w:tc>
          <w:tcPr>
            <w:tcW w:w="50" w:type="pct"/>
            <w:vAlign w:val="center"/>
            <w:hideMark/>
          </w:tcPr>
          <w:p w:rsidR="00000000" w:rsidRDefault="00613AEB">
            <w:pPr>
              <w:jc w:val="both"/>
              <w:rPr>
                <w:rFonts w:eastAsia="Times New Roman"/>
              </w:rPr>
            </w:pPr>
          </w:p>
        </w:tc>
        <w:tc>
          <w:tcPr>
            <w:tcW w:w="1867"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0" w:type="pct"/>
            <w:vAlign w:val="center"/>
            <w:hideMark/>
          </w:tcPr>
          <w:p w:rsidR="00000000" w:rsidRDefault="00613AEB">
            <w:pPr>
              <w:spacing w:after="100"/>
              <w:rPr>
                <w:rFonts w:eastAsia="Times New Roman"/>
                <w:sz w:val="20"/>
                <w:szCs w:val="20"/>
              </w:rPr>
            </w:pPr>
          </w:p>
        </w:tc>
        <w:tc>
          <w:tcPr>
            <w:tcW w:w="595"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26"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0" w:type="pct"/>
            <w:vAlign w:val="center"/>
            <w:hideMark/>
          </w:tcPr>
          <w:p w:rsidR="00000000" w:rsidRDefault="00613AEB">
            <w:pPr>
              <w:spacing w:after="100"/>
              <w:rPr>
                <w:rFonts w:eastAsia="Times New Roman"/>
                <w:sz w:val="20"/>
                <w:szCs w:val="20"/>
              </w:rPr>
            </w:pPr>
          </w:p>
        </w:tc>
        <w:tc>
          <w:tcPr>
            <w:tcW w:w="595"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26"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0" w:type="pct"/>
            <w:vAlign w:val="center"/>
            <w:hideMark/>
          </w:tcPr>
          <w:p w:rsidR="00000000" w:rsidRDefault="00613AEB">
            <w:pPr>
              <w:spacing w:after="100"/>
              <w:rPr>
                <w:rFonts w:eastAsia="Times New Roman"/>
                <w:sz w:val="20"/>
                <w:szCs w:val="20"/>
              </w:rPr>
            </w:pPr>
          </w:p>
        </w:tc>
        <w:tc>
          <w:tcPr>
            <w:tcW w:w="434"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26"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0" w:type="pct"/>
            <w:vAlign w:val="center"/>
            <w:hideMark/>
          </w:tcPr>
          <w:p w:rsidR="00000000" w:rsidRDefault="00613AEB">
            <w:pPr>
              <w:spacing w:after="100"/>
              <w:rPr>
                <w:rFonts w:eastAsia="Times New Roman"/>
                <w:sz w:val="20"/>
                <w:szCs w:val="20"/>
              </w:rPr>
            </w:pPr>
          </w:p>
        </w:tc>
        <w:tc>
          <w:tcPr>
            <w:tcW w:w="595"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26"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0" w:type="pct"/>
            <w:vAlign w:val="center"/>
            <w:hideMark/>
          </w:tcPr>
          <w:p w:rsidR="00000000" w:rsidRDefault="00613AEB">
            <w:pPr>
              <w:spacing w:after="100"/>
              <w:rPr>
                <w:rFonts w:eastAsia="Times New Roman"/>
                <w:sz w:val="20"/>
                <w:szCs w:val="20"/>
              </w:rPr>
            </w:pPr>
          </w:p>
        </w:tc>
        <w:tc>
          <w:tcPr>
            <w:tcW w:w="435"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613AEB">
            <w:pPr>
              <w:spacing w:after="100"/>
              <w:jc w:val="center"/>
              <w:rPr>
                <w:rFonts w:eastAsia="Times New Roman"/>
              </w:rPr>
            </w:pPr>
            <w:r>
              <w:rPr>
                <w:rFonts w:eastAsia="Times New Roman"/>
                <w:b/>
                <w:bCs/>
                <w:color w:val="000000"/>
                <w:sz w:val="20"/>
                <w:szCs w:val="20"/>
              </w:rPr>
              <w:t>June 25,</w:t>
            </w:r>
            <w:r>
              <w:rPr>
                <w:rFonts w:eastAsia="Times New Roman"/>
                <w:b/>
                <w:bCs/>
                <w:color w:val="000000"/>
                <w:sz w:val="20"/>
                <w:szCs w:val="20"/>
              </w:rPr>
              <w:br/>
              <w:t>2022</w:t>
            </w:r>
          </w:p>
        </w:tc>
        <w:tc>
          <w:tcPr>
            <w:tcW w:w="0" w:type="auto"/>
            <w:gridSpan w:val="3"/>
            <w:tcMar>
              <w:top w:w="0" w:type="dxa"/>
              <w:left w:w="20" w:type="dxa"/>
              <w:bottom w:w="0" w:type="dxa"/>
              <w:right w:w="20" w:type="dxa"/>
            </w:tcMar>
            <w:vAlign w:val="center"/>
            <w:hideMark/>
          </w:tcPr>
          <w:p w:rsidR="00000000" w:rsidRDefault="00613AE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13AEB">
            <w:pPr>
              <w:spacing w:after="100"/>
              <w:jc w:val="center"/>
              <w:rPr>
                <w:rFonts w:eastAsia="Times New Roman"/>
              </w:rPr>
            </w:pPr>
            <w:r>
              <w:rPr>
                <w:rFonts w:eastAsia="Times New Roman"/>
                <w:b/>
                <w:bCs/>
                <w:color w:val="000000"/>
                <w:sz w:val="20"/>
                <w:szCs w:val="20"/>
              </w:rPr>
              <w:t>December 25,</w:t>
            </w:r>
            <w:r>
              <w:rPr>
                <w:rFonts w:eastAsia="Times New Roman"/>
                <w:b/>
                <w:bCs/>
                <w:color w:val="000000"/>
                <w:sz w:val="20"/>
                <w:szCs w:val="20"/>
              </w:rPr>
              <w:br/>
              <w:t>2021</w:t>
            </w:r>
          </w:p>
        </w:tc>
        <w:tc>
          <w:tcPr>
            <w:tcW w:w="0" w:type="auto"/>
            <w:gridSpan w:val="3"/>
            <w:tcMar>
              <w:top w:w="0" w:type="dxa"/>
              <w:left w:w="20" w:type="dxa"/>
              <w:bottom w:w="0" w:type="dxa"/>
              <w:right w:w="20" w:type="dxa"/>
            </w:tcMar>
            <w:vAlign w:val="center"/>
            <w:hideMark/>
          </w:tcPr>
          <w:p w:rsidR="00000000" w:rsidRDefault="00613AE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13AEB">
            <w:pPr>
              <w:spacing w:after="100"/>
              <w:jc w:val="center"/>
              <w:rPr>
                <w:rFonts w:eastAsia="Times New Roman"/>
              </w:rPr>
            </w:pPr>
            <w:r>
              <w:rPr>
                <w:rFonts w:eastAsia="Times New Roman"/>
                <w:b/>
                <w:bCs/>
                <w:color w:val="000000"/>
                <w:sz w:val="20"/>
                <w:szCs w:val="20"/>
              </w:rPr>
              <w:t>Variance</w:t>
            </w:r>
          </w:p>
        </w:tc>
        <w:tc>
          <w:tcPr>
            <w:tcW w:w="0" w:type="auto"/>
            <w:gridSpan w:val="3"/>
            <w:tcMar>
              <w:top w:w="0" w:type="dxa"/>
              <w:left w:w="20" w:type="dxa"/>
              <w:bottom w:w="0" w:type="dxa"/>
              <w:right w:w="20" w:type="dxa"/>
            </w:tcMar>
            <w:vAlign w:val="center"/>
            <w:hideMark/>
          </w:tcPr>
          <w:p w:rsidR="00000000" w:rsidRDefault="00613AE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13AEB">
            <w:pPr>
              <w:spacing w:after="100"/>
              <w:jc w:val="center"/>
              <w:rPr>
                <w:rFonts w:eastAsia="Times New Roman"/>
              </w:rPr>
            </w:pPr>
            <w:r>
              <w:rPr>
                <w:rFonts w:eastAsia="Times New Roman"/>
                <w:b/>
                <w:bCs/>
                <w:color w:val="000000"/>
                <w:sz w:val="20"/>
                <w:szCs w:val="20"/>
              </w:rPr>
              <w:t>June 26,</w:t>
            </w:r>
            <w:r>
              <w:rPr>
                <w:rFonts w:eastAsia="Times New Roman"/>
                <w:b/>
                <w:bCs/>
                <w:color w:val="000000"/>
                <w:sz w:val="20"/>
                <w:szCs w:val="20"/>
              </w:rPr>
              <w:br/>
              <w:t>2021</w:t>
            </w:r>
          </w:p>
        </w:tc>
        <w:tc>
          <w:tcPr>
            <w:tcW w:w="0" w:type="auto"/>
            <w:gridSpan w:val="3"/>
            <w:tcMar>
              <w:top w:w="0" w:type="dxa"/>
              <w:left w:w="20" w:type="dxa"/>
              <w:bottom w:w="0" w:type="dxa"/>
              <w:right w:w="20" w:type="dxa"/>
            </w:tcMar>
            <w:vAlign w:val="center"/>
            <w:hideMark/>
          </w:tcPr>
          <w:p w:rsidR="00000000" w:rsidRDefault="00613AE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13AEB">
            <w:pPr>
              <w:spacing w:after="100"/>
              <w:jc w:val="center"/>
              <w:rPr>
                <w:rFonts w:eastAsia="Times New Roman"/>
              </w:rPr>
            </w:pPr>
            <w:r>
              <w:rPr>
                <w:rFonts w:eastAsia="Times New Roman"/>
                <w:b/>
                <w:bCs/>
                <w:color w:val="000000"/>
                <w:sz w:val="20"/>
                <w:szCs w:val="20"/>
              </w:rPr>
              <w:t>Variance</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613AEB">
            <w:pPr>
              <w:spacing w:after="100"/>
              <w:rPr>
                <w:rFonts w:eastAsia="Times New Roman"/>
              </w:rPr>
            </w:pPr>
            <w:r>
              <w:rPr>
                <w:rFonts w:eastAsia="Times New Roman"/>
                <w:b/>
                <w:bCs/>
                <w:color w:val="000000"/>
                <w:sz w:val="20"/>
                <w:szCs w:val="20"/>
              </w:rPr>
              <w:t>Current assets: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 </w:t>
            </w: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Cash and cash equivalents</w:t>
            </w:r>
          </w:p>
        </w:tc>
        <w:tc>
          <w:tcPr>
            <w:tcW w:w="0" w:type="auto"/>
            <w:shd w:val="clear" w:color="auto" w:fill="FFFF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530.8 </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878.0 </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(347.2)</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1,412.0 </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(881.2)</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Inventories</w:t>
            </w: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2,485.1 </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2,191.2 </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293.9 </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1,992.8 </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492.3 </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Prepaid expenses and other current assets</w:t>
            </w:r>
          </w:p>
        </w:tc>
        <w:tc>
          <w:tcPr>
            <w:tcW w:w="0" w:type="auto"/>
            <w:gridSpan w:val="2"/>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214.4 </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164.1 </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50.3 </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162.3 </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52.1 </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Income taxes receivable</w:t>
            </w: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17.1 </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(17.1)</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r>
      <w:tr w:rsidR="00000000">
        <w:trPr>
          <w:jc w:val="center"/>
        </w:trPr>
        <w:tc>
          <w:tcPr>
            <w:tcW w:w="0" w:type="auto"/>
            <w:gridSpan w:val="3"/>
            <w:shd w:val="clear" w:color="auto" w:fill="FFFFFF"/>
            <w:tcMar>
              <w:top w:w="30" w:type="dxa"/>
              <w:left w:w="605"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Total current assets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3,230.4 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3,250.4 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(20.1)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3,567.1 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(336.8)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613AEB">
            <w:pPr>
              <w:spacing w:after="100"/>
              <w:rPr>
                <w:rFonts w:eastAsia="Times New Roman"/>
              </w:rPr>
            </w:pPr>
            <w:r>
              <w:rPr>
                <w:rFonts w:eastAsia="Times New Roman"/>
                <w:b/>
                <w:bCs/>
                <w:color w:val="000000"/>
                <w:sz w:val="20"/>
                <w:szCs w:val="20"/>
              </w:rPr>
              <w:t>Current liabilities: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613AEB">
            <w:pPr>
              <w:spacing w:after="100"/>
              <w:jc w:val="right"/>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613AEB">
            <w:pPr>
              <w:spacing w:after="100"/>
              <w:jc w:val="right"/>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613AEB">
            <w:pPr>
              <w:spacing w:after="100"/>
              <w:jc w:val="right"/>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613AEB">
            <w:pPr>
              <w:spacing w:after="100"/>
              <w:jc w:val="right"/>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613AEB">
            <w:pPr>
              <w:spacing w:after="100"/>
              <w:jc w:val="right"/>
              <w:rPr>
                <w:rFonts w:eastAsia="Times New Roman"/>
              </w:rPr>
            </w:pPr>
            <w:r>
              <w:rPr>
                <w:rFonts w:eastAsia="Times New Roman"/>
                <w:color w:val="000000"/>
                <w:sz w:val="20"/>
                <w:szCs w:val="20"/>
              </w:rPr>
              <w:t> </w:t>
            </w: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Accounts payable</w:t>
            </w:r>
          </w:p>
        </w:tc>
        <w:tc>
          <w:tcPr>
            <w:tcW w:w="0" w:type="auto"/>
            <w:shd w:val="clear" w:color="auto" w:fill="FFFF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1,280.5 </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1,155.6 </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124.9 </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1,221.9 </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58.6 </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Accrued employee compensation</w:t>
            </w: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42.5 </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109.6 </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(67.1)</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84.8 </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(42.3)</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Other accrued expenses</w:t>
            </w:r>
          </w:p>
        </w:tc>
        <w:tc>
          <w:tcPr>
            <w:tcW w:w="0" w:type="auto"/>
            <w:gridSpan w:val="2"/>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470.1 </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474.4 </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(4.3)</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381.8 </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88.3 </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Current portion of long-term debt</w:t>
            </w: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Current portion of finance lease liabilities</w:t>
            </w:r>
          </w:p>
        </w:tc>
        <w:tc>
          <w:tcPr>
            <w:tcW w:w="0" w:type="auto"/>
            <w:gridSpan w:val="2"/>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3.5 </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3.9 </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(0.4)</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4.8 </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(1.3)</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Current portion of operating lease liabilities</w:t>
            </w: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364.6 </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321.3 </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43.3 </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306.1 </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58.5 </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Income taxes payable</w:t>
            </w:r>
          </w:p>
        </w:tc>
        <w:tc>
          <w:tcPr>
            <w:tcW w:w="0" w:type="auto"/>
            <w:gridSpan w:val="2"/>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81.0 </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81.0 </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84.1 </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(3.1)</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r>
      <w:tr w:rsidR="00000000">
        <w:trPr>
          <w:jc w:val="center"/>
        </w:trPr>
        <w:tc>
          <w:tcPr>
            <w:tcW w:w="0" w:type="auto"/>
            <w:gridSpan w:val="3"/>
            <w:vAlign w:val="center"/>
            <w:hideMark/>
          </w:tcPr>
          <w:p w:rsidR="00000000" w:rsidRDefault="00613AEB">
            <w:pPr>
              <w:spacing w:after="100"/>
              <w:jc w:val="right"/>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r>
      <w:tr w:rsidR="00000000">
        <w:trPr>
          <w:jc w:val="center"/>
        </w:trPr>
        <w:tc>
          <w:tcPr>
            <w:tcW w:w="0" w:type="auto"/>
            <w:gridSpan w:val="3"/>
            <w:shd w:val="clear" w:color="auto" w:fill="CCEEFF"/>
            <w:tcMar>
              <w:top w:w="30" w:type="dxa"/>
              <w:left w:w="605"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Total current liabilities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2,242.2 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2,064.8 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177.4 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2,083.5 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158.7 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613AEB">
            <w:pPr>
              <w:spacing w:after="100"/>
              <w:rPr>
                <w:rFonts w:eastAsia="Times New Roman"/>
              </w:rPr>
            </w:pPr>
            <w:r>
              <w:rPr>
                <w:rFonts w:eastAsia="Times New Roman"/>
                <w:b/>
                <w:bCs/>
                <w:color w:val="000000"/>
                <w:sz w:val="20"/>
                <w:szCs w:val="20"/>
              </w:rPr>
              <w:t>Working capital</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988.2 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1,185.6 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(197.5)</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1,483.6 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(495.5)</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r>
    </w:tbl>
    <w:p w:rsidR="00000000" w:rsidRDefault="00613AEB">
      <w:pPr>
        <w:ind w:hanging="90"/>
        <w:jc w:val="both"/>
        <w:rPr>
          <w:rFonts w:eastAsia="Times New Roman"/>
        </w:rPr>
      </w:pPr>
      <w:r>
        <w:rPr>
          <w:rFonts w:eastAsia="Times New Roman"/>
          <w:i/>
          <w:iCs/>
          <w:color w:val="000000"/>
          <w:sz w:val="13"/>
          <w:szCs w:val="13"/>
        </w:rPr>
        <w:t>Note: Amounts may not sum to totals due to rounding.</w:t>
      </w:r>
      <w:r>
        <w:rPr>
          <w:rFonts w:eastAsia="Times New Roman"/>
          <w:i/>
          <w:iCs/>
          <w:color w:val="000000"/>
          <w:sz w:val="13"/>
          <w:szCs w:val="13"/>
        </w:rPr>
        <w:t xml:space="preserve"> </w:t>
      </w:r>
    </w:p>
    <w:p w:rsidR="00000000" w:rsidRDefault="00613AEB">
      <w:pPr>
        <w:jc w:val="center"/>
        <w:divId w:val="278031515"/>
        <w:rPr>
          <w:rFonts w:eastAsia="Times New Roman"/>
        </w:rPr>
      </w:pPr>
      <w:r>
        <w:rPr>
          <w:rFonts w:eastAsia="Times New Roman"/>
          <w:color w:val="000000"/>
          <w:sz w:val="20"/>
          <w:szCs w:val="20"/>
        </w:rPr>
        <w:t>Page 21</w:t>
      </w:r>
    </w:p>
    <w:p w:rsidR="00000000" w:rsidRDefault="00613AEB">
      <w:pPr>
        <w:rPr>
          <w:rFonts w:eastAsia="Times New Roman"/>
        </w:rPr>
      </w:pPr>
      <w:r>
        <w:rPr>
          <w:rFonts w:eastAsia="Times New Roman"/>
        </w:rPr>
        <w:pict>
          <v:rect id="_x0000_i1046" style="width:0;height:1.5pt" o:hralign="center" o:hrstd="t" o:hr="t" fillcolor="#a0a0a0" stroked="f"/>
        </w:pict>
      </w:r>
    </w:p>
    <w:p w:rsidR="00000000" w:rsidRDefault="00613AEB">
      <w:pPr>
        <w:divId w:val="220941447"/>
        <w:rPr>
          <w:rFonts w:eastAsia="Times New Roman"/>
        </w:rPr>
      </w:pPr>
      <w:hyperlink w:anchor="i7b244a6903fc440faaf2365d228fe4ba_7" w:history="1">
        <w:r>
          <w:rPr>
            <w:rStyle w:val="a3"/>
            <w:rFonts w:eastAsia="Times New Roman"/>
            <w:sz w:val="16"/>
            <w:szCs w:val="16"/>
          </w:rPr>
          <w:t>Index</w:t>
        </w:r>
      </w:hyperlink>
    </w:p>
    <w:p w:rsidR="00000000" w:rsidRDefault="00613AEB">
      <w:pPr>
        <w:jc w:val="both"/>
        <w:rPr>
          <w:rFonts w:eastAsia="Times New Roman"/>
        </w:rPr>
      </w:pPr>
      <w:r>
        <w:rPr>
          <w:rFonts w:eastAsia="Times New Roman"/>
          <w:color w:val="000000"/>
          <w:sz w:val="20"/>
          <w:szCs w:val="20"/>
        </w:rPr>
        <w:t>In comparison to December 25, 2021, working capital as of June 25, 2022 was impacted most significantly by changes in cash and cash equivalents, inventories</w:t>
      </w:r>
      <w:r>
        <w:rPr>
          <w:rFonts w:eastAsia="Times New Roman"/>
          <w:color w:val="000000"/>
          <w:sz w:val="20"/>
          <w:szCs w:val="20"/>
        </w:rPr>
        <w:t>, accounts payable, and income taxes payable/receivable.</w:t>
      </w:r>
    </w:p>
    <w:p w:rsidR="00000000" w:rsidRDefault="00613AEB">
      <w:pPr>
        <w:jc w:val="both"/>
        <w:rPr>
          <w:rFonts w:eastAsia="Times New Roman"/>
        </w:rPr>
      </w:pPr>
    </w:p>
    <w:p w:rsidR="00000000" w:rsidRDefault="00613AEB">
      <w:pPr>
        <w:ind w:hanging="180"/>
        <w:jc w:val="both"/>
        <w:rPr>
          <w:rFonts w:eastAsia="Times New Roman"/>
        </w:rPr>
      </w:pPr>
      <w:r>
        <w:rPr>
          <w:rFonts w:eastAsia="Times New Roman"/>
          <w:color w:val="000000"/>
          <w:sz w:val="20"/>
          <w:szCs w:val="20"/>
        </w:rPr>
        <w:t>•The decrease in cash and cash equivalents was primarily driven by uses of cash for share repurchases, capital expenditures to support strategic growth, and dividends paid to stockholders, partiall</w:t>
      </w:r>
      <w:r>
        <w:rPr>
          <w:rFonts w:eastAsia="Times New Roman"/>
          <w:color w:val="000000"/>
          <w:sz w:val="20"/>
          <w:szCs w:val="20"/>
        </w:rPr>
        <w:t>y offset by positive cash flow generated from operations.</w:t>
      </w:r>
    </w:p>
    <w:p w:rsidR="00000000" w:rsidRDefault="00613AEB">
      <w:pPr>
        <w:ind w:hanging="180"/>
        <w:jc w:val="both"/>
        <w:rPr>
          <w:rFonts w:eastAsia="Times New Roman"/>
        </w:rPr>
      </w:pPr>
      <w:r>
        <w:rPr>
          <w:rFonts w:eastAsia="Times New Roman"/>
          <w:color w:val="000000"/>
          <w:sz w:val="20"/>
          <w:szCs w:val="20"/>
        </w:rPr>
        <w:t>•The increase in inventories resulted from an increase in average inventory per store driven by our commitment to support our strong sales trends, along with the impact of inflation and the purchase</w:t>
      </w:r>
      <w:r>
        <w:rPr>
          <w:rFonts w:eastAsia="Times New Roman"/>
          <w:color w:val="000000"/>
          <w:sz w:val="20"/>
          <w:szCs w:val="20"/>
        </w:rPr>
        <w:t xml:space="preserve"> of additional inventory to support new store growth.</w:t>
      </w:r>
    </w:p>
    <w:p w:rsidR="00000000" w:rsidRDefault="00613AEB">
      <w:pPr>
        <w:ind w:hanging="180"/>
        <w:jc w:val="both"/>
        <w:rPr>
          <w:rFonts w:eastAsia="Times New Roman"/>
        </w:rPr>
      </w:pPr>
      <w:r>
        <w:rPr>
          <w:rFonts w:eastAsia="Times New Roman"/>
          <w:color w:val="000000"/>
          <w:sz w:val="20"/>
          <w:szCs w:val="20"/>
        </w:rPr>
        <w:t>•The increase in accounts payable resulted from the purchase of additional inventory and heightened inventory costs as a result of elevated inflation.</w:t>
      </w:r>
    </w:p>
    <w:p w:rsidR="00000000" w:rsidRDefault="00613AEB">
      <w:pPr>
        <w:ind w:hanging="180"/>
        <w:jc w:val="both"/>
        <w:rPr>
          <w:rFonts w:eastAsia="Times New Roman"/>
        </w:rPr>
      </w:pPr>
      <w:r>
        <w:rPr>
          <w:rFonts w:eastAsia="Times New Roman"/>
          <w:color w:val="000000"/>
          <w:sz w:val="20"/>
          <w:szCs w:val="20"/>
        </w:rPr>
        <w:t>•The increase in income taxes payable was primarily</w:t>
      </w:r>
      <w:r>
        <w:rPr>
          <w:rFonts w:eastAsia="Times New Roman"/>
          <w:color w:val="000000"/>
          <w:sz w:val="20"/>
          <w:szCs w:val="20"/>
        </w:rPr>
        <w:t xml:space="preserve"> due to the timing of payments.</w:t>
      </w:r>
    </w:p>
    <w:p w:rsidR="00000000" w:rsidRDefault="00613AEB">
      <w:pPr>
        <w:ind w:firstLine="180"/>
        <w:jc w:val="both"/>
        <w:rPr>
          <w:rFonts w:eastAsia="Times New Roman"/>
        </w:rPr>
      </w:pPr>
    </w:p>
    <w:p w:rsidR="00000000" w:rsidRDefault="00613AEB">
      <w:pPr>
        <w:jc w:val="both"/>
        <w:rPr>
          <w:rFonts w:eastAsia="Times New Roman"/>
        </w:rPr>
      </w:pPr>
      <w:r>
        <w:rPr>
          <w:rFonts w:eastAsia="Times New Roman"/>
          <w:color w:val="000000"/>
          <w:sz w:val="20"/>
          <w:szCs w:val="20"/>
        </w:rPr>
        <w:t>In comparison to June 26, 2021, working capital as of June 25, 2022 was impacted most significantly by changes in cash and cash equivalents, inventories, other accrued expenses, and accounts payable.</w:t>
      </w:r>
    </w:p>
    <w:p w:rsidR="00000000" w:rsidRDefault="00613AEB">
      <w:pPr>
        <w:jc w:val="both"/>
        <w:rPr>
          <w:rFonts w:eastAsia="Times New Roman"/>
        </w:rPr>
      </w:pPr>
    </w:p>
    <w:p w:rsidR="00000000" w:rsidRDefault="00613AEB">
      <w:pPr>
        <w:ind w:hanging="180"/>
        <w:jc w:val="both"/>
        <w:rPr>
          <w:rFonts w:eastAsia="Times New Roman"/>
        </w:rPr>
      </w:pPr>
      <w:r>
        <w:rPr>
          <w:rFonts w:eastAsia="Times New Roman"/>
          <w:color w:val="000000"/>
          <w:sz w:val="20"/>
          <w:szCs w:val="20"/>
        </w:rPr>
        <w:t>•The decrease in cas</w:t>
      </w:r>
      <w:r>
        <w:rPr>
          <w:rFonts w:eastAsia="Times New Roman"/>
          <w:color w:val="000000"/>
          <w:sz w:val="20"/>
          <w:szCs w:val="20"/>
        </w:rPr>
        <w:t>h and cash equivalents was primarily driven by uses of cash for share repurchases, capital expenditures to support strategic growth, and dividends paid to stockholders, partially offset by positive cash flow generated from operations.</w:t>
      </w:r>
    </w:p>
    <w:p w:rsidR="00000000" w:rsidRDefault="00613AEB">
      <w:pPr>
        <w:ind w:hanging="180"/>
        <w:jc w:val="both"/>
        <w:rPr>
          <w:rFonts w:eastAsia="Times New Roman"/>
        </w:rPr>
      </w:pPr>
      <w:r>
        <w:rPr>
          <w:rFonts w:eastAsia="Times New Roman"/>
          <w:color w:val="000000"/>
          <w:sz w:val="20"/>
          <w:szCs w:val="20"/>
        </w:rPr>
        <w:t>•The increase in inve</w:t>
      </w:r>
      <w:r>
        <w:rPr>
          <w:rFonts w:eastAsia="Times New Roman"/>
          <w:color w:val="000000"/>
          <w:sz w:val="20"/>
          <w:szCs w:val="20"/>
        </w:rPr>
        <w:t xml:space="preserve">ntories and accounts payable resulted from an increase in average inventory per store driven by our commitment to support our strong sales trends, along with the impact of inflation and the purchase of additional inventory to support new store growth. The </w:t>
      </w:r>
      <w:r>
        <w:rPr>
          <w:rFonts w:eastAsia="Times New Roman"/>
          <w:color w:val="000000"/>
          <w:sz w:val="20"/>
          <w:szCs w:val="20"/>
        </w:rPr>
        <w:t>growth in inventories was higher than the growth in accounts payable principally due to a normalization in inventory levels and turns.</w:t>
      </w:r>
    </w:p>
    <w:p w:rsidR="00000000" w:rsidRDefault="00613AEB">
      <w:pPr>
        <w:ind w:hanging="180"/>
        <w:jc w:val="both"/>
        <w:rPr>
          <w:rFonts w:eastAsia="Times New Roman"/>
        </w:rPr>
      </w:pPr>
      <w:r>
        <w:rPr>
          <w:rFonts w:eastAsia="Times New Roman"/>
          <w:color w:val="000000"/>
          <w:sz w:val="20"/>
          <w:szCs w:val="20"/>
        </w:rPr>
        <w:t>•The increase in other accrued expenses was primarily driven by heightened payables due to inflation and growth in sales.</w:t>
      </w:r>
    </w:p>
    <w:p w:rsidR="00000000" w:rsidRDefault="00613AEB">
      <w:pPr>
        <w:ind w:firstLine="180"/>
        <w:jc w:val="both"/>
        <w:rPr>
          <w:rFonts w:eastAsia="Times New Roman"/>
        </w:rPr>
      </w:pPr>
    </w:p>
    <w:p w:rsidR="00000000" w:rsidRDefault="00613AEB">
      <w:pPr>
        <w:jc w:val="both"/>
        <w:rPr>
          <w:rFonts w:eastAsia="Times New Roman"/>
        </w:rPr>
      </w:pPr>
      <w:r>
        <w:rPr>
          <w:rFonts w:eastAsia="Times New Roman"/>
          <w:b/>
          <w:bCs/>
          <w:color w:val="000000"/>
          <w:sz w:val="20"/>
          <w:szCs w:val="20"/>
        </w:rPr>
        <w:t>Debt</w:t>
      </w:r>
    </w:p>
    <w:p w:rsidR="00000000" w:rsidRDefault="00613AEB">
      <w:pPr>
        <w:jc w:val="both"/>
        <w:rPr>
          <w:rFonts w:eastAsia="Times New Roman"/>
        </w:rPr>
      </w:pPr>
    </w:p>
    <w:p w:rsidR="00000000" w:rsidRDefault="00613AEB">
      <w:pPr>
        <w:jc w:val="both"/>
        <w:rPr>
          <w:rFonts w:eastAsia="Times New Roman"/>
        </w:rPr>
      </w:pPr>
      <w:r>
        <w:rPr>
          <w:rFonts w:eastAsia="Times New Roman"/>
          <w:color w:val="000000"/>
          <w:sz w:val="20"/>
          <w:szCs w:val="20"/>
        </w:rPr>
        <w:t>The following table summarizes the Company’s outstanding debt as of the dates indicated (in millions):</w:t>
      </w:r>
    </w:p>
    <w:tbl>
      <w:tblPr>
        <w:tblW w:w="4985" w:type="pct"/>
        <w:jc w:val="center"/>
        <w:tblCellMar>
          <w:top w:w="15" w:type="dxa"/>
          <w:left w:w="15" w:type="dxa"/>
          <w:bottom w:w="15" w:type="dxa"/>
          <w:right w:w="15" w:type="dxa"/>
        </w:tblCellMar>
        <w:tblLook w:val="04A0" w:firstRow="1" w:lastRow="0" w:firstColumn="1" w:lastColumn="0" w:noHBand="0" w:noVBand="1"/>
      </w:tblPr>
      <w:tblGrid>
        <w:gridCol w:w="39"/>
        <w:gridCol w:w="4313"/>
        <w:gridCol w:w="38"/>
        <w:gridCol w:w="36"/>
        <w:gridCol w:w="36"/>
        <w:gridCol w:w="36"/>
        <w:gridCol w:w="121"/>
        <w:gridCol w:w="1032"/>
        <w:gridCol w:w="36"/>
        <w:gridCol w:w="36"/>
        <w:gridCol w:w="36"/>
        <w:gridCol w:w="36"/>
        <w:gridCol w:w="121"/>
        <w:gridCol w:w="1032"/>
        <w:gridCol w:w="36"/>
        <w:gridCol w:w="36"/>
        <w:gridCol w:w="36"/>
        <w:gridCol w:w="36"/>
        <w:gridCol w:w="121"/>
        <w:gridCol w:w="1032"/>
        <w:gridCol w:w="36"/>
      </w:tblGrid>
      <w:tr w:rsidR="00000000">
        <w:trPr>
          <w:jc w:val="center"/>
        </w:trPr>
        <w:tc>
          <w:tcPr>
            <w:tcW w:w="50" w:type="pct"/>
            <w:vAlign w:val="center"/>
            <w:hideMark/>
          </w:tcPr>
          <w:p w:rsidR="00000000" w:rsidRDefault="00613AEB">
            <w:pPr>
              <w:jc w:val="both"/>
              <w:rPr>
                <w:rFonts w:eastAsia="Times New Roman"/>
              </w:rPr>
            </w:pPr>
          </w:p>
        </w:tc>
        <w:tc>
          <w:tcPr>
            <w:tcW w:w="2635"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26"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0" w:type="pct"/>
            <w:vAlign w:val="center"/>
            <w:hideMark/>
          </w:tcPr>
          <w:p w:rsidR="00000000" w:rsidRDefault="00613AEB">
            <w:pPr>
              <w:spacing w:after="100"/>
              <w:rPr>
                <w:rFonts w:eastAsia="Times New Roman"/>
                <w:sz w:val="20"/>
                <w:szCs w:val="20"/>
              </w:rPr>
            </w:pPr>
          </w:p>
        </w:tc>
        <w:tc>
          <w:tcPr>
            <w:tcW w:w="678"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26"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0" w:type="pct"/>
            <w:vAlign w:val="center"/>
            <w:hideMark/>
          </w:tcPr>
          <w:p w:rsidR="00000000" w:rsidRDefault="00613AEB">
            <w:pPr>
              <w:spacing w:after="100"/>
              <w:rPr>
                <w:rFonts w:eastAsia="Times New Roman"/>
                <w:sz w:val="20"/>
                <w:szCs w:val="20"/>
              </w:rPr>
            </w:pPr>
          </w:p>
        </w:tc>
        <w:tc>
          <w:tcPr>
            <w:tcW w:w="678"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26"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0" w:type="pct"/>
            <w:vAlign w:val="center"/>
            <w:hideMark/>
          </w:tcPr>
          <w:p w:rsidR="00000000" w:rsidRDefault="00613AEB">
            <w:pPr>
              <w:spacing w:after="100"/>
              <w:rPr>
                <w:rFonts w:eastAsia="Times New Roman"/>
                <w:sz w:val="20"/>
                <w:szCs w:val="20"/>
              </w:rPr>
            </w:pPr>
          </w:p>
        </w:tc>
        <w:tc>
          <w:tcPr>
            <w:tcW w:w="678"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613AEB">
            <w:pPr>
              <w:spacing w:after="100"/>
              <w:jc w:val="center"/>
              <w:rPr>
                <w:rFonts w:eastAsia="Times New Roman"/>
              </w:rPr>
            </w:pPr>
            <w:r>
              <w:rPr>
                <w:rFonts w:eastAsia="Times New Roman"/>
                <w:b/>
                <w:bCs/>
                <w:color w:val="000000"/>
                <w:sz w:val="20"/>
                <w:szCs w:val="20"/>
              </w:rPr>
              <w:t>June 25,</w:t>
            </w:r>
            <w:r>
              <w:rPr>
                <w:rFonts w:eastAsia="Times New Roman"/>
                <w:b/>
                <w:bCs/>
                <w:color w:val="000000"/>
                <w:sz w:val="20"/>
                <w:szCs w:val="20"/>
              </w:rPr>
              <w:br/>
              <w:t>2022</w:t>
            </w:r>
          </w:p>
        </w:tc>
        <w:tc>
          <w:tcPr>
            <w:tcW w:w="0" w:type="auto"/>
            <w:gridSpan w:val="3"/>
            <w:tcMar>
              <w:top w:w="0" w:type="dxa"/>
              <w:left w:w="20" w:type="dxa"/>
              <w:bottom w:w="0" w:type="dxa"/>
              <w:right w:w="20" w:type="dxa"/>
            </w:tcMar>
            <w:vAlign w:val="center"/>
            <w:hideMark/>
          </w:tcPr>
          <w:p w:rsidR="00000000" w:rsidRDefault="00613AE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13AEB">
            <w:pPr>
              <w:spacing w:after="100"/>
              <w:jc w:val="center"/>
              <w:rPr>
                <w:rFonts w:eastAsia="Times New Roman"/>
              </w:rPr>
            </w:pPr>
            <w:r>
              <w:rPr>
                <w:rFonts w:eastAsia="Times New Roman"/>
                <w:b/>
                <w:bCs/>
                <w:color w:val="000000"/>
                <w:sz w:val="20"/>
                <w:szCs w:val="20"/>
              </w:rPr>
              <w:t>December 25,</w:t>
            </w:r>
            <w:r>
              <w:rPr>
                <w:rFonts w:eastAsia="Times New Roman"/>
                <w:b/>
                <w:bCs/>
                <w:color w:val="000000"/>
                <w:sz w:val="20"/>
                <w:szCs w:val="20"/>
              </w:rPr>
              <w:br/>
              <w:t>2021</w:t>
            </w:r>
          </w:p>
        </w:tc>
        <w:tc>
          <w:tcPr>
            <w:tcW w:w="0" w:type="auto"/>
            <w:gridSpan w:val="3"/>
            <w:tcMar>
              <w:top w:w="0" w:type="dxa"/>
              <w:left w:w="20" w:type="dxa"/>
              <w:bottom w:w="0" w:type="dxa"/>
              <w:right w:w="20" w:type="dxa"/>
            </w:tcMar>
            <w:vAlign w:val="center"/>
            <w:hideMark/>
          </w:tcPr>
          <w:p w:rsidR="00000000" w:rsidRDefault="00613AE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13AEB">
            <w:pPr>
              <w:spacing w:after="100"/>
              <w:jc w:val="center"/>
              <w:rPr>
                <w:rFonts w:eastAsia="Times New Roman"/>
              </w:rPr>
            </w:pPr>
            <w:r>
              <w:rPr>
                <w:rFonts w:eastAsia="Times New Roman"/>
                <w:b/>
                <w:bCs/>
                <w:color w:val="000000"/>
                <w:sz w:val="20"/>
                <w:szCs w:val="20"/>
              </w:rPr>
              <w:t>June 26,</w:t>
            </w:r>
            <w:r>
              <w:rPr>
                <w:rFonts w:eastAsia="Times New Roman"/>
                <w:b/>
                <w:bCs/>
                <w:color w:val="000000"/>
                <w:sz w:val="20"/>
                <w:szCs w:val="20"/>
              </w:rPr>
              <w:br/>
              <w:t>2021</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1.75% Senior Notes due 2030</w:t>
            </w: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650.0 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650.0 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650.0 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3.70% Senior Notes due 2029</w:t>
            </w: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150.0 </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150.0 </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150.0 </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Senior Credit Facility:</w:t>
            </w: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November 2020 Term Loan</w:t>
            </w: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200.0 </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200.0 </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200.0 </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Revolving credit loans</w:t>
            </w: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Total outstanding borrowings</w:t>
            </w: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1,000.0 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1,000.0 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1,000.0 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Less: unamortized debt discounts and issuance costs</w:t>
            </w: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(12.6)</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(13.6)</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(14.6)</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613AEB">
            <w:pPr>
              <w:spacing w:after="100"/>
              <w:rPr>
                <w:rFonts w:eastAsia="Times New Roman"/>
              </w:rPr>
            </w:pPr>
            <w:r>
              <w:rPr>
                <w:rFonts w:eastAsia="Times New Roman"/>
                <w:b/>
                <w:bCs/>
                <w:color w:val="000000"/>
                <w:sz w:val="20"/>
                <w:szCs w:val="20"/>
              </w:rPr>
              <w:t>Total debt</w:t>
            </w: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987.4 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986.4 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985.4 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Less: current portion of long-term debt</w:t>
            </w: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613AEB">
            <w:pPr>
              <w:spacing w:after="100"/>
              <w:rPr>
                <w:rFonts w:eastAsia="Times New Roman"/>
              </w:rPr>
            </w:pPr>
            <w:r>
              <w:rPr>
                <w:rFonts w:eastAsia="Times New Roman"/>
                <w:b/>
                <w:bCs/>
                <w:color w:val="000000"/>
                <w:sz w:val="20"/>
                <w:szCs w:val="20"/>
              </w:rPr>
              <w:t>Long-term debt</w:t>
            </w: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987.4 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986.4 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985.4 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r>
      <w:tr w:rsidR="00000000">
        <w:trPr>
          <w:trHeight w:val="160"/>
          <w:jc w:val="center"/>
        </w:trPr>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Outstanding letters of credit</w:t>
            </w: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57.6 </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52.9 </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68.1 </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r>
    </w:tbl>
    <w:p w:rsidR="00000000" w:rsidRDefault="00613AEB">
      <w:pPr>
        <w:jc w:val="both"/>
        <w:rPr>
          <w:rFonts w:eastAsia="Times New Roman"/>
        </w:rPr>
      </w:pPr>
      <w:r>
        <w:rPr>
          <w:rFonts w:eastAsia="Times New Roman"/>
          <w:color w:val="000000"/>
          <w:sz w:val="20"/>
          <w:szCs w:val="20"/>
        </w:rPr>
        <w:t xml:space="preserve">For additional information about the Company’s debt and credit facilities, refer to </w:t>
      </w:r>
      <w:hyperlink w:anchor="i7b244a6903fc440faaf2365d228fe4ba_46" w:history="1">
        <w:r>
          <w:rPr>
            <w:rStyle w:val="a3"/>
            <w:rFonts w:eastAsia="Times New Roman"/>
            <w:sz w:val="20"/>
            <w:szCs w:val="20"/>
          </w:rPr>
          <w:t>Note 5</w:t>
        </w:r>
      </w:hyperlink>
      <w:r>
        <w:rPr>
          <w:rFonts w:eastAsia="Times New Roman"/>
          <w:color w:val="000000"/>
          <w:sz w:val="20"/>
          <w:szCs w:val="20"/>
        </w:rPr>
        <w:t xml:space="preserve"> to the Condensed Consolidated Financial Statements.</w:t>
      </w:r>
    </w:p>
    <w:p w:rsidR="00000000" w:rsidRDefault="00613AEB">
      <w:pPr>
        <w:jc w:val="both"/>
        <w:rPr>
          <w:rFonts w:eastAsia="Times New Roman"/>
        </w:rPr>
      </w:pPr>
    </w:p>
    <w:p w:rsidR="00000000" w:rsidRDefault="00613AEB">
      <w:pPr>
        <w:jc w:val="center"/>
        <w:divId w:val="1731268932"/>
        <w:rPr>
          <w:rFonts w:eastAsia="Times New Roman"/>
        </w:rPr>
      </w:pPr>
      <w:r>
        <w:rPr>
          <w:rFonts w:eastAsia="Times New Roman"/>
          <w:color w:val="000000"/>
          <w:sz w:val="20"/>
          <w:szCs w:val="20"/>
        </w:rPr>
        <w:t>Page 22</w:t>
      </w:r>
    </w:p>
    <w:p w:rsidR="00000000" w:rsidRDefault="00613AEB">
      <w:pPr>
        <w:rPr>
          <w:rFonts w:eastAsia="Times New Roman"/>
        </w:rPr>
      </w:pPr>
      <w:r>
        <w:rPr>
          <w:rFonts w:eastAsia="Times New Roman"/>
        </w:rPr>
        <w:pict>
          <v:rect id="_x0000_i1047" style="width:0;height:1.5pt" o:hralign="center" o:hrstd="t" o:hr="t" fillcolor="#a0a0a0" stroked="f"/>
        </w:pict>
      </w:r>
    </w:p>
    <w:p w:rsidR="00000000" w:rsidRDefault="00613AEB">
      <w:pPr>
        <w:divId w:val="358512622"/>
        <w:rPr>
          <w:rFonts w:eastAsia="Times New Roman"/>
        </w:rPr>
      </w:pPr>
      <w:hyperlink w:anchor="i7b244a6903fc440faaf2365d228fe4ba_7" w:history="1">
        <w:r>
          <w:rPr>
            <w:rStyle w:val="a3"/>
            <w:rFonts w:eastAsia="Times New Roman"/>
            <w:sz w:val="16"/>
            <w:szCs w:val="16"/>
          </w:rPr>
          <w:t>Index</w:t>
        </w:r>
      </w:hyperlink>
    </w:p>
    <w:p w:rsidR="00000000" w:rsidRDefault="00613AEB">
      <w:pPr>
        <w:jc w:val="both"/>
        <w:rPr>
          <w:rFonts w:eastAsia="Times New Roman"/>
        </w:rPr>
      </w:pPr>
      <w:r>
        <w:rPr>
          <w:rFonts w:eastAsia="Times New Roman"/>
          <w:b/>
          <w:bCs/>
          <w:color w:val="000000"/>
          <w:sz w:val="20"/>
          <w:szCs w:val="20"/>
        </w:rPr>
        <w:t>Operating Activities</w:t>
      </w:r>
    </w:p>
    <w:p w:rsidR="00000000" w:rsidRDefault="00613AEB">
      <w:pPr>
        <w:jc w:val="both"/>
        <w:rPr>
          <w:rFonts w:eastAsia="Times New Roman"/>
        </w:rPr>
      </w:pPr>
    </w:p>
    <w:p w:rsidR="00000000" w:rsidRDefault="00613AEB">
      <w:pPr>
        <w:jc w:val="both"/>
        <w:rPr>
          <w:rFonts w:eastAsia="Times New Roman"/>
        </w:rPr>
      </w:pPr>
      <w:r>
        <w:rPr>
          <w:rFonts w:eastAsia="Times New Roman"/>
          <w:color w:val="000000"/>
          <w:sz w:val="20"/>
          <w:szCs w:val="20"/>
        </w:rPr>
        <w:t>Operating activities provided net cash of $625.6 million and $808.9 million in the first six months of fiscal 2022 and fiscal 2021, respectively.  The $183.3 million decrease in net cash provided by operating activities in the first six months of fiscal 20</w:t>
      </w:r>
      <w:r>
        <w:rPr>
          <w:rFonts w:eastAsia="Times New Roman"/>
          <w:color w:val="000000"/>
          <w:sz w:val="20"/>
          <w:szCs w:val="20"/>
        </w:rPr>
        <w:t>22 compared to the first six months of fiscal 2021 is due to changes in the following operating activities (in millions):</w:t>
      </w:r>
    </w:p>
    <w:tbl>
      <w:tblPr>
        <w:tblW w:w="4985" w:type="pct"/>
        <w:jc w:val="center"/>
        <w:tblCellMar>
          <w:top w:w="15" w:type="dxa"/>
          <w:left w:w="15" w:type="dxa"/>
          <w:bottom w:w="15" w:type="dxa"/>
          <w:right w:w="15" w:type="dxa"/>
        </w:tblCellMar>
        <w:tblLook w:val="04A0" w:firstRow="1" w:lastRow="0" w:firstColumn="1" w:lastColumn="0" w:noHBand="0" w:noVBand="1"/>
      </w:tblPr>
      <w:tblGrid>
        <w:gridCol w:w="39"/>
        <w:gridCol w:w="4945"/>
        <w:gridCol w:w="37"/>
        <w:gridCol w:w="120"/>
        <w:gridCol w:w="940"/>
        <w:gridCol w:w="36"/>
        <w:gridCol w:w="36"/>
        <w:gridCol w:w="36"/>
        <w:gridCol w:w="36"/>
        <w:gridCol w:w="120"/>
        <w:gridCol w:w="899"/>
        <w:gridCol w:w="36"/>
        <w:gridCol w:w="36"/>
        <w:gridCol w:w="36"/>
        <w:gridCol w:w="36"/>
        <w:gridCol w:w="121"/>
        <w:gridCol w:w="736"/>
        <w:gridCol w:w="36"/>
      </w:tblGrid>
      <w:tr w:rsidR="00000000">
        <w:trPr>
          <w:jc w:val="center"/>
        </w:trPr>
        <w:tc>
          <w:tcPr>
            <w:tcW w:w="50" w:type="pct"/>
            <w:vAlign w:val="center"/>
            <w:hideMark/>
          </w:tcPr>
          <w:p w:rsidR="00000000" w:rsidRDefault="00613AEB">
            <w:pPr>
              <w:jc w:val="both"/>
              <w:rPr>
                <w:rFonts w:eastAsia="Times New Roman"/>
              </w:rPr>
            </w:pPr>
          </w:p>
        </w:tc>
        <w:tc>
          <w:tcPr>
            <w:tcW w:w="3016"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0" w:type="pct"/>
            <w:vAlign w:val="center"/>
            <w:hideMark/>
          </w:tcPr>
          <w:p w:rsidR="00000000" w:rsidRDefault="00613AEB">
            <w:pPr>
              <w:spacing w:after="100"/>
              <w:rPr>
                <w:rFonts w:eastAsia="Times New Roman"/>
                <w:sz w:val="20"/>
                <w:szCs w:val="20"/>
              </w:rPr>
            </w:pPr>
          </w:p>
        </w:tc>
        <w:tc>
          <w:tcPr>
            <w:tcW w:w="597"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26"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0" w:type="pct"/>
            <w:vAlign w:val="center"/>
            <w:hideMark/>
          </w:tcPr>
          <w:p w:rsidR="00000000" w:rsidRDefault="00613AEB">
            <w:pPr>
              <w:spacing w:after="100"/>
              <w:rPr>
                <w:rFonts w:eastAsia="Times New Roman"/>
                <w:sz w:val="20"/>
                <w:szCs w:val="20"/>
              </w:rPr>
            </w:pPr>
          </w:p>
        </w:tc>
        <w:tc>
          <w:tcPr>
            <w:tcW w:w="597"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26"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0" w:type="pct"/>
            <w:vAlign w:val="center"/>
            <w:hideMark/>
          </w:tcPr>
          <w:p w:rsidR="00000000" w:rsidRDefault="00613AEB">
            <w:pPr>
              <w:spacing w:after="100"/>
              <w:rPr>
                <w:rFonts w:eastAsia="Times New Roman"/>
                <w:sz w:val="20"/>
                <w:szCs w:val="20"/>
              </w:rPr>
            </w:pPr>
          </w:p>
        </w:tc>
        <w:tc>
          <w:tcPr>
            <w:tcW w:w="495"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 </w:t>
            </w:r>
          </w:p>
        </w:tc>
        <w:tc>
          <w:tcPr>
            <w:tcW w:w="0" w:type="auto"/>
            <w:gridSpan w:val="15"/>
            <w:tcMar>
              <w:top w:w="30" w:type="dxa"/>
              <w:left w:w="20" w:type="dxa"/>
              <w:bottom w:w="30" w:type="dxa"/>
              <w:right w:w="20" w:type="dxa"/>
            </w:tcMar>
            <w:vAlign w:val="bottom"/>
            <w:hideMark/>
          </w:tcPr>
          <w:p w:rsidR="00000000" w:rsidRDefault="00613AEB">
            <w:pPr>
              <w:spacing w:after="100"/>
              <w:jc w:val="center"/>
              <w:rPr>
                <w:rFonts w:eastAsia="Times New Roman"/>
              </w:rPr>
            </w:pPr>
            <w:r>
              <w:rPr>
                <w:rFonts w:eastAsia="Times New Roman"/>
                <w:b/>
                <w:bCs/>
                <w:color w:val="000000"/>
                <w:sz w:val="20"/>
                <w:szCs w:val="20"/>
              </w:rPr>
              <w:t>Fiscal Six Months Ended</w:t>
            </w:r>
          </w:p>
        </w:tc>
      </w:tr>
      <w:tr w:rsidR="00000000">
        <w:trPr>
          <w:jc w:val="center"/>
        </w:trPr>
        <w:tc>
          <w:tcPr>
            <w:tcW w:w="0" w:type="auto"/>
            <w:gridSpan w:val="3"/>
            <w:tcMar>
              <w:top w:w="30" w:type="dxa"/>
              <w:left w:w="20"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13AEB">
            <w:pPr>
              <w:spacing w:after="100"/>
              <w:jc w:val="center"/>
              <w:rPr>
                <w:rFonts w:eastAsia="Times New Roman"/>
              </w:rPr>
            </w:pPr>
            <w:r>
              <w:rPr>
                <w:rFonts w:eastAsia="Times New Roman"/>
                <w:b/>
                <w:bCs/>
                <w:color w:val="000000"/>
                <w:sz w:val="20"/>
                <w:szCs w:val="20"/>
              </w:rPr>
              <w:t>June 25,</w:t>
            </w:r>
            <w:r>
              <w:rPr>
                <w:rFonts w:eastAsia="Times New Roman"/>
                <w:b/>
                <w:bCs/>
                <w:color w:val="000000"/>
                <w:sz w:val="20"/>
                <w:szCs w:val="20"/>
              </w:rPr>
              <w:b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13AE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13AEB">
            <w:pPr>
              <w:spacing w:after="100"/>
              <w:jc w:val="center"/>
              <w:rPr>
                <w:rFonts w:eastAsia="Times New Roman"/>
              </w:rPr>
            </w:pPr>
            <w:r>
              <w:rPr>
                <w:rFonts w:eastAsia="Times New Roman"/>
                <w:b/>
                <w:bCs/>
                <w:color w:val="000000"/>
                <w:sz w:val="20"/>
                <w:szCs w:val="20"/>
              </w:rPr>
              <w:t>June 26,</w:t>
            </w:r>
            <w:r>
              <w:rPr>
                <w:rFonts w:eastAsia="Times New Roman"/>
                <w:b/>
                <w:bCs/>
                <w:color w:val="000000"/>
                <w:sz w:val="20"/>
                <w:szCs w:val="20"/>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13AE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13AEB">
            <w:pPr>
              <w:spacing w:after="100"/>
              <w:jc w:val="center"/>
              <w:rPr>
                <w:rFonts w:eastAsia="Times New Roman"/>
              </w:rPr>
            </w:pPr>
            <w:r>
              <w:rPr>
                <w:rFonts w:eastAsia="Times New Roman"/>
                <w:b/>
                <w:bCs/>
                <w:color w:val="000000"/>
                <w:sz w:val="20"/>
                <w:szCs w:val="20"/>
              </w:rPr>
              <w:t>Variance</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Net income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583.7 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551.4 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32.3 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Depreciation and amortization</w:t>
            </w:r>
          </w:p>
        </w:tc>
        <w:tc>
          <w:tcPr>
            <w:tcW w:w="0" w:type="auto"/>
            <w:gridSpan w:val="2"/>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161.0 </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124.9 </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36.1 </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Share-based compensation expense</w:t>
            </w: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24.9 </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23.2 </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1.7 </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Deferred income taxes</w:t>
            </w:r>
          </w:p>
        </w:tc>
        <w:tc>
          <w:tcPr>
            <w:tcW w:w="0" w:type="auto"/>
            <w:gridSpan w:val="2"/>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38.7 </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12.8 </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25.9 </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Inventories and accounts payable</w:t>
            </w: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(169.1)</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36.3 </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(205.4)</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Prepaid expenses and other current assets</w:t>
            </w:r>
          </w:p>
        </w:tc>
        <w:tc>
          <w:tcPr>
            <w:tcW w:w="0" w:type="auto"/>
            <w:gridSpan w:val="2"/>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(50.3)</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(28.7)</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(21.6)</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Accrued expenses</w:t>
            </w: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(90.0)</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24.4 </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(114.4)</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Income taxes</w:t>
            </w:r>
          </w:p>
        </w:tc>
        <w:tc>
          <w:tcPr>
            <w:tcW w:w="0" w:type="auto"/>
            <w:gridSpan w:val="2"/>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98.1 </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64.1 </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34.0 </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Other, net</w:t>
            </w: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28.6 </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0.5 </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28.1 </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r>
      <w:tr w:rsidR="00000000">
        <w:trPr>
          <w:jc w:val="center"/>
        </w:trPr>
        <w:tc>
          <w:tcPr>
            <w:tcW w:w="0" w:type="auto"/>
            <w:gridSpan w:val="3"/>
            <w:shd w:val="clear" w:color="auto" w:fill="FFFFFF"/>
            <w:tcMar>
              <w:top w:w="30" w:type="dxa"/>
              <w:left w:w="260"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Net cash provided by operating activities</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625.6 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808.9 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(183.3)</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r>
    </w:tbl>
    <w:p w:rsidR="00000000" w:rsidRDefault="00613AEB">
      <w:pPr>
        <w:jc w:val="both"/>
        <w:rPr>
          <w:rFonts w:eastAsia="Times New Roman"/>
        </w:rPr>
      </w:pPr>
    </w:p>
    <w:p w:rsidR="00000000" w:rsidRDefault="00613AEB">
      <w:pPr>
        <w:jc w:val="both"/>
        <w:rPr>
          <w:rFonts w:eastAsia="Times New Roman"/>
        </w:rPr>
      </w:pPr>
      <w:r>
        <w:rPr>
          <w:rFonts w:eastAsia="Times New Roman"/>
          <w:color w:val="000000"/>
          <w:sz w:val="20"/>
          <w:szCs w:val="20"/>
        </w:rPr>
        <w:t xml:space="preserve">The $183.3 million decrease in net cash provided by operating activities in the first six months of fiscal 2022 compared to the first six months of fiscal 2021 principally resulted from the significant increase in inventory purchases as well as the timing </w:t>
      </w:r>
      <w:r>
        <w:rPr>
          <w:rFonts w:eastAsia="Times New Roman"/>
          <w:color w:val="000000"/>
          <w:sz w:val="20"/>
          <w:szCs w:val="20"/>
        </w:rPr>
        <w:t>of payments and accruals.</w:t>
      </w:r>
    </w:p>
    <w:p w:rsidR="00000000" w:rsidRDefault="00613AEB">
      <w:pPr>
        <w:divId w:val="1756050843"/>
        <w:rPr>
          <w:rFonts w:eastAsia="Times New Roman"/>
        </w:rPr>
      </w:pPr>
    </w:p>
    <w:p w:rsidR="00000000" w:rsidRDefault="00613AEB">
      <w:pPr>
        <w:divId w:val="357316123"/>
        <w:rPr>
          <w:rFonts w:eastAsia="Times New Roman"/>
        </w:rPr>
      </w:pPr>
      <w:r>
        <w:rPr>
          <w:rFonts w:eastAsia="Times New Roman"/>
          <w:b/>
          <w:bCs/>
          <w:color w:val="000000"/>
          <w:sz w:val="20"/>
          <w:szCs w:val="20"/>
        </w:rPr>
        <w:t>Investing Activities</w:t>
      </w:r>
    </w:p>
    <w:p w:rsidR="00000000" w:rsidRDefault="00613AEB">
      <w:pPr>
        <w:jc w:val="both"/>
        <w:rPr>
          <w:rFonts w:eastAsia="Times New Roman"/>
        </w:rPr>
      </w:pPr>
    </w:p>
    <w:p w:rsidR="00000000" w:rsidRDefault="00613AEB">
      <w:pPr>
        <w:jc w:val="both"/>
        <w:rPr>
          <w:rFonts w:eastAsia="Times New Roman"/>
        </w:rPr>
      </w:pPr>
      <w:r>
        <w:rPr>
          <w:rFonts w:eastAsia="Times New Roman"/>
          <w:color w:val="000000"/>
          <w:sz w:val="20"/>
          <w:szCs w:val="20"/>
        </w:rPr>
        <w:t>Investing activities used net cash of $265.1 million and $215.7 million in the first six months of fiscal 2022 and fiscal 2021, respectively. The $49.4 million increase in net cash used in investing activi</w:t>
      </w:r>
      <w:r>
        <w:rPr>
          <w:rFonts w:eastAsia="Times New Roman"/>
          <w:color w:val="000000"/>
          <w:sz w:val="20"/>
          <w:szCs w:val="20"/>
        </w:rPr>
        <w:t>ties primarily reflects an increase in capital expenditures, principally related to the construction of new distribution centers and store remodels, in the first six months of fiscal 2022 compared to fiscal 2021.</w:t>
      </w:r>
    </w:p>
    <w:p w:rsidR="00000000" w:rsidRDefault="00613AEB">
      <w:pPr>
        <w:jc w:val="both"/>
        <w:rPr>
          <w:rFonts w:eastAsia="Times New Roman"/>
        </w:rPr>
      </w:pPr>
    </w:p>
    <w:p w:rsidR="00000000" w:rsidRDefault="00613AEB">
      <w:pPr>
        <w:jc w:val="both"/>
        <w:rPr>
          <w:rFonts w:eastAsia="Times New Roman"/>
        </w:rPr>
      </w:pPr>
      <w:r>
        <w:rPr>
          <w:rFonts w:eastAsia="Times New Roman"/>
          <w:color w:val="000000"/>
          <w:sz w:val="20"/>
          <w:szCs w:val="20"/>
        </w:rPr>
        <w:t>Investing activities, including capital e</w:t>
      </w:r>
      <w:r>
        <w:rPr>
          <w:rFonts w:eastAsia="Times New Roman"/>
          <w:color w:val="000000"/>
          <w:sz w:val="20"/>
          <w:szCs w:val="20"/>
        </w:rPr>
        <w:t>xpenditures, for the first six months of fiscal 2022 and fiscal 2021 were as follows (in millions):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4802"/>
        <w:gridCol w:w="38"/>
        <w:gridCol w:w="120"/>
        <w:gridCol w:w="940"/>
        <w:gridCol w:w="36"/>
        <w:gridCol w:w="36"/>
        <w:gridCol w:w="36"/>
        <w:gridCol w:w="36"/>
        <w:gridCol w:w="120"/>
        <w:gridCol w:w="901"/>
        <w:gridCol w:w="36"/>
        <w:gridCol w:w="36"/>
        <w:gridCol w:w="36"/>
        <w:gridCol w:w="36"/>
        <w:gridCol w:w="121"/>
        <w:gridCol w:w="901"/>
        <w:gridCol w:w="36"/>
      </w:tblGrid>
      <w:tr w:rsidR="00000000">
        <w:trPr>
          <w:jc w:val="center"/>
        </w:trPr>
        <w:tc>
          <w:tcPr>
            <w:tcW w:w="50" w:type="pct"/>
            <w:vAlign w:val="center"/>
            <w:hideMark/>
          </w:tcPr>
          <w:p w:rsidR="00000000" w:rsidRDefault="00613AEB">
            <w:pPr>
              <w:jc w:val="both"/>
              <w:rPr>
                <w:rFonts w:eastAsia="Times New Roman"/>
              </w:rPr>
            </w:pPr>
          </w:p>
        </w:tc>
        <w:tc>
          <w:tcPr>
            <w:tcW w:w="2920"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0" w:type="pct"/>
            <w:vAlign w:val="center"/>
            <w:hideMark/>
          </w:tcPr>
          <w:p w:rsidR="00000000" w:rsidRDefault="00613AEB">
            <w:pPr>
              <w:spacing w:after="100"/>
              <w:rPr>
                <w:rFonts w:eastAsia="Times New Roman"/>
                <w:sz w:val="20"/>
                <w:szCs w:val="20"/>
              </w:rPr>
            </w:pPr>
          </w:p>
        </w:tc>
        <w:tc>
          <w:tcPr>
            <w:tcW w:w="595"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26"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0" w:type="pct"/>
            <w:vAlign w:val="center"/>
            <w:hideMark/>
          </w:tcPr>
          <w:p w:rsidR="00000000" w:rsidRDefault="00613AEB">
            <w:pPr>
              <w:spacing w:after="100"/>
              <w:rPr>
                <w:rFonts w:eastAsia="Times New Roman"/>
                <w:sz w:val="20"/>
                <w:szCs w:val="20"/>
              </w:rPr>
            </w:pPr>
          </w:p>
        </w:tc>
        <w:tc>
          <w:tcPr>
            <w:tcW w:w="595"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26"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0" w:type="pct"/>
            <w:vAlign w:val="center"/>
            <w:hideMark/>
          </w:tcPr>
          <w:p w:rsidR="00000000" w:rsidRDefault="00613AEB">
            <w:pPr>
              <w:spacing w:after="100"/>
              <w:rPr>
                <w:rFonts w:eastAsia="Times New Roman"/>
                <w:sz w:val="20"/>
                <w:szCs w:val="20"/>
              </w:rPr>
            </w:pPr>
          </w:p>
        </w:tc>
        <w:tc>
          <w:tcPr>
            <w:tcW w:w="595"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 </w:t>
            </w:r>
          </w:p>
        </w:tc>
        <w:tc>
          <w:tcPr>
            <w:tcW w:w="0" w:type="auto"/>
            <w:gridSpan w:val="15"/>
            <w:tcMar>
              <w:top w:w="30" w:type="dxa"/>
              <w:left w:w="20" w:type="dxa"/>
              <w:bottom w:w="30" w:type="dxa"/>
              <w:right w:w="20" w:type="dxa"/>
            </w:tcMar>
            <w:vAlign w:val="bottom"/>
            <w:hideMark/>
          </w:tcPr>
          <w:p w:rsidR="00000000" w:rsidRDefault="00613AEB">
            <w:pPr>
              <w:spacing w:after="100"/>
              <w:jc w:val="center"/>
              <w:rPr>
                <w:rFonts w:eastAsia="Times New Roman"/>
              </w:rPr>
            </w:pPr>
            <w:r>
              <w:rPr>
                <w:rFonts w:eastAsia="Times New Roman"/>
                <w:b/>
                <w:bCs/>
                <w:color w:val="000000"/>
                <w:sz w:val="20"/>
                <w:szCs w:val="20"/>
              </w:rPr>
              <w:t>Fiscal Six Months Ended</w:t>
            </w:r>
          </w:p>
        </w:tc>
      </w:tr>
      <w:tr w:rsidR="00000000">
        <w:trPr>
          <w:jc w:val="center"/>
        </w:trPr>
        <w:tc>
          <w:tcPr>
            <w:tcW w:w="0" w:type="auto"/>
            <w:gridSpan w:val="3"/>
            <w:tcMar>
              <w:top w:w="30" w:type="dxa"/>
              <w:left w:w="20"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13AEB">
            <w:pPr>
              <w:spacing w:after="100"/>
              <w:jc w:val="center"/>
              <w:rPr>
                <w:rFonts w:eastAsia="Times New Roman"/>
              </w:rPr>
            </w:pPr>
            <w:r>
              <w:rPr>
                <w:rFonts w:eastAsia="Times New Roman"/>
                <w:b/>
                <w:bCs/>
                <w:color w:val="000000"/>
                <w:sz w:val="20"/>
                <w:szCs w:val="20"/>
              </w:rPr>
              <w:t>June 25,</w:t>
            </w:r>
            <w:r>
              <w:rPr>
                <w:rFonts w:eastAsia="Times New Roman"/>
                <w:b/>
                <w:bCs/>
                <w:color w:val="000000"/>
                <w:sz w:val="20"/>
                <w:szCs w:val="20"/>
              </w:rPr>
              <w:b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13AE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13AEB">
            <w:pPr>
              <w:spacing w:after="100"/>
              <w:jc w:val="center"/>
              <w:rPr>
                <w:rFonts w:eastAsia="Times New Roman"/>
              </w:rPr>
            </w:pPr>
            <w:r>
              <w:rPr>
                <w:rFonts w:eastAsia="Times New Roman"/>
                <w:b/>
                <w:bCs/>
                <w:color w:val="000000"/>
                <w:sz w:val="20"/>
                <w:szCs w:val="20"/>
              </w:rPr>
              <w:t>June 26,</w:t>
            </w:r>
            <w:r>
              <w:rPr>
                <w:rFonts w:eastAsia="Times New Roman"/>
                <w:b/>
                <w:bCs/>
                <w:color w:val="000000"/>
                <w:sz w:val="20"/>
                <w:szCs w:val="20"/>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13AE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13AEB">
            <w:pPr>
              <w:spacing w:after="100"/>
              <w:jc w:val="center"/>
              <w:rPr>
                <w:rFonts w:eastAsia="Times New Roman"/>
              </w:rPr>
            </w:pPr>
            <w:r>
              <w:rPr>
                <w:rFonts w:eastAsia="Times New Roman"/>
                <w:b/>
                <w:bCs/>
                <w:color w:val="000000"/>
                <w:sz w:val="20"/>
                <w:szCs w:val="20"/>
              </w:rPr>
              <w:t>Variance</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Existing stores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(136.5)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(120.1)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(16.4)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Information technology</w:t>
            </w:r>
          </w:p>
        </w:tc>
        <w:tc>
          <w:tcPr>
            <w:tcW w:w="0" w:type="auto"/>
            <w:gridSpan w:val="2"/>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(49.1)</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(51.8)</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2.7 </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Distribution center capacity and improvements</w:t>
            </w: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(46.2)</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(11.8)</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(34.4)</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New and relocated stores and stores not yet opened</w:t>
            </w:r>
          </w:p>
        </w:tc>
        <w:tc>
          <w:tcPr>
            <w:tcW w:w="0" w:type="auto"/>
            <w:gridSpan w:val="2"/>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(31.3)</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(28.7)</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(2.6)</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Corporate and other</w:t>
            </w: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(2.2)</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(3.6)</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1.4 </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     Total capital expenditures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(265.3)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(216.0)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(49.3)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Proceeds from sale of property and equipment</w:t>
            </w: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0.2 </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0.3 </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(0.1)</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r>
      <w:tr w:rsidR="00000000">
        <w:trPr>
          <w:jc w:val="center"/>
        </w:trPr>
        <w:tc>
          <w:tcPr>
            <w:tcW w:w="0" w:type="auto"/>
            <w:gridSpan w:val="3"/>
            <w:shd w:val="clear" w:color="auto" w:fill="FFFFFF"/>
            <w:tcMar>
              <w:top w:w="30" w:type="dxa"/>
              <w:left w:w="260"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Net cash used in investing activities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(265.1)</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(215.7)</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(49.4)</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r>
      <w:tr w:rsidR="00000000">
        <w:trPr>
          <w:jc w:val="center"/>
        </w:trPr>
        <w:tc>
          <w:tcPr>
            <w:tcW w:w="0" w:type="auto"/>
            <w:gridSpan w:val="3"/>
            <w:vAlign w:val="center"/>
            <w:hideMark/>
          </w:tcPr>
          <w:p w:rsidR="00000000" w:rsidRDefault="00613AEB">
            <w:pPr>
              <w:spacing w:after="100"/>
              <w:jc w:val="right"/>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r>
    </w:tbl>
    <w:p w:rsidR="00000000" w:rsidRDefault="00613AEB">
      <w:pPr>
        <w:jc w:val="both"/>
        <w:rPr>
          <w:rFonts w:eastAsia="Times New Roman"/>
        </w:rPr>
      </w:pPr>
    </w:p>
    <w:p w:rsidR="00000000" w:rsidRDefault="00613AEB">
      <w:pPr>
        <w:jc w:val="both"/>
        <w:rPr>
          <w:rFonts w:eastAsia="Times New Roman"/>
        </w:rPr>
      </w:pPr>
      <w:r>
        <w:rPr>
          <w:rFonts w:eastAsia="Times New Roman"/>
          <w:color w:val="000000"/>
          <w:sz w:val="20"/>
          <w:szCs w:val="20"/>
        </w:rPr>
        <w:t>The increase in spending for existing stores in the first six months of fiscal 2022 as compared to the first six months of fiscal 2021 principally reflects our strategic initiatives related to store remodels, including internal space productivity and the o</w:t>
      </w:r>
      <w:r>
        <w:rPr>
          <w:rFonts w:eastAsia="Times New Roman"/>
          <w:color w:val="000000"/>
          <w:sz w:val="20"/>
          <w:szCs w:val="20"/>
        </w:rPr>
        <w:t xml:space="preserve">utside side lot improvements. Spending in the first six months of both fiscal 2022 and fiscal 2021 also includes routine refresh activity, as well as security enhancements. </w:t>
      </w:r>
    </w:p>
    <w:p w:rsidR="00000000" w:rsidRDefault="00613AEB">
      <w:pPr>
        <w:jc w:val="both"/>
        <w:rPr>
          <w:rFonts w:eastAsia="Times New Roman"/>
        </w:rPr>
      </w:pPr>
    </w:p>
    <w:p w:rsidR="00000000" w:rsidRDefault="00613AEB">
      <w:pPr>
        <w:jc w:val="both"/>
        <w:rPr>
          <w:rFonts w:eastAsia="Times New Roman"/>
        </w:rPr>
      </w:pPr>
      <w:r>
        <w:rPr>
          <w:rFonts w:eastAsia="Times New Roman"/>
          <w:color w:val="000000"/>
          <w:sz w:val="20"/>
          <w:szCs w:val="20"/>
        </w:rPr>
        <w:t>Expenditures for information technology represent continued support for improvem</w:t>
      </w:r>
      <w:r>
        <w:rPr>
          <w:rFonts w:eastAsia="Times New Roman"/>
          <w:color w:val="000000"/>
          <w:sz w:val="20"/>
          <w:szCs w:val="20"/>
        </w:rPr>
        <w:t>ents in mobility in our stores, our omni-channel initiatives, increased security and compliance, and other strategic initiatives.</w:t>
      </w:r>
    </w:p>
    <w:p w:rsidR="00000000" w:rsidRDefault="00613AEB">
      <w:pPr>
        <w:jc w:val="both"/>
        <w:rPr>
          <w:rFonts w:eastAsia="Times New Roman"/>
        </w:rPr>
      </w:pPr>
    </w:p>
    <w:p w:rsidR="00000000" w:rsidRDefault="00613AEB">
      <w:pPr>
        <w:jc w:val="center"/>
        <w:divId w:val="66154548"/>
        <w:rPr>
          <w:rFonts w:eastAsia="Times New Roman"/>
        </w:rPr>
      </w:pPr>
      <w:r>
        <w:rPr>
          <w:rFonts w:eastAsia="Times New Roman"/>
          <w:color w:val="000000"/>
          <w:sz w:val="20"/>
          <w:szCs w:val="20"/>
        </w:rPr>
        <w:t>Page 23</w:t>
      </w:r>
    </w:p>
    <w:p w:rsidR="00000000" w:rsidRDefault="00613AEB">
      <w:pPr>
        <w:rPr>
          <w:rFonts w:eastAsia="Times New Roman"/>
        </w:rPr>
      </w:pPr>
      <w:r>
        <w:rPr>
          <w:rFonts w:eastAsia="Times New Roman"/>
        </w:rPr>
        <w:pict>
          <v:rect id="_x0000_i1048" style="width:0;height:1.5pt" o:hralign="center" o:hrstd="t" o:hr="t" fillcolor="#a0a0a0" stroked="f"/>
        </w:pict>
      </w:r>
    </w:p>
    <w:p w:rsidR="00000000" w:rsidRDefault="00613AEB">
      <w:pPr>
        <w:divId w:val="2098600760"/>
        <w:rPr>
          <w:rFonts w:eastAsia="Times New Roman"/>
        </w:rPr>
      </w:pPr>
      <w:hyperlink w:anchor="i7b244a6903fc440faaf2365d228fe4ba_7" w:history="1">
        <w:r>
          <w:rPr>
            <w:rStyle w:val="a3"/>
            <w:rFonts w:eastAsia="Times New Roman"/>
            <w:sz w:val="16"/>
            <w:szCs w:val="16"/>
          </w:rPr>
          <w:t>Index</w:t>
        </w:r>
      </w:hyperlink>
    </w:p>
    <w:p w:rsidR="00000000" w:rsidRDefault="00613AEB">
      <w:pPr>
        <w:jc w:val="both"/>
        <w:rPr>
          <w:rFonts w:eastAsia="Times New Roman"/>
        </w:rPr>
      </w:pPr>
      <w:r>
        <w:rPr>
          <w:rFonts w:eastAsia="Times New Roman"/>
          <w:color w:val="000000"/>
          <w:sz w:val="20"/>
          <w:szCs w:val="20"/>
        </w:rPr>
        <w:t xml:space="preserve">The increase in </w:t>
      </w:r>
      <w:r>
        <w:rPr>
          <w:rFonts w:eastAsia="Times New Roman"/>
          <w:color w:val="000000"/>
          <w:sz w:val="20"/>
          <w:szCs w:val="20"/>
        </w:rPr>
        <w:t>spending for distribution center capacity and improvements in the first six months of fiscal 2022 as compared to the first six months of fiscal 2021 is primarily related to the construction of a new distribution centers in Navarre, Ohio and Maumelle, Arkan</w:t>
      </w:r>
      <w:r>
        <w:rPr>
          <w:rFonts w:eastAsia="Times New Roman"/>
          <w:color w:val="000000"/>
          <w:sz w:val="20"/>
          <w:szCs w:val="20"/>
        </w:rPr>
        <w:t xml:space="preserve">sas. </w:t>
      </w:r>
    </w:p>
    <w:p w:rsidR="00000000" w:rsidRDefault="00613AEB">
      <w:pPr>
        <w:jc w:val="both"/>
        <w:rPr>
          <w:rFonts w:eastAsia="Times New Roman"/>
        </w:rPr>
      </w:pPr>
    </w:p>
    <w:p w:rsidR="00000000" w:rsidRDefault="00613AEB">
      <w:pPr>
        <w:jc w:val="both"/>
        <w:rPr>
          <w:rFonts w:eastAsia="Times New Roman"/>
        </w:rPr>
      </w:pPr>
      <w:r>
        <w:rPr>
          <w:rFonts w:eastAsia="Times New Roman"/>
          <w:color w:val="000000"/>
          <w:sz w:val="20"/>
          <w:szCs w:val="20"/>
        </w:rPr>
        <w:t>In the first six months of fiscal 2022, the Company opened 13 new Tractor Supply stores compared to 32 new Tractor Supply stores during the first six months of fiscal 2021. The Company also opened one new Petsense store during each of the first six</w:t>
      </w:r>
      <w:r>
        <w:rPr>
          <w:rFonts w:eastAsia="Times New Roman"/>
          <w:color w:val="000000"/>
          <w:sz w:val="20"/>
          <w:szCs w:val="20"/>
        </w:rPr>
        <w:t xml:space="preserve"> months of fiscal 2022 and fiscal 2021. The new store expenditures in the first six months of fiscal 2022 included the remaining costs for stores that opened in the fourth quarter of 2021 and the costs for new stores scheduled to open later in the year. We</w:t>
      </w:r>
      <w:r>
        <w:rPr>
          <w:rFonts w:eastAsia="Times New Roman"/>
          <w:color w:val="000000"/>
          <w:sz w:val="20"/>
          <w:szCs w:val="20"/>
        </w:rPr>
        <w:t xml:space="preserve"> continue to expect to open approximately 70 to 80 new Tractor Supply stores and 10 new Petsense stores during fiscal 2022.</w:t>
      </w:r>
    </w:p>
    <w:p w:rsidR="00000000" w:rsidRDefault="00613AEB">
      <w:pPr>
        <w:jc w:val="both"/>
        <w:rPr>
          <w:rFonts w:eastAsia="Times New Roman"/>
        </w:rPr>
      </w:pPr>
    </w:p>
    <w:p w:rsidR="00000000" w:rsidRDefault="00613AEB">
      <w:pPr>
        <w:jc w:val="both"/>
        <w:rPr>
          <w:rFonts w:eastAsia="Times New Roman"/>
        </w:rPr>
      </w:pPr>
      <w:r>
        <w:rPr>
          <w:rFonts w:eastAsia="Times New Roman"/>
          <w:color w:val="000000"/>
          <w:sz w:val="20"/>
          <w:szCs w:val="20"/>
        </w:rPr>
        <w:t>Our projected capital expenditures for fiscal 2022 are currently estimated to be in a range of $650 million to $700 million, inclu</w:t>
      </w:r>
      <w:r>
        <w:rPr>
          <w:rFonts w:eastAsia="Times New Roman"/>
          <w:color w:val="000000"/>
          <w:sz w:val="20"/>
          <w:szCs w:val="20"/>
        </w:rPr>
        <w:t>ding the opening of 70 to 80 new Tractor Supply stores and 10 new Petsense stores, construction of new distribution centers in Navarre, Ohio and Maumelle, Arkansas, and our strategic initiatives related to store remodels. The construction of the new distri</w:t>
      </w:r>
      <w:r>
        <w:rPr>
          <w:rFonts w:eastAsia="Times New Roman"/>
          <w:color w:val="000000"/>
          <w:sz w:val="20"/>
          <w:szCs w:val="20"/>
        </w:rPr>
        <w:t xml:space="preserve">bution center in Maumelle, Arkansas began in May 2022 and is anticipated to be complete in late 2023. In addition, we plan to support our continued improvements in technology and infrastructure at our existing stores and ongoing investments to enhance our </w:t>
      </w:r>
      <w:r>
        <w:rPr>
          <w:rFonts w:eastAsia="Times New Roman"/>
          <w:color w:val="000000"/>
          <w:sz w:val="20"/>
          <w:szCs w:val="20"/>
        </w:rPr>
        <w:t>digital and omni-channel capabilities to allow our team members to better serve our customers and to provide an even greater overall shopping experience.</w:t>
      </w:r>
    </w:p>
    <w:p w:rsidR="00000000" w:rsidRDefault="00613AEB">
      <w:pPr>
        <w:divId w:val="299772983"/>
        <w:rPr>
          <w:rFonts w:eastAsia="Times New Roman"/>
        </w:rPr>
      </w:pPr>
    </w:p>
    <w:p w:rsidR="00000000" w:rsidRDefault="00613AEB">
      <w:pPr>
        <w:jc w:val="both"/>
        <w:rPr>
          <w:rFonts w:eastAsia="Times New Roman"/>
        </w:rPr>
      </w:pPr>
      <w:r>
        <w:rPr>
          <w:rFonts w:eastAsia="Times New Roman"/>
          <w:b/>
          <w:bCs/>
          <w:color w:val="000000"/>
          <w:sz w:val="20"/>
          <w:szCs w:val="20"/>
        </w:rPr>
        <w:t>Financing Activities</w:t>
      </w:r>
    </w:p>
    <w:p w:rsidR="00000000" w:rsidRDefault="00613AEB">
      <w:pPr>
        <w:jc w:val="both"/>
        <w:rPr>
          <w:rFonts w:eastAsia="Times New Roman"/>
        </w:rPr>
      </w:pPr>
    </w:p>
    <w:p w:rsidR="00000000" w:rsidRDefault="00613AEB">
      <w:pPr>
        <w:jc w:val="both"/>
        <w:rPr>
          <w:rFonts w:eastAsia="Times New Roman"/>
        </w:rPr>
      </w:pPr>
      <w:r>
        <w:rPr>
          <w:rFonts w:eastAsia="Times New Roman"/>
          <w:color w:val="000000"/>
          <w:sz w:val="20"/>
          <w:szCs w:val="20"/>
        </w:rPr>
        <w:t xml:space="preserve">Financing activities used net cash of $707.7 million in the first six months </w:t>
      </w:r>
      <w:r>
        <w:rPr>
          <w:rFonts w:eastAsia="Times New Roman"/>
          <w:color w:val="000000"/>
          <w:sz w:val="20"/>
          <w:szCs w:val="20"/>
        </w:rPr>
        <w:t>of fiscal 2022 compared to using net cash of $522.9 million in the first six months of fiscal 2021. The $184.8 million change in net cash used in financing activities in the first six months of fiscal 2022 compared to the first six months of fiscal 2021 is</w:t>
      </w:r>
      <w:r>
        <w:rPr>
          <w:rFonts w:eastAsia="Times New Roman"/>
          <w:color w:val="000000"/>
          <w:sz w:val="20"/>
          <w:szCs w:val="20"/>
        </w:rPr>
        <w:t xml:space="preserve"> due to changes in the following (in millions):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4803"/>
        <w:gridCol w:w="37"/>
        <w:gridCol w:w="120"/>
        <w:gridCol w:w="941"/>
        <w:gridCol w:w="36"/>
        <w:gridCol w:w="36"/>
        <w:gridCol w:w="36"/>
        <w:gridCol w:w="36"/>
        <w:gridCol w:w="120"/>
        <w:gridCol w:w="901"/>
        <w:gridCol w:w="36"/>
        <w:gridCol w:w="36"/>
        <w:gridCol w:w="36"/>
        <w:gridCol w:w="36"/>
        <w:gridCol w:w="121"/>
        <w:gridCol w:w="901"/>
        <w:gridCol w:w="36"/>
      </w:tblGrid>
      <w:tr w:rsidR="00000000">
        <w:trPr>
          <w:jc w:val="center"/>
        </w:trPr>
        <w:tc>
          <w:tcPr>
            <w:tcW w:w="50" w:type="pct"/>
            <w:vAlign w:val="center"/>
            <w:hideMark/>
          </w:tcPr>
          <w:p w:rsidR="00000000" w:rsidRDefault="00613AEB">
            <w:pPr>
              <w:jc w:val="both"/>
              <w:rPr>
                <w:rFonts w:eastAsia="Times New Roman"/>
              </w:rPr>
            </w:pPr>
          </w:p>
        </w:tc>
        <w:tc>
          <w:tcPr>
            <w:tcW w:w="2920"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0" w:type="pct"/>
            <w:vAlign w:val="center"/>
            <w:hideMark/>
          </w:tcPr>
          <w:p w:rsidR="00000000" w:rsidRDefault="00613AEB">
            <w:pPr>
              <w:spacing w:after="100"/>
              <w:rPr>
                <w:rFonts w:eastAsia="Times New Roman"/>
                <w:sz w:val="20"/>
                <w:szCs w:val="20"/>
              </w:rPr>
            </w:pPr>
          </w:p>
        </w:tc>
        <w:tc>
          <w:tcPr>
            <w:tcW w:w="595"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26"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0" w:type="pct"/>
            <w:vAlign w:val="center"/>
            <w:hideMark/>
          </w:tcPr>
          <w:p w:rsidR="00000000" w:rsidRDefault="00613AEB">
            <w:pPr>
              <w:spacing w:after="100"/>
              <w:rPr>
                <w:rFonts w:eastAsia="Times New Roman"/>
                <w:sz w:val="20"/>
                <w:szCs w:val="20"/>
              </w:rPr>
            </w:pPr>
          </w:p>
        </w:tc>
        <w:tc>
          <w:tcPr>
            <w:tcW w:w="595"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26"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0" w:type="pct"/>
            <w:vAlign w:val="center"/>
            <w:hideMark/>
          </w:tcPr>
          <w:p w:rsidR="00000000" w:rsidRDefault="00613AEB">
            <w:pPr>
              <w:spacing w:after="100"/>
              <w:rPr>
                <w:rFonts w:eastAsia="Times New Roman"/>
                <w:sz w:val="20"/>
                <w:szCs w:val="20"/>
              </w:rPr>
            </w:pPr>
          </w:p>
        </w:tc>
        <w:tc>
          <w:tcPr>
            <w:tcW w:w="595"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 </w:t>
            </w:r>
          </w:p>
        </w:tc>
        <w:tc>
          <w:tcPr>
            <w:tcW w:w="0" w:type="auto"/>
            <w:gridSpan w:val="15"/>
            <w:tcMar>
              <w:top w:w="30" w:type="dxa"/>
              <w:left w:w="20" w:type="dxa"/>
              <w:bottom w:w="30" w:type="dxa"/>
              <w:right w:w="20" w:type="dxa"/>
            </w:tcMar>
            <w:vAlign w:val="bottom"/>
            <w:hideMark/>
          </w:tcPr>
          <w:p w:rsidR="00000000" w:rsidRDefault="00613AEB">
            <w:pPr>
              <w:spacing w:after="100"/>
              <w:jc w:val="center"/>
              <w:rPr>
                <w:rFonts w:eastAsia="Times New Roman"/>
              </w:rPr>
            </w:pPr>
            <w:r>
              <w:rPr>
                <w:rFonts w:eastAsia="Times New Roman"/>
                <w:b/>
                <w:bCs/>
                <w:color w:val="000000"/>
                <w:sz w:val="20"/>
                <w:szCs w:val="20"/>
              </w:rPr>
              <w:t>Fiscal Six Months Ended</w:t>
            </w:r>
          </w:p>
        </w:tc>
      </w:tr>
      <w:tr w:rsidR="00000000">
        <w:trPr>
          <w:jc w:val="center"/>
        </w:trPr>
        <w:tc>
          <w:tcPr>
            <w:tcW w:w="0" w:type="auto"/>
            <w:gridSpan w:val="3"/>
            <w:tcMar>
              <w:top w:w="30" w:type="dxa"/>
              <w:left w:w="20"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13AEB">
            <w:pPr>
              <w:spacing w:after="100"/>
              <w:jc w:val="center"/>
              <w:rPr>
                <w:rFonts w:eastAsia="Times New Roman"/>
              </w:rPr>
            </w:pPr>
            <w:r>
              <w:rPr>
                <w:rFonts w:eastAsia="Times New Roman"/>
                <w:b/>
                <w:bCs/>
                <w:color w:val="000000"/>
                <w:sz w:val="20"/>
                <w:szCs w:val="20"/>
              </w:rPr>
              <w:t>June 25,</w:t>
            </w:r>
            <w:r>
              <w:rPr>
                <w:rFonts w:eastAsia="Times New Roman"/>
                <w:b/>
                <w:bCs/>
                <w:color w:val="000000"/>
                <w:sz w:val="20"/>
                <w:szCs w:val="20"/>
              </w:rPr>
              <w:b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13AE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13AEB">
            <w:pPr>
              <w:spacing w:after="100"/>
              <w:jc w:val="center"/>
              <w:rPr>
                <w:rFonts w:eastAsia="Times New Roman"/>
              </w:rPr>
            </w:pPr>
            <w:r>
              <w:rPr>
                <w:rFonts w:eastAsia="Times New Roman"/>
                <w:b/>
                <w:bCs/>
                <w:color w:val="000000"/>
                <w:sz w:val="20"/>
                <w:szCs w:val="20"/>
              </w:rPr>
              <w:t>June 26,</w:t>
            </w:r>
            <w:r>
              <w:rPr>
                <w:rFonts w:eastAsia="Times New Roman"/>
                <w:b/>
                <w:bCs/>
                <w:color w:val="000000"/>
                <w:sz w:val="20"/>
                <w:szCs w:val="20"/>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13AE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13AEB">
            <w:pPr>
              <w:spacing w:after="100"/>
              <w:jc w:val="center"/>
              <w:rPr>
                <w:rFonts w:eastAsia="Times New Roman"/>
              </w:rPr>
            </w:pPr>
            <w:r>
              <w:rPr>
                <w:rFonts w:eastAsia="Times New Roman"/>
                <w:b/>
                <w:bCs/>
                <w:color w:val="000000"/>
                <w:sz w:val="20"/>
                <w:szCs w:val="20"/>
              </w:rPr>
              <w:t>Variance</w:t>
            </w:r>
          </w:p>
        </w:tc>
      </w:tr>
      <w:tr w:rsidR="00000000">
        <w:trPr>
          <w:jc w:val="center"/>
        </w:trPr>
        <w:tc>
          <w:tcPr>
            <w:tcW w:w="0" w:type="auto"/>
            <w:gridSpan w:val="3"/>
            <w:vAlign w:val="center"/>
            <w:hideMark/>
          </w:tcPr>
          <w:p w:rsidR="00000000" w:rsidRDefault="00613AEB">
            <w:pPr>
              <w:spacing w:after="100"/>
              <w:jc w:val="center"/>
              <w:rPr>
                <w:rFonts w:eastAsia="Times New Roman"/>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Repurchase of common stock</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(484.4)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(456.7)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(27.7)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Net proceeds from issuance of common stock</w:t>
            </w:r>
          </w:p>
        </w:tc>
        <w:tc>
          <w:tcPr>
            <w:tcW w:w="0" w:type="auto"/>
            <w:gridSpan w:val="2"/>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13.0 </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70.0 </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(57.0)</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Cash dividends paid to stockholders</w:t>
            </w: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(206.1)</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(120.5)</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(85.6)</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Other, net</w:t>
            </w:r>
          </w:p>
        </w:tc>
        <w:tc>
          <w:tcPr>
            <w:tcW w:w="0" w:type="auto"/>
            <w:gridSpan w:val="2"/>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(30.2)</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(15.7)</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(14.5)</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Net cash used in financing activities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(707.7)</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(522.9)</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(184.8)</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r>
    </w:tbl>
    <w:p w:rsidR="00000000" w:rsidRDefault="00613AEB">
      <w:pPr>
        <w:jc w:val="both"/>
        <w:rPr>
          <w:rFonts w:eastAsia="Times New Roman"/>
        </w:rPr>
      </w:pPr>
    </w:p>
    <w:p w:rsidR="00000000" w:rsidRDefault="00613AEB">
      <w:pPr>
        <w:jc w:val="both"/>
        <w:rPr>
          <w:rFonts w:eastAsia="Times New Roman"/>
        </w:rPr>
      </w:pPr>
      <w:r>
        <w:rPr>
          <w:rFonts w:eastAsia="Times New Roman"/>
          <w:color w:val="000000"/>
          <w:sz w:val="20"/>
          <w:szCs w:val="20"/>
        </w:rPr>
        <w:t>The $184.8 million change in net cash used in financing activities in the first six months of fiscal 2022 compared to the first six months of fiscal 2021 is principally due to an increase in cash dividends paid to stockholders, a decrease in net proceeds f</w:t>
      </w:r>
      <w:r>
        <w:rPr>
          <w:rFonts w:eastAsia="Times New Roman"/>
          <w:color w:val="000000"/>
          <w:sz w:val="20"/>
          <w:szCs w:val="20"/>
        </w:rPr>
        <w:t>rom the issuance of common stock, and an increase in the repurchase of common stock.</w:t>
      </w:r>
    </w:p>
    <w:p w:rsidR="00000000" w:rsidRDefault="00613AEB">
      <w:pPr>
        <w:jc w:val="both"/>
        <w:rPr>
          <w:rFonts w:eastAsia="Times New Roman"/>
        </w:rPr>
      </w:pPr>
    </w:p>
    <w:p w:rsidR="00000000" w:rsidRDefault="00613AEB">
      <w:pPr>
        <w:divId w:val="130095276"/>
        <w:rPr>
          <w:rFonts w:eastAsia="Times New Roman"/>
        </w:rPr>
      </w:pPr>
      <w:r>
        <w:rPr>
          <w:rFonts w:eastAsia="Times New Roman"/>
          <w:b/>
          <w:bCs/>
          <w:color w:val="000000"/>
          <w:sz w:val="20"/>
          <w:szCs w:val="20"/>
        </w:rPr>
        <w:t>Dividends</w:t>
      </w:r>
    </w:p>
    <w:p w:rsidR="00000000" w:rsidRDefault="00613AEB">
      <w:pPr>
        <w:divId w:val="205800107"/>
        <w:rPr>
          <w:rFonts w:eastAsia="Times New Roman"/>
        </w:rPr>
      </w:pPr>
    </w:p>
    <w:p w:rsidR="00000000" w:rsidRDefault="00613AEB">
      <w:pPr>
        <w:jc w:val="both"/>
        <w:rPr>
          <w:rFonts w:eastAsia="Times New Roman"/>
        </w:rPr>
      </w:pPr>
      <w:r>
        <w:rPr>
          <w:rFonts w:eastAsia="Times New Roman"/>
          <w:color w:val="000000"/>
          <w:sz w:val="20"/>
          <w:szCs w:val="20"/>
        </w:rPr>
        <w:t>During the first six months of fiscal 2022 and fiscal 2021, the Company's Board of Directors declared the following cash dividends:</w:t>
      </w:r>
    </w:p>
    <w:tbl>
      <w:tblPr>
        <w:tblW w:w="4985" w:type="pct"/>
        <w:jc w:val="center"/>
        <w:tblCellMar>
          <w:top w:w="15" w:type="dxa"/>
          <w:left w:w="15" w:type="dxa"/>
          <w:bottom w:w="15" w:type="dxa"/>
          <w:right w:w="15" w:type="dxa"/>
        </w:tblCellMar>
        <w:tblLook w:val="04A0" w:firstRow="1" w:lastRow="0" w:firstColumn="1" w:lastColumn="0" w:noHBand="0" w:noVBand="1"/>
      </w:tblPr>
      <w:tblGrid>
        <w:gridCol w:w="51"/>
        <w:gridCol w:w="2209"/>
        <w:gridCol w:w="36"/>
        <w:gridCol w:w="36"/>
        <w:gridCol w:w="36"/>
        <w:gridCol w:w="36"/>
        <w:gridCol w:w="121"/>
        <w:gridCol w:w="1250"/>
        <w:gridCol w:w="36"/>
        <w:gridCol w:w="36"/>
        <w:gridCol w:w="36"/>
        <w:gridCol w:w="36"/>
        <w:gridCol w:w="38"/>
        <w:gridCol w:w="2245"/>
        <w:gridCol w:w="37"/>
        <w:gridCol w:w="36"/>
        <w:gridCol w:w="36"/>
        <w:gridCol w:w="36"/>
        <w:gridCol w:w="38"/>
        <w:gridCol w:w="1859"/>
        <w:gridCol w:w="37"/>
      </w:tblGrid>
      <w:tr w:rsidR="00000000">
        <w:trPr>
          <w:jc w:val="center"/>
        </w:trPr>
        <w:tc>
          <w:tcPr>
            <w:tcW w:w="50" w:type="pct"/>
            <w:vAlign w:val="center"/>
            <w:hideMark/>
          </w:tcPr>
          <w:p w:rsidR="00000000" w:rsidRDefault="00613AEB">
            <w:pPr>
              <w:jc w:val="both"/>
              <w:rPr>
                <w:rFonts w:eastAsia="Times New Roman"/>
              </w:rPr>
            </w:pPr>
          </w:p>
        </w:tc>
        <w:tc>
          <w:tcPr>
            <w:tcW w:w="1352"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26"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0" w:type="pct"/>
            <w:vAlign w:val="center"/>
            <w:hideMark/>
          </w:tcPr>
          <w:p w:rsidR="00000000" w:rsidRDefault="00613AEB">
            <w:pPr>
              <w:spacing w:after="100"/>
              <w:rPr>
                <w:rFonts w:eastAsia="Times New Roman"/>
                <w:sz w:val="20"/>
                <w:szCs w:val="20"/>
              </w:rPr>
            </w:pPr>
          </w:p>
        </w:tc>
        <w:tc>
          <w:tcPr>
            <w:tcW w:w="788"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26"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0" w:type="pct"/>
            <w:vAlign w:val="center"/>
            <w:hideMark/>
          </w:tcPr>
          <w:p w:rsidR="00000000" w:rsidRDefault="00613AEB">
            <w:pPr>
              <w:spacing w:after="100"/>
              <w:rPr>
                <w:rFonts w:eastAsia="Times New Roman"/>
                <w:sz w:val="20"/>
                <w:szCs w:val="20"/>
              </w:rPr>
            </w:pPr>
          </w:p>
        </w:tc>
        <w:tc>
          <w:tcPr>
            <w:tcW w:w="1381"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26"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0" w:type="pct"/>
            <w:vAlign w:val="center"/>
            <w:hideMark/>
          </w:tcPr>
          <w:p w:rsidR="00000000" w:rsidRDefault="00613AEB">
            <w:pPr>
              <w:spacing w:after="100"/>
              <w:rPr>
                <w:rFonts w:eastAsia="Times New Roman"/>
                <w:sz w:val="20"/>
                <w:szCs w:val="20"/>
              </w:rPr>
            </w:pPr>
          </w:p>
        </w:tc>
        <w:tc>
          <w:tcPr>
            <w:tcW w:w="1147"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613AEB">
            <w:pPr>
              <w:spacing w:after="100"/>
              <w:jc w:val="center"/>
              <w:rPr>
                <w:rFonts w:eastAsia="Times New Roman"/>
              </w:rPr>
            </w:pPr>
            <w:r>
              <w:rPr>
                <w:rFonts w:eastAsia="Times New Roman"/>
                <w:b/>
                <w:bCs/>
                <w:color w:val="000000"/>
                <w:sz w:val="20"/>
                <w:szCs w:val="20"/>
              </w:rPr>
              <w:t>Date Declared</w:t>
            </w:r>
          </w:p>
        </w:tc>
        <w:tc>
          <w:tcPr>
            <w:tcW w:w="0" w:type="auto"/>
            <w:gridSpan w:val="3"/>
            <w:tcMar>
              <w:top w:w="0" w:type="dxa"/>
              <w:left w:w="20" w:type="dxa"/>
              <w:bottom w:w="0" w:type="dxa"/>
              <w:right w:w="20" w:type="dxa"/>
            </w:tcMar>
            <w:vAlign w:val="center"/>
            <w:hideMark/>
          </w:tcPr>
          <w:p w:rsidR="00000000" w:rsidRDefault="00613AE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13AEB">
            <w:pPr>
              <w:spacing w:after="100"/>
              <w:jc w:val="center"/>
              <w:rPr>
                <w:rFonts w:eastAsia="Times New Roman"/>
              </w:rPr>
            </w:pPr>
            <w:r>
              <w:rPr>
                <w:rFonts w:eastAsia="Times New Roman"/>
                <w:b/>
                <w:bCs/>
                <w:color w:val="000000"/>
                <w:sz w:val="20"/>
                <w:szCs w:val="20"/>
              </w:rPr>
              <w:t>Dividend Amount</w:t>
            </w:r>
            <w:r>
              <w:rPr>
                <w:rFonts w:eastAsia="Times New Roman"/>
                <w:b/>
                <w:bCs/>
                <w:color w:val="000000"/>
                <w:sz w:val="20"/>
                <w:szCs w:val="20"/>
              </w:rPr>
              <w:br/>
              <w:t>Per Share of Common Stock</w:t>
            </w:r>
          </w:p>
        </w:tc>
        <w:tc>
          <w:tcPr>
            <w:tcW w:w="0" w:type="auto"/>
            <w:gridSpan w:val="3"/>
            <w:tcMar>
              <w:top w:w="0" w:type="dxa"/>
              <w:left w:w="20" w:type="dxa"/>
              <w:bottom w:w="0" w:type="dxa"/>
              <w:right w:w="20" w:type="dxa"/>
            </w:tcMar>
            <w:vAlign w:val="center"/>
            <w:hideMark/>
          </w:tcPr>
          <w:p w:rsidR="00000000" w:rsidRDefault="00613AE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13AEB">
            <w:pPr>
              <w:spacing w:after="100"/>
              <w:jc w:val="center"/>
              <w:rPr>
                <w:rFonts w:eastAsia="Times New Roman"/>
              </w:rPr>
            </w:pPr>
            <w:r>
              <w:rPr>
                <w:rFonts w:eastAsia="Times New Roman"/>
                <w:b/>
                <w:bCs/>
                <w:color w:val="000000"/>
                <w:sz w:val="20"/>
                <w:szCs w:val="20"/>
              </w:rPr>
              <w:t>Record Date</w:t>
            </w:r>
          </w:p>
        </w:tc>
        <w:tc>
          <w:tcPr>
            <w:tcW w:w="0" w:type="auto"/>
            <w:gridSpan w:val="3"/>
            <w:tcMar>
              <w:top w:w="0" w:type="dxa"/>
              <w:left w:w="20" w:type="dxa"/>
              <w:bottom w:w="0" w:type="dxa"/>
              <w:right w:w="20" w:type="dxa"/>
            </w:tcMar>
            <w:vAlign w:val="center"/>
            <w:hideMark/>
          </w:tcPr>
          <w:p w:rsidR="00000000" w:rsidRDefault="00613AE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13AEB">
            <w:pPr>
              <w:spacing w:after="100"/>
              <w:jc w:val="center"/>
              <w:rPr>
                <w:rFonts w:eastAsia="Times New Roman"/>
              </w:rPr>
            </w:pPr>
            <w:r>
              <w:rPr>
                <w:rFonts w:eastAsia="Times New Roman"/>
                <w:b/>
                <w:bCs/>
                <w:color w:val="000000"/>
                <w:sz w:val="20"/>
                <w:szCs w:val="20"/>
              </w:rPr>
              <w:t>Date Paid</w:t>
            </w:r>
          </w:p>
        </w:tc>
      </w:tr>
      <w:tr w:rsidR="00000000">
        <w:trPr>
          <w:jc w:val="center"/>
        </w:trPr>
        <w:tc>
          <w:tcPr>
            <w:tcW w:w="0" w:type="auto"/>
            <w:gridSpan w:val="3"/>
            <w:vAlign w:val="center"/>
            <w:hideMark/>
          </w:tcPr>
          <w:p w:rsidR="00000000" w:rsidRDefault="00613AEB">
            <w:pPr>
              <w:spacing w:after="100"/>
              <w:jc w:val="center"/>
              <w:rPr>
                <w:rFonts w:eastAsia="Times New Roman"/>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r>
      <w:tr w:rsidR="00000000">
        <w:trPr>
          <w:jc w:val="center"/>
        </w:trPr>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r>
      <w:tr w:rsidR="00000000">
        <w:trPr>
          <w:jc w:val="center"/>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613AEB">
            <w:pPr>
              <w:spacing w:after="100"/>
              <w:jc w:val="center"/>
              <w:rPr>
                <w:rFonts w:eastAsia="Times New Roman"/>
              </w:rPr>
            </w:pPr>
            <w:r>
              <w:rPr>
                <w:rFonts w:eastAsia="Times New Roman"/>
                <w:color w:val="000000"/>
                <w:sz w:val="20"/>
                <w:szCs w:val="20"/>
              </w:rPr>
              <w:t>May 10, 2022</w:t>
            </w: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cente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0.92 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613AEB">
            <w:pPr>
              <w:spacing w:after="100"/>
              <w:jc w:val="center"/>
              <w:rPr>
                <w:rFonts w:eastAsia="Times New Roman"/>
              </w:rPr>
            </w:pPr>
            <w:r>
              <w:rPr>
                <w:rFonts w:eastAsia="Times New Roman"/>
                <w:color w:val="000000"/>
                <w:sz w:val="20"/>
                <w:szCs w:val="20"/>
              </w:rPr>
              <w:t>May 25, 2022</w:t>
            </w: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613AEB">
            <w:pPr>
              <w:spacing w:after="100"/>
              <w:jc w:val="center"/>
              <w:rPr>
                <w:rFonts w:eastAsia="Times New Roman"/>
              </w:rPr>
            </w:pPr>
            <w:r>
              <w:rPr>
                <w:rFonts w:eastAsia="Times New Roman"/>
                <w:color w:val="000000"/>
                <w:sz w:val="20"/>
                <w:szCs w:val="20"/>
              </w:rPr>
              <w:t>June 8, 2022</w:t>
            </w: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613AEB">
            <w:pPr>
              <w:spacing w:after="100"/>
              <w:jc w:val="center"/>
              <w:rPr>
                <w:rFonts w:eastAsia="Times New Roman"/>
              </w:rPr>
            </w:pPr>
            <w:r>
              <w:rPr>
                <w:rFonts w:eastAsia="Times New Roman"/>
                <w:color w:val="000000"/>
                <w:sz w:val="20"/>
                <w:szCs w:val="20"/>
              </w:rPr>
              <w:t>January 26, 2022</w:t>
            </w: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cente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0.92 </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613AEB">
            <w:pPr>
              <w:spacing w:after="100"/>
              <w:jc w:val="center"/>
              <w:rPr>
                <w:rFonts w:eastAsia="Times New Roman"/>
              </w:rPr>
            </w:pPr>
            <w:r>
              <w:rPr>
                <w:rFonts w:eastAsia="Times New Roman"/>
                <w:color w:val="000000"/>
                <w:sz w:val="20"/>
                <w:szCs w:val="20"/>
              </w:rPr>
              <w:t>February 21, 2022</w:t>
            </w: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613AEB">
            <w:pPr>
              <w:spacing w:after="100"/>
              <w:jc w:val="center"/>
              <w:rPr>
                <w:rFonts w:eastAsia="Times New Roman"/>
              </w:rPr>
            </w:pPr>
            <w:r>
              <w:rPr>
                <w:rFonts w:eastAsia="Times New Roman"/>
                <w:color w:val="000000"/>
                <w:sz w:val="20"/>
                <w:szCs w:val="20"/>
              </w:rPr>
              <w:t>March 8, 2022</w:t>
            </w:r>
          </w:p>
        </w:tc>
      </w:tr>
      <w:tr w:rsidR="00000000">
        <w:trPr>
          <w:trHeight w:val="180"/>
          <w:jc w:val="center"/>
        </w:trPr>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cente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rPr>
                <w:rFonts w:eastAsia="Times New Roman"/>
                <w:sz w:val="20"/>
                <w:szCs w:val="20"/>
              </w:rPr>
            </w:pPr>
          </w:p>
        </w:tc>
      </w:tr>
      <w:tr w:rsidR="00000000">
        <w:trPr>
          <w:jc w:val="center"/>
        </w:trPr>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c>
          <w:tcPr>
            <w:tcW w:w="0" w:type="auto"/>
            <w:gridSpan w:val="3"/>
            <w:vAlign w:val="center"/>
            <w:hideMark/>
          </w:tcPr>
          <w:p w:rsidR="00000000" w:rsidRDefault="00613AEB">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613AEB">
            <w:pPr>
              <w:spacing w:after="100"/>
              <w:jc w:val="center"/>
              <w:rPr>
                <w:rFonts w:eastAsia="Times New Roman"/>
              </w:rPr>
            </w:pPr>
            <w:r>
              <w:rPr>
                <w:rFonts w:eastAsia="Times New Roman"/>
                <w:color w:val="000000"/>
                <w:sz w:val="20"/>
                <w:szCs w:val="20"/>
              </w:rPr>
              <w:t>May 5, 2021</w:t>
            </w: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cente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0.52 </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613AEB">
            <w:pPr>
              <w:spacing w:after="100"/>
              <w:jc w:val="center"/>
              <w:rPr>
                <w:rFonts w:eastAsia="Times New Roman"/>
              </w:rPr>
            </w:pPr>
            <w:r>
              <w:rPr>
                <w:rFonts w:eastAsia="Times New Roman"/>
                <w:color w:val="000000"/>
                <w:sz w:val="20"/>
                <w:szCs w:val="20"/>
              </w:rPr>
              <w:t>May 24, 2021</w:t>
            </w: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613AEB">
            <w:pPr>
              <w:spacing w:after="100"/>
              <w:jc w:val="center"/>
              <w:rPr>
                <w:rFonts w:eastAsia="Times New Roman"/>
              </w:rPr>
            </w:pPr>
            <w:r>
              <w:rPr>
                <w:rFonts w:eastAsia="Times New Roman"/>
                <w:color w:val="000000"/>
                <w:sz w:val="20"/>
                <w:szCs w:val="20"/>
              </w:rPr>
              <w:t>June 8, 2021</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613AEB">
            <w:pPr>
              <w:spacing w:after="100"/>
              <w:jc w:val="center"/>
              <w:rPr>
                <w:rFonts w:eastAsia="Times New Roman"/>
              </w:rPr>
            </w:pPr>
            <w:r>
              <w:rPr>
                <w:rFonts w:eastAsia="Times New Roman"/>
                <w:color w:val="000000"/>
                <w:sz w:val="20"/>
                <w:szCs w:val="20"/>
              </w:rPr>
              <w:t>January 27, 2021</w:t>
            </w: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cente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0.52 </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613AEB">
            <w:pPr>
              <w:spacing w:after="100"/>
              <w:jc w:val="center"/>
              <w:rPr>
                <w:rFonts w:eastAsia="Times New Roman"/>
              </w:rPr>
            </w:pPr>
            <w:r>
              <w:rPr>
                <w:rFonts w:eastAsia="Times New Roman"/>
                <w:color w:val="000000"/>
                <w:sz w:val="20"/>
                <w:szCs w:val="20"/>
              </w:rPr>
              <w:t>February 22, 2021</w:t>
            </w: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613AEB">
            <w:pPr>
              <w:spacing w:after="100"/>
              <w:jc w:val="center"/>
              <w:rPr>
                <w:rFonts w:eastAsia="Times New Roman"/>
              </w:rPr>
            </w:pPr>
            <w:r>
              <w:rPr>
                <w:rFonts w:eastAsia="Times New Roman"/>
                <w:color w:val="000000"/>
                <w:sz w:val="20"/>
                <w:szCs w:val="20"/>
              </w:rPr>
              <w:t>March 9, 2021</w:t>
            </w:r>
          </w:p>
        </w:tc>
      </w:tr>
    </w:tbl>
    <w:p w:rsidR="00000000" w:rsidRDefault="00613AEB">
      <w:pPr>
        <w:divId w:val="174543434"/>
        <w:rPr>
          <w:rFonts w:eastAsia="Times New Roman"/>
        </w:rPr>
      </w:pPr>
    </w:p>
    <w:p w:rsidR="00000000" w:rsidRDefault="00613AEB">
      <w:pPr>
        <w:jc w:val="both"/>
        <w:rPr>
          <w:rFonts w:eastAsia="Times New Roman"/>
        </w:rPr>
      </w:pPr>
      <w:r>
        <w:rPr>
          <w:rFonts w:eastAsia="Times New Roman"/>
          <w:color w:val="000000"/>
          <w:sz w:val="20"/>
          <w:szCs w:val="20"/>
        </w:rPr>
        <w:t>It is the present intention of the Company’</w:t>
      </w:r>
      <w:r>
        <w:rPr>
          <w:rFonts w:eastAsia="Times New Roman"/>
          <w:color w:val="000000"/>
          <w:sz w:val="20"/>
          <w:szCs w:val="20"/>
        </w:rPr>
        <w:t>s Board of Directors to continue to pay a quarterly cash dividend; however, the declaration and payment of future dividends will be determined by the Company’s Board of Directors in its sole discretion and will depend upon the earnings, financial condition</w:t>
      </w:r>
      <w:r>
        <w:rPr>
          <w:rFonts w:eastAsia="Times New Roman"/>
          <w:color w:val="000000"/>
          <w:sz w:val="20"/>
          <w:szCs w:val="20"/>
        </w:rPr>
        <w:t>, and capital needs of the Company, along with any other factors that the Company’s Board of Directors deem relevant.</w:t>
      </w:r>
    </w:p>
    <w:p w:rsidR="00000000" w:rsidRDefault="00613AEB">
      <w:pPr>
        <w:jc w:val="both"/>
        <w:rPr>
          <w:rFonts w:eastAsia="Times New Roman"/>
        </w:rPr>
      </w:pPr>
    </w:p>
    <w:p w:rsidR="00000000" w:rsidRDefault="00613AEB">
      <w:pPr>
        <w:jc w:val="center"/>
        <w:divId w:val="2043750851"/>
        <w:rPr>
          <w:rFonts w:eastAsia="Times New Roman"/>
        </w:rPr>
      </w:pPr>
      <w:r>
        <w:rPr>
          <w:rFonts w:eastAsia="Times New Roman"/>
          <w:color w:val="000000"/>
          <w:sz w:val="20"/>
          <w:szCs w:val="20"/>
        </w:rPr>
        <w:t>Page 24</w:t>
      </w:r>
    </w:p>
    <w:p w:rsidR="00000000" w:rsidRDefault="00613AEB">
      <w:pPr>
        <w:rPr>
          <w:rFonts w:eastAsia="Times New Roman"/>
        </w:rPr>
      </w:pPr>
      <w:r>
        <w:rPr>
          <w:rFonts w:eastAsia="Times New Roman"/>
        </w:rPr>
        <w:pict>
          <v:rect id="_x0000_i1049" style="width:0;height:1.5pt" o:hralign="center" o:hrstd="t" o:hr="t" fillcolor="#a0a0a0" stroked="f"/>
        </w:pict>
      </w:r>
    </w:p>
    <w:p w:rsidR="00000000" w:rsidRDefault="00613AEB">
      <w:pPr>
        <w:divId w:val="409810193"/>
        <w:rPr>
          <w:rFonts w:eastAsia="Times New Roman"/>
        </w:rPr>
      </w:pPr>
      <w:hyperlink w:anchor="i7b244a6903fc440faaf2365d228fe4ba_7" w:history="1">
        <w:r>
          <w:rPr>
            <w:rStyle w:val="a3"/>
            <w:rFonts w:eastAsia="Times New Roman"/>
            <w:sz w:val="16"/>
            <w:szCs w:val="16"/>
          </w:rPr>
          <w:t>Index</w:t>
        </w:r>
      </w:hyperlink>
    </w:p>
    <w:p w:rsidR="00000000" w:rsidRDefault="00613AEB">
      <w:pPr>
        <w:jc w:val="both"/>
        <w:rPr>
          <w:rFonts w:eastAsia="Times New Roman"/>
        </w:rPr>
      </w:pPr>
      <w:r>
        <w:rPr>
          <w:rFonts w:eastAsia="Times New Roman"/>
          <w:color w:val="000000"/>
          <w:sz w:val="20"/>
          <w:szCs w:val="20"/>
        </w:rPr>
        <w:t>On August 4, 2022, the Company's Board of Directors declared a quarterly cash dividend of $0.92 per share of the Company's outstanding common stock. The dividend will be paid on September 7, 2022, to stockholders of record as of the close of business on Au</w:t>
      </w:r>
      <w:r>
        <w:rPr>
          <w:rFonts w:eastAsia="Times New Roman"/>
          <w:color w:val="000000"/>
          <w:sz w:val="20"/>
          <w:szCs w:val="20"/>
        </w:rPr>
        <w:t>gust 22, 2022.</w:t>
      </w:r>
    </w:p>
    <w:p w:rsidR="00000000" w:rsidRDefault="00613AEB">
      <w:pPr>
        <w:jc w:val="both"/>
        <w:rPr>
          <w:rFonts w:eastAsia="Times New Roman"/>
        </w:rPr>
      </w:pPr>
    </w:p>
    <w:p w:rsidR="00000000" w:rsidRDefault="00613AEB">
      <w:pPr>
        <w:jc w:val="both"/>
        <w:rPr>
          <w:rFonts w:eastAsia="Times New Roman"/>
        </w:rPr>
      </w:pPr>
      <w:r>
        <w:rPr>
          <w:rFonts w:eastAsia="Times New Roman"/>
          <w:b/>
          <w:bCs/>
          <w:color w:val="000000"/>
          <w:sz w:val="20"/>
          <w:szCs w:val="20"/>
        </w:rPr>
        <w:t>Share Repurchase Program</w:t>
      </w:r>
    </w:p>
    <w:p w:rsidR="00000000" w:rsidRDefault="00613AEB">
      <w:pPr>
        <w:jc w:val="both"/>
        <w:rPr>
          <w:rFonts w:eastAsia="Times New Roman"/>
        </w:rPr>
      </w:pPr>
    </w:p>
    <w:p w:rsidR="00000000" w:rsidRDefault="00613AEB">
      <w:pPr>
        <w:jc w:val="both"/>
        <w:rPr>
          <w:rFonts w:eastAsia="Times New Roman"/>
        </w:rPr>
      </w:pPr>
      <w:r>
        <w:rPr>
          <w:rFonts w:eastAsia="Times New Roman"/>
          <w:color w:val="000000"/>
          <w:sz w:val="20"/>
          <w:szCs w:val="20"/>
        </w:rPr>
        <w:t xml:space="preserve">The Company’s Board of Directors has authorized common stock repurchases under a share repurchase program which was announced in February 2007. The total authorized amount was increased by the Company's Board of </w:t>
      </w:r>
      <w:r>
        <w:rPr>
          <w:rFonts w:eastAsia="Times New Roman"/>
          <w:color w:val="000000"/>
          <w:sz w:val="20"/>
          <w:szCs w:val="20"/>
        </w:rPr>
        <w:t>Directors on January 26, 2022 by $2.0 billion for a total authorization of $6.5 billion, exclusive of any fees, commissions, or other expenses related to such repurchases. The share repurchase program does not have an expiration date. The repurchases may b</w:t>
      </w:r>
      <w:r>
        <w:rPr>
          <w:rFonts w:eastAsia="Times New Roman"/>
          <w:color w:val="000000"/>
          <w:sz w:val="20"/>
          <w:szCs w:val="20"/>
        </w:rPr>
        <w:t>e made from time to time on the open market or in privately negotiated transactions.  The timing and amount of any shares repurchased under the program will depend on a variety of factors, including price, corporate and regulatory requirements, capital ava</w:t>
      </w:r>
      <w:r>
        <w:rPr>
          <w:rFonts w:eastAsia="Times New Roman"/>
          <w:color w:val="000000"/>
          <w:sz w:val="20"/>
          <w:szCs w:val="20"/>
        </w:rPr>
        <w:t>ilability, and other market conditions.  Repurchased shares are accounted for at cost and will be held in treasury for future issuance.  The program may be limited, temporarily paused, or terminated at any time without prior notice. As of June 25, 2022, th</w:t>
      </w:r>
      <w:r>
        <w:rPr>
          <w:rFonts w:eastAsia="Times New Roman"/>
          <w:color w:val="000000"/>
          <w:sz w:val="20"/>
          <w:szCs w:val="20"/>
        </w:rPr>
        <w:t>e Company had remaining authorization under the share repurchase program of $1.9 billion, exclusive of any fees, commissions, or other expenses.</w:t>
      </w:r>
    </w:p>
    <w:p w:rsidR="00000000" w:rsidRDefault="00613AEB">
      <w:pPr>
        <w:jc w:val="both"/>
        <w:rPr>
          <w:rFonts w:eastAsia="Times New Roman"/>
        </w:rPr>
      </w:pPr>
    </w:p>
    <w:p w:rsidR="00000000" w:rsidRDefault="00613AEB">
      <w:pPr>
        <w:jc w:val="both"/>
        <w:rPr>
          <w:rFonts w:eastAsia="Times New Roman"/>
        </w:rPr>
      </w:pPr>
      <w:r>
        <w:rPr>
          <w:rFonts w:eastAsia="Times New Roman"/>
          <w:color w:val="000000"/>
          <w:sz w:val="20"/>
          <w:szCs w:val="20"/>
        </w:rPr>
        <w:t>The following table provides the number of shares repurchased, average price paid per share, and total amount</w:t>
      </w:r>
      <w:r>
        <w:rPr>
          <w:rFonts w:eastAsia="Times New Roman"/>
          <w:color w:val="000000"/>
          <w:sz w:val="20"/>
          <w:szCs w:val="20"/>
        </w:rPr>
        <w:t xml:space="preserve"> paid for share repurchases during the fiscal three months ended June 25, 2022 and June 26, 2021 (in thousands, except per share amounts):</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3243"/>
        <w:gridCol w:w="36"/>
        <w:gridCol w:w="120"/>
        <w:gridCol w:w="1060"/>
        <w:gridCol w:w="36"/>
        <w:gridCol w:w="36"/>
        <w:gridCol w:w="36"/>
        <w:gridCol w:w="36"/>
        <w:gridCol w:w="120"/>
        <w:gridCol w:w="1017"/>
        <w:gridCol w:w="36"/>
        <w:gridCol w:w="36"/>
        <w:gridCol w:w="36"/>
        <w:gridCol w:w="36"/>
        <w:gridCol w:w="120"/>
        <w:gridCol w:w="982"/>
        <w:gridCol w:w="36"/>
        <w:gridCol w:w="36"/>
        <w:gridCol w:w="36"/>
        <w:gridCol w:w="36"/>
        <w:gridCol w:w="120"/>
        <w:gridCol w:w="983"/>
        <w:gridCol w:w="36"/>
      </w:tblGrid>
      <w:tr w:rsidR="00000000">
        <w:trPr>
          <w:jc w:val="center"/>
        </w:trPr>
        <w:tc>
          <w:tcPr>
            <w:tcW w:w="50" w:type="pct"/>
            <w:vAlign w:val="center"/>
            <w:hideMark/>
          </w:tcPr>
          <w:p w:rsidR="00000000" w:rsidRDefault="00613AEB">
            <w:pPr>
              <w:jc w:val="both"/>
              <w:rPr>
                <w:rFonts w:eastAsia="Times New Roman"/>
              </w:rPr>
            </w:pPr>
          </w:p>
        </w:tc>
        <w:tc>
          <w:tcPr>
            <w:tcW w:w="1984"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0" w:type="pct"/>
            <w:vAlign w:val="center"/>
            <w:hideMark/>
          </w:tcPr>
          <w:p w:rsidR="00000000" w:rsidRDefault="00613AEB">
            <w:pPr>
              <w:spacing w:after="100"/>
              <w:rPr>
                <w:rFonts w:eastAsia="Times New Roman"/>
                <w:sz w:val="20"/>
                <w:szCs w:val="20"/>
              </w:rPr>
            </w:pPr>
          </w:p>
        </w:tc>
        <w:tc>
          <w:tcPr>
            <w:tcW w:w="668"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26"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0" w:type="pct"/>
            <w:vAlign w:val="center"/>
            <w:hideMark/>
          </w:tcPr>
          <w:p w:rsidR="00000000" w:rsidRDefault="00613AEB">
            <w:pPr>
              <w:spacing w:after="100"/>
              <w:rPr>
                <w:rFonts w:eastAsia="Times New Roman"/>
                <w:sz w:val="20"/>
                <w:szCs w:val="20"/>
              </w:rPr>
            </w:pPr>
          </w:p>
        </w:tc>
        <w:tc>
          <w:tcPr>
            <w:tcW w:w="668"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26"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0" w:type="pct"/>
            <w:vAlign w:val="center"/>
            <w:hideMark/>
          </w:tcPr>
          <w:p w:rsidR="00000000" w:rsidRDefault="00613AEB">
            <w:pPr>
              <w:spacing w:after="100"/>
              <w:rPr>
                <w:rFonts w:eastAsia="Times New Roman"/>
                <w:sz w:val="20"/>
                <w:szCs w:val="20"/>
              </w:rPr>
            </w:pPr>
          </w:p>
        </w:tc>
        <w:tc>
          <w:tcPr>
            <w:tcW w:w="646"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26"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0" w:type="pct"/>
            <w:vAlign w:val="center"/>
            <w:hideMark/>
          </w:tcPr>
          <w:p w:rsidR="00000000" w:rsidRDefault="00613AEB">
            <w:pPr>
              <w:spacing w:after="100"/>
              <w:rPr>
                <w:rFonts w:eastAsia="Times New Roman"/>
                <w:sz w:val="20"/>
                <w:szCs w:val="20"/>
              </w:rPr>
            </w:pPr>
          </w:p>
        </w:tc>
        <w:tc>
          <w:tcPr>
            <w:tcW w:w="647"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613AEB">
            <w:pPr>
              <w:spacing w:after="100"/>
              <w:jc w:val="center"/>
              <w:rPr>
                <w:rFonts w:eastAsia="Times New Roman"/>
              </w:rPr>
            </w:pPr>
            <w:r>
              <w:rPr>
                <w:rFonts w:eastAsia="Times New Roman"/>
                <w:b/>
                <w:bCs/>
                <w:color w:val="000000"/>
                <w:sz w:val="20"/>
                <w:szCs w:val="20"/>
              </w:rPr>
              <w:t>Fiscal Three Months Ended</w:t>
            </w:r>
          </w:p>
        </w:tc>
        <w:tc>
          <w:tcPr>
            <w:tcW w:w="0" w:type="auto"/>
            <w:gridSpan w:val="3"/>
            <w:tcMar>
              <w:top w:w="0" w:type="dxa"/>
              <w:left w:w="20" w:type="dxa"/>
              <w:bottom w:w="0" w:type="dxa"/>
              <w:right w:w="20" w:type="dxa"/>
            </w:tcMar>
            <w:vAlign w:val="center"/>
            <w:hideMark/>
          </w:tcPr>
          <w:p w:rsidR="00000000" w:rsidRDefault="00613AEB">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613AEB">
            <w:pPr>
              <w:spacing w:after="100"/>
              <w:jc w:val="center"/>
              <w:rPr>
                <w:rFonts w:eastAsia="Times New Roman"/>
              </w:rPr>
            </w:pPr>
            <w:r>
              <w:rPr>
                <w:rFonts w:eastAsia="Times New Roman"/>
                <w:b/>
                <w:bCs/>
                <w:color w:val="000000"/>
                <w:sz w:val="20"/>
                <w:szCs w:val="20"/>
              </w:rPr>
              <w:t>Fiscal Six Months Ended</w:t>
            </w:r>
          </w:p>
        </w:tc>
      </w:tr>
      <w:tr w:rsidR="00000000">
        <w:trPr>
          <w:jc w:val="center"/>
        </w:trPr>
        <w:tc>
          <w:tcPr>
            <w:tcW w:w="0" w:type="auto"/>
            <w:gridSpan w:val="3"/>
            <w:tcMar>
              <w:top w:w="0" w:type="dxa"/>
              <w:left w:w="20" w:type="dxa"/>
              <w:bottom w:w="0" w:type="dxa"/>
              <w:right w:w="20" w:type="dxa"/>
            </w:tcMar>
            <w:vAlign w:val="center"/>
            <w:hideMark/>
          </w:tcPr>
          <w:p w:rsidR="00000000" w:rsidRDefault="00613AE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13AEB">
            <w:pPr>
              <w:spacing w:after="100"/>
              <w:jc w:val="center"/>
              <w:rPr>
                <w:rFonts w:eastAsia="Times New Roman"/>
              </w:rPr>
            </w:pPr>
            <w:r>
              <w:rPr>
                <w:rFonts w:eastAsia="Times New Roman"/>
                <w:b/>
                <w:bCs/>
                <w:color w:val="000000"/>
                <w:sz w:val="20"/>
                <w:szCs w:val="20"/>
              </w:rPr>
              <w:t>June 25,</w:t>
            </w:r>
            <w:r>
              <w:rPr>
                <w:rFonts w:eastAsia="Times New Roman"/>
                <w:b/>
                <w:bCs/>
                <w:color w:val="000000"/>
                <w:sz w:val="20"/>
                <w:szCs w:val="20"/>
              </w:rPr>
              <w:br/>
            </w:r>
            <w:r>
              <w:rPr>
                <w:rFonts w:eastAsia="Times New Roman"/>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13AE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13AEB">
            <w:pPr>
              <w:spacing w:after="100"/>
              <w:jc w:val="center"/>
              <w:rPr>
                <w:rFonts w:eastAsia="Times New Roman"/>
              </w:rPr>
            </w:pPr>
            <w:r>
              <w:rPr>
                <w:rFonts w:eastAsia="Times New Roman"/>
                <w:b/>
                <w:bCs/>
                <w:color w:val="000000"/>
                <w:sz w:val="20"/>
                <w:szCs w:val="20"/>
              </w:rPr>
              <w:t>June 26,</w:t>
            </w:r>
            <w:r>
              <w:rPr>
                <w:rFonts w:eastAsia="Times New Roman"/>
                <w:b/>
                <w:bCs/>
                <w:color w:val="000000"/>
                <w:sz w:val="20"/>
                <w:szCs w:val="20"/>
              </w:rPr>
              <w:br/>
              <w:t>2021</w:t>
            </w:r>
          </w:p>
        </w:tc>
        <w:tc>
          <w:tcPr>
            <w:tcW w:w="0" w:type="auto"/>
            <w:gridSpan w:val="3"/>
            <w:tcMar>
              <w:top w:w="0" w:type="dxa"/>
              <w:left w:w="20" w:type="dxa"/>
              <w:bottom w:w="0" w:type="dxa"/>
              <w:right w:w="20" w:type="dxa"/>
            </w:tcMar>
            <w:vAlign w:val="center"/>
            <w:hideMark/>
          </w:tcPr>
          <w:p w:rsidR="00000000" w:rsidRDefault="00613AE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13AEB">
            <w:pPr>
              <w:spacing w:after="100"/>
              <w:jc w:val="center"/>
              <w:rPr>
                <w:rFonts w:eastAsia="Times New Roman"/>
              </w:rPr>
            </w:pPr>
            <w:r>
              <w:rPr>
                <w:rFonts w:eastAsia="Times New Roman"/>
                <w:b/>
                <w:bCs/>
                <w:color w:val="000000"/>
                <w:sz w:val="20"/>
                <w:szCs w:val="20"/>
              </w:rPr>
              <w:t>June 25,</w:t>
            </w:r>
            <w:r>
              <w:rPr>
                <w:rFonts w:eastAsia="Times New Roman"/>
                <w:b/>
                <w:bCs/>
                <w:color w:val="000000"/>
                <w:sz w:val="20"/>
                <w:szCs w:val="20"/>
              </w:rPr>
              <w:b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13AE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13AEB">
            <w:pPr>
              <w:spacing w:after="100"/>
              <w:jc w:val="center"/>
              <w:rPr>
                <w:rFonts w:eastAsia="Times New Roman"/>
              </w:rPr>
            </w:pPr>
            <w:r>
              <w:rPr>
                <w:rFonts w:eastAsia="Times New Roman"/>
                <w:b/>
                <w:bCs/>
                <w:color w:val="000000"/>
                <w:sz w:val="20"/>
                <w:szCs w:val="20"/>
              </w:rPr>
              <w:t>June 26,</w:t>
            </w:r>
            <w:r>
              <w:rPr>
                <w:rFonts w:eastAsia="Times New Roman"/>
                <w:b/>
                <w:bCs/>
                <w:color w:val="000000"/>
                <w:sz w:val="20"/>
                <w:szCs w:val="20"/>
              </w:rPr>
              <w:br/>
              <w:t>2021</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Total number of shares repurchased</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942 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1,118 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2,300 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2,718 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Average price paid per share</w:t>
            </w:r>
          </w:p>
        </w:tc>
        <w:tc>
          <w:tcPr>
            <w:tcW w:w="0" w:type="auto"/>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199.88 </w:t>
            </w:r>
          </w:p>
        </w:tc>
        <w:tc>
          <w:tcPr>
            <w:tcW w:w="0" w:type="auto"/>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181.81 </w:t>
            </w:r>
          </w:p>
        </w:tc>
        <w:tc>
          <w:tcPr>
            <w:tcW w:w="0" w:type="auto"/>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210.62 </w:t>
            </w:r>
          </w:p>
        </w:tc>
        <w:tc>
          <w:tcPr>
            <w:tcW w:w="0" w:type="auto"/>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168.00 </w:t>
            </w:r>
          </w:p>
        </w:tc>
        <w:tc>
          <w:tcPr>
            <w:tcW w:w="0" w:type="auto"/>
            <w:tcMar>
              <w:top w:w="30" w:type="dxa"/>
              <w:left w:w="0" w:type="dxa"/>
              <w:bottom w:w="30" w:type="dxa"/>
              <w:right w:w="20" w:type="dxa"/>
            </w:tcMar>
            <w:vAlign w:val="bottom"/>
            <w:hideMark/>
          </w:tcPr>
          <w:p w:rsidR="00000000" w:rsidRDefault="00613AEB">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Total cash paid for share repurchases</w:t>
            </w:r>
          </w:p>
        </w:tc>
        <w:tc>
          <w:tcPr>
            <w:tcW w:w="0" w:type="auto"/>
            <w:shd w:val="clear" w:color="auto" w:fill="CCEE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188,210 </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203,305 </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484,390 </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456,714 </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r>
    </w:tbl>
    <w:p w:rsidR="00000000" w:rsidRDefault="00613AEB">
      <w:pPr>
        <w:jc w:val="both"/>
        <w:rPr>
          <w:rFonts w:eastAsia="Times New Roman"/>
        </w:rPr>
      </w:pPr>
    </w:p>
    <w:p w:rsidR="00000000" w:rsidRDefault="00613AEB">
      <w:pPr>
        <w:divId w:val="1488092127"/>
        <w:rPr>
          <w:rFonts w:eastAsia="Times New Roman"/>
        </w:rPr>
      </w:pPr>
      <w:r>
        <w:rPr>
          <w:rFonts w:eastAsia="Times New Roman"/>
          <w:b/>
          <w:bCs/>
          <w:color w:val="000000"/>
          <w:sz w:val="20"/>
          <w:szCs w:val="20"/>
        </w:rPr>
        <w:t>Pending Acquisition</w:t>
      </w:r>
    </w:p>
    <w:p w:rsidR="00000000" w:rsidRDefault="00613AEB">
      <w:pPr>
        <w:divId w:val="1203008859"/>
        <w:rPr>
          <w:rFonts w:eastAsia="Times New Roman"/>
        </w:rPr>
      </w:pPr>
    </w:p>
    <w:p w:rsidR="00000000" w:rsidRDefault="00613AEB">
      <w:pPr>
        <w:jc w:val="both"/>
        <w:rPr>
          <w:rFonts w:eastAsia="Times New Roman"/>
        </w:rPr>
      </w:pPr>
      <w:r>
        <w:rPr>
          <w:rFonts w:eastAsia="Times New Roman"/>
          <w:color w:val="000000"/>
          <w:sz w:val="20"/>
          <w:szCs w:val="20"/>
        </w:rPr>
        <w:t>On February 17, 2021, the Company announced that it entered into an agreement to acquire all of the outstanding equity interests of Orscheln Farm and Home, LLC (the "Transaction"), a farm and ranch retailer with 167 retail stores in 11 states, in an all-ca</w:t>
      </w:r>
      <w:r>
        <w:rPr>
          <w:rFonts w:eastAsia="Times New Roman"/>
          <w:color w:val="000000"/>
          <w:sz w:val="20"/>
          <w:szCs w:val="20"/>
        </w:rPr>
        <w:t>sh transaction for approximately $320 million. The Transaction is conditioned on the receipt of regulatory clearance and satisfactory completion of customary closing conditions. The Company continues to work collaboratively with the Federal Trade Commissio</w:t>
      </w:r>
      <w:r>
        <w:rPr>
          <w:rFonts w:eastAsia="Times New Roman"/>
          <w:color w:val="000000"/>
          <w:sz w:val="20"/>
          <w:szCs w:val="20"/>
        </w:rPr>
        <w:t>n on the Transaction.</w:t>
      </w:r>
    </w:p>
    <w:p w:rsidR="00000000" w:rsidRDefault="00613AEB">
      <w:pPr>
        <w:jc w:val="both"/>
        <w:rPr>
          <w:rFonts w:eastAsia="Times New Roman"/>
        </w:rPr>
      </w:pPr>
    </w:p>
    <w:p w:rsidR="00000000" w:rsidRDefault="00613AEB">
      <w:pPr>
        <w:jc w:val="both"/>
        <w:rPr>
          <w:rFonts w:eastAsia="Times New Roman"/>
        </w:rPr>
      </w:pPr>
      <w:r>
        <w:rPr>
          <w:rFonts w:eastAsia="Times New Roman"/>
          <w:b/>
          <w:bCs/>
          <w:color w:val="000000"/>
          <w:sz w:val="20"/>
          <w:szCs w:val="20"/>
        </w:rPr>
        <w:t>Significant Contractual Obligations and Commercial Commitments</w:t>
      </w:r>
    </w:p>
    <w:p w:rsidR="00000000" w:rsidRDefault="00613AEB">
      <w:pPr>
        <w:jc w:val="both"/>
        <w:rPr>
          <w:rFonts w:eastAsia="Times New Roman"/>
        </w:rPr>
      </w:pPr>
    </w:p>
    <w:p w:rsidR="00000000" w:rsidRDefault="00613AEB">
      <w:pPr>
        <w:jc w:val="both"/>
        <w:rPr>
          <w:rFonts w:eastAsia="Times New Roman"/>
        </w:rPr>
      </w:pPr>
      <w:r>
        <w:rPr>
          <w:rFonts w:eastAsia="Times New Roman"/>
          <w:color w:val="000000"/>
          <w:sz w:val="20"/>
          <w:szCs w:val="20"/>
        </w:rPr>
        <w:t>For a description of the Company’s significant contractual obligations and commercial commitments, refer to Note 11 to the Consolidated Financial Statements included u</w:t>
      </w:r>
      <w:r>
        <w:rPr>
          <w:rFonts w:eastAsia="Times New Roman"/>
          <w:color w:val="000000"/>
          <w:sz w:val="20"/>
          <w:szCs w:val="20"/>
        </w:rPr>
        <w:t xml:space="preserve">nder Part II, Item 8 in our </w:t>
      </w:r>
      <w:hyperlink r:id="rId8" w:history="1">
        <w:r>
          <w:rPr>
            <w:rStyle w:val="a3"/>
            <w:rFonts w:eastAsia="Times New Roman"/>
            <w:sz w:val="20"/>
            <w:szCs w:val="20"/>
          </w:rPr>
          <w:t>2021</w:t>
        </w:r>
      </w:hyperlink>
      <w:hyperlink r:id="rId9" w:history="1">
        <w:r>
          <w:rPr>
            <w:rStyle w:val="a3"/>
            <w:rFonts w:eastAsia="Times New Roman"/>
            <w:sz w:val="20"/>
            <w:szCs w:val="20"/>
          </w:rPr>
          <w:t xml:space="preserve"> Form 10</w:t>
        </w:r>
        <w:r>
          <w:rPr>
            <w:rStyle w:val="a3"/>
            <w:rFonts w:eastAsia="Times New Roman"/>
            <w:sz w:val="20"/>
            <w:szCs w:val="20"/>
          </w:rPr>
          <w:t>-K</w:t>
        </w:r>
      </w:hyperlink>
      <w:r>
        <w:rPr>
          <w:rFonts w:eastAsia="Times New Roman"/>
          <w:color w:val="000000"/>
          <w:sz w:val="20"/>
          <w:szCs w:val="20"/>
        </w:rPr>
        <w:t xml:space="preserve"> for the fiscal year ended December 25, 2021. The Company is building new distribution centers in Maumelle, Arkansas and Navarre, Ohio, for which, as of June 25, 2022, the Company had contractual commitments of approximately $76 million and $34 million, </w:t>
      </w:r>
      <w:r>
        <w:rPr>
          <w:rFonts w:eastAsia="Times New Roman"/>
          <w:color w:val="000000"/>
          <w:sz w:val="20"/>
          <w:szCs w:val="20"/>
        </w:rPr>
        <w:t xml:space="preserve">respectively. As of June 25, 2022, there has been no other material change in the information disclosed in the </w:t>
      </w:r>
      <w:hyperlink r:id="rId10" w:history="1">
        <w:r>
          <w:rPr>
            <w:rStyle w:val="a3"/>
            <w:rFonts w:eastAsia="Times New Roman"/>
            <w:sz w:val="20"/>
            <w:szCs w:val="20"/>
          </w:rPr>
          <w:t xml:space="preserve">2021 </w:t>
        </w:r>
      </w:hyperlink>
      <w:hyperlink r:id="rId11" w:history="1">
        <w:r>
          <w:rPr>
            <w:rStyle w:val="a3"/>
            <w:rFonts w:eastAsia="Times New Roman"/>
            <w:sz w:val="20"/>
            <w:szCs w:val="20"/>
          </w:rPr>
          <w:t>Form 10-K</w:t>
        </w:r>
      </w:hyperlink>
      <w:r>
        <w:rPr>
          <w:rFonts w:eastAsia="Times New Roman"/>
          <w:color w:val="000000"/>
          <w:sz w:val="20"/>
          <w:szCs w:val="20"/>
        </w:rPr>
        <w:t xml:space="preserve"> for the fiscal year ended December 25, 2021.</w:t>
      </w:r>
    </w:p>
    <w:p w:rsidR="00000000" w:rsidRDefault="00613AEB">
      <w:pPr>
        <w:jc w:val="both"/>
        <w:rPr>
          <w:rFonts w:eastAsia="Times New Roman"/>
        </w:rPr>
      </w:pPr>
    </w:p>
    <w:p w:rsidR="00000000" w:rsidRDefault="00613AEB">
      <w:pPr>
        <w:divId w:val="1333946274"/>
        <w:rPr>
          <w:rFonts w:eastAsia="Times New Roman"/>
        </w:rPr>
      </w:pPr>
      <w:r>
        <w:rPr>
          <w:rFonts w:eastAsia="Times New Roman"/>
          <w:b/>
          <w:bCs/>
          <w:color w:val="000000"/>
          <w:sz w:val="20"/>
          <w:szCs w:val="20"/>
        </w:rPr>
        <w:t>Significant Accounting Policies and Estimates</w:t>
      </w:r>
    </w:p>
    <w:p w:rsidR="00000000" w:rsidRDefault="00613AEB">
      <w:pPr>
        <w:divId w:val="1221861009"/>
        <w:rPr>
          <w:rFonts w:eastAsia="Times New Roman"/>
        </w:rPr>
      </w:pPr>
    </w:p>
    <w:p w:rsidR="00000000" w:rsidRDefault="00613AEB">
      <w:pPr>
        <w:jc w:val="both"/>
        <w:rPr>
          <w:rFonts w:eastAsia="Times New Roman"/>
        </w:rPr>
      </w:pPr>
      <w:r>
        <w:rPr>
          <w:rFonts w:eastAsia="Times New Roman"/>
          <w:color w:val="000000"/>
          <w:sz w:val="20"/>
          <w:szCs w:val="20"/>
        </w:rPr>
        <w:t>Management’s discussion and analysis of the Company’s financial position an</w:t>
      </w:r>
      <w:r>
        <w:rPr>
          <w:rFonts w:eastAsia="Times New Roman"/>
          <w:color w:val="000000"/>
          <w:sz w:val="20"/>
          <w:szCs w:val="20"/>
        </w:rPr>
        <w:t>d results of operations are based upon its Condensed Consolidated Financial Statements, which have been prepared in accordance with U.S. GAAP. The preparation of these financial statements requires management to make informed estimates and judgments that a</w:t>
      </w:r>
      <w:r>
        <w:rPr>
          <w:rFonts w:eastAsia="Times New Roman"/>
          <w:color w:val="000000"/>
          <w:sz w:val="20"/>
          <w:szCs w:val="20"/>
        </w:rPr>
        <w:t>ffect the reported amounts of assets, liabilities, revenues and expenses, and related disclosure of contingent assets and liabilities.  The Company’s significant accounting policies, including areas of critical management judgments and estimates, have prim</w:t>
      </w:r>
      <w:r>
        <w:rPr>
          <w:rFonts w:eastAsia="Times New Roman"/>
          <w:color w:val="000000"/>
          <w:sz w:val="20"/>
          <w:szCs w:val="20"/>
        </w:rPr>
        <w:t>ary impact on the following financial statement areas:</w:t>
      </w:r>
    </w:p>
    <w:p w:rsidR="00000000" w:rsidRDefault="00613AEB">
      <w:pPr>
        <w:jc w:val="both"/>
        <w:rPr>
          <w:rFonts w:eastAsia="Times New Roman"/>
        </w:rPr>
      </w:pPr>
    </w:p>
    <w:tbl>
      <w:tblPr>
        <w:tblW w:w="3019" w:type="pct"/>
        <w:jc w:val="center"/>
        <w:tblCellMar>
          <w:top w:w="15" w:type="dxa"/>
          <w:left w:w="15" w:type="dxa"/>
          <w:bottom w:w="15" w:type="dxa"/>
          <w:right w:w="15" w:type="dxa"/>
        </w:tblCellMar>
        <w:tblLook w:val="04A0" w:firstRow="1" w:lastRow="0" w:firstColumn="1" w:lastColumn="0" w:noHBand="0" w:noVBand="1"/>
      </w:tblPr>
      <w:tblGrid>
        <w:gridCol w:w="36"/>
        <w:gridCol w:w="315"/>
        <w:gridCol w:w="36"/>
        <w:gridCol w:w="38"/>
        <w:gridCol w:w="4553"/>
        <w:gridCol w:w="37"/>
      </w:tblGrid>
      <w:tr w:rsidR="00000000">
        <w:trPr>
          <w:jc w:val="center"/>
        </w:trPr>
        <w:tc>
          <w:tcPr>
            <w:tcW w:w="50" w:type="pct"/>
            <w:vAlign w:val="center"/>
            <w:hideMark/>
          </w:tcPr>
          <w:p w:rsidR="00000000" w:rsidRDefault="00613AEB">
            <w:pPr>
              <w:jc w:val="both"/>
              <w:rPr>
                <w:rFonts w:eastAsia="Times New Roman"/>
              </w:rPr>
            </w:pPr>
          </w:p>
        </w:tc>
        <w:tc>
          <w:tcPr>
            <w:tcW w:w="332"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0" w:type="pct"/>
            <w:vAlign w:val="center"/>
            <w:hideMark/>
          </w:tcPr>
          <w:p w:rsidR="00000000" w:rsidRDefault="00613AEB">
            <w:pPr>
              <w:spacing w:after="100"/>
              <w:rPr>
                <w:rFonts w:eastAsia="Times New Roman"/>
                <w:sz w:val="20"/>
                <w:szCs w:val="20"/>
              </w:rPr>
            </w:pPr>
          </w:p>
        </w:tc>
        <w:tc>
          <w:tcPr>
            <w:tcW w:w="4557"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613AEB">
            <w:pPr>
              <w:spacing w:after="100"/>
              <w:rPr>
                <w:rFonts w:eastAsia="Times New Roman"/>
              </w:rPr>
            </w:pPr>
            <w:r>
              <w:rPr>
                <w:rFonts w:eastAsia="Times New Roman"/>
                <w:color w:val="000000"/>
                <w:sz w:val="20"/>
                <w:szCs w:val="20"/>
              </w:rPr>
              <w:t>-</w:t>
            </w:r>
          </w:p>
        </w:tc>
        <w:tc>
          <w:tcPr>
            <w:tcW w:w="0" w:type="auto"/>
            <w:gridSpan w:val="3"/>
            <w:shd w:val="clear" w:color="auto" w:fill="CCEEFF"/>
            <w:tcMar>
              <w:top w:w="30" w:type="dxa"/>
              <w:left w:w="20" w:type="dxa"/>
              <w:bottom w:w="30" w:type="dxa"/>
              <w:right w:w="20" w:type="dxa"/>
            </w:tcMar>
            <w:hideMark/>
          </w:tcPr>
          <w:p w:rsidR="00000000" w:rsidRDefault="00613AEB">
            <w:pPr>
              <w:spacing w:after="100"/>
              <w:rPr>
                <w:rFonts w:eastAsia="Times New Roman"/>
              </w:rPr>
            </w:pPr>
            <w:r>
              <w:rPr>
                <w:rFonts w:eastAsia="Times New Roman"/>
                <w:color w:val="000000"/>
                <w:sz w:val="20"/>
                <w:szCs w:val="20"/>
              </w:rPr>
              <w:t>Inventory valuation</w:t>
            </w: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613AEB">
            <w:pPr>
              <w:spacing w:after="100"/>
              <w:rPr>
                <w:rFonts w:eastAsia="Times New Roman"/>
              </w:rPr>
            </w:pPr>
            <w:r>
              <w:rPr>
                <w:rFonts w:eastAsia="Times New Roman"/>
                <w:color w:val="000000"/>
                <w:sz w:val="20"/>
                <w:szCs w:val="20"/>
              </w:rPr>
              <w:t>-</w:t>
            </w:r>
          </w:p>
        </w:tc>
        <w:tc>
          <w:tcPr>
            <w:tcW w:w="0" w:type="auto"/>
            <w:gridSpan w:val="3"/>
            <w:shd w:val="clear" w:color="auto" w:fill="FFFFFF"/>
            <w:tcMar>
              <w:top w:w="30" w:type="dxa"/>
              <w:left w:w="20" w:type="dxa"/>
              <w:bottom w:w="30" w:type="dxa"/>
              <w:right w:w="20" w:type="dxa"/>
            </w:tcMar>
            <w:hideMark/>
          </w:tcPr>
          <w:p w:rsidR="00000000" w:rsidRDefault="00613AEB">
            <w:pPr>
              <w:spacing w:after="100"/>
              <w:rPr>
                <w:rFonts w:eastAsia="Times New Roman"/>
              </w:rPr>
            </w:pPr>
            <w:r>
              <w:rPr>
                <w:rFonts w:eastAsia="Times New Roman"/>
                <w:color w:val="000000"/>
                <w:sz w:val="20"/>
                <w:szCs w:val="20"/>
              </w:rPr>
              <w:t>Self-insurance reserves</w:t>
            </w: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613AEB">
            <w:pPr>
              <w:spacing w:after="100"/>
              <w:rPr>
                <w:rFonts w:eastAsia="Times New Roman"/>
              </w:rPr>
            </w:pPr>
            <w:r>
              <w:rPr>
                <w:rFonts w:eastAsia="Times New Roman"/>
                <w:color w:val="000000"/>
                <w:sz w:val="20"/>
                <w:szCs w:val="20"/>
              </w:rPr>
              <w:t>-</w:t>
            </w:r>
          </w:p>
        </w:tc>
        <w:tc>
          <w:tcPr>
            <w:tcW w:w="0" w:type="auto"/>
            <w:gridSpan w:val="3"/>
            <w:shd w:val="clear" w:color="auto" w:fill="CCEEFF"/>
            <w:tcMar>
              <w:top w:w="30" w:type="dxa"/>
              <w:left w:w="20" w:type="dxa"/>
              <w:bottom w:w="30" w:type="dxa"/>
              <w:right w:w="20" w:type="dxa"/>
            </w:tcMar>
            <w:hideMark/>
          </w:tcPr>
          <w:p w:rsidR="00000000" w:rsidRDefault="00613AEB">
            <w:pPr>
              <w:spacing w:after="100"/>
              <w:rPr>
                <w:rFonts w:eastAsia="Times New Roman"/>
              </w:rPr>
            </w:pPr>
            <w:r>
              <w:rPr>
                <w:rFonts w:eastAsia="Times New Roman"/>
                <w:color w:val="000000"/>
                <w:sz w:val="20"/>
                <w:szCs w:val="20"/>
              </w:rPr>
              <w:t>Impairment of long-lived assets</w:t>
            </w: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613AEB">
            <w:pPr>
              <w:spacing w:after="100"/>
              <w:rPr>
                <w:rFonts w:eastAsia="Times New Roman"/>
              </w:rPr>
            </w:pPr>
            <w:r>
              <w:rPr>
                <w:rFonts w:eastAsia="Times New Roman"/>
                <w:color w:val="000000"/>
                <w:sz w:val="20"/>
                <w:szCs w:val="20"/>
              </w:rPr>
              <w:t>-</w:t>
            </w:r>
          </w:p>
        </w:tc>
        <w:tc>
          <w:tcPr>
            <w:tcW w:w="0" w:type="auto"/>
            <w:gridSpan w:val="3"/>
            <w:shd w:val="clear" w:color="auto" w:fill="FFFFFF"/>
            <w:tcMar>
              <w:top w:w="30" w:type="dxa"/>
              <w:left w:w="20" w:type="dxa"/>
              <w:bottom w:w="30" w:type="dxa"/>
              <w:right w:w="20" w:type="dxa"/>
            </w:tcMar>
            <w:hideMark/>
          </w:tcPr>
          <w:p w:rsidR="00000000" w:rsidRDefault="00613AEB">
            <w:pPr>
              <w:spacing w:after="100"/>
              <w:rPr>
                <w:rFonts w:eastAsia="Times New Roman"/>
              </w:rPr>
            </w:pPr>
            <w:r>
              <w:rPr>
                <w:rFonts w:eastAsia="Times New Roman"/>
                <w:color w:val="000000"/>
                <w:sz w:val="20"/>
                <w:szCs w:val="20"/>
              </w:rPr>
              <w:t>Impairment of goodwill and other indefinite-lived intangible assets</w:t>
            </w:r>
          </w:p>
        </w:tc>
      </w:tr>
    </w:tbl>
    <w:p w:rsidR="00000000" w:rsidRDefault="00613AEB">
      <w:pPr>
        <w:jc w:val="center"/>
        <w:divId w:val="1509980758"/>
        <w:rPr>
          <w:rFonts w:eastAsia="Times New Roman"/>
        </w:rPr>
      </w:pPr>
      <w:r>
        <w:rPr>
          <w:rFonts w:eastAsia="Times New Roman"/>
          <w:color w:val="000000"/>
          <w:sz w:val="20"/>
          <w:szCs w:val="20"/>
        </w:rPr>
        <w:t>Page 25</w:t>
      </w:r>
    </w:p>
    <w:p w:rsidR="00000000" w:rsidRDefault="00613AEB">
      <w:pPr>
        <w:rPr>
          <w:rFonts w:eastAsia="Times New Roman"/>
        </w:rPr>
      </w:pPr>
      <w:r>
        <w:rPr>
          <w:rFonts w:eastAsia="Times New Roman"/>
        </w:rPr>
        <w:pict>
          <v:rect id="_x0000_i1050" style="width:0;height:1.5pt" o:hralign="center" o:hrstd="t" o:hr="t" fillcolor="#a0a0a0" stroked="f"/>
        </w:pict>
      </w:r>
    </w:p>
    <w:p w:rsidR="00000000" w:rsidRDefault="00613AEB">
      <w:pPr>
        <w:divId w:val="1867910380"/>
        <w:rPr>
          <w:rFonts w:eastAsia="Times New Roman"/>
        </w:rPr>
      </w:pPr>
      <w:hyperlink w:anchor="i7b244a6903fc440faaf2365d228fe4ba_7" w:history="1">
        <w:r>
          <w:rPr>
            <w:rStyle w:val="a3"/>
            <w:rFonts w:eastAsia="Times New Roman"/>
            <w:sz w:val="16"/>
            <w:szCs w:val="16"/>
          </w:rPr>
          <w:t>Index</w:t>
        </w:r>
      </w:hyperlink>
    </w:p>
    <w:p w:rsidR="00000000" w:rsidRDefault="00613AEB">
      <w:pPr>
        <w:divId w:val="427435171"/>
        <w:rPr>
          <w:rFonts w:eastAsia="Times New Roman"/>
        </w:rPr>
      </w:pPr>
    </w:p>
    <w:p w:rsidR="00000000" w:rsidRDefault="00613AEB">
      <w:pPr>
        <w:jc w:val="both"/>
        <w:rPr>
          <w:rFonts w:eastAsia="Times New Roman"/>
        </w:rPr>
      </w:pPr>
      <w:r>
        <w:rPr>
          <w:rFonts w:eastAsia="Times New Roman"/>
          <w:color w:val="000000"/>
          <w:sz w:val="20"/>
          <w:szCs w:val="20"/>
        </w:rPr>
        <w:t xml:space="preserve">See the Notes to the Consolidated Financial Statements in our 2021 </w:t>
      </w:r>
      <w:hyperlink r:id="rId12" w:history="1">
        <w:r>
          <w:rPr>
            <w:rStyle w:val="a3"/>
            <w:rFonts w:eastAsia="Times New Roman"/>
            <w:sz w:val="20"/>
            <w:szCs w:val="20"/>
          </w:rPr>
          <w:t>Form 10-K</w:t>
        </w:r>
      </w:hyperlink>
      <w:r>
        <w:rPr>
          <w:rFonts w:eastAsia="Times New Roman"/>
          <w:color w:val="000000"/>
          <w:sz w:val="20"/>
          <w:szCs w:val="20"/>
        </w:rPr>
        <w:t>, for a discussion of the Company’s critical accounting policies.  The Company’s financial position and/or results of operations may be materially different when reported under different conditions or when using different assu</w:t>
      </w:r>
      <w:r>
        <w:rPr>
          <w:rFonts w:eastAsia="Times New Roman"/>
          <w:color w:val="000000"/>
          <w:sz w:val="20"/>
          <w:szCs w:val="20"/>
        </w:rPr>
        <w:t>mptions in the application of such policies.  In the event estimates or assumptions prove to be different from actual amounts, adjustments are made in subsequent periods to reflect more current information. There have been no changes to our significant acc</w:t>
      </w:r>
      <w:r>
        <w:rPr>
          <w:rFonts w:eastAsia="Times New Roman"/>
          <w:color w:val="000000"/>
          <w:sz w:val="20"/>
          <w:szCs w:val="20"/>
        </w:rPr>
        <w:t>ounting policies and estimates as previously disclosed in our 2021 Annual Report on Form 10-K.</w:t>
      </w:r>
    </w:p>
    <w:p w:rsidR="00000000" w:rsidRDefault="00613AEB">
      <w:pPr>
        <w:jc w:val="both"/>
        <w:rPr>
          <w:rFonts w:eastAsia="Times New Roman"/>
        </w:rPr>
      </w:pPr>
    </w:p>
    <w:p w:rsidR="00000000" w:rsidRDefault="00613AEB">
      <w:pPr>
        <w:jc w:val="both"/>
        <w:rPr>
          <w:rFonts w:eastAsia="Times New Roman"/>
        </w:rPr>
      </w:pPr>
      <w:r>
        <w:rPr>
          <w:rFonts w:eastAsia="Times New Roman"/>
          <w:b/>
          <w:bCs/>
          <w:color w:val="000000"/>
          <w:sz w:val="20"/>
          <w:szCs w:val="20"/>
        </w:rPr>
        <w:t>New Accounting Pronouncements    </w:t>
      </w:r>
    </w:p>
    <w:p w:rsidR="00000000" w:rsidRDefault="00613AEB">
      <w:pPr>
        <w:jc w:val="both"/>
        <w:rPr>
          <w:rFonts w:eastAsia="Times New Roman"/>
        </w:rPr>
      </w:pPr>
    </w:p>
    <w:p w:rsidR="00000000" w:rsidRDefault="00613AEB">
      <w:pPr>
        <w:jc w:val="both"/>
        <w:rPr>
          <w:rFonts w:eastAsia="Times New Roman"/>
        </w:rPr>
      </w:pPr>
      <w:r>
        <w:rPr>
          <w:rFonts w:eastAsia="Times New Roman"/>
          <w:color w:val="000000"/>
          <w:sz w:val="20"/>
          <w:szCs w:val="20"/>
        </w:rPr>
        <w:t>For recently adopted accounting pronouncements and recently issued accounting pronouncements not yet adopted as of June 25,</w:t>
      </w:r>
      <w:r>
        <w:rPr>
          <w:rFonts w:eastAsia="Times New Roman"/>
          <w:color w:val="000000"/>
          <w:sz w:val="20"/>
          <w:szCs w:val="20"/>
        </w:rPr>
        <w:t xml:space="preserve"> 2022, refer to </w:t>
      </w:r>
      <w:hyperlink w:anchor="i7b244a6903fc440faaf2365d228fe4ba_34" w:history="1">
        <w:r>
          <w:rPr>
            <w:rStyle w:val="a3"/>
            <w:rFonts w:eastAsia="Times New Roman"/>
            <w:sz w:val="20"/>
            <w:szCs w:val="20"/>
          </w:rPr>
          <w:t>Note 1</w:t>
        </w:r>
      </w:hyperlink>
      <w:r>
        <w:rPr>
          <w:rFonts w:eastAsia="Times New Roman"/>
          <w:color w:val="000000"/>
          <w:sz w:val="20"/>
          <w:szCs w:val="20"/>
        </w:rPr>
        <w:t xml:space="preserve"> to the Condensed Consolidated Financial Statements included under Part I, Item 1 of this Quarterly Report on Form 10-Q.</w:t>
      </w:r>
    </w:p>
    <w:p w:rsidR="00000000" w:rsidRDefault="00613AEB">
      <w:pPr>
        <w:jc w:val="both"/>
        <w:rPr>
          <w:rFonts w:eastAsia="Times New Roman"/>
        </w:rPr>
      </w:pPr>
    </w:p>
    <w:p w:rsidR="00000000" w:rsidRDefault="00613AEB">
      <w:pPr>
        <w:divId w:val="499125745"/>
        <w:rPr>
          <w:rFonts w:eastAsia="Times New Roman"/>
        </w:rPr>
      </w:pPr>
      <w:r>
        <w:rPr>
          <w:rFonts w:eastAsia="Times New Roman"/>
          <w:b/>
          <w:bCs/>
          <w:color w:val="000000"/>
          <w:sz w:val="20"/>
          <w:szCs w:val="20"/>
          <w:u w:val="single"/>
        </w:rPr>
        <w:t>Item 3.  </w:t>
      </w:r>
      <w:r>
        <w:rPr>
          <w:rFonts w:eastAsia="Times New Roman"/>
          <w:b/>
          <w:bCs/>
          <w:color w:val="000000"/>
          <w:sz w:val="20"/>
          <w:szCs w:val="20"/>
          <w:u w:val="single"/>
        </w:rPr>
        <w:t>Quantitative and Qualitative Disclosures About Market Risk</w:t>
      </w:r>
    </w:p>
    <w:p w:rsidR="00000000" w:rsidRDefault="00613AEB">
      <w:pPr>
        <w:divId w:val="1654024515"/>
        <w:rPr>
          <w:rFonts w:eastAsia="Times New Roman"/>
        </w:rPr>
      </w:pPr>
    </w:p>
    <w:p w:rsidR="00000000" w:rsidRDefault="00613AEB">
      <w:pPr>
        <w:jc w:val="both"/>
        <w:rPr>
          <w:rFonts w:eastAsia="Times New Roman"/>
        </w:rPr>
      </w:pPr>
      <w:r>
        <w:rPr>
          <w:rFonts w:eastAsia="Times New Roman"/>
          <w:color w:val="000000"/>
          <w:sz w:val="20"/>
          <w:szCs w:val="20"/>
        </w:rPr>
        <w:t xml:space="preserve">For a description of the Company’s quantitative and qualitative disclosures about market risks, see Part II, Item 7A. "Quantitative and Qualitative Disclosures About Market Risk" included in our </w:t>
      </w:r>
      <w:hyperlink r:id="rId13" w:history="1">
        <w:r>
          <w:rPr>
            <w:rStyle w:val="a3"/>
            <w:rFonts w:eastAsia="Times New Roman"/>
            <w:sz w:val="20"/>
            <w:szCs w:val="20"/>
          </w:rPr>
          <w:t>2021</w:t>
        </w:r>
      </w:hyperlink>
      <w:hyperlink r:id="rId14" w:history="1">
        <w:r>
          <w:rPr>
            <w:rStyle w:val="a3"/>
            <w:rFonts w:eastAsia="Times New Roman"/>
            <w:sz w:val="20"/>
            <w:szCs w:val="20"/>
          </w:rPr>
          <w:t xml:space="preserve"> Form 10-K</w:t>
        </w:r>
      </w:hyperlink>
      <w:r>
        <w:rPr>
          <w:rFonts w:eastAsia="Times New Roman"/>
          <w:color w:val="000000"/>
          <w:sz w:val="20"/>
          <w:szCs w:val="20"/>
        </w:rPr>
        <w:t xml:space="preserve"> for the fiscal year ended December 25, 2021. As of June 25, 2022, there has been no material change in this information. </w:t>
      </w:r>
    </w:p>
    <w:p w:rsidR="00000000" w:rsidRDefault="00613AEB">
      <w:pPr>
        <w:jc w:val="both"/>
        <w:rPr>
          <w:rFonts w:eastAsia="Times New Roman"/>
        </w:rPr>
      </w:pPr>
    </w:p>
    <w:p w:rsidR="00000000" w:rsidRDefault="00613AEB">
      <w:pPr>
        <w:jc w:val="both"/>
        <w:rPr>
          <w:rFonts w:eastAsia="Times New Roman"/>
        </w:rPr>
      </w:pPr>
      <w:r>
        <w:rPr>
          <w:rFonts w:eastAsia="Times New Roman"/>
          <w:b/>
          <w:bCs/>
          <w:color w:val="000000"/>
          <w:sz w:val="20"/>
          <w:szCs w:val="20"/>
          <w:u w:val="single"/>
        </w:rPr>
        <w:t>Item 4.  Cont</w:t>
      </w:r>
      <w:r>
        <w:rPr>
          <w:rFonts w:eastAsia="Times New Roman"/>
          <w:b/>
          <w:bCs/>
          <w:color w:val="000000"/>
          <w:sz w:val="20"/>
          <w:szCs w:val="20"/>
          <w:u w:val="single"/>
        </w:rPr>
        <w:t>rols and Procedures</w:t>
      </w:r>
    </w:p>
    <w:p w:rsidR="00000000" w:rsidRDefault="00613AEB">
      <w:pPr>
        <w:jc w:val="both"/>
        <w:rPr>
          <w:rFonts w:eastAsia="Times New Roman"/>
        </w:rPr>
      </w:pPr>
      <w:r>
        <w:rPr>
          <w:rFonts w:eastAsia="Times New Roman"/>
          <w:color w:val="000000"/>
          <w:sz w:val="20"/>
          <w:szCs w:val="20"/>
        </w:rPr>
        <w:t> </w:t>
      </w:r>
    </w:p>
    <w:p w:rsidR="00000000" w:rsidRDefault="00613AEB">
      <w:pPr>
        <w:jc w:val="both"/>
        <w:rPr>
          <w:rFonts w:eastAsia="Times New Roman"/>
        </w:rPr>
      </w:pPr>
      <w:r>
        <w:rPr>
          <w:rFonts w:eastAsia="Times New Roman"/>
          <w:b/>
          <w:bCs/>
          <w:color w:val="000000"/>
          <w:sz w:val="20"/>
          <w:szCs w:val="20"/>
        </w:rPr>
        <w:t>Disclosure Controls and Procedures</w:t>
      </w:r>
    </w:p>
    <w:p w:rsidR="00000000" w:rsidRDefault="00613AEB">
      <w:pPr>
        <w:divId w:val="1242910852"/>
        <w:rPr>
          <w:rFonts w:eastAsia="Times New Roman"/>
        </w:rPr>
      </w:pPr>
    </w:p>
    <w:p w:rsidR="00000000" w:rsidRDefault="00613AEB">
      <w:pPr>
        <w:jc w:val="both"/>
        <w:rPr>
          <w:rFonts w:eastAsia="Times New Roman"/>
        </w:rPr>
      </w:pPr>
      <w:r>
        <w:rPr>
          <w:rFonts w:eastAsia="Times New Roman"/>
          <w:color w:val="000000"/>
          <w:sz w:val="20"/>
          <w:szCs w:val="20"/>
        </w:rPr>
        <w:t>Our management carried out an evaluation required by the Securities Exchange Act of 1934, as amended (the “1934 Act”), under the supervision and with the participation of our principal executive of</w:t>
      </w:r>
      <w:r>
        <w:rPr>
          <w:rFonts w:eastAsia="Times New Roman"/>
          <w:color w:val="000000"/>
          <w:sz w:val="20"/>
          <w:szCs w:val="20"/>
        </w:rPr>
        <w:t>ficer and principal financial officer, of the effectiveness of our disclosure controls and procedures (as defined in Rule 13a-15(e) and Rule 15d-15(e) under the 1934 Act) as of June 25, 2022.  Based on this evaluation, our principal executive officer and p</w:t>
      </w:r>
      <w:r>
        <w:rPr>
          <w:rFonts w:eastAsia="Times New Roman"/>
          <w:color w:val="000000"/>
          <w:sz w:val="20"/>
          <w:szCs w:val="20"/>
        </w:rPr>
        <w:t>rincipal financial officer concluded that, as of June 25, 2022, our disclosure controls and procedures were effective.</w:t>
      </w:r>
    </w:p>
    <w:p w:rsidR="00000000" w:rsidRDefault="00613AEB">
      <w:pPr>
        <w:jc w:val="both"/>
        <w:rPr>
          <w:rFonts w:eastAsia="Times New Roman"/>
        </w:rPr>
      </w:pPr>
    </w:p>
    <w:p w:rsidR="00000000" w:rsidRDefault="00613AEB">
      <w:pPr>
        <w:jc w:val="both"/>
        <w:rPr>
          <w:rFonts w:eastAsia="Times New Roman"/>
        </w:rPr>
      </w:pPr>
      <w:r>
        <w:rPr>
          <w:rFonts w:eastAsia="Times New Roman"/>
          <w:b/>
          <w:bCs/>
          <w:color w:val="000000"/>
          <w:sz w:val="20"/>
          <w:szCs w:val="20"/>
        </w:rPr>
        <w:t>Internal Control over Financial Reporting</w:t>
      </w:r>
    </w:p>
    <w:p w:rsidR="00000000" w:rsidRDefault="00613AEB">
      <w:pPr>
        <w:divId w:val="1867792627"/>
        <w:rPr>
          <w:rFonts w:eastAsia="Times New Roman"/>
        </w:rPr>
      </w:pPr>
    </w:p>
    <w:p w:rsidR="00000000" w:rsidRDefault="00613AEB">
      <w:pPr>
        <w:jc w:val="both"/>
        <w:rPr>
          <w:rFonts w:eastAsia="Times New Roman"/>
        </w:rPr>
      </w:pPr>
      <w:r>
        <w:rPr>
          <w:rFonts w:eastAsia="Times New Roman"/>
          <w:color w:val="000000"/>
          <w:sz w:val="20"/>
          <w:szCs w:val="20"/>
        </w:rPr>
        <w:t>There were no changes in our internal control over financial reporting that occurred during</w:t>
      </w:r>
      <w:r>
        <w:rPr>
          <w:rFonts w:eastAsia="Times New Roman"/>
          <w:color w:val="000000"/>
          <w:sz w:val="20"/>
          <w:szCs w:val="20"/>
        </w:rPr>
        <w:t xml:space="preserve"> our last fiscal quarter that have materially affected, or are reasonably likely to materially affect, our internal control over financial reporting.</w:t>
      </w:r>
    </w:p>
    <w:p w:rsidR="00000000" w:rsidRDefault="00613AEB">
      <w:pPr>
        <w:jc w:val="both"/>
        <w:rPr>
          <w:rFonts w:eastAsia="Times New Roman"/>
        </w:rPr>
      </w:pPr>
    </w:p>
    <w:p w:rsidR="00000000" w:rsidRDefault="00613AEB">
      <w:pPr>
        <w:jc w:val="center"/>
        <w:divId w:val="1039431322"/>
        <w:rPr>
          <w:rFonts w:eastAsia="Times New Roman"/>
        </w:rPr>
      </w:pPr>
      <w:r>
        <w:rPr>
          <w:rFonts w:eastAsia="Times New Roman"/>
          <w:color w:val="000000"/>
          <w:sz w:val="20"/>
          <w:szCs w:val="20"/>
        </w:rPr>
        <w:t>Page 26</w:t>
      </w:r>
    </w:p>
    <w:p w:rsidR="00000000" w:rsidRDefault="00613AEB">
      <w:pPr>
        <w:rPr>
          <w:rFonts w:eastAsia="Times New Roman"/>
        </w:rPr>
      </w:pPr>
      <w:r>
        <w:rPr>
          <w:rFonts w:eastAsia="Times New Roman"/>
        </w:rPr>
        <w:pict>
          <v:rect id="_x0000_i1051" style="width:0;height:1.5pt" o:hralign="center" o:hrstd="t" o:hr="t" fillcolor="#a0a0a0" stroked="f"/>
        </w:pict>
      </w:r>
    </w:p>
    <w:p w:rsidR="00000000" w:rsidRDefault="00613AEB">
      <w:pPr>
        <w:divId w:val="1672561715"/>
        <w:rPr>
          <w:rFonts w:eastAsia="Times New Roman"/>
        </w:rPr>
      </w:pPr>
      <w:hyperlink w:anchor="i7b244a6903fc440faaf2365d228fe4ba_7" w:history="1">
        <w:r>
          <w:rPr>
            <w:rStyle w:val="a3"/>
            <w:rFonts w:eastAsia="Times New Roman"/>
            <w:sz w:val="16"/>
            <w:szCs w:val="16"/>
          </w:rPr>
          <w:t>In</w:t>
        </w:r>
        <w:r>
          <w:rPr>
            <w:rStyle w:val="a3"/>
            <w:rFonts w:eastAsia="Times New Roman"/>
            <w:sz w:val="16"/>
            <w:szCs w:val="16"/>
          </w:rPr>
          <w:t>dex</w:t>
        </w:r>
      </w:hyperlink>
    </w:p>
    <w:p w:rsidR="00000000" w:rsidRDefault="00613AEB">
      <w:pPr>
        <w:jc w:val="center"/>
        <w:rPr>
          <w:rFonts w:eastAsia="Times New Roman"/>
        </w:rPr>
      </w:pPr>
      <w:r>
        <w:rPr>
          <w:rFonts w:eastAsia="Times New Roman"/>
          <w:b/>
          <w:bCs/>
          <w:color w:val="000000"/>
          <w:sz w:val="20"/>
          <w:szCs w:val="20"/>
          <w:u w:val="single"/>
        </w:rPr>
        <w:t>PART II.  OTHER INFORMATION</w:t>
      </w:r>
    </w:p>
    <w:p w:rsidR="00000000" w:rsidRDefault="00613AEB">
      <w:pPr>
        <w:divId w:val="1203640501"/>
        <w:rPr>
          <w:rFonts w:eastAsia="Times New Roman"/>
        </w:rPr>
      </w:pPr>
    </w:p>
    <w:p w:rsidR="00000000" w:rsidRDefault="00613AEB">
      <w:pPr>
        <w:jc w:val="both"/>
        <w:rPr>
          <w:rFonts w:eastAsia="Times New Roman"/>
        </w:rPr>
      </w:pPr>
      <w:r>
        <w:rPr>
          <w:rFonts w:eastAsia="Times New Roman"/>
          <w:b/>
          <w:bCs/>
          <w:color w:val="000000"/>
          <w:sz w:val="20"/>
          <w:szCs w:val="20"/>
          <w:u w:val="single"/>
        </w:rPr>
        <w:t>Item 1.  Legal Proceedings</w:t>
      </w:r>
    </w:p>
    <w:p w:rsidR="00000000" w:rsidRDefault="00613AEB">
      <w:pPr>
        <w:jc w:val="both"/>
        <w:rPr>
          <w:rFonts w:eastAsia="Times New Roman"/>
        </w:rPr>
      </w:pPr>
    </w:p>
    <w:p w:rsidR="00000000" w:rsidRDefault="00613AEB">
      <w:pPr>
        <w:jc w:val="both"/>
        <w:rPr>
          <w:rFonts w:eastAsia="Times New Roman"/>
        </w:rPr>
      </w:pPr>
      <w:r>
        <w:rPr>
          <w:rFonts w:eastAsia="Times New Roman"/>
          <w:color w:val="000000"/>
          <w:sz w:val="20"/>
          <w:szCs w:val="20"/>
        </w:rPr>
        <w:t xml:space="preserve">For a description of the Company's legal proceedings, refer to </w:t>
      </w:r>
      <w:hyperlink w:anchor="i7b244a6903fc440faaf2365d228fe4ba_58" w:history="1">
        <w:r>
          <w:rPr>
            <w:rStyle w:val="a3"/>
            <w:rFonts w:eastAsia="Times New Roman"/>
            <w:sz w:val="20"/>
            <w:szCs w:val="20"/>
          </w:rPr>
          <w:t>Note 9</w:t>
        </w:r>
      </w:hyperlink>
      <w:r>
        <w:rPr>
          <w:rFonts w:eastAsia="Times New Roman"/>
          <w:color w:val="000000"/>
          <w:sz w:val="20"/>
          <w:szCs w:val="20"/>
        </w:rPr>
        <w:t xml:space="preserve"> to the Condensed Consolidated Financial Statements included unde</w:t>
      </w:r>
      <w:r>
        <w:rPr>
          <w:rFonts w:eastAsia="Times New Roman"/>
          <w:color w:val="000000"/>
          <w:sz w:val="20"/>
          <w:szCs w:val="20"/>
        </w:rPr>
        <w:t>r Part I, Item 1 of this Quarterly Report on Form 10-Q.</w:t>
      </w:r>
    </w:p>
    <w:p w:rsidR="00000000" w:rsidRDefault="00613AEB">
      <w:pPr>
        <w:divId w:val="1749378392"/>
        <w:rPr>
          <w:rFonts w:eastAsia="Times New Roman"/>
        </w:rPr>
      </w:pPr>
    </w:p>
    <w:p w:rsidR="00000000" w:rsidRDefault="00613AEB">
      <w:pPr>
        <w:jc w:val="both"/>
        <w:rPr>
          <w:rFonts w:eastAsia="Times New Roman"/>
        </w:rPr>
      </w:pPr>
      <w:r>
        <w:rPr>
          <w:rFonts w:eastAsia="Times New Roman"/>
          <w:b/>
          <w:bCs/>
          <w:color w:val="000000"/>
          <w:sz w:val="20"/>
          <w:szCs w:val="20"/>
          <w:u w:val="single"/>
        </w:rPr>
        <w:t>Item 1A.  Risk Factors</w:t>
      </w:r>
    </w:p>
    <w:p w:rsidR="00000000" w:rsidRDefault="00613AEB">
      <w:pPr>
        <w:divId w:val="47384954"/>
        <w:rPr>
          <w:rFonts w:eastAsia="Times New Roman"/>
        </w:rPr>
      </w:pPr>
    </w:p>
    <w:p w:rsidR="00000000" w:rsidRDefault="00613AEB">
      <w:pPr>
        <w:jc w:val="both"/>
        <w:rPr>
          <w:rFonts w:eastAsia="Times New Roman"/>
        </w:rPr>
      </w:pPr>
      <w:r>
        <w:rPr>
          <w:rFonts w:eastAsia="Times New Roman"/>
          <w:color w:val="000000"/>
          <w:sz w:val="20"/>
          <w:szCs w:val="20"/>
        </w:rPr>
        <w:t xml:space="preserve">The risk factors described in Part I, Item 1A “Risk Factors” in our 2021 </w:t>
      </w:r>
      <w:hyperlink r:id="rId15" w:history="1">
        <w:r>
          <w:rPr>
            <w:rStyle w:val="a3"/>
            <w:rFonts w:eastAsia="Times New Roman"/>
            <w:sz w:val="20"/>
            <w:szCs w:val="20"/>
          </w:rPr>
          <w:t>Form 10-K</w:t>
        </w:r>
      </w:hyperlink>
      <w:r>
        <w:rPr>
          <w:rFonts w:eastAsia="Times New Roman"/>
          <w:color w:val="000000"/>
          <w:sz w:val="20"/>
          <w:szCs w:val="20"/>
        </w:rPr>
        <w:t xml:space="preserve"> </w:t>
      </w:r>
      <w:r>
        <w:rPr>
          <w:rFonts w:eastAsia="Times New Roman"/>
          <w:color w:val="000000"/>
          <w:sz w:val="20"/>
          <w:szCs w:val="20"/>
        </w:rPr>
        <w:t>should be carefully considered, together with the other information contained or incorporated by reference in this Quarterly Report on Form 10-Q and in our other filings with the SEC, in connection with evaluating the Company, our business, and the forward</w:t>
      </w:r>
      <w:r>
        <w:rPr>
          <w:rFonts w:eastAsia="Times New Roman"/>
          <w:color w:val="000000"/>
          <w:sz w:val="20"/>
          <w:szCs w:val="20"/>
        </w:rPr>
        <w:t xml:space="preserve">-looking statements contained in this Quarterly Report on Form 10-Q. There have been no material changes to our risk factors as previously disclosed in our 2021 </w:t>
      </w:r>
      <w:hyperlink r:id="rId16" w:history="1">
        <w:r>
          <w:rPr>
            <w:rStyle w:val="a3"/>
            <w:rFonts w:eastAsia="Times New Roman"/>
            <w:sz w:val="20"/>
            <w:szCs w:val="20"/>
          </w:rPr>
          <w:t>Form 10-K</w:t>
        </w:r>
      </w:hyperlink>
      <w:r>
        <w:rPr>
          <w:rFonts w:eastAsia="Times New Roman"/>
          <w:color w:val="000000"/>
          <w:sz w:val="20"/>
          <w:szCs w:val="20"/>
        </w:rPr>
        <w:t xml:space="preserve">. Other risks that we do not presently know about or that we presently believe are not material could also adversely affect us. </w:t>
      </w:r>
    </w:p>
    <w:p w:rsidR="00000000" w:rsidRDefault="00613AEB">
      <w:pPr>
        <w:jc w:val="both"/>
        <w:rPr>
          <w:rFonts w:eastAsia="Times New Roman"/>
        </w:rPr>
      </w:pPr>
    </w:p>
    <w:p w:rsidR="00000000" w:rsidRDefault="00613AEB">
      <w:pPr>
        <w:jc w:val="both"/>
        <w:rPr>
          <w:rFonts w:eastAsia="Times New Roman"/>
        </w:rPr>
      </w:pPr>
      <w:r>
        <w:rPr>
          <w:rFonts w:eastAsia="Times New Roman"/>
          <w:b/>
          <w:bCs/>
          <w:color w:val="000000"/>
          <w:sz w:val="20"/>
          <w:szCs w:val="20"/>
          <w:u w:val="single"/>
        </w:rPr>
        <w:t>Item 2.  </w:t>
      </w:r>
      <w:r>
        <w:rPr>
          <w:rFonts w:eastAsia="Times New Roman"/>
          <w:b/>
          <w:bCs/>
          <w:color w:val="000000"/>
          <w:sz w:val="20"/>
          <w:szCs w:val="20"/>
          <w:u w:val="single"/>
        </w:rPr>
        <w:t>Unregistered Sales of Equity Securities and Use of Proceeds</w:t>
      </w:r>
    </w:p>
    <w:p w:rsidR="00000000" w:rsidRDefault="00613AEB">
      <w:pPr>
        <w:divId w:val="162160739"/>
        <w:rPr>
          <w:rFonts w:eastAsia="Times New Roman"/>
        </w:rPr>
      </w:pPr>
    </w:p>
    <w:p w:rsidR="00000000" w:rsidRDefault="00613AEB">
      <w:pPr>
        <w:jc w:val="both"/>
        <w:rPr>
          <w:rFonts w:eastAsia="Times New Roman"/>
        </w:rPr>
      </w:pPr>
      <w:r>
        <w:rPr>
          <w:rFonts w:eastAsia="Times New Roman"/>
          <w:color w:val="000000"/>
          <w:sz w:val="20"/>
          <w:szCs w:val="20"/>
          <w:u w:val="single"/>
        </w:rPr>
        <w:t>Issuer Purchases of Equity Securities</w:t>
      </w:r>
    </w:p>
    <w:p w:rsidR="00000000" w:rsidRDefault="00613AEB">
      <w:pPr>
        <w:divId w:val="1652559695"/>
        <w:rPr>
          <w:rFonts w:eastAsia="Times New Roman"/>
        </w:rPr>
      </w:pPr>
    </w:p>
    <w:p w:rsidR="00000000" w:rsidRDefault="00613AEB">
      <w:pPr>
        <w:jc w:val="both"/>
        <w:rPr>
          <w:rFonts w:eastAsia="Times New Roman"/>
        </w:rPr>
      </w:pPr>
      <w:r>
        <w:rPr>
          <w:rFonts w:eastAsia="Times New Roman"/>
          <w:color w:val="000000"/>
          <w:sz w:val="20"/>
          <w:szCs w:val="20"/>
        </w:rPr>
        <w:t>Share repurchases were made pursuant to the share repurchase program, which is described under Part I, Item 2. "Management’s Discussion and Analysis of Fi</w:t>
      </w:r>
      <w:r>
        <w:rPr>
          <w:rFonts w:eastAsia="Times New Roman"/>
          <w:color w:val="000000"/>
          <w:sz w:val="20"/>
          <w:szCs w:val="20"/>
        </w:rPr>
        <w:t>nancial Condition and Results of Operations" of this Quarterly Report on Form 10-Q. Additionally, the Company withholds shares from vested restricted stock units and performance-based restricted share units to satisfy employees’ minimum statutory tax withh</w:t>
      </w:r>
      <w:r>
        <w:rPr>
          <w:rFonts w:eastAsia="Times New Roman"/>
          <w:color w:val="000000"/>
          <w:sz w:val="20"/>
          <w:szCs w:val="20"/>
        </w:rPr>
        <w:t>olding requirements. Stock repurchase activity during the second quarter of fiscal 2022 was as follows: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45"/>
        <w:gridCol w:w="2545"/>
        <w:gridCol w:w="36"/>
        <w:gridCol w:w="37"/>
        <w:gridCol w:w="170"/>
        <w:gridCol w:w="36"/>
        <w:gridCol w:w="81"/>
        <w:gridCol w:w="851"/>
        <w:gridCol w:w="36"/>
        <w:gridCol w:w="36"/>
        <w:gridCol w:w="36"/>
        <w:gridCol w:w="36"/>
        <w:gridCol w:w="120"/>
        <w:gridCol w:w="649"/>
        <w:gridCol w:w="36"/>
        <w:gridCol w:w="36"/>
        <w:gridCol w:w="36"/>
        <w:gridCol w:w="36"/>
        <w:gridCol w:w="55"/>
        <w:gridCol w:w="1399"/>
        <w:gridCol w:w="36"/>
        <w:gridCol w:w="36"/>
        <w:gridCol w:w="36"/>
        <w:gridCol w:w="36"/>
        <w:gridCol w:w="120"/>
        <w:gridCol w:w="1433"/>
        <w:gridCol w:w="36"/>
        <w:gridCol w:w="36"/>
        <w:gridCol w:w="189"/>
        <w:gridCol w:w="36"/>
      </w:tblGrid>
      <w:tr w:rsidR="00000000">
        <w:trPr>
          <w:jc w:val="center"/>
        </w:trPr>
        <w:tc>
          <w:tcPr>
            <w:tcW w:w="50" w:type="pct"/>
            <w:vAlign w:val="center"/>
            <w:hideMark/>
          </w:tcPr>
          <w:p w:rsidR="00000000" w:rsidRDefault="00613AEB">
            <w:pPr>
              <w:jc w:val="both"/>
              <w:rPr>
                <w:rFonts w:eastAsia="Times New Roman"/>
              </w:rPr>
            </w:pPr>
          </w:p>
        </w:tc>
        <w:tc>
          <w:tcPr>
            <w:tcW w:w="1553"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114"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0" w:type="pct"/>
            <w:vAlign w:val="center"/>
            <w:hideMark/>
          </w:tcPr>
          <w:p w:rsidR="00000000" w:rsidRDefault="00613AEB">
            <w:pPr>
              <w:spacing w:after="100"/>
              <w:rPr>
                <w:rFonts w:eastAsia="Times New Roman"/>
                <w:sz w:val="20"/>
                <w:szCs w:val="20"/>
              </w:rPr>
            </w:pPr>
          </w:p>
        </w:tc>
        <w:tc>
          <w:tcPr>
            <w:tcW w:w="529"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26"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0" w:type="pct"/>
            <w:vAlign w:val="center"/>
            <w:hideMark/>
          </w:tcPr>
          <w:p w:rsidR="00000000" w:rsidRDefault="00613AEB">
            <w:pPr>
              <w:spacing w:after="100"/>
              <w:rPr>
                <w:rFonts w:eastAsia="Times New Roman"/>
                <w:sz w:val="20"/>
                <w:szCs w:val="20"/>
              </w:rPr>
            </w:pPr>
          </w:p>
        </w:tc>
        <w:tc>
          <w:tcPr>
            <w:tcW w:w="471"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26"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0" w:type="pct"/>
            <w:vAlign w:val="center"/>
            <w:hideMark/>
          </w:tcPr>
          <w:p w:rsidR="00000000" w:rsidRDefault="00613AEB">
            <w:pPr>
              <w:spacing w:after="100"/>
              <w:rPr>
                <w:rFonts w:eastAsia="Times New Roman"/>
                <w:sz w:val="20"/>
                <w:szCs w:val="20"/>
              </w:rPr>
            </w:pPr>
          </w:p>
        </w:tc>
        <w:tc>
          <w:tcPr>
            <w:tcW w:w="887"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26"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0" w:type="pct"/>
            <w:vAlign w:val="center"/>
            <w:hideMark/>
          </w:tcPr>
          <w:p w:rsidR="00000000" w:rsidRDefault="00613AEB">
            <w:pPr>
              <w:spacing w:after="100"/>
              <w:rPr>
                <w:rFonts w:eastAsia="Times New Roman"/>
                <w:sz w:val="20"/>
                <w:szCs w:val="20"/>
              </w:rPr>
            </w:pPr>
          </w:p>
        </w:tc>
        <w:tc>
          <w:tcPr>
            <w:tcW w:w="902"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136"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613AEB">
            <w:pPr>
              <w:spacing w:after="100"/>
              <w:jc w:val="center"/>
              <w:rPr>
                <w:rFonts w:eastAsia="Times New Roman"/>
              </w:rPr>
            </w:pPr>
            <w:r>
              <w:rPr>
                <w:rFonts w:eastAsia="Times New Roman"/>
                <w:b/>
                <w:bCs/>
                <w:color w:val="000000"/>
                <w:sz w:val="20"/>
                <w:szCs w:val="20"/>
              </w:rPr>
              <w:t>Period</w:t>
            </w:r>
          </w:p>
        </w:tc>
        <w:tc>
          <w:tcPr>
            <w:tcW w:w="0" w:type="auto"/>
            <w:gridSpan w:val="3"/>
            <w:tcMar>
              <w:top w:w="0" w:type="dxa"/>
              <w:left w:w="20" w:type="dxa"/>
              <w:bottom w:w="0" w:type="dxa"/>
              <w:right w:w="20" w:type="dxa"/>
            </w:tcMar>
            <w:vAlign w:val="center"/>
            <w:hideMark/>
          </w:tcPr>
          <w:p w:rsidR="00000000" w:rsidRDefault="00613AE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13AEB">
            <w:pPr>
              <w:spacing w:after="100"/>
              <w:jc w:val="center"/>
              <w:rPr>
                <w:rFonts w:eastAsia="Times New Roman"/>
              </w:rPr>
            </w:pPr>
            <w:r>
              <w:rPr>
                <w:rFonts w:eastAsia="Times New Roman"/>
                <w:b/>
                <w:bCs/>
                <w:color w:val="000000"/>
                <w:sz w:val="20"/>
                <w:szCs w:val="20"/>
              </w:rPr>
              <w:t>Total Number of Shares Purchased</w:t>
            </w:r>
          </w:p>
        </w:tc>
        <w:tc>
          <w:tcPr>
            <w:tcW w:w="0" w:type="auto"/>
            <w:gridSpan w:val="3"/>
            <w:tcMar>
              <w:top w:w="0" w:type="dxa"/>
              <w:left w:w="20" w:type="dxa"/>
              <w:bottom w:w="0" w:type="dxa"/>
              <w:right w:w="20" w:type="dxa"/>
            </w:tcMar>
            <w:vAlign w:val="center"/>
            <w:hideMark/>
          </w:tcPr>
          <w:p w:rsidR="00000000" w:rsidRDefault="00613AE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13AEB">
            <w:pPr>
              <w:spacing w:after="100"/>
              <w:jc w:val="center"/>
              <w:rPr>
                <w:rFonts w:eastAsia="Times New Roman"/>
              </w:rPr>
            </w:pPr>
            <w:r>
              <w:rPr>
                <w:rFonts w:eastAsia="Times New Roman"/>
                <w:b/>
                <w:bCs/>
                <w:color w:val="000000"/>
                <w:sz w:val="20"/>
                <w:szCs w:val="20"/>
              </w:rPr>
              <w:t>Average</w:t>
            </w:r>
            <w:r>
              <w:rPr>
                <w:rFonts w:eastAsia="Times New Roman"/>
                <w:b/>
                <w:bCs/>
                <w:color w:val="000000"/>
                <w:sz w:val="20"/>
                <w:szCs w:val="20"/>
              </w:rPr>
              <w:br/>
              <w:t>Price Paid</w:t>
            </w:r>
            <w:r>
              <w:rPr>
                <w:rFonts w:eastAsia="Times New Roman"/>
                <w:b/>
                <w:bCs/>
                <w:color w:val="000000"/>
                <w:sz w:val="20"/>
                <w:szCs w:val="20"/>
              </w:rPr>
              <w:br/>
              <w:t>Per Share</w:t>
            </w:r>
          </w:p>
        </w:tc>
        <w:tc>
          <w:tcPr>
            <w:tcW w:w="0" w:type="auto"/>
            <w:gridSpan w:val="3"/>
            <w:tcMar>
              <w:top w:w="0" w:type="dxa"/>
              <w:left w:w="20" w:type="dxa"/>
              <w:bottom w:w="0" w:type="dxa"/>
              <w:right w:w="20" w:type="dxa"/>
            </w:tcMar>
            <w:vAlign w:val="center"/>
            <w:hideMark/>
          </w:tcPr>
          <w:p w:rsidR="00000000" w:rsidRDefault="00613AE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13AEB">
            <w:pPr>
              <w:spacing w:after="100"/>
              <w:jc w:val="center"/>
              <w:rPr>
                <w:rFonts w:eastAsia="Times New Roman"/>
              </w:rPr>
            </w:pPr>
            <w:r>
              <w:rPr>
                <w:rFonts w:eastAsia="Times New Roman"/>
                <w:b/>
                <w:bCs/>
                <w:color w:val="000000"/>
                <w:sz w:val="20"/>
                <w:szCs w:val="20"/>
              </w:rPr>
              <w:t>Total Number of Shares Purchased as Part of Publicly Announced Plans or Programs</w:t>
            </w:r>
          </w:p>
        </w:tc>
        <w:tc>
          <w:tcPr>
            <w:tcW w:w="0" w:type="auto"/>
            <w:gridSpan w:val="3"/>
            <w:tcMar>
              <w:top w:w="0" w:type="dxa"/>
              <w:left w:w="20" w:type="dxa"/>
              <w:bottom w:w="0" w:type="dxa"/>
              <w:right w:w="20" w:type="dxa"/>
            </w:tcMar>
            <w:vAlign w:val="center"/>
            <w:hideMark/>
          </w:tcPr>
          <w:p w:rsidR="00000000" w:rsidRDefault="00613AEB">
            <w:pPr>
              <w:spacing w:after="100"/>
              <w:jc w:val="center"/>
              <w:rPr>
                <w:rFonts w:eastAsia="Times New Roman"/>
              </w:rPr>
            </w:pPr>
          </w:p>
        </w:tc>
        <w:tc>
          <w:tcPr>
            <w:tcW w:w="0" w:type="auto"/>
            <w:gridSpan w:val="6"/>
            <w:tcMar>
              <w:top w:w="30" w:type="dxa"/>
              <w:left w:w="20" w:type="dxa"/>
              <w:bottom w:w="30" w:type="dxa"/>
              <w:right w:w="20" w:type="dxa"/>
            </w:tcMar>
            <w:vAlign w:val="bottom"/>
            <w:hideMark/>
          </w:tcPr>
          <w:p w:rsidR="00000000" w:rsidRDefault="00613AEB">
            <w:pPr>
              <w:spacing w:after="100"/>
              <w:jc w:val="center"/>
              <w:rPr>
                <w:rFonts w:eastAsia="Times New Roman"/>
              </w:rPr>
            </w:pPr>
            <w:r>
              <w:rPr>
                <w:rFonts w:eastAsia="Times New Roman"/>
                <w:b/>
                <w:bCs/>
                <w:color w:val="000000"/>
                <w:sz w:val="20"/>
                <w:szCs w:val="20"/>
              </w:rPr>
              <w:t>Maximum Dollar</w:t>
            </w:r>
          </w:p>
          <w:p w:rsidR="00000000" w:rsidRDefault="00613AEB">
            <w:pPr>
              <w:spacing w:after="100"/>
              <w:jc w:val="center"/>
              <w:rPr>
                <w:rFonts w:eastAsia="Times New Roman"/>
              </w:rPr>
            </w:pPr>
            <w:r>
              <w:rPr>
                <w:rFonts w:eastAsia="Times New Roman"/>
                <w:b/>
                <w:bCs/>
                <w:color w:val="000000"/>
                <w:sz w:val="20"/>
                <w:szCs w:val="20"/>
              </w:rPr>
              <w:t>Value of Shares That May Yet Be Purchased Under the Plans or Programs</w:t>
            </w:r>
            <w:r>
              <w:rPr>
                <w:rFonts w:eastAsia="Times New Roman"/>
                <w:b/>
                <w:bCs/>
                <w:color w:val="000000"/>
                <w:sz w:val="20"/>
                <w:szCs w:val="20"/>
              </w:rPr>
              <w:t xml:space="preserve"> </w:t>
            </w:r>
            <w:r>
              <w:rPr>
                <w:rFonts w:eastAsia="Times New Roman"/>
                <w:b/>
                <w:bCs/>
                <w:color w:val="000000"/>
                <w:sz w:val="13"/>
                <w:szCs w:val="13"/>
              </w:rPr>
              <w:t>(b</w:t>
            </w:r>
            <w:r>
              <w:rPr>
                <w:rFonts w:eastAsia="Times New Roman"/>
                <w:b/>
                <w:bCs/>
                <w:color w:val="000000"/>
                <w:sz w:val="13"/>
                <w:szCs w:val="13"/>
              </w:rPr>
              <w:t>)</w:t>
            </w:r>
          </w:p>
        </w:tc>
      </w:tr>
      <w:tr w:rsidR="00000000">
        <w:trPr>
          <w:jc w:val="center"/>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March 27, 2022 - April 23, 2022</w:t>
            </w:r>
          </w:p>
        </w:tc>
        <w:tc>
          <w:tcPr>
            <w:tcW w:w="0" w:type="auto"/>
            <w:gridSpan w:val="3"/>
            <w:shd w:val="clear" w:color="auto" w:fill="CCEEFF"/>
            <w:tcMar>
              <w:top w:w="30" w:type="dxa"/>
              <w:left w:w="20" w:type="dxa"/>
              <w:bottom w:w="30" w:type="dxa"/>
              <w:right w:w="20" w:type="dxa"/>
            </w:tcMar>
            <w:vAlign w:val="bottom"/>
            <w:hideMark/>
          </w:tcPr>
          <w:p w:rsidR="00000000" w:rsidRDefault="00613AEB">
            <w:pPr>
              <w:spacing w:after="100"/>
              <w:divId w:val="1395735926"/>
              <w:rPr>
                <w:rFonts w:eastAsia="Times New Roman"/>
              </w:rPr>
            </w:pPr>
            <w:r>
              <w:rPr>
                <w:rFonts w:eastAsia="Times New Roman"/>
                <w:color w:val="000000"/>
                <w:sz w:val="13"/>
                <w:szCs w:val="13"/>
              </w:rPr>
              <w:t>(a</w:t>
            </w:r>
            <w:r>
              <w:rPr>
                <w:rFonts w:eastAsia="Times New Roman"/>
                <w:color w:val="000000"/>
                <w:sz w:val="13"/>
                <w:szCs w:val="13"/>
              </w:rPr>
              <w: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210,062 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225.99 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209,900 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2,001,425,001 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April 24, 2022 - May 21, 2022</w:t>
            </w:r>
          </w:p>
        </w:tc>
        <w:tc>
          <w:tcPr>
            <w:tcW w:w="0" w:type="auto"/>
            <w:gridSpan w:val="3"/>
            <w:shd w:val="clear" w:color="auto" w:fill="FFFFFF"/>
            <w:tcMar>
              <w:top w:w="30" w:type="dxa"/>
              <w:left w:w="20" w:type="dxa"/>
              <w:bottom w:w="30" w:type="dxa"/>
              <w:right w:w="20" w:type="dxa"/>
            </w:tcMar>
            <w:vAlign w:val="bottom"/>
            <w:hideMark/>
          </w:tcPr>
          <w:p w:rsidR="00000000" w:rsidRDefault="00613AEB">
            <w:pPr>
              <w:spacing w:after="100"/>
              <w:divId w:val="1676835806"/>
              <w:rPr>
                <w:rFonts w:eastAsia="Times New Roman"/>
              </w:rPr>
            </w:pPr>
            <w:r>
              <w:rPr>
                <w:rFonts w:eastAsia="Times New Roman"/>
                <w:color w:val="000000"/>
                <w:sz w:val="13"/>
                <w:szCs w:val="13"/>
              </w:rPr>
              <w:t>(a</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486,001 </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198.17 </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484,505 </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1,905,432,201 </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May 22, 2022 - June 25, 2022</w:t>
            </w:r>
          </w:p>
        </w:tc>
        <w:tc>
          <w:tcPr>
            <w:tcW w:w="0" w:type="auto"/>
            <w:gridSpan w:val="3"/>
            <w:shd w:val="clear" w:color="auto" w:fill="CCEEFF"/>
            <w:tcMar>
              <w:top w:w="30" w:type="dxa"/>
              <w:left w:w="20" w:type="dxa"/>
              <w:bottom w:w="30" w:type="dxa"/>
              <w:right w:w="20" w:type="dxa"/>
            </w:tcMar>
            <w:vAlign w:val="bottom"/>
            <w:hideMark/>
          </w:tcPr>
          <w:p w:rsidR="00000000" w:rsidRDefault="00613AEB">
            <w:pPr>
              <w:spacing w:after="100"/>
              <w:divId w:val="663360103"/>
              <w:rPr>
                <w:rFonts w:eastAsia="Times New Roman"/>
              </w:rPr>
            </w:pPr>
            <w:r>
              <w:rPr>
                <w:rFonts w:eastAsia="Times New Roman"/>
                <w:color w:val="000000"/>
                <w:sz w:val="13"/>
                <w:szCs w:val="13"/>
              </w:rPr>
              <w:t>(a</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251,731 </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181.37 </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247,226 </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1,860,662,810 </w:t>
            </w:r>
          </w:p>
        </w:tc>
        <w:tc>
          <w:tcPr>
            <w:tcW w:w="0" w:type="auto"/>
            <w:shd w:val="clear" w:color="auto" w:fill="CCEE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613AEB">
            <w:pPr>
              <w:spacing w:after="100"/>
              <w:rPr>
                <w:rFonts w:eastAsia="Times New Roman"/>
              </w:rPr>
            </w:pPr>
            <w:r>
              <w:rPr>
                <w:rFonts w:eastAsia="Times New Roman"/>
                <w:color w:val="000000"/>
                <w:sz w:val="20"/>
                <w:szCs w:val="20"/>
              </w:rPr>
              <w:t>Total</w:t>
            </w: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947,794 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199.87 </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941,631 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13AE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13AEB">
            <w:pPr>
              <w:spacing w:after="100"/>
              <w:jc w:val="right"/>
              <w:rPr>
                <w:rFonts w:eastAsia="Times New Roman"/>
              </w:rPr>
            </w:pPr>
            <w:r>
              <w:rPr>
                <w:rFonts w:eastAsia="Times New Roman"/>
                <w:color w:val="000000"/>
                <w:sz w:val="20"/>
                <w:szCs w:val="20"/>
              </w:rPr>
              <w:t>1,860,662,810 </w:t>
            </w:r>
          </w:p>
        </w:tc>
        <w:tc>
          <w:tcPr>
            <w:tcW w:w="0" w:type="auto"/>
            <w:shd w:val="clear" w:color="auto" w:fill="FFFFFF"/>
            <w:tcMar>
              <w:top w:w="30" w:type="dxa"/>
              <w:left w:w="0" w:type="dxa"/>
              <w:bottom w:w="30" w:type="dxa"/>
              <w:right w:w="20" w:type="dxa"/>
            </w:tcMar>
            <w:vAlign w:val="bottom"/>
            <w:hideMark/>
          </w:tcPr>
          <w:p w:rsidR="00000000" w:rsidRDefault="00613AE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jc w:val="right"/>
              <w:rPr>
                <w:rFonts w:eastAsia="Times New Roman"/>
                <w:sz w:val="20"/>
                <w:szCs w:val="20"/>
              </w:rPr>
            </w:pPr>
          </w:p>
        </w:tc>
      </w:tr>
      <w:tr w:rsidR="00000000">
        <w:trPr>
          <w:trHeight w:val="100"/>
          <w:jc w:val="center"/>
        </w:trPr>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3AEB">
            <w:pPr>
              <w:spacing w:after="100"/>
              <w:rPr>
                <w:rFonts w:eastAsia="Times New Roman"/>
                <w:sz w:val="20"/>
                <w:szCs w:val="20"/>
              </w:rPr>
            </w:pPr>
          </w:p>
        </w:tc>
      </w:tr>
    </w:tbl>
    <w:p w:rsidR="00000000" w:rsidRDefault="00613AEB">
      <w:pPr>
        <w:ind w:hanging="270"/>
        <w:jc w:val="both"/>
        <w:rPr>
          <w:rFonts w:eastAsia="Times New Roman"/>
        </w:rPr>
      </w:pPr>
      <w:r>
        <w:rPr>
          <w:rFonts w:eastAsia="Times New Roman"/>
          <w:color w:val="000000"/>
          <w:sz w:val="16"/>
          <w:szCs w:val="16"/>
        </w:rPr>
        <w:t>(a) The number of shares purchased and average price paid per share includes 162, 1,496, and 4,505 shares withheld fro</w:t>
      </w:r>
      <w:r>
        <w:rPr>
          <w:rFonts w:eastAsia="Times New Roman"/>
          <w:color w:val="000000"/>
          <w:sz w:val="16"/>
          <w:szCs w:val="16"/>
        </w:rPr>
        <w:t>m vested stock awards to satisfy employees’ minimum statutory tax withholding requirements for the period of March 27, 2022 - April 23, 2022, April 24, 2022 - May 21, 2022, and May 22, 2022 - June 25, 2022, respectively.</w:t>
      </w:r>
    </w:p>
    <w:p w:rsidR="00000000" w:rsidRDefault="00613AEB">
      <w:pPr>
        <w:ind w:hanging="270"/>
        <w:jc w:val="both"/>
        <w:rPr>
          <w:rFonts w:eastAsia="Times New Roman"/>
        </w:rPr>
      </w:pPr>
      <w:r>
        <w:rPr>
          <w:rFonts w:eastAsia="Times New Roman"/>
          <w:color w:val="000000"/>
          <w:sz w:val="16"/>
          <w:szCs w:val="16"/>
        </w:rPr>
        <w:t>(b) On January 26, 2022 the Board o</w:t>
      </w:r>
      <w:r>
        <w:rPr>
          <w:rFonts w:eastAsia="Times New Roman"/>
          <w:color w:val="000000"/>
          <w:sz w:val="16"/>
          <w:szCs w:val="16"/>
        </w:rPr>
        <w:t>f Directors authorized a $2.0 billion increase to its existing share repurchase program, bringing the total amount authorized to date under the program to $6.5 billion. The share repurchase program does not have an expiration date. The repurchases may be m</w:t>
      </w:r>
      <w:r>
        <w:rPr>
          <w:rFonts w:eastAsia="Times New Roman"/>
          <w:color w:val="000000"/>
          <w:sz w:val="16"/>
          <w:szCs w:val="16"/>
        </w:rPr>
        <w:t>ade from time to time on the open market or in privately negotiated transactions.</w:t>
      </w:r>
    </w:p>
    <w:p w:rsidR="00000000" w:rsidRDefault="00613AEB">
      <w:pPr>
        <w:ind w:hanging="270"/>
        <w:jc w:val="both"/>
        <w:rPr>
          <w:rFonts w:eastAsia="Times New Roman"/>
        </w:rPr>
      </w:pPr>
    </w:p>
    <w:p w:rsidR="00000000" w:rsidRDefault="00613AEB">
      <w:pPr>
        <w:jc w:val="both"/>
        <w:rPr>
          <w:rFonts w:eastAsia="Times New Roman"/>
        </w:rPr>
      </w:pPr>
      <w:r>
        <w:rPr>
          <w:rFonts w:eastAsia="Times New Roman"/>
          <w:color w:val="000000"/>
          <w:sz w:val="20"/>
          <w:szCs w:val="20"/>
        </w:rPr>
        <w:t>We expect to implement the balance of the share repurchase program through purchases made from time to time either in the open market or through private transactions, in ac</w:t>
      </w:r>
      <w:r>
        <w:rPr>
          <w:rFonts w:eastAsia="Times New Roman"/>
          <w:color w:val="000000"/>
          <w:sz w:val="20"/>
          <w:szCs w:val="20"/>
        </w:rPr>
        <w:t>cordance with regulations of the SEC and other applicable legal requirements. The timing and amount of any common stock repurchased under the program will depend on a variety of factors including price, corporate and regulatory requirements, capital availa</w:t>
      </w:r>
      <w:r>
        <w:rPr>
          <w:rFonts w:eastAsia="Times New Roman"/>
          <w:color w:val="000000"/>
          <w:sz w:val="20"/>
          <w:szCs w:val="20"/>
        </w:rPr>
        <w:t>bility, and other market conditions.</w:t>
      </w:r>
    </w:p>
    <w:p w:rsidR="00000000" w:rsidRDefault="00613AEB">
      <w:pPr>
        <w:jc w:val="both"/>
        <w:rPr>
          <w:rFonts w:eastAsia="Times New Roman"/>
        </w:rPr>
      </w:pPr>
      <w:r>
        <w:rPr>
          <w:rFonts w:eastAsia="Times New Roman"/>
          <w:color w:val="000000"/>
          <w:sz w:val="20"/>
          <w:szCs w:val="20"/>
        </w:rPr>
        <w:t>Any additional share repurchase programs will be subject to the discretion of our Board of Directors and will depend upon earnings, financial condition, and capital needs of the Company, along with any other factors whi</w:t>
      </w:r>
      <w:r>
        <w:rPr>
          <w:rFonts w:eastAsia="Times New Roman"/>
          <w:color w:val="000000"/>
          <w:sz w:val="20"/>
          <w:szCs w:val="20"/>
        </w:rPr>
        <w:t>ch the Board of Directors deem relevant. The program may be limited, temporarily paused, or terminated at any time, without prior notice.</w:t>
      </w:r>
    </w:p>
    <w:p w:rsidR="00000000" w:rsidRDefault="00613AEB">
      <w:pPr>
        <w:divId w:val="2085910336"/>
        <w:rPr>
          <w:rFonts w:eastAsia="Times New Roman"/>
        </w:rPr>
      </w:pPr>
    </w:p>
    <w:p w:rsidR="00000000" w:rsidRDefault="00613AEB">
      <w:pPr>
        <w:jc w:val="both"/>
        <w:rPr>
          <w:rFonts w:eastAsia="Times New Roman"/>
        </w:rPr>
      </w:pPr>
      <w:r>
        <w:rPr>
          <w:rFonts w:eastAsia="Times New Roman"/>
          <w:b/>
          <w:bCs/>
          <w:color w:val="000000"/>
          <w:sz w:val="20"/>
          <w:szCs w:val="20"/>
          <w:u w:val="single"/>
        </w:rPr>
        <w:t>Item 3.  Defaults Upon Senior Securities</w:t>
      </w:r>
    </w:p>
    <w:p w:rsidR="00000000" w:rsidRDefault="00613AEB">
      <w:pPr>
        <w:divId w:val="123931648"/>
        <w:rPr>
          <w:rFonts w:eastAsia="Times New Roman"/>
        </w:rPr>
      </w:pPr>
    </w:p>
    <w:p w:rsidR="00000000" w:rsidRDefault="00613AEB">
      <w:pPr>
        <w:divId w:val="1963344568"/>
        <w:rPr>
          <w:rFonts w:eastAsia="Times New Roman"/>
        </w:rPr>
      </w:pPr>
      <w:r>
        <w:rPr>
          <w:rFonts w:eastAsia="Times New Roman"/>
          <w:color w:val="000000"/>
          <w:sz w:val="20"/>
          <w:szCs w:val="20"/>
        </w:rPr>
        <w:t>None.</w:t>
      </w:r>
    </w:p>
    <w:p w:rsidR="00000000" w:rsidRDefault="00613AEB">
      <w:pPr>
        <w:divId w:val="590819658"/>
        <w:rPr>
          <w:rFonts w:eastAsia="Times New Roman"/>
        </w:rPr>
      </w:pPr>
    </w:p>
    <w:p w:rsidR="00000000" w:rsidRDefault="00613AEB">
      <w:pPr>
        <w:jc w:val="both"/>
        <w:rPr>
          <w:rFonts w:eastAsia="Times New Roman"/>
        </w:rPr>
      </w:pPr>
      <w:r>
        <w:rPr>
          <w:rFonts w:eastAsia="Times New Roman"/>
          <w:b/>
          <w:bCs/>
          <w:color w:val="000000"/>
          <w:sz w:val="20"/>
          <w:szCs w:val="20"/>
          <w:u w:val="single"/>
        </w:rPr>
        <w:t>Item 4.  Mine Safety Disclosures</w:t>
      </w:r>
    </w:p>
    <w:p w:rsidR="00000000" w:rsidRDefault="00613AEB">
      <w:pPr>
        <w:divId w:val="2038772334"/>
        <w:rPr>
          <w:rFonts w:eastAsia="Times New Roman"/>
        </w:rPr>
      </w:pPr>
    </w:p>
    <w:p w:rsidR="00000000" w:rsidRDefault="00613AEB">
      <w:pPr>
        <w:divId w:val="1251550163"/>
        <w:rPr>
          <w:rFonts w:eastAsia="Times New Roman"/>
        </w:rPr>
      </w:pPr>
      <w:r>
        <w:rPr>
          <w:rFonts w:eastAsia="Times New Roman"/>
          <w:color w:val="000000"/>
          <w:sz w:val="20"/>
          <w:szCs w:val="20"/>
        </w:rPr>
        <w:t>Not applicable.</w:t>
      </w:r>
    </w:p>
    <w:p w:rsidR="00000000" w:rsidRDefault="00613AEB">
      <w:pPr>
        <w:divId w:val="1856845990"/>
        <w:rPr>
          <w:rFonts w:eastAsia="Times New Roman"/>
        </w:rPr>
      </w:pPr>
    </w:p>
    <w:p w:rsidR="00000000" w:rsidRDefault="00613AEB">
      <w:pPr>
        <w:jc w:val="center"/>
        <w:divId w:val="1405645877"/>
        <w:rPr>
          <w:rFonts w:eastAsia="Times New Roman"/>
        </w:rPr>
      </w:pPr>
      <w:r>
        <w:rPr>
          <w:rFonts w:eastAsia="Times New Roman"/>
          <w:color w:val="000000"/>
          <w:sz w:val="20"/>
          <w:szCs w:val="20"/>
        </w:rPr>
        <w:t>Page 27</w:t>
      </w:r>
    </w:p>
    <w:p w:rsidR="00000000" w:rsidRDefault="00613AEB">
      <w:pPr>
        <w:rPr>
          <w:rFonts w:eastAsia="Times New Roman"/>
        </w:rPr>
      </w:pPr>
      <w:r>
        <w:rPr>
          <w:rFonts w:eastAsia="Times New Roman"/>
        </w:rPr>
        <w:pict>
          <v:rect id="_x0000_i1052" style="width:0;height:1.5pt" o:hralign="center" o:hrstd="t" o:hr="t" fillcolor="#a0a0a0" stroked="f"/>
        </w:pict>
      </w:r>
    </w:p>
    <w:p w:rsidR="00000000" w:rsidRDefault="00613AEB">
      <w:pPr>
        <w:divId w:val="652179739"/>
        <w:rPr>
          <w:rFonts w:eastAsia="Times New Roman"/>
        </w:rPr>
      </w:pPr>
      <w:hyperlink w:anchor="i7b244a6903fc440faaf2365d228fe4ba_7" w:history="1">
        <w:r>
          <w:rPr>
            <w:rStyle w:val="a3"/>
            <w:rFonts w:eastAsia="Times New Roman"/>
            <w:sz w:val="16"/>
            <w:szCs w:val="16"/>
          </w:rPr>
          <w:t>Index</w:t>
        </w:r>
      </w:hyperlink>
    </w:p>
    <w:p w:rsidR="00000000" w:rsidRDefault="00613AEB">
      <w:pPr>
        <w:jc w:val="both"/>
        <w:rPr>
          <w:rFonts w:eastAsia="Times New Roman"/>
        </w:rPr>
      </w:pPr>
      <w:r>
        <w:rPr>
          <w:rFonts w:eastAsia="Times New Roman"/>
          <w:b/>
          <w:bCs/>
          <w:color w:val="000000"/>
          <w:sz w:val="20"/>
          <w:szCs w:val="20"/>
          <w:u w:val="single"/>
        </w:rPr>
        <w:t>Item 5.  Other Information</w:t>
      </w:r>
    </w:p>
    <w:p w:rsidR="00000000" w:rsidRDefault="00613AEB">
      <w:pPr>
        <w:divId w:val="785929177"/>
        <w:rPr>
          <w:rFonts w:eastAsia="Times New Roman"/>
        </w:rPr>
      </w:pPr>
    </w:p>
    <w:p w:rsidR="00000000" w:rsidRDefault="00613AEB">
      <w:pPr>
        <w:divId w:val="1578662124"/>
        <w:rPr>
          <w:rFonts w:eastAsia="Times New Roman"/>
        </w:rPr>
      </w:pPr>
      <w:r>
        <w:rPr>
          <w:rFonts w:eastAsia="Times New Roman"/>
          <w:color w:val="000000"/>
          <w:sz w:val="20"/>
          <w:szCs w:val="20"/>
        </w:rPr>
        <w:t>None.</w:t>
      </w:r>
    </w:p>
    <w:p w:rsidR="00000000" w:rsidRDefault="00613AEB">
      <w:pPr>
        <w:jc w:val="center"/>
        <w:divId w:val="263655804"/>
        <w:rPr>
          <w:rFonts w:eastAsia="Times New Roman"/>
        </w:rPr>
      </w:pPr>
      <w:r>
        <w:rPr>
          <w:rFonts w:eastAsia="Times New Roman"/>
          <w:color w:val="000000"/>
          <w:sz w:val="20"/>
          <w:szCs w:val="20"/>
        </w:rPr>
        <w:t>Page 28</w:t>
      </w:r>
    </w:p>
    <w:p w:rsidR="00000000" w:rsidRDefault="00613AEB">
      <w:pPr>
        <w:rPr>
          <w:rFonts w:eastAsia="Times New Roman"/>
        </w:rPr>
      </w:pPr>
      <w:r>
        <w:rPr>
          <w:rFonts w:eastAsia="Times New Roman"/>
        </w:rPr>
        <w:pict>
          <v:rect id="_x0000_i1053" style="width:0;height:1.5pt" o:hralign="center" o:hrstd="t" o:hr="t" fillcolor="#a0a0a0" stroked="f"/>
        </w:pict>
      </w:r>
    </w:p>
    <w:p w:rsidR="00000000" w:rsidRDefault="00613AEB">
      <w:pPr>
        <w:divId w:val="191312394"/>
        <w:rPr>
          <w:rFonts w:eastAsia="Times New Roman"/>
        </w:rPr>
      </w:pPr>
      <w:hyperlink w:anchor="i7b244a6903fc440faaf2365d228fe4ba_7" w:history="1">
        <w:r>
          <w:rPr>
            <w:rStyle w:val="a3"/>
            <w:rFonts w:eastAsia="Times New Roman"/>
            <w:sz w:val="16"/>
            <w:szCs w:val="16"/>
          </w:rPr>
          <w:t>Index</w:t>
        </w:r>
      </w:hyperlink>
    </w:p>
    <w:p w:rsidR="00000000" w:rsidRDefault="00613AEB">
      <w:pPr>
        <w:jc w:val="both"/>
        <w:rPr>
          <w:rFonts w:eastAsia="Times New Roman"/>
        </w:rPr>
      </w:pPr>
      <w:r>
        <w:rPr>
          <w:rFonts w:eastAsia="Times New Roman"/>
          <w:b/>
          <w:bCs/>
          <w:color w:val="000000"/>
          <w:sz w:val="20"/>
          <w:szCs w:val="20"/>
          <w:u w:val="single"/>
        </w:rPr>
        <w:t>Item</w:t>
      </w:r>
      <w:r>
        <w:rPr>
          <w:rFonts w:eastAsia="Times New Roman"/>
          <w:b/>
          <w:bCs/>
          <w:color w:val="000000"/>
          <w:sz w:val="20"/>
          <w:szCs w:val="20"/>
          <w:u w:val="single"/>
        </w:rPr>
        <w:t xml:space="preserve"> 6.  Exhibits</w:t>
      </w:r>
    </w:p>
    <w:p w:rsidR="00000000" w:rsidRDefault="00613AEB">
      <w:pPr>
        <w:jc w:val="both"/>
        <w:rPr>
          <w:rFonts w:eastAsia="Times New Roman"/>
        </w:rPr>
      </w:pPr>
    </w:p>
    <w:p w:rsidR="00000000" w:rsidRDefault="00613AEB">
      <w:pPr>
        <w:jc w:val="both"/>
        <w:rPr>
          <w:rFonts w:eastAsia="Times New Roman"/>
        </w:rPr>
      </w:pPr>
      <w:r>
        <w:rPr>
          <w:rFonts w:eastAsia="Times New Roman"/>
          <w:color w:val="000000"/>
          <w:sz w:val="20"/>
          <w:szCs w:val="20"/>
          <w:u w:val="single"/>
        </w:rPr>
        <w:t>Exhibit</w:t>
      </w:r>
    </w:p>
    <w:p w:rsidR="00000000" w:rsidRDefault="00613AEB">
      <w:pPr>
        <w:ind w:hanging="1440"/>
        <w:jc w:val="both"/>
        <w:rPr>
          <w:rFonts w:eastAsia="Times New Roman"/>
        </w:rPr>
      </w:pPr>
    </w:p>
    <w:p w:rsidR="00000000" w:rsidRDefault="00613AEB">
      <w:pPr>
        <w:ind w:hanging="1440"/>
        <w:jc w:val="both"/>
        <w:rPr>
          <w:rFonts w:eastAsia="Times New Roman"/>
        </w:rPr>
      </w:pPr>
      <w:r>
        <w:rPr>
          <w:rFonts w:eastAsia="Times New Roman"/>
          <w:color w:val="000000"/>
          <w:sz w:val="20"/>
          <w:szCs w:val="20"/>
        </w:rPr>
        <w:t>31.1*   </w:t>
      </w:r>
      <w:r>
        <w:rPr>
          <w:rFonts w:eastAsia="Times New Roman"/>
          <w:color w:val="000000"/>
          <w:sz w:val="20"/>
          <w:szCs w:val="20"/>
        </w:rPr>
        <w:t> </w:t>
      </w:r>
      <w:hyperlink r:id="rId17" w:history="1">
        <w:r>
          <w:rPr>
            <w:rStyle w:val="a3"/>
            <w:rFonts w:eastAsia="Times New Roman"/>
            <w:sz w:val="20"/>
            <w:szCs w:val="20"/>
          </w:rPr>
          <w:t>Certification of Chief Executive Officer under Section 302 of the Sarbanes-Oxley Act of 2002.</w:t>
        </w:r>
      </w:hyperlink>
    </w:p>
    <w:p w:rsidR="00000000" w:rsidRDefault="00613AEB">
      <w:pPr>
        <w:ind w:hanging="1440"/>
        <w:jc w:val="both"/>
        <w:rPr>
          <w:rFonts w:eastAsia="Times New Roman"/>
        </w:rPr>
      </w:pPr>
    </w:p>
    <w:p w:rsidR="00000000" w:rsidRDefault="00613AEB">
      <w:pPr>
        <w:ind w:hanging="1440"/>
        <w:jc w:val="both"/>
        <w:rPr>
          <w:rFonts w:eastAsia="Times New Roman"/>
        </w:rPr>
      </w:pPr>
      <w:r>
        <w:rPr>
          <w:rFonts w:eastAsia="Times New Roman"/>
          <w:color w:val="000000"/>
          <w:sz w:val="20"/>
          <w:szCs w:val="20"/>
        </w:rPr>
        <w:t>31.2*   </w:t>
      </w:r>
      <w:r>
        <w:rPr>
          <w:rFonts w:eastAsia="Times New Roman"/>
          <w:color w:val="000000"/>
          <w:sz w:val="20"/>
          <w:szCs w:val="20"/>
        </w:rPr>
        <w:t> </w:t>
      </w:r>
      <w:hyperlink r:id="rId18" w:history="1">
        <w:r>
          <w:rPr>
            <w:rStyle w:val="a3"/>
            <w:rFonts w:eastAsia="Times New Roman"/>
            <w:sz w:val="20"/>
            <w:szCs w:val="20"/>
          </w:rPr>
          <w:t>Certification of Chief Financial Officer under</w:t>
        </w:r>
        <w:r>
          <w:rPr>
            <w:rStyle w:val="a3"/>
            <w:rFonts w:eastAsia="Times New Roman"/>
            <w:sz w:val="20"/>
            <w:szCs w:val="20"/>
          </w:rPr>
          <w:t xml:space="preserve"> Section 302 of the Sarbanes-Oxley Act of 2002.</w:t>
        </w:r>
      </w:hyperlink>
    </w:p>
    <w:p w:rsidR="00000000" w:rsidRDefault="00613AEB">
      <w:pPr>
        <w:ind w:hanging="1440"/>
        <w:jc w:val="both"/>
        <w:rPr>
          <w:rFonts w:eastAsia="Times New Roman"/>
        </w:rPr>
      </w:pPr>
    </w:p>
    <w:p w:rsidR="00000000" w:rsidRDefault="00613AEB">
      <w:pPr>
        <w:ind w:hanging="1440"/>
        <w:jc w:val="both"/>
        <w:rPr>
          <w:rFonts w:eastAsia="Times New Roman"/>
        </w:rPr>
      </w:pPr>
      <w:r>
        <w:rPr>
          <w:rFonts w:eastAsia="Times New Roman"/>
          <w:color w:val="000000"/>
          <w:sz w:val="20"/>
          <w:szCs w:val="20"/>
        </w:rPr>
        <w:t>32.1**   </w:t>
      </w:r>
      <w:r>
        <w:rPr>
          <w:rFonts w:eastAsia="Times New Roman"/>
          <w:color w:val="000000"/>
          <w:sz w:val="20"/>
          <w:szCs w:val="20"/>
        </w:rPr>
        <w:t> </w:t>
      </w:r>
      <w:hyperlink r:id="rId19" w:history="1">
        <w:r>
          <w:rPr>
            <w:rStyle w:val="a3"/>
            <w:rFonts w:eastAsia="Times New Roman"/>
            <w:sz w:val="20"/>
            <w:szCs w:val="20"/>
          </w:rPr>
          <w:t>Certification of Chief Executive Officer and Chief Financial Officer under Section 906 of the Sarbanes-Oxley Act of 2002.</w:t>
        </w:r>
      </w:hyperlink>
    </w:p>
    <w:p w:rsidR="00000000" w:rsidRDefault="00613AEB">
      <w:pPr>
        <w:ind w:hanging="1440"/>
        <w:jc w:val="both"/>
        <w:rPr>
          <w:rFonts w:eastAsia="Times New Roman"/>
        </w:rPr>
      </w:pPr>
    </w:p>
    <w:p w:rsidR="00000000" w:rsidRDefault="00613AEB">
      <w:pPr>
        <w:ind w:hanging="1440"/>
        <w:jc w:val="both"/>
        <w:rPr>
          <w:rFonts w:eastAsia="Times New Roman"/>
        </w:rPr>
      </w:pPr>
      <w:r>
        <w:rPr>
          <w:rFonts w:eastAsia="Times New Roman"/>
          <w:color w:val="000000"/>
          <w:sz w:val="20"/>
          <w:szCs w:val="20"/>
        </w:rPr>
        <w:t>101*    The following financial information from the Company’s Quarterly Report on Form 10-Q for the quarter ended June 25, 2022, fo</w:t>
      </w:r>
      <w:r>
        <w:rPr>
          <w:rFonts w:eastAsia="Times New Roman"/>
          <w:color w:val="000000"/>
          <w:sz w:val="20"/>
          <w:szCs w:val="20"/>
        </w:rPr>
        <w:t>rmatted in Inline XBRL (Extensible Business Reporting Language) includes: (i) the Condensed Consolidated Balance Sheets, (ii) the Condensed Consolidated Statements of Income, (iii) the Condensed Consolidated Statements of Comprehensive Income, (iv) the Con</w:t>
      </w:r>
      <w:r>
        <w:rPr>
          <w:rFonts w:eastAsia="Times New Roman"/>
          <w:color w:val="000000"/>
          <w:sz w:val="20"/>
          <w:szCs w:val="20"/>
        </w:rPr>
        <w:t>densed Consolidated Statements of Stockholders' Equity, (v) the Condensed Consolidated Statements of Cash Flows, and (vi) the Notes to Consolidated Financial Statements. The instance document does not appear in the interactive data file because its XBRL ta</w:t>
      </w:r>
      <w:r>
        <w:rPr>
          <w:rFonts w:eastAsia="Times New Roman"/>
          <w:color w:val="000000"/>
          <w:sz w:val="20"/>
          <w:szCs w:val="20"/>
        </w:rPr>
        <w:t>gs are embedded within the Inline XBRL document.</w:t>
      </w:r>
    </w:p>
    <w:p w:rsidR="00000000" w:rsidRDefault="00613AEB">
      <w:pPr>
        <w:ind w:hanging="720"/>
        <w:jc w:val="both"/>
        <w:rPr>
          <w:rFonts w:eastAsia="Times New Roman"/>
        </w:rPr>
      </w:pPr>
    </w:p>
    <w:p w:rsidR="00000000" w:rsidRDefault="00613AEB">
      <w:pPr>
        <w:ind w:hanging="1440"/>
        <w:jc w:val="both"/>
        <w:rPr>
          <w:rFonts w:eastAsia="Times New Roman"/>
        </w:rPr>
      </w:pPr>
      <w:r>
        <w:rPr>
          <w:rFonts w:eastAsia="Times New Roman"/>
          <w:color w:val="000000"/>
          <w:sz w:val="20"/>
          <w:szCs w:val="20"/>
        </w:rPr>
        <w:t>104*    The cover page from the Company’s Quarterly Report on Form 10-Q for the quarter ended June </w:t>
      </w:r>
      <w:r>
        <w:rPr>
          <w:rFonts w:eastAsia="Times New Roman"/>
          <w:color w:val="000000"/>
          <w:sz w:val="20"/>
          <w:szCs w:val="20"/>
        </w:rPr>
        <w:t>25, 2022, formatted in Inline XBRL (included in Exhibit 101).</w:t>
      </w:r>
    </w:p>
    <w:p w:rsidR="00000000" w:rsidRDefault="00613AEB">
      <w:pPr>
        <w:jc w:val="both"/>
        <w:rPr>
          <w:rFonts w:eastAsia="Times New Roman"/>
        </w:rPr>
      </w:pPr>
    </w:p>
    <w:p w:rsidR="00000000" w:rsidRDefault="00613AEB">
      <w:pPr>
        <w:ind w:hanging="1440"/>
        <w:divId w:val="1352410832"/>
        <w:rPr>
          <w:rFonts w:eastAsia="Times New Roman"/>
        </w:rPr>
      </w:pPr>
      <w:r>
        <w:rPr>
          <w:rFonts w:eastAsia="Times New Roman"/>
          <w:color w:val="000000"/>
          <w:sz w:val="20"/>
          <w:szCs w:val="20"/>
        </w:rPr>
        <w:t>*     Filed herewith</w:t>
      </w:r>
    </w:p>
    <w:p w:rsidR="00000000" w:rsidRDefault="00613AEB">
      <w:pPr>
        <w:ind w:hanging="1440"/>
        <w:divId w:val="400710496"/>
        <w:rPr>
          <w:rFonts w:eastAsia="Times New Roman"/>
        </w:rPr>
      </w:pPr>
      <w:r>
        <w:rPr>
          <w:rFonts w:eastAsia="Times New Roman"/>
          <w:color w:val="000000"/>
          <w:sz w:val="20"/>
          <w:szCs w:val="20"/>
        </w:rPr>
        <w:t>**    Furnished herewith</w:t>
      </w:r>
    </w:p>
    <w:p w:rsidR="00000000" w:rsidRDefault="00613AEB">
      <w:pPr>
        <w:divId w:val="59065263"/>
        <w:rPr>
          <w:rFonts w:eastAsia="Times New Roman"/>
        </w:rPr>
      </w:pPr>
    </w:p>
    <w:p w:rsidR="00000000" w:rsidRDefault="00613AEB">
      <w:pPr>
        <w:divId w:val="793446164"/>
        <w:rPr>
          <w:rFonts w:eastAsia="Times New Roman"/>
        </w:rPr>
      </w:pPr>
    </w:p>
    <w:p w:rsidR="00000000" w:rsidRDefault="00613AEB">
      <w:pPr>
        <w:jc w:val="center"/>
        <w:divId w:val="161700328"/>
        <w:rPr>
          <w:rFonts w:eastAsia="Times New Roman"/>
        </w:rPr>
      </w:pPr>
      <w:r>
        <w:rPr>
          <w:rFonts w:eastAsia="Times New Roman"/>
          <w:color w:val="000000"/>
          <w:sz w:val="20"/>
          <w:szCs w:val="20"/>
        </w:rPr>
        <w:t>Page 29</w:t>
      </w:r>
    </w:p>
    <w:p w:rsidR="00000000" w:rsidRDefault="00613AEB">
      <w:pPr>
        <w:rPr>
          <w:rFonts w:eastAsia="Times New Roman"/>
        </w:rPr>
      </w:pPr>
      <w:r>
        <w:rPr>
          <w:rFonts w:eastAsia="Times New Roman"/>
        </w:rPr>
        <w:pict>
          <v:rect id="_x0000_i1054" style="width:0;height:1.5pt" o:hralign="center" o:hrstd="t" o:hr="t" fillcolor="#a0a0a0" stroked="f"/>
        </w:pict>
      </w:r>
    </w:p>
    <w:p w:rsidR="00000000" w:rsidRDefault="00613AEB">
      <w:pPr>
        <w:divId w:val="1629974864"/>
        <w:rPr>
          <w:rFonts w:eastAsia="Times New Roman"/>
        </w:rPr>
      </w:pPr>
      <w:hyperlink w:anchor="i7b244a6903fc440faaf2365d228fe4ba_7" w:history="1">
        <w:r>
          <w:rPr>
            <w:rStyle w:val="a3"/>
            <w:rFonts w:eastAsia="Times New Roman"/>
            <w:sz w:val="16"/>
            <w:szCs w:val="16"/>
          </w:rPr>
          <w:t>Index</w:t>
        </w:r>
      </w:hyperlink>
    </w:p>
    <w:p w:rsidR="00000000" w:rsidRDefault="00613AEB">
      <w:pPr>
        <w:jc w:val="center"/>
        <w:rPr>
          <w:rFonts w:eastAsia="Times New Roman"/>
        </w:rPr>
      </w:pPr>
      <w:r>
        <w:rPr>
          <w:rFonts w:eastAsia="Times New Roman"/>
          <w:b/>
          <w:bCs/>
          <w:color w:val="000000"/>
          <w:sz w:val="20"/>
          <w:szCs w:val="20"/>
          <w:u w:val="single"/>
        </w:rPr>
        <w:t>SIGNATURE</w:t>
      </w:r>
    </w:p>
    <w:p w:rsidR="00000000" w:rsidRDefault="00613AEB">
      <w:pPr>
        <w:divId w:val="1364016956"/>
        <w:rPr>
          <w:rFonts w:eastAsia="Times New Roman"/>
        </w:rPr>
      </w:pPr>
    </w:p>
    <w:p w:rsidR="00000000" w:rsidRDefault="00613AEB">
      <w:pPr>
        <w:jc w:val="both"/>
        <w:rPr>
          <w:rFonts w:eastAsia="Times New Roman"/>
        </w:rPr>
      </w:pPr>
      <w:r>
        <w:rPr>
          <w:rFonts w:eastAsia="Times New Roman"/>
          <w:color w:val="000000"/>
          <w:sz w:val="20"/>
          <w:szCs w:val="20"/>
        </w:rPr>
        <w:t>Pursuant to the requir</w:t>
      </w:r>
      <w:r>
        <w:rPr>
          <w:rFonts w:eastAsia="Times New Roman"/>
          <w:color w:val="000000"/>
          <w:sz w:val="20"/>
          <w:szCs w:val="20"/>
        </w:rPr>
        <w:t>ements of the Securities Exchange Act of 1934, the Registrant has duly caused this report to be signed on its behalf by the undersigned thereunto duly authorized.</w:t>
      </w:r>
    </w:p>
    <w:tbl>
      <w:tblPr>
        <w:tblW w:w="4985" w:type="pct"/>
        <w:tblCellMar>
          <w:top w:w="15" w:type="dxa"/>
          <w:left w:w="15" w:type="dxa"/>
          <w:bottom w:w="15" w:type="dxa"/>
          <w:right w:w="15" w:type="dxa"/>
        </w:tblCellMar>
        <w:tblLook w:val="04A0" w:firstRow="1" w:lastRow="0" w:firstColumn="1" w:lastColumn="0" w:noHBand="0" w:noVBand="1"/>
      </w:tblPr>
      <w:tblGrid>
        <w:gridCol w:w="81"/>
        <w:gridCol w:w="385"/>
        <w:gridCol w:w="36"/>
        <w:gridCol w:w="52"/>
        <w:gridCol w:w="2373"/>
        <w:gridCol w:w="36"/>
        <w:gridCol w:w="69"/>
        <w:gridCol w:w="294"/>
        <w:gridCol w:w="36"/>
        <w:gridCol w:w="69"/>
        <w:gridCol w:w="4814"/>
        <w:gridCol w:w="36"/>
      </w:tblGrid>
      <w:tr w:rsidR="00000000">
        <w:trPr>
          <w:divId w:val="2028749232"/>
        </w:trPr>
        <w:tc>
          <w:tcPr>
            <w:tcW w:w="50" w:type="pct"/>
            <w:vAlign w:val="center"/>
            <w:hideMark/>
          </w:tcPr>
          <w:p w:rsidR="00000000" w:rsidRDefault="00613AEB">
            <w:pPr>
              <w:jc w:val="both"/>
              <w:rPr>
                <w:rFonts w:eastAsia="Times New Roman"/>
              </w:rPr>
            </w:pPr>
          </w:p>
        </w:tc>
        <w:tc>
          <w:tcPr>
            <w:tcW w:w="238"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0" w:type="pct"/>
            <w:vAlign w:val="center"/>
            <w:hideMark/>
          </w:tcPr>
          <w:p w:rsidR="00000000" w:rsidRDefault="00613AEB">
            <w:pPr>
              <w:spacing w:after="100"/>
              <w:rPr>
                <w:rFonts w:eastAsia="Times New Roman"/>
                <w:sz w:val="20"/>
                <w:szCs w:val="20"/>
              </w:rPr>
            </w:pPr>
          </w:p>
        </w:tc>
        <w:tc>
          <w:tcPr>
            <w:tcW w:w="1440"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0" w:type="pct"/>
            <w:vAlign w:val="center"/>
            <w:hideMark/>
          </w:tcPr>
          <w:p w:rsidR="00000000" w:rsidRDefault="00613AEB">
            <w:pPr>
              <w:spacing w:after="100"/>
              <w:rPr>
                <w:rFonts w:eastAsia="Times New Roman"/>
                <w:sz w:val="20"/>
                <w:szCs w:val="20"/>
              </w:rPr>
            </w:pPr>
          </w:p>
        </w:tc>
        <w:tc>
          <w:tcPr>
            <w:tcW w:w="186"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c>
          <w:tcPr>
            <w:tcW w:w="50" w:type="pct"/>
            <w:vAlign w:val="center"/>
            <w:hideMark/>
          </w:tcPr>
          <w:p w:rsidR="00000000" w:rsidRDefault="00613AEB">
            <w:pPr>
              <w:spacing w:after="100"/>
              <w:rPr>
                <w:rFonts w:eastAsia="Times New Roman"/>
                <w:sz w:val="20"/>
                <w:szCs w:val="20"/>
              </w:rPr>
            </w:pPr>
          </w:p>
        </w:tc>
        <w:tc>
          <w:tcPr>
            <w:tcW w:w="2914" w:type="pct"/>
            <w:vAlign w:val="center"/>
            <w:hideMark/>
          </w:tcPr>
          <w:p w:rsidR="00000000" w:rsidRDefault="00613AEB">
            <w:pPr>
              <w:spacing w:after="100"/>
              <w:rPr>
                <w:rFonts w:eastAsia="Times New Roman"/>
                <w:sz w:val="20"/>
                <w:szCs w:val="20"/>
              </w:rPr>
            </w:pPr>
          </w:p>
        </w:tc>
        <w:tc>
          <w:tcPr>
            <w:tcW w:w="5" w:type="pct"/>
            <w:vAlign w:val="center"/>
            <w:hideMark/>
          </w:tcPr>
          <w:p w:rsidR="00000000" w:rsidRDefault="00613AEB">
            <w:pPr>
              <w:spacing w:after="100"/>
              <w:rPr>
                <w:rFonts w:eastAsia="Times New Roman"/>
                <w:sz w:val="20"/>
                <w:szCs w:val="20"/>
              </w:rPr>
            </w:pPr>
          </w:p>
        </w:tc>
      </w:tr>
      <w:tr w:rsidR="00000000">
        <w:trPr>
          <w:divId w:val="2028749232"/>
        </w:trPr>
        <w:tc>
          <w:tcPr>
            <w:tcW w:w="0" w:type="auto"/>
            <w:gridSpan w:val="3"/>
            <w:tcMar>
              <w:top w:w="30" w:type="dxa"/>
              <w:left w:w="20" w:type="dxa"/>
              <w:bottom w:w="30" w:type="dxa"/>
              <w:right w:w="20" w:type="dxa"/>
            </w:tcMar>
            <w:hideMark/>
          </w:tcPr>
          <w:p w:rsidR="00000000" w:rsidRDefault="00613AEB">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613AEB">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613AEB">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613AEB">
            <w:pPr>
              <w:spacing w:after="100"/>
              <w:rPr>
                <w:rFonts w:eastAsia="Times New Roman"/>
              </w:rPr>
            </w:pPr>
            <w:r>
              <w:rPr>
                <w:rFonts w:eastAsia="Times New Roman"/>
                <w:color w:val="000000"/>
                <w:sz w:val="20"/>
                <w:szCs w:val="20"/>
              </w:rPr>
              <w:t>TRACTOR SUPPLY COMPANY</w:t>
            </w:r>
          </w:p>
        </w:tc>
      </w:tr>
      <w:tr w:rsidR="00000000">
        <w:trPr>
          <w:divId w:val="2028749232"/>
        </w:trPr>
        <w:tc>
          <w:tcPr>
            <w:tcW w:w="0" w:type="auto"/>
            <w:gridSpan w:val="3"/>
            <w:tcMar>
              <w:top w:w="30" w:type="dxa"/>
              <w:left w:w="20" w:type="dxa"/>
              <w:bottom w:w="30" w:type="dxa"/>
              <w:right w:w="20" w:type="dxa"/>
            </w:tcMar>
            <w:hideMark/>
          </w:tcPr>
          <w:p w:rsidR="00000000" w:rsidRDefault="00613AEB">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613AEB">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613AEB">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613AEB">
            <w:pPr>
              <w:spacing w:after="100"/>
              <w:rPr>
                <w:rFonts w:eastAsia="Times New Roman"/>
              </w:rPr>
            </w:pPr>
            <w:r>
              <w:rPr>
                <w:rFonts w:eastAsia="Times New Roman"/>
                <w:color w:val="000000"/>
                <w:sz w:val="20"/>
                <w:szCs w:val="20"/>
              </w:rPr>
              <w:t> </w:t>
            </w:r>
          </w:p>
        </w:tc>
      </w:tr>
      <w:tr w:rsidR="00000000">
        <w:trPr>
          <w:divId w:val="2028749232"/>
        </w:trPr>
        <w:tc>
          <w:tcPr>
            <w:tcW w:w="0" w:type="auto"/>
            <w:gridSpan w:val="3"/>
            <w:tcMar>
              <w:top w:w="30" w:type="dxa"/>
              <w:left w:w="20" w:type="dxa"/>
              <w:bottom w:w="30" w:type="dxa"/>
              <w:right w:w="20" w:type="dxa"/>
            </w:tcMar>
            <w:hideMark/>
          </w:tcPr>
          <w:p w:rsidR="00000000" w:rsidRDefault="00613AEB">
            <w:pPr>
              <w:spacing w:after="100"/>
              <w:rPr>
                <w:rFonts w:eastAsia="Times New Roman"/>
              </w:rPr>
            </w:pPr>
            <w:r>
              <w:rPr>
                <w:rFonts w:eastAsia="Times New Roman"/>
                <w:color w:val="000000"/>
                <w:sz w:val="20"/>
                <w:szCs w:val="20"/>
              </w:rPr>
              <w:t>Date:</w:t>
            </w:r>
          </w:p>
        </w:tc>
        <w:tc>
          <w:tcPr>
            <w:tcW w:w="0" w:type="auto"/>
            <w:gridSpan w:val="3"/>
            <w:tcMar>
              <w:top w:w="30" w:type="dxa"/>
              <w:left w:w="20" w:type="dxa"/>
              <w:bottom w:w="30" w:type="dxa"/>
              <w:right w:w="20" w:type="dxa"/>
            </w:tcMar>
            <w:hideMark/>
          </w:tcPr>
          <w:p w:rsidR="00000000" w:rsidRDefault="00613AEB">
            <w:pPr>
              <w:spacing w:after="100"/>
              <w:rPr>
                <w:rFonts w:eastAsia="Times New Roman"/>
              </w:rPr>
            </w:pPr>
            <w:r>
              <w:rPr>
                <w:rFonts w:eastAsia="Times New Roman"/>
                <w:color w:val="000000"/>
                <w:sz w:val="20"/>
                <w:szCs w:val="20"/>
                <w:u w:val="single"/>
              </w:rPr>
              <w:t>August 4, 2022</w:t>
            </w:r>
          </w:p>
        </w:tc>
        <w:tc>
          <w:tcPr>
            <w:tcW w:w="0" w:type="auto"/>
            <w:gridSpan w:val="3"/>
            <w:tcMar>
              <w:top w:w="30" w:type="dxa"/>
              <w:left w:w="20" w:type="dxa"/>
              <w:bottom w:w="30" w:type="dxa"/>
              <w:right w:w="20" w:type="dxa"/>
            </w:tcMar>
            <w:hideMark/>
          </w:tcPr>
          <w:p w:rsidR="00000000" w:rsidRDefault="00613AEB">
            <w:pPr>
              <w:spacing w:after="100"/>
              <w:rPr>
                <w:rFonts w:eastAsia="Times New Roman"/>
              </w:rPr>
            </w:pPr>
            <w:r>
              <w:rPr>
                <w:rFonts w:eastAsia="Times New Roman"/>
                <w:color w:val="000000"/>
                <w:sz w:val="20"/>
                <w:szCs w:val="20"/>
              </w:rPr>
              <w:t>By:</w:t>
            </w:r>
          </w:p>
        </w:tc>
        <w:tc>
          <w:tcPr>
            <w:tcW w:w="0" w:type="auto"/>
            <w:gridSpan w:val="3"/>
            <w:tcMar>
              <w:top w:w="30" w:type="dxa"/>
              <w:left w:w="20" w:type="dxa"/>
              <w:bottom w:w="30" w:type="dxa"/>
              <w:right w:w="20" w:type="dxa"/>
            </w:tcMar>
            <w:hideMark/>
          </w:tcPr>
          <w:p w:rsidR="00000000" w:rsidRDefault="00613AEB">
            <w:pPr>
              <w:spacing w:after="100"/>
              <w:rPr>
                <w:rFonts w:eastAsia="Times New Roman"/>
              </w:rPr>
            </w:pPr>
            <w:r>
              <w:rPr>
                <w:rFonts w:eastAsia="Times New Roman"/>
                <w:i/>
                <w:iCs/>
                <w:color w:val="000000"/>
                <w:sz w:val="20"/>
                <w:szCs w:val="20"/>
                <w:u w:val="single"/>
              </w:rPr>
              <w:t>/s/ Kurt D. Barton</w:t>
            </w:r>
          </w:p>
        </w:tc>
      </w:tr>
      <w:tr w:rsidR="00000000">
        <w:trPr>
          <w:divId w:val="2028749232"/>
        </w:trPr>
        <w:tc>
          <w:tcPr>
            <w:tcW w:w="0" w:type="auto"/>
            <w:gridSpan w:val="3"/>
            <w:tcMar>
              <w:top w:w="30" w:type="dxa"/>
              <w:left w:w="20" w:type="dxa"/>
              <w:bottom w:w="30" w:type="dxa"/>
              <w:right w:w="20" w:type="dxa"/>
            </w:tcMar>
            <w:hideMark/>
          </w:tcPr>
          <w:p w:rsidR="00000000" w:rsidRDefault="00613AEB">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613AEB">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613AEB">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613AEB">
            <w:pPr>
              <w:spacing w:after="100"/>
              <w:rPr>
                <w:rFonts w:eastAsia="Times New Roman"/>
              </w:rPr>
            </w:pPr>
            <w:r>
              <w:rPr>
                <w:rFonts w:eastAsia="Times New Roman"/>
                <w:color w:val="000000"/>
                <w:sz w:val="20"/>
                <w:szCs w:val="20"/>
              </w:rPr>
              <w:t>Kurt D. Barton</w:t>
            </w:r>
          </w:p>
        </w:tc>
      </w:tr>
      <w:tr w:rsidR="00000000">
        <w:trPr>
          <w:divId w:val="2028749232"/>
        </w:trPr>
        <w:tc>
          <w:tcPr>
            <w:tcW w:w="0" w:type="auto"/>
            <w:gridSpan w:val="3"/>
            <w:tcMar>
              <w:top w:w="30" w:type="dxa"/>
              <w:left w:w="20" w:type="dxa"/>
              <w:bottom w:w="30" w:type="dxa"/>
              <w:right w:w="20" w:type="dxa"/>
            </w:tcMar>
            <w:hideMark/>
          </w:tcPr>
          <w:p w:rsidR="00000000" w:rsidRDefault="00613AEB">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613AEB">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613AEB">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613AEB">
            <w:pPr>
              <w:spacing w:after="100"/>
              <w:rPr>
                <w:rFonts w:eastAsia="Times New Roman"/>
              </w:rPr>
            </w:pPr>
            <w:r>
              <w:rPr>
                <w:rFonts w:eastAsia="Times New Roman"/>
                <w:color w:val="000000"/>
                <w:sz w:val="20"/>
                <w:szCs w:val="20"/>
              </w:rPr>
              <w:t>Executive Vice President - Chief Financial Officer and Treasurer</w:t>
            </w:r>
          </w:p>
        </w:tc>
      </w:tr>
      <w:tr w:rsidR="00000000">
        <w:trPr>
          <w:divId w:val="2028749232"/>
        </w:trPr>
        <w:tc>
          <w:tcPr>
            <w:tcW w:w="0" w:type="auto"/>
            <w:gridSpan w:val="3"/>
            <w:tcMar>
              <w:top w:w="30" w:type="dxa"/>
              <w:left w:w="20" w:type="dxa"/>
              <w:bottom w:w="30" w:type="dxa"/>
              <w:right w:w="20" w:type="dxa"/>
            </w:tcMar>
            <w:hideMark/>
          </w:tcPr>
          <w:p w:rsidR="00000000" w:rsidRDefault="00613AEB">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613AEB">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613AEB">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613AEB">
            <w:pPr>
              <w:spacing w:after="100"/>
              <w:rPr>
                <w:rFonts w:eastAsia="Times New Roman"/>
              </w:rPr>
            </w:pPr>
            <w:r>
              <w:rPr>
                <w:rFonts w:eastAsia="Times New Roman"/>
                <w:color w:val="000000"/>
                <w:sz w:val="20"/>
                <w:szCs w:val="20"/>
              </w:rPr>
              <w:t>(Duly Authorized Officer and Principal Financial Officer)</w:t>
            </w:r>
          </w:p>
        </w:tc>
      </w:tr>
    </w:tbl>
    <w:p w:rsidR="00000000" w:rsidRDefault="00613AEB">
      <w:pPr>
        <w:divId w:val="93287710"/>
        <w:rPr>
          <w:rFonts w:eastAsia="Times New Roman"/>
        </w:rPr>
      </w:pPr>
    </w:p>
    <w:p w:rsidR="00000000" w:rsidRDefault="00613AEB">
      <w:pPr>
        <w:divId w:val="541403809"/>
        <w:rPr>
          <w:rFonts w:eastAsia="Times New Roman"/>
        </w:rPr>
      </w:pPr>
      <w:r>
        <w:rPr>
          <w:rFonts w:eastAsia="Times New Roman"/>
          <w:color w:val="000000"/>
          <w:sz w:val="20"/>
          <w:szCs w:val="20"/>
        </w:rPr>
        <w:t> </w:t>
      </w:r>
    </w:p>
    <w:p w:rsidR="00000000" w:rsidRDefault="00613AEB">
      <w:pPr>
        <w:divId w:val="2076975615"/>
        <w:rPr>
          <w:rFonts w:eastAsia="Times New Roman"/>
        </w:rPr>
      </w:pPr>
      <w:r>
        <w:rPr>
          <w:rFonts w:eastAsia="Times New Roman"/>
          <w:color w:val="000000"/>
          <w:sz w:val="20"/>
          <w:szCs w:val="20"/>
        </w:rPr>
        <w:t> </w:t>
      </w:r>
    </w:p>
    <w:p w:rsidR="00000000" w:rsidRDefault="00613AEB">
      <w:pPr>
        <w:divId w:val="1088312587"/>
        <w:rPr>
          <w:rFonts w:eastAsia="Times New Roman"/>
        </w:rPr>
      </w:pPr>
      <w:r>
        <w:rPr>
          <w:rFonts w:eastAsia="Times New Roman"/>
          <w:color w:val="000000"/>
          <w:sz w:val="20"/>
          <w:szCs w:val="20"/>
        </w:rPr>
        <w:t> </w:t>
      </w:r>
    </w:p>
    <w:p w:rsidR="00000000" w:rsidRDefault="00613AEB">
      <w:pPr>
        <w:jc w:val="center"/>
        <w:rPr>
          <w:rFonts w:eastAsia="Times New Roman"/>
        </w:rPr>
      </w:pPr>
    </w:p>
    <w:p w:rsidR="00613AEB" w:rsidRDefault="00613AEB">
      <w:pPr>
        <w:jc w:val="center"/>
        <w:divId w:val="432434180"/>
        <w:rPr>
          <w:rFonts w:eastAsia="Times New Roman"/>
        </w:rPr>
      </w:pPr>
      <w:r>
        <w:rPr>
          <w:rFonts w:eastAsia="Times New Roman"/>
          <w:color w:val="000000"/>
          <w:sz w:val="20"/>
          <w:szCs w:val="20"/>
        </w:rPr>
        <w:t>Page 30</w:t>
      </w:r>
    </w:p>
    <w:sectPr w:rsidR="00613AEB">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613AEB"/>
    <w:rsid w:val="00613AEB"/>
  </w:rsids>
  <m:mathPr>
    <m:mathFont m:val="Cambria Math"/>
    <m:brkBin m:val="before"/>
    <m:brkBinSub m:val="--"/>
    <m:smallFrac m:val="0"/>
    <m:dispDef/>
    <m:lMargin m:val="0"/>
    <m:rMargin m:val="0"/>
    <m:defJc m:val="centerGroup"/>
    <m:wrapIndent m:val="1440"/>
    <m:intLim m:val="subSup"/>
    <m:naryLim m:val="undOvr"/>
  </m:mathPr>
  <w:attachedSchema w:val="http://xbrl.org/2006/xbrldi"/>
  <w:attachedSchema w:val="http://www.sec.gov/inlineXBRL/transformation/2015-08-31"/>
  <w:attachedSchema w:val="http://xbrl.sec.gov/dei/2022"/>
  <w:attachedSchema w:val="http://fasb.org/us-gaap/2022"/>
  <w:attachedSchema w:val="http://www.tractorsupply.com/20220625"/>
  <w:attachedSchema w:val="http://fasb.org/srt/2022"/>
  <w:attachedSchema w:val="http://www.xbrl.org/2003/linkbase"/>
  <w:attachedSchema w:val="http://www.xbrl.org/2003/iso4217"/>
  <w:attachedSchema w:val="http://www.w3.org/1999/xlink"/>
  <w:attachedSchema w:val="http://www.xbrl.org/2003/instance"/>
  <w:attachedSchema w:val="http://www.xbrl.org/inlineXBRL/transformation/2020-02-12"/>
  <w:attachedSchema w:val="http://www.xbrl.org/2013/inlineXBRL"/>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6769">
      <w:marLeft w:val="0"/>
      <w:marRight w:val="0"/>
      <w:marTop w:val="0"/>
      <w:marBottom w:val="0"/>
      <w:divBdr>
        <w:top w:val="none" w:sz="0" w:space="0" w:color="auto"/>
        <w:left w:val="none" w:sz="0" w:space="0" w:color="auto"/>
        <w:bottom w:val="none" w:sz="0" w:space="0" w:color="auto"/>
        <w:right w:val="none" w:sz="0" w:space="0" w:color="auto"/>
      </w:divBdr>
    </w:div>
    <w:div w:id="19670431">
      <w:marLeft w:val="0"/>
      <w:marRight w:val="0"/>
      <w:marTop w:val="0"/>
      <w:marBottom w:val="0"/>
      <w:divBdr>
        <w:top w:val="none" w:sz="0" w:space="0" w:color="auto"/>
        <w:left w:val="none" w:sz="0" w:space="0" w:color="auto"/>
        <w:bottom w:val="none" w:sz="0" w:space="0" w:color="auto"/>
        <w:right w:val="none" w:sz="0" w:space="0" w:color="auto"/>
      </w:divBdr>
      <w:divsChild>
        <w:div w:id="220941447">
          <w:marLeft w:val="0"/>
          <w:marRight w:val="0"/>
          <w:marTop w:val="0"/>
          <w:marBottom w:val="0"/>
          <w:divBdr>
            <w:top w:val="none" w:sz="0" w:space="0" w:color="auto"/>
            <w:left w:val="none" w:sz="0" w:space="0" w:color="auto"/>
            <w:bottom w:val="none" w:sz="0" w:space="0" w:color="auto"/>
            <w:right w:val="none" w:sz="0" w:space="0" w:color="auto"/>
          </w:divBdr>
        </w:div>
      </w:divsChild>
    </w:div>
    <w:div w:id="45616485">
      <w:marLeft w:val="0"/>
      <w:marRight w:val="0"/>
      <w:marTop w:val="0"/>
      <w:marBottom w:val="0"/>
      <w:divBdr>
        <w:top w:val="none" w:sz="0" w:space="0" w:color="auto"/>
        <w:left w:val="none" w:sz="0" w:space="0" w:color="auto"/>
        <w:bottom w:val="none" w:sz="0" w:space="0" w:color="auto"/>
        <w:right w:val="none" w:sz="0" w:space="0" w:color="auto"/>
      </w:divBdr>
    </w:div>
    <w:div w:id="47384954">
      <w:marLeft w:val="0"/>
      <w:marRight w:val="0"/>
      <w:marTop w:val="0"/>
      <w:marBottom w:val="0"/>
      <w:divBdr>
        <w:top w:val="none" w:sz="0" w:space="0" w:color="auto"/>
        <w:left w:val="none" w:sz="0" w:space="0" w:color="auto"/>
        <w:bottom w:val="none" w:sz="0" w:space="0" w:color="auto"/>
        <w:right w:val="none" w:sz="0" w:space="0" w:color="auto"/>
      </w:divBdr>
    </w:div>
    <w:div w:id="59065263">
      <w:marLeft w:val="0"/>
      <w:marRight w:val="0"/>
      <w:marTop w:val="0"/>
      <w:marBottom w:val="0"/>
      <w:divBdr>
        <w:top w:val="none" w:sz="0" w:space="0" w:color="auto"/>
        <w:left w:val="none" w:sz="0" w:space="0" w:color="auto"/>
        <w:bottom w:val="none" w:sz="0" w:space="0" w:color="auto"/>
        <w:right w:val="none" w:sz="0" w:space="0" w:color="auto"/>
      </w:divBdr>
    </w:div>
    <w:div w:id="71506821">
      <w:marLeft w:val="0"/>
      <w:marRight w:val="0"/>
      <w:marTop w:val="0"/>
      <w:marBottom w:val="0"/>
      <w:divBdr>
        <w:top w:val="none" w:sz="0" w:space="0" w:color="auto"/>
        <w:left w:val="none" w:sz="0" w:space="0" w:color="auto"/>
        <w:bottom w:val="none" w:sz="0" w:space="0" w:color="auto"/>
        <w:right w:val="none" w:sz="0" w:space="0" w:color="auto"/>
      </w:divBdr>
    </w:div>
    <w:div w:id="90130793">
      <w:marLeft w:val="0"/>
      <w:marRight w:val="0"/>
      <w:marTop w:val="0"/>
      <w:marBottom w:val="0"/>
      <w:divBdr>
        <w:top w:val="none" w:sz="0" w:space="0" w:color="auto"/>
        <w:left w:val="none" w:sz="0" w:space="0" w:color="auto"/>
        <w:bottom w:val="none" w:sz="0" w:space="0" w:color="auto"/>
        <w:right w:val="none" w:sz="0" w:space="0" w:color="auto"/>
      </w:divBdr>
      <w:divsChild>
        <w:div w:id="1839616653">
          <w:marLeft w:val="0"/>
          <w:marRight w:val="0"/>
          <w:marTop w:val="0"/>
          <w:marBottom w:val="0"/>
          <w:divBdr>
            <w:top w:val="none" w:sz="0" w:space="0" w:color="auto"/>
            <w:left w:val="none" w:sz="0" w:space="0" w:color="auto"/>
            <w:bottom w:val="none" w:sz="0" w:space="0" w:color="auto"/>
            <w:right w:val="none" w:sz="0" w:space="0" w:color="auto"/>
          </w:divBdr>
        </w:div>
      </w:divsChild>
    </w:div>
    <w:div w:id="91511316">
      <w:marLeft w:val="0"/>
      <w:marRight w:val="0"/>
      <w:marTop w:val="0"/>
      <w:marBottom w:val="0"/>
      <w:divBdr>
        <w:top w:val="none" w:sz="0" w:space="0" w:color="auto"/>
        <w:left w:val="none" w:sz="0" w:space="0" w:color="auto"/>
        <w:bottom w:val="none" w:sz="0" w:space="0" w:color="auto"/>
        <w:right w:val="none" w:sz="0" w:space="0" w:color="auto"/>
      </w:divBdr>
    </w:div>
    <w:div w:id="93287710">
      <w:marLeft w:val="0"/>
      <w:marRight w:val="0"/>
      <w:marTop w:val="0"/>
      <w:marBottom w:val="0"/>
      <w:divBdr>
        <w:top w:val="none" w:sz="0" w:space="0" w:color="auto"/>
        <w:left w:val="none" w:sz="0" w:space="0" w:color="auto"/>
        <w:bottom w:val="none" w:sz="0" w:space="0" w:color="auto"/>
        <w:right w:val="none" w:sz="0" w:space="0" w:color="auto"/>
      </w:divBdr>
    </w:div>
    <w:div w:id="93289587">
      <w:marLeft w:val="0"/>
      <w:marRight w:val="0"/>
      <w:marTop w:val="120"/>
      <w:marBottom w:val="120"/>
      <w:divBdr>
        <w:top w:val="none" w:sz="0" w:space="0" w:color="auto"/>
        <w:left w:val="none" w:sz="0" w:space="0" w:color="auto"/>
        <w:bottom w:val="none" w:sz="0" w:space="0" w:color="auto"/>
        <w:right w:val="none" w:sz="0" w:space="0" w:color="auto"/>
      </w:divBdr>
    </w:div>
    <w:div w:id="114645669">
      <w:marLeft w:val="0"/>
      <w:marRight w:val="0"/>
      <w:marTop w:val="0"/>
      <w:marBottom w:val="0"/>
      <w:divBdr>
        <w:top w:val="none" w:sz="0" w:space="0" w:color="auto"/>
        <w:left w:val="none" w:sz="0" w:space="0" w:color="auto"/>
        <w:bottom w:val="none" w:sz="0" w:space="0" w:color="auto"/>
        <w:right w:val="none" w:sz="0" w:space="0" w:color="auto"/>
      </w:divBdr>
      <w:divsChild>
        <w:div w:id="1823740169">
          <w:marLeft w:val="0"/>
          <w:marRight w:val="0"/>
          <w:marTop w:val="0"/>
          <w:marBottom w:val="0"/>
          <w:divBdr>
            <w:top w:val="none" w:sz="0" w:space="0" w:color="auto"/>
            <w:left w:val="none" w:sz="0" w:space="0" w:color="auto"/>
            <w:bottom w:val="none" w:sz="0" w:space="0" w:color="auto"/>
            <w:right w:val="none" w:sz="0" w:space="0" w:color="auto"/>
          </w:divBdr>
        </w:div>
      </w:divsChild>
    </w:div>
    <w:div w:id="123931648">
      <w:marLeft w:val="0"/>
      <w:marRight w:val="0"/>
      <w:marTop w:val="0"/>
      <w:marBottom w:val="0"/>
      <w:divBdr>
        <w:top w:val="none" w:sz="0" w:space="0" w:color="auto"/>
        <w:left w:val="none" w:sz="0" w:space="0" w:color="auto"/>
        <w:bottom w:val="none" w:sz="0" w:space="0" w:color="auto"/>
        <w:right w:val="none" w:sz="0" w:space="0" w:color="auto"/>
      </w:divBdr>
    </w:div>
    <w:div w:id="130095276">
      <w:marLeft w:val="0"/>
      <w:marRight w:val="0"/>
      <w:marTop w:val="0"/>
      <w:marBottom w:val="0"/>
      <w:divBdr>
        <w:top w:val="none" w:sz="0" w:space="0" w:color="auto"/>
        <w:left w:val="none" w:sz="0" w:space="0" w:color="auto"/>
        <w:bottom w:val="none" w:sz="0" w:space="0" w:color="auto"/>
        <w:right w:val="none" w:sz="0" w:space="0" w:color="auto"/>
      </w:divBdr>
    </w:div>
    <w:div w:id="134875752">
      <w:marLeft w:val="0"/>
      <w:marRight w:val="0"/>
      <w:marTop w:val="0"/>
      <w:marBottom w:val="0"/>
      <w:divBdr>
        <w:top w:val="none" w:sz="0" w:space="0" w:color="auto"/>
        <w:left w:val="none" w:sz="0" w:space="0" w:color="auto"/>
        <w:bottom w:val="none" w:sz="0" w:space="0" w:color="auto"/>
        <w:right w:val="none" w:sz="0" w:space="0" w:color="auto"/>
      </w:divBdr>
    </w:div>
    <w:div w:id="140927658">
      <w:marLeft w:val="0"/>
      <w:marRight w:val="0"/>
      <w:marTop w:val="0"/>
      <w:marBottom w:val="0"/>
      <w:divBdr>
        <w:top w:val="none" w:sz="0" w:space="0" w:color="auto"/>
        <w:left w:val="none" w:sz="0" w:space="0" w:color="auto"/>
        <w:bottom w:val="none" w:sz="0" w:space="0" w:color="auto"/>
        <w:right w:val="none" w:sz="0" w:space="0" w:color="auto"/>
      </w:divBdr>
    </w:div>
    <w:div w:id="153491782">
      <w:marLeft w:val="0"/>
      <w:marRight w:val="0"/>
      <w:marTop w:val="0"/>
      <w:marBottom w:val="0"/>
      <w:divBdr>
        <w:top w:val="none" w:sz="0" w:space="0" w:color="auto"/>
        <w:left w:val="none" w:sz="0" w:space="0" w:color="auto"/>
        <w:bottom w:val="none" w:sz="0" w:space="0" w:color="auto"/>
        <w:right w:val="none" w:sz="0" w:space="0" w:color="auto"/>
      </w:divBdr>
    </w:div>
    <w:div w:id="162160739">
      <w:marLeft w:val="0"/>
      <w:marRight w:val="0"/>
      <w:marTop w:val="0"/>
      <w:marBottom w:val="0"/>
      <w:divBdr>
        <w:top w:val="none" w:sz="0" w:space="0" w:color="auto"/>
        <w:left w:val="none" w:sz="0" w:space="0" w:color="auto"/>
        <w:bottom w:val="none" w:sz="0" w:space="0" w:color="auto"/>
        <w:right w:val="none" w:sz="0" w:space="0" w:color="auto"/>
      </w:divBdr>
    </w:div>
    <w:div w:id="163328290">
      <w:marLeft w:val="0"/>
      <w:marRight w:val="0"/>
      <w:marTop w:val="0"/>
      <w:marBottom w:val="0"/>
      <w:divBdr>
        <w:top w:val="none" w:sz="0" w:space="0" w:color="auto"/>
        <w:left w:val="none" w:sz="0" w:space="0" w:color="auto"/>
        <w:bottom w:val="none" w:sz="0" w:space="0" w:color="auto"/>
        <w:right w:val="none" w:sz="0" w:space="0" w:color="auto"/>
      </w:divBdr>
      <w:divsChild>
        <w:div w:id="1146122285">
          <w:marLeft w:val="0"/>
          <w:marRight w:val="0"/>
          <w:marTop w:val="0"/>
          <w:marBottom w:val="0"/>
          <w:divBdr>
            <w:top w:val="none" w:sz="0" w:space="0" w:color="auto"/>
            <w:left w:val="none" w:sz="0" w:space="0" w:color="auto"/>
            <w:bottom w:val="none" w:sz="0" w:space="0" w:color="auto"/>
            <w:right w:val="none" w:sz="0" w:space="0" w:color="auto"/>
          </w:divBdr>
        </w:div>
      </w:divsChild>
    </w:div>
    <w:div w:id="174543434">
      <w:marLeft w:val="0"/>
      <w:marRight w:val="0"/>
      <w:marTop w:val="0"/>
      <w:marBottom w:val="0"/>
      <w:divBdr>
        <w:top w:val="none" w:sz="0" w:space="0" w:color="auto"/>
        <w:left w:val="none" w:sz="0" w:space="0" w:color="auto"/>
        <w:bottom w:val="none" w:sz="0" w:space="0" w:color="auto"/>
        <w:right w:val="none" w:sz="0" w:space="0" w:color="auto"/>
      </w:divBdr>
    </w:div>
    <w:div w:id="205800107">
      <w:marLeft w:val="0"/>
      <w:marRight w:val="0"/>
      <w:marTop w:val="0"/>
      <w:marBottom w:val="0"/>
      <w:divBdr>
        <w:top w:val="none" w:sz="0" w:space="0" w:color="auto"/>
        <w:left w:val="none" w:sz="0" w:space="0" w:color="auto"/>
        <w:bottom w:val="none" w:sz="0" w:space="0" w:color="auto"/>
        <w:right w:val="none" w:sz="0" w:space="0" w:color="auto"/>
      </w:divBdr>
    </w:div>
    <w:div w:id="212085379">
      <w:marLeft w:val="0"/>
      <w:marRight w:val="0"/>
      <w:marTop w:val="0"/>
      <w:marBottom w:val="0"/>
      <w:divBdr>
        <w:top w:val="none" w:sz="0" w:space="0" w:color="auto"/>
        <w:left w:val="none" w:sz="0" w:space="0" w:color="auto"/>
        <w:bottom w:val="none" w:sz="0" w:space="0" w:color="auto"/>
        <w:right w:val="none" w:sz="0" w:space="0" w:color="auto"/>
      </w:divBdr>
    </w:div>
    <w:div w:id="247005362">
      <w:marLeft w:val="0"/>
      <w:marRight w:val="0"/>
      <w:marTop w:val="0"/>
      <w:marBottom w:val="0"/>
      <w:divBdr>
        <w:top w:val="none" w:sz="0" w:space="0" w:color="auto"/>
        <w:left w:val="none" w:sz="0" w:space="0" w:color="auto"/>
        <w:bottom w:val="none" w:sz="0" w:space="0" w:color="auto"/>
        <w:right w:val="none" w:sz="0" w:space="0" w:color="auto"/>
      </w:divBdr>
    </w:div>
    <w:div w:id="252668789">
      <w:marLeft w:val="0"/>
      <w:marRight w:val="0"/>
      <w:marTop w:val="0"/>
      <w:marBottom w:val="0"/>
      <w:divBdr>
        <w:top w:val="none" w:sz="0" w:space="0" w:color="auto"/>
        <w:left w:val="none" w:sz="0" w:space="0" w:color="auto"/>
        <w:bottom w:val="none" w:sz="0" w:space="0" w:color="auto"/>
        <w:right w:val="none" w:sz="0" w:space="0" w:color="auto"/>
      </w:divBdr>
      <w:divsChild>
        <w:div w:id="1711605991">
          <w:marLeft w:val="0"/>
          <w:marRight w:val="0"/>
          <w:marTop w:val="0"/>
          <w:marBottom w:val="0"/>
          <w:divBdr>
            <w:top w:val="none" w:sz="0" w:space="0" w:color="auto"/>
            <w:left w:val="none" w:sz="0" w:space="0" w:color="auto"/>
            <w:bottom w:val="none" w:sz="0" w:space="0" w:color="auto"/>
            <w:right w:val="none" w:sz="0" w:space="0" w:color="auto"/>
          </w:divBdr>
        </w:div>
      </w:divsChild>
    </w:div>
    <w:div w:id="271009853">
      <w:marLeft w:val="0"/>
      <w:marRight w:val="0"/>
      <w:marTop w:val="0"/>
      <w:marBottom w:val="0"/>
      <w:divBdr>
        <w:top w:val="none" w:sz="0" w:space="0" w:color="auto"/>
        <w:left w:val="none" w:sz="0" w:space="0" w:color="auto"/>
        <w:bottom w:val="none" w:sz="0" w:space="0" w:color="auto"/>
        <w:right w:val="none" w:sz="0" w:space="0" w:color="auto"/>
      </w:divBdr>
    </w:div>
    <w:div w:id="299772983">
      <w:marLeft w:val="0"/>
      <w:marRight w:val="0"/>
      <w:marTop w:val="0"/>
      <w:marBottom w:val="0"/>
      <w:divBdr>
        <w:top w:val="none" w:sz="0" w:space="0" w:color="auto"/>
        <w:left w:val="none" w:sz="0" w:space="0" w:color="auto"/>
        <w:bottom w:val="none" w:sz="0" w:space="0" w:color="auto"/>
        <w:right w:val="none" w:sz="0" w:space="0" w:color="auto"/>
      </w:divBdr>
    </w:div>
    <w:div w:id="302582943">
      <w:marLeft w:val="0"/>
      <w:marRight w:val="0"/>
      <w:marTop w:val="0"/>
      <w:marBottom w:val="0"/>
      <w:divBdr>
        <w:top w:val="none" w:sz="0" w:space="0" w:color="auto"/>
        <w:left w:val="none" w:sz="0" w:space="0" w:color="auto"/>
        <w:bottom w:val="none" w:sz="0" w:space="0" w:color="auto"/>
        <w:right w:val="none" w:sz="0" w:space="0" w:color="auto"/>
      </w:divBdr>
    </w:div>
    <w:div w:id="315960969">
      <w:marLeft w:val="0"/>
      <w:marRight w:val="0"/>
      <w:marTop w:val="0"/>
      <w:marBottom w:val="0"/>
      <w:divBdr>
        <w:top w:val="none" w:sz="0" w:space="0" w:color="auto"/>
        <w:left w:val="none" w:sz="0" w:space="0" w:color="auto"/>
        <w:bottom w:val="none" w:sz="0" w:space="0" w:color="auto"/>
        <w:right w:val="none" w:sz="0" w:space="0" w:color="auto"/>
      </w:divBdr>
    </w:div>
    <w:div w:id="317392015">
      <w:marLeft w:val="0"/>
      <w:marRight w:val="0"/>
      <w:marTop w:val="0"/>
      <w:marBottom w:val="0"/>
      <w:divBdr>
        <w:top w:val="none" w:sz="0" w:space="0" w:color="auto"/>
        <w:left w:val="none" w:sz="0" w:space="0" w:color="auto"/>
        <w:bottom w:val="none" w:sz="0" w:space="0" w:color="auto"/>
        <w:right w:val="none" w:sz="0" w:space="0" w:color="auto"/>
      </w:divBdr>
    </w:div>
    <w:div w:id="318578103">
      <w:marLeft w:val="0"/>
      <w:marRight w:val="0"/>
      <w:marTop w:val="0"/>
      <w:marBottom w:val="0"/>
      <w:divBdr>
        <w:top w:val="none" w:sz="0" w:space="0" w:color="auto"/>
        <w:left w:val="none" w:sz="0" w:space="0" w:color="auto"/>
        <w:bottom w:val="none" w:sz="0" w:space="0" w:color="auto"/>
        <w:right w:val="none" w:sz="0" w:space="0" w:color="auto"/>
      </w:divBdr>
      <w:divsChild>
        <w:div w:id="48918136">
          <w:marLeft w:val="0"/>
          <w:marRight w:val="0"/>
          <w:marTop w:val="0"/>
          <w:marBottom w:val="0"/>
          <w:divBdr>
            <w:top w:val="none" w:sz="0" w:space="0" w:color="auto"/>
            <w:left w:val="none" w:sz="0" w:space="0" w:color="auto"/>
            <w:bottom w:val="none" w:sz="0" w:space="0" w:color="auto"/>
            <w:right w:val="none" w:sz="0" w:space="0" w:color="auto"/>
          </w:divBdr>
        </w:div>
      </w:divsChild>
    </w:div>
    <w:div w:id="324086693">
      <w:marLeft w:val="0"/>
      <w:marRight w:val="0"/>
      <w:marTop w:val="0"/>
      <w:marBottom w:val="0"/>
      <w:divBdr>
        <w:top w:val="none" w:sz="0" w:space="0" w:color="auto"/>
        <w:left w:val="none" w:sz="0" w:space="0" w:color="auto"/>
        <w:bottom w:val="none" w:sz="0" w:space="0" w:color="auto"/>
        <w:right w:val="none" w:sz="0" w:space="0" w:color="auto"/>
      </w:divBdr>
      <w:divsChild>
        <w:div w:id="823006737">
          <w:marLeft w:val="0"/>
          <w:marRight w:val="0"/>
          <w:marTop w:val="0"/>
          <w:marBottom w:val="0"/>
          <w:divBdr>
            <w:top w:val="none" w:sz="0" w:space="0" w:color="auto"/>
            <w:left w:val="none" w:sz="0" w:space="0" w:color="auto"/>
            <w:bottom w:val="none" w:sz="0" w:space="0" w:color="auto"/>
            <w:right w:val="none" w:sz="0" w:space="0" w:color="auto"/>
          </w:divBdr>
        </w:div>
      </w:divsChild>
    </w:div>
    <w:div w:id="341399017">
      <w:marLeft w:val="0"/>
      <w:marRight w:val="0"/>
      <w:marTop w:val="0"/>
      <w:marBottom w:val="0"/>
      <w:divBdr>
        <w:top w:val="none" w:sz="0" w:space="0" w:color="auto"/>
        <w:left w:val="none" w:sz="0" w:space="0" w:color="auto"/>
        <w:bottom w:val="none" w:sz="0" w:space="0" w:color="auto"/>
        <w:right w:val="none" w:sz="0" w:space="0" w:color="auto"/>
      </w:divBdr>
    </w:div>
    <w:div w:id="357316123">
      <w:marLeft w:val="0"/>
      <w:marRight w:val="0"/>
      <w:marTop w:val="0"/>
      <w:marBottom w:val="0"/>
      <w:divBdr>
        <w:top w:val="none" w:sz="0" w:space="0" w:color="auto"/>
        <w:left w:val="none" w:sz="0" w:space="0" w:color="auto"/>
        <w:bottom w:val="none" w:sz="0" w:space="0" w:color="auto"/>
        <w:right w:val="none" w:sz="0" w:space="0" w:color="auto"/>
      </w:divBdr>
    </w:div>
    <w:div w:id="359817156">
      <w:marLeft w:val="0"/>
      <w:marRight w:val="0"/>
      <w:marTop w:val="0"/>
      <w:marBottom w:val="0"/>
      <w:divBdr>
        <w:top w:val="none" w:sz="0" w:space="0" w:color="auto"/>
        <w:left w:val="none" w:sz="0" w:space="0" w:color="auto"/>
        <w:bottom w:val="none" w:sz="0" w:space="0" w:color="auto"/>
        <w:right w:val="none" w:sz="0" w:space="0" w:color="auto"/>
      </w:divBdr>
      <w:divsChild>
        <w:div w:id="36469662">
          <w:marLeft w:val="0"/>
          <w:marRight w:val="0"/>
          <w:marTop w:val="0"/>
          <w:marBottom w:val="0"/>
          <w:divBdr>
            <w:top w:val="none" w:sz="0" w:space="0" w:color="auto"/>
            <w:left w:val="none" w:sz="0" w:space="0" w:color="auto"/>
            <w:bottom w:val="none" w:sz="0" w:space="0" w:color="auto"/>
            <w:right w:val="none" w:sz="0" w:space="0" w:color="auto"/>
          </w:divBdr>
        </w:div>
      </w:divsChild>
    </w:div>
    <w:div w:id="360783454">
      <w:marLeft w:val="0"/>
      <w:marRight w:val="0"/>
      <w:marTop w:val="0"/>
      <w:marBottom w:val="0"/>
      <w:divBdr>
        <w:top w:val="none" w:sz="0" w:space="0" w:color="auto"/>
        <w:left w:val="none" w:sz="0" w:space="0" w:color="auto"/>
        <w:bottom w:val="none" w:sz="0" w:space="0" w:color="auto"/>
        <w:right w:val="none" w:sz="0" w:space="0" w:color="auto"/>
      </w:divBdr>
      <w:divsChild>
        <w:div w:id="66154548">
          <w:marLeft w:val="0"/>
          <w:marRight w:val="0"/>
          <w:marTop w:val="0"/>
          <w:marBottom w:val="0"/>
          <w:divBdr>
            <w:top w:val="none" w:sz="0" w:space="0" w:color="auto"/>
            <w:left w:val="none" w:sz="0" w:space="0" w:color="auto"/>
            <w:bottom w:val="none" w:sz="0" w:space="0" w:color="auto"/>
            <w:right w:val="none" w:sz="0" w:space="0" w:color="auto"/>
          </w:divBdr>
        </w:div>
      </w:divsChild>
    </w:div>
    <w:div w:id="367533676">
      <w:marLeft w:val="0"/>
      <w:marRight w:val="0"/>
      <w:marTop w:val="0"/>
      <w:marBottom w:val="0"/>
      <w:divBdr>
        <w:top w:val="none" w:sz="0" w:space="0" w:color="auto"/>
        <w:left w:val="none" w:sz="0" w:space="0" w:color="auto"/>
        <w:bottom w:val="none" w:sz="0" w:space="0" w:color="auto"/>
        <w:right w:val="none" w:sz="0" w:space="0" w:color="auto"/>
      </w:divBdr>
    </w:div>
    <w:div w:id="371925667">
      <w:marLeft w:val="0"/>
      <w:marRight w:val="0"/>
      <w:marTop w:val="0"/>
      <w:marBottom w:val="0"/>
      <w:divBdr>
        <w:top w:val="none" w:sz="0" w:space="0" w:color="auto"/>
        <w:left w:val="none" w:sz="0" w:space="0" w:color="auto"/>
        <w:bottom w:val="none" w:sz="0" w:space="0" w:color="auto"/>
        <w:right w:val="none" w:sz="0" w:space="0" w:color="auto"/>
      </w:divBdr>
      <w:divsChild>
        <w:div w:id="358512622">
          <w:marLeft w:val="0"/>
          <w:marRight w:val="0"/>
          <w:marTop w:val="0"/>
          <w:marBottom w:val="0"/>
          <w:divBdr>
            <w:top w:val="none" w:sz="0" w:space="0" w:color="auto"/>
            <w:left w:val="none" w:sz="0" w:space="0" w:color="auto"/>
            <w:bottom w:val="none" w:sz="0" w:space="0" w:color="auto"/>
            <w:right w:val="none" w:sz="0" w:space="0" w:color="auto"/>
          </w:divBdr>
        </w:div>
      </w:divsChild>
    </w:div>
    <w:div w:id="389427376">
      <w:marLeft w:val="0"/>
      <w:marRight w:val="0"/>
      <w:marTop w:val="0"/>
      <w:marBottom w:val="0"/>
      <w:divBdr>
        <w:top w:val="none" w:sz="0" w:space="0" w:color="auto"/>
        <w:left w:val="none" w:sz="0" w:space="0" w:color="auto"/>
        <w:bottom w:val="none" w:sz="0" w:space="0" w:color="auto"/>
        <w:right w:val="none" w:sz="0" w:space="0" w:color="auto"/>
      </w:divBdr>
      <w:divsChild>
        <w:div w:id="1039431322">
          <w:marLeft w:val="0"/>
          <w:marRight w:val="0"/>
          <w:marTop w:val="0"/>
          <w:marBottom w:val="0"/>
          <w:divBdr>
            <w:top w:val="none" w:sz="0" w:space="0" w:color="auto"/>
            <w:left w:val="none" w:sz="0" w:space="0" w:color="auto"/>
            <w:bottom w:val="none" w:sz="0" w:space="0" w:color="auto"/>
            <w:right w:val="none" w:sz="0" w:space="0" w:color="auto"/>
          </w:divBdr>
        </w:div>
      </w:divsChild>
    </w:div>
    <w:div w:id="400710496">
      <w:marLeft w:val="0"/>
      <w:marRight w:val="0"/>
      <w:marTop w:val="0"/>
      <w:marBottom w:val="0"/>
      <w:divBdr>
        <w:top w:val="none" w:sz="0" w:space="0" w:color="auto"/>
        <w:left w:val="none" w:sz="0" w:space="0" w:color="auto"/>
        <w:bottom w:val="none" w:sz="0" w:space="0" w:color="auto"/>
        <w:right w:val="none" w:sz="0" w:space="0" w:color="auto"/>
      </w:divBdr>
    </w:div>
    <w:div w:id="404185389">
      <w:marLeft w:val="0"/>
      <w:marRight w:val="0"/>
      <w:marTop w:val="0"/>
      <w:marBottom w:val="0"/>
      <w:divBdr>
        <w:top w:val="none" w:sz="0" w:space="0" w:color="auto"/>
        <w:left w:val="none" w:sz="0" w:space="0" w:color="auto"/>
        <w:bottom w:val="none" w:sz="0" w:space="0" w:color="auto"/>
        <w:right w:val="none" w:sz="0" w:space="0" w:color="auto"/>
      </w:divBdr>
      <w:divsChild>
        <w:div w:id="987590414">
          <w:marLeft w:val="0"/>
          <w:marRight w:val="0"/>
          <w:marTop w:val="0"/>
          <w:marBottom w:val="0"/>
          <w:divBdr>
            <w:top w:val="none" w:sz="0" w:space="0" w:color="auto"/>
            <w:left w:val="none" w:sz="0" w:space="0" w:color="auto"/>
            <w:bottom w:val="none" w:sz="0" w:space="0" w:color="auto"/>
            <w:right w:val="none" w:sz="0" w:space="0" w:color="auto"/>
          </w:divBdr>
        </w:div>
      </w:divsChild>
    </w:div>
    <w:div w:id="404886228">
      <w:marLeft w:val="0"/>
      <w:marRight w:val="0"/>
      <w:marTop w:val="0"/>
      <w:marBottom w:val="0"/>
      <w:divBdr>
        <w:top w:val="none" w:sz="0" w:space="0" w:color="auto"/>
        <w:left w:val="none" w:sz="0" w:space="0" w:color="auto"/>
        <w:bottom w:val="none" w:sz="0" w:space="0" w:color="auto"/>
        <w:right w:val="none" w:sz="0" w:space="0" w:color="auto"/>
      </w:divBdr>
      <w:divsChild>
        <w:div w:id="871964374">
          <w:marLeft w:val="0"/>
          <w:marRight w:val="0"/>
          <w:marTop w:val="0"/>
          <w:marBottom w:val="0"/>
          <w:divBdr>
            <w:top w:val="none" w:sz="0" w:space="0" w:color="auto"/>
            <w:left w:val="none" w:sz="0" w:space="0" w:color="auto"/>
            <w:bottom w:val="none" w:sz="0" w:space="0" w:color="auto"/>
            <w:right w:val="none" w:sz="0" w:space="0" w:color="auto"/>
          </w:divBdr>
        </w:div>
      </w:divsChild>
    </w:div>
    <w:div w:id="427435171">
      <w:marLeft w:val="0"/>
      <w:marRight w:val="0"/>
      <w:marTop w:val="0"/>
      <w:marBottom w:val="0"/>
      <w:divBdr>
        <w:top w:val="none" w:sz="0" w:space="0" w:color="auto"/>
        <w:left w:val="none" w:sz="0" w:space="0" w:color="auto"/>
        <w:bottom w:val="none" w:sz="0" w:space="0" w:color="auto"/>
        <w:right w:val="none" w:sz="0" w:space="0" w:color="auto"/>
      </w:divBdr>
    </w:div>
    <w:div w:id="440493761">
      <w:marLeft w:val="0"/>
      <w:marRight w:val="0"/>
      <w:marTop w:val="0"/>
      <w:marBottom w:val="0"/>
      <w:divBdr>
        <w:top w:val="none" w:sz="0" w:space="0" w:color="auto"/>
        <w:left w:val="none" w:sz="0" w:space="0" w:color="auto"/>
        <w:bottom w:val="none" w:sz="0" w:space="0" w:color="auto"/>
        <w:right w:val="none" w:sz="0" w:space="0" w:color="auto"/>
      </w:divBdr>
      <w:divsChild>
        <w:div w:id="1956670062">
          <w:marLeft w:val="0"/>
          <w:marRight w:val="0"/>
          <w:marTop w:val="0"/>
          <w:marBottom w:val="0"/>
          <w:divBdr>
            <w:top w:val="none" w:sz="0" w:space="0" w:color="auto"/>
            <w:left w:val="none" w:sz="0" w:space="0" w:color="auto"/>
            <w:bottom w:val="none" w:sz="0" w:space="0" w:color="auto"/>
            <w:right w:val="none" w:sz="0" w:space="0" w:color="auto"/>
          </w:divBdr>
        </w:div>
      </w:divsChild>
    </w:div>
    <w:div w:id="462428806">
      <w:marLeft w:val="0"/>
      <w:marRight w:val="0"/>
      <w:marTop w:val="0"/>
      <w:marBottom w:val="0"/>
      <w:divBdr>
        <w:top w:val="none" w:sz="0" w:space="0" w:color="auto"/>
        <w:left w:val="none" w:sz="0" w:space="0" w:color="auto"/>
        <w:bottom w:val="none" w:sz="0" w:space="0" w:color="auto"/>
        <w:right w:val="none" w:sz="0" w:space="0" w:color="auto"/>
      </w:divBdr>
    </w:div>
    <w:div w:id="477963608">
      <w:marLeft w:val="0"/>
      <w:marRight w:val="0"/>
      <w:marTop w:val="0"/>
      <w:marBottom w:val="0"/>
      <w:divBdr>
        <w:top w:val="none" w:sz="0" w:space="0" w:color="auto"/>
        <w:left w:val="none" w:sz="0" w:space="0" w:color="auto"/>
        <w:bottom w:val="none" w:sz="0" w:space="0" w:color="auto"/>
        <w:right w:val="none" w:sz="0" w:space="0" w:color="auto"/>
      </w:divBdr>
    </w:div>
    <w:div w:id="490297330">
      <w:marLeft w:val="0"/>
      <w:marRight w:val="0"/>
      <w:marTop w:val="0"/>
      <w:marBottom w:val="0"/>
      <w:divBdr>
        <w:top w:val="none" w:sz="0" w:space="0" w:color="auto"/>
        <w:left w:val="none" w:sz="0" w:space="0" w:color="auto"/>
        <w:bottom w:val="none" w:sz="0" w:space="0" w:color="auto"/>
        <w:right w:val="none" w:sz="0" w:space="0" w:color="auto"/>
      </w:divBdr>
      <w:divsChild>
        <w:div w:id="1375231780">
          <w:marLeft w:val="0"/>
          <w:marRight w:val="0"/>
          <w:marTop w:val="0"/>
          <w:marBottom w:val="0"/>
          <w:divBdr>
            <w:top w:val="none" w:sz="0" w:space="0" w:color="auto"/>
            <w:left w:val="none" w:sz="0" w:space="0" w:color="auto"/>
            <w:bottom w:val="none" w:sz="0" w:space="0" w:color="auto"/>
            <w:right w:val="none" w:sz="0" w:space="0" w:color="auto"/>
          </w:divBdr>
        </w:div>
      </w:divsChild>
    </w:div>
    <w:div w:id="499125745">
      <w:marLeft w:val="0"/>
      <w:marRight w:val="0"/>
      <w:marTop w:val="0"/>
      <w:marBottom w:val="0"/>
      <w:divBdr>
        <w:top w:val="none" w:sz="0" w:space="0" w:color="auto"/>
        <w:left w:val="none" w:sz="0" w:space="0" w:color="auto"/>
        <w:bottom w:val="none" w:sz="0" w:space="0" w:color="auto"/>
        <w:right w:val="none" w:sz="0" w:space="0" w:color="auto"/>
      </w:divBdr>
    </w:div>
    <w:div w:id="500198274">
      <w:marLeft w:val="0"/>
      <w:marRight w:val="0"/>
      <w:marTop w:val="0"/>
      <w:marBottom w:val="0"/>
      <w:divBdr>
        <w:top w:val="none" w:sz="0" w:space="0" w:color="auto"/>
        <w:left w:val="none" w:sz="0" w:space="0" w:color="auto"/>
        <w:bottom w:val="none" w:sz="0" w:space="0" w:color="auto"/>
        <w:right w:val="none" w:sz="0" w:space="0" w:color="auto"/>
      </w:divBdr>
      <w:divsChild>
        <w:div w:id="1007174972">
          <w:marLeft w:val="0"/>
          <w:marRight w:val="0"/>
          <w:marTop w:val="0"/>
          <w:marBottom w:val="0"/>
          <w:divBdr>
            <w:top w:val="none" w:sz="0" w:space="0" w:color="auto"/>
            <w:left w:val="none" w:sz="0" w:space="0" w:color="auto"/>
            <w:bottom w:val="none" w:sz="0" w:space="0" w:color="auto"/>
            <w:right w:val="none" w:sz="0" w:space="0" w:color="auto"/>
          </w:divBdr>
        </w:div>
      </w:divsChild>
    </w:div>
    <w:div w:id="504712009">
      <w:marLeft w:val="0"/>
      <w:marRight w:val="0"/>
      <w:marTop w:val="0"/>
      <w:marBottom w:val="0"/>
      <w:divBdr>
        <w:top w:val="none" w:sz="0" w:space="0" w:color="auto"/>
        <w:left w:val="none" w:sz="0" w:space="0" w:color="auto"/>
        <w:bottom w:val="none" w:sz="0" w:space="0" w:color="auto"/>
        <w:right w:val="none" w:sz="0" w:space="0" w:color="auto"/>
      </w:divBdr>
    </w:div>
    <w:div w:id="510335684">
      <w:marLeft w:val="0"/>
      <w:marRight w:val="0"/>
      <w:marTop w:val="0"/>
      <w:marBottom w:val="0"/>
      <w:divBdr>
        <w:top w:val="none" w:sz="0" w:space="0" w:color="auto"/>
        <w:left w:val="none" w:sz="0" w:space="0" w:color="auto"/>
        <w:bottom w:val="none" w:sz="0" w:space="0" w:color="auto"/>
        <w:right w:val="none" w:sz="0" w:space="0" w:color="auto"/>
      </w:divBdr>
      <w:divsChild>
        <w:div w:id="147288389">
          <w:marLeft w:val="0"/>
          <w:marRight w:val="0"/>
          <w:marTop w:val="0"/>
          <w:marBottom w:val="0"/>
          <w:divBdr>
            <w:top w:val="none" w:sz="0" w:space="0" w:color="auto"/>
            <w:left w:val="none" w:sz="0" w:space="0" w:color="auto"/>
            <w:bottom w:val="none" w:sz="0" w:space="0" w:color="auto"/>
            <w:right w:val="none" w:sz="0" w:space="0" w:color="auto"/>
          </w:divBdr>
        </w:div>
      </w:divsChild>
    </w:div>
    <w:div w:id="537475930">
      <w:marLeft w:val="0"/>
      <w:marRight w:val="0"/>
      <w:marTop w:val="0"/>
      <w:marBottom w:val="0"/>
      <w:divBdr>
        <w:top w:val="none" w:sz="0" w:space="0" w:color="auto"/>
        <w:left w:val="none" w:sz="0" w:space="0" w:color="auto"/>
        <w:bottom w:val="none" w:sz="0" w:space="0" w:color="auto"/>
        <w:right w:val="none" w:sz="0" w:space="0" w:color="auto"/>
      </w:divBdr>
      <w:divsChild>
        <w:div w:id="278031515">
          <w:marLeft w:val="0"/>
          <w:marRight w:val="0"/>
          <w:marTop w:val="0"/>
          <w:marBottom w:val="0"/>
          <w:divBdr>
            <w:top w:val="none" w:sz="0" w:space="0" w:color="auto"/>
            <w:left w:val="none" w:sz="0" w:space="0" w:color="auto"/>
            <w:bottom w:val="none" w:sz="0" w:space="0" w:color="auto"/>
            <w:right w:val="none" w:sz="0" w:space="0" w:color="auto"/>
          </w:divBdr>
        </w:div>
      </w:divsChild>
    </w:div>
    <w:div w:id="539708654">
      <w:marLeft w:val="0"/>
      <w:marRight w:val="0"/>
      <w:marTop w:val="0"/>
      <w:marBottom w:val="0"/>
      <w:divBdr>
        <w:top w:val="none" w:sz="0" w:space="0" w:color="auto"/>
        <w:left w:val="none" w:sz="0" w:space="0" w:color="auto"/>
        <w:bottom w:val="none" w:sz="0" w:space="0" w:color="auto"/>
        <w:right w:val="none" w:sz="0" w:space="0" w:color="auto"/>
      </w:divBdr>
    </w:div>
    <w:div w:id="541403809">
      <w:marLeft w:val="0"/>
      <w:marRight w:val="0"/>
      <w:marTop w:val="0"/>
      <w:marBottom w:val="0"/>
      <w:divBdr>
        <w:top w:val="none" w:sz="0" w:space="0" w:color="auto"/>
        <w:left w:val="none" w:sz="0" w:space="0" w:color="auto"/>
        <w:bottom w:val="none" w:sz="0" w:space="0" w:color="auto"/>
        <w:right w:val="none" w:sz="0" w:space="0" w:color="auto"/>
      </w:divBdr>
    </w:div>
    <w:div w:id="589387158">
      <w:marLeft w:val="0"/>
      <w:marRight w:val="0"/>
      <w:marTop w:val="0"/>
      <w:marBottom w:val="0"/>
      <w:divBdr>
        <w:top w:val="none" w:sz="0" w:space="0" w:color="auto"/>
        <w:left w:val="none" w:sz="0" w:space="0" w:color="auto"/>
        <w:bottom w:val="none" w:sz="0" w:space="0" w:color="auto"/>
        <w:right w:val="none" w:sz="0" w:space="0" w:color="auto"/>
      </w:divBdr>
    </w:div>
    <w:div w:id="590819658">
      <w:marLeft w:val="0"/>
      <w:marRight w:val="0"/>
      <w:marTop w:val="0"/>
      <w:marBottom w:val="0"/>
      <w:divBdr>
        <w:top w:val="none" w:sz="0" w:space="0" w:color="auto"/>
        <w:left w:val="none" w:sz="0" w:space="0" w:color="auto"/>
        <w:bottom w:val="none" w:sz="0" w:space="0" w:color="auto"/>
        <w:right w:val="none" w:sz="0" w:space="0" w:color="auto"/>
      </w:divBdr>
    </w:div>
    <w:div w:id="604384050">
      <w:marLeft w:val="0"/>
      <w:marRight w:val="0"/>
      <w:marTop w:val="0"/>
      <w:marBottom w:val="0"/>
      <w:divBdr>
        <w:top w:val="none" w:sz="0" w:space="0" w:color="auto"/>
        <w:left w:val="none" w:sz="0" w:space="0" w:color="auto"/>
        <w:bottom w:val="none" w:sz="0" w:space="0" w:color="auto"/>
        <w:right w:val="none" w:sz="0" w:space="0" w:color="auto"/>
      </w:divBdr>
    </w:div>
    <w:div w:id="608584812">
      <w:marLeft w:val="0"/>
      <w:marRight w:val="0"/>
      <w:marTop w:val="0"/>
      <w:marBottom w:val="0"/>
      <w:divBdr>
        <w:top w:val="none" w:sz="0" w:space="0" w:color="auto"/>
        <w:left w:val="none" w:sz="0" w:space="0" w:color="auto"/>
        <w:bottom w:val="none" w:sz="0" w:space="0" w:color="auto"/>
        <w:right w:val="none" w:sz="0" w:space="0" w:color="auto"/>
      </w:divBdr>
    </w:div>
    <w:div w:id="611786099">
      <w:marLeft w:val="0"/>
      <w:marRight w:val="0"/>
      <w:marTop w:val="0"/>
      <w:marBottom w:val="0"/>
      <w:divBdr>
        <w:top w:val="none" w:sz="0" w:space="0" w:color="auto"/>
        <w:left w:val="none" w:sz="0" w:space="0" w:color="auto"/>
        <w:bottom w:val="none" w:sz="0" w:space="0" w:color="auto"/>
        <w:right w:val="none" w:sz="0" w:space="0" w:color="auto"/>
      </w:divBdr>
      <w:divsChild>
        <w:div w:id="1629974864">
          <w:marLeft w:val="0"/>
          <w:marRight w:val="0"/>
          <w:marTop w:val="0"/>
          <w:marBottom w:val="0"/>
          <w:divBdr>
            <w:top w:val="none" w:sz="0" w:space="0" w:color="auto"/>
            <w:left w:val="none" w:sz="0" w:space="0" w:color="auto"/>
            <w:bottom w:val="none" w:sz="0" w:space="0" w:color="auto"/>
            <w:right w:val="none" w:sz="0" w:space="0" w:color="auto"/>
          </w:divBdr>
        </w:div>
      </w:divsChild>
    </w:div>
    <w:div w:id="634331928">
      <w:marLeft w:val="0"/>
      <w:marRight w:val="0"/>
      <w:marTop w:val="0"/>
      <w:marBottom w:val="0"/>
      <w:divBdr>
        <w:top w:val="none" w:sz="0" w:space="0" w:color="auto"/>
        <w:left w:val="none" w:sz="0" w:space="0" w:color="auto"/>
        <w:bottom w:val="none" w:sz="0" w:space="0" w:color="auto"/>
        <w:right w:val="none" w:sz="0" w:space="0" w:color="auto"/>
      </w:divBdr>
      <w:divsChild>
        <w:div w:id="1156646139">
          <w:marLeft w:val="0"/>
          <w:marRight w:val="0"/>
          <w:marTop w:val="0"/>
          <w:marBottom w:val="0"/>
          <w:divBdr>
            <w:top w:val="none" w:sz="0" w:space="0" w:color="auto"/>
            <w:left w:val="none" w:sz="0" w:space="0" w:color="auto"/>
            <w:bottom w:val="none" w:sz="0" w:space="0" w:color="auto"/>
            <w:right w:val="none" w:sz="0" w:space="0" w:color="auto"/>
          </w:divBdr>
        </w:div>
      </w:divsChild>
    </w:div>
    <w:div w:id="634718054">
      <w:marLeft w:val="0"/>
      <w:marRight w:val="0"/>
      <w:marTop w:val="0"/>
      <w:marBottom w:val="0"/>
      <w:divBdr>
        <w:top w:val="none" w:sz="0" w:space="0" w:color="auto"/>
        <w:left w:val="none" w:sz="0" w:space="0" w:color="auto"/>
        <w:bottom w:val="none" w:sz="0" w:space="0" w:color="auto"/>
        <w:right w:val="none" w:sz="0" w:space="0" w:color="auto"/>
      </w:divBdr>
    </w:div>
    <w:div w:id="634988000">
      <w:marLeft w:val="0"/>
      <w:marRight w:val="0"/>
      <w:marTop w:val="0"/>
      <w:marBottom w:val="0"/>
      <w:divBdr>
        <w:top w:val="none" w:sz="0" w:space="0" w:color="auto"/>
        <w:left w:val="none" w:sz="0" w:space="0" w:color="auto"/>
        <w:bottom w:val="none" w:sz="0" w:space="0" w:color="auto"/>
        <w:right w:val="none" w:sz="0" w:space="0" w:color="auto"/>
      </w:divBdr>
    </w:div>
    <w:div w:id="648170914">
      <w:marLeft w:val="0"/>
      <w:marRight w:val="0"/>
      <w:marTop w:val="0"/>
      <w:marBottom w:val="0"/>
      <w:divBdr>
        <w:top w:val="none" w:sz="0" w:space="0" w:color="auto"/>
        <w:left w:val="none" w:sz="0" w:space="0" w:color="auto"/>
        <w:bottom w:val="none" w:sz="0" w:space="0" w:color="auto"/>
        <w:right w:val="none" w:sz="0" w:space="0" w:color="auto"/>
      </w:divBdr>
    </w:div>
    <w:div w:id="663360103">
      <w:marLeft w:val="0"/>
      <w:marRight w:val="0"/>
      <w:marTop w:val="0"/>
      <w:marBottom w:val="0"/>
      <w:divBdr>
        <w:top w:val="none" w:sz="0" w:space="0" w:color="auto"/>
        <w:left w:val="none" w:sz="0" w:space="0" w:color="auto"/>
        <w:bottom w:val="none" w:sz="0" w:space="0" w:color="auto"/>
        <w:right w:val="none" w:sz="0" w:space="0" w:color="auto"/>
      </w:divBdr>
    </w:div>
    <w:div w:id="678122237">
      <w:marLeft w:val="0"/>
      <w:marRight w:val="0"/>
      <w:marTop w:val="0"/>
      <w:marBottom w:val="0"/>
      <w:divBdr>
        <w:top w:val="none" w:sz="0" w:space="0" w:color="auto"/>
        <w:left w:val="none" w:sz="0" w:space="0" w:color="auto"/>
        <w:bottom w:val="none" w:sz="0" w:space="0" w:color="auto"/>
        <w:right w:val="none" w:sz="0" w:space="0" w:color="auto"/>
      </w:divBdr>
    </w:div>
    <w:div w:id="678392205">
      <w:marLeft w:val="0"/>
      <w:marRight w:val="0"/>
      <w:marTop w:val="0"/>
      <w:marBottom w:val="0"/>
      <w:divBdr>
        <w:top w:val="none" w:sz="0" w:space="0" w:color="auto"/>
        <w:left w:val="none" w:sz="0" w:space="0" w:color="auto"/>
        <w:bottom w:val="none" w:sz="0" w:space="0" w:color="auto"/>
        <w:right w:val="none" w:sz="0" w:space="0" w:color="auto"/>
      </w:divBdr>
    </w:div>
    <w:div w:id="691300485">
      <w:marLeft w:val="0"/>
      <w:marRight w:val="0"/>
      <w:marTop w:val="0"/>
      <w:marBottom w:val="0"/>
      <w:divBdr>
        <w:top w:val="none" w:sz="0" w:space="0" w:color="auto"/>
        <w:left w:val="none" w:sz="0" w:space="0" w:color="auto"/>
        <w:bottom w:val="none" w:sz="0" w:space="0" w:color="auto"/>
        <w:right w:val="none" w:sz="0" w:space="0" w:color="auto"/>
      </w:divBdr>
    </w:div>
    <w:div w:id="694429319">
      <w:marLeft w:val="0"/>
      <w:marRight w:val="0"/>
      <w:marTop w:val="0"/>
      <w:marBottom w:val="0"/>
      <w:divBdr>
        <w:top w:val="none" w:sz="0" w:space="0" w:color="auto"/>
        <w:left w:val="none" w:sz="0" w:space="0" w:color="auto"/>
        <w:bottom w:val="none" w:sz="0" w:space="0" w:color="auto"/>
        <w:right w:val="none" w:sz="0" w:space="0" w:color="auto"/>
      </w:divBdr>
    </w:div>
    <w:div w:id="701636702">
      <w:marLeft w:val="0"/>
      <w:marRight w:val="0"/>
      <w:marTop w:val="0"/>
      <w:marBottom w:val="0"/>
      <w:divBdr>
        <w:top w:val="none" w:sz="0" w:space="0" w:color="auto"/>
        <w:left w:val="none" w:sz="0" w:space="0" w:color="auto"/>
        <w:bottom w:val="none" w:sz="0" w:space="0" w:color="auto"/>
        <w:right w:val="none" w:sz="0" w:space="0" w:color="auto"/>
      </w:divBdr>
    </w:div>
    <w:div w:id="711541246">
      <w:marLeft w:val="0"/>
      <w:marRight w:val="0"/>
      <w:marTop w:val="0"/>
      <w:marBottom w:val="0"/>
      <w:divBdr>
        <w:top w:val="none" w:sz="0" w:space="0" w:color="auto"/>
        <w:left w:val="none" w:sz="0" w:space="0" w:color="auto"/>
        <w:bottom w:val="none" w:sz="0" w:space="0" w:color="auto"/>
        <w:right w:val="none" w:sz="0" w:space="0" w:color="auto"/>
      </w:divBdr>
    </w:div>
    <w:div w:id="729116575">
      <w:marLeft w:val="0"/>
      <w:marRight w:val="0"/>
      <w:marTop w:val="0"/>
      <w:marBottom w:val="20"/>
      <w:divBdr>
        <w:top w:val="none" w:sz="0" w:space="0" w:color="auto"/>
        <w:left w:val="none" w:sz="0" w:space="0" w:color="auto"/>
        <w:bottom w:val="none" w:sz="0" w:space="0" w:color="auto"/>
        <w:right w:val="none" w:sz="0" w:space="0" w:color="auto"/>
      </w:divBdr>
    </w:div>
    <w:div w:id="734861286">
      <w:marLeft w:val="0"/>
      <w:marRight w:val="0"/>
      <w:marTop w:val="0"/>
      <w:marBottom w:val="0"/>
      <w:divBdr>
        <w:top w:val="none" w:sz="0" w:space="0" w:color="auto"/>
        <w:left w:val="none" w:sz="0" w:space="0" w:color="auto"/>
        <w:bottom w:val="none" w:sz="0" w:space="0" w:color="auto"/>
        <w:right w:val="none" w:sz="0" w:space="0" w:color="auto"/>
      </w:divBdr>
    </w:div>
    <w:div w:id="743718904">
      <w:marLeft w:val="0"/>
      <w:marRight w:val="0"/>
      <w:marTop w:val="0"/>
      <w:marBottom w:val="20"/>
      <w:divBdr>
        <w:top w:val="none" w:sz="0" w:space="0" w:color="auto"/>
        <w:left w:val="none" w:sz="0" w:space="0" w:color="auto"/>
        <w:bottom w:val="none" w:sz="0" w:space="0" w:color="auto"/>
        <w:right w:val="none" w:sz="0" w:space="0" w:color="auto"/>
      </w:divBdr>
    </w:div>
    <w:div w:id="755901607">
      <w:marLeft w:val="0"/>
      <w:marRight w:val="0"/>
      <w:marTop w:val="0"/>
      <w:marBottom w:val="0"/>
      <w:divBdr>
        <w:top w:val="none" w:sz="0" w:space="0" w:color="auto"/>
        <w:left w:val="none" w:sz="0" w:space="0" w:color="auto"/>
        <w:bottom w:val="none" w:sz="0" w:space="0" w:color="auto"/>
        <w:right w:val="none" w:sz="0" w:space="0" w:color="auto"/>
      </w:divBdr>
      <w:divsChild>
        <w:div w:id="1787115869">
          <w:marLeft w:val="0"/>
          <w:marRight w:val="0"/>
          <w:marTop w:val="0"/>
          <w:marBottom w:val="0"/>
          <w:divBdr>
            <w:top w:val="none" w:sz="0" w:space="0" w:color="auto"/>
            <w:left w:val="none" w:sz="0" w:space="0" w:color="auto"/>
            <w:bottom w:val="none" w:sz="0" w:space="0" w:color="auto"/>
            <w:right w:val="none" w:sz="0" w:space="0" w:color="auto"/>
          </w:divBdr>
        </w:div>
      </w:divsChild>
    </w:div>
    <w:div w:id="763382969">
      <w:marLeft w:val="0"/>
      <w:marRight w:val="0"/>
      <w:marTop w:val="0"/>
      <w:marBottom w:val="0"/>
      <w:divBdr>
        <w:top w:val="none" w:sz="0" w:space="0" w:color="auto"/>
        <w:left w:val="none" w:sz="0" w:space="0" w:color="auto"/>
        <w:bottom w:val="none" w:sz="0" w:space="0" w:color="auto"/>
        <w:right w:val="none" w:sz="0" w:space="0" w:color="auto"/>
      </w:divBdr>
      <w:divsChild>
        <w:div w:id="161700328">
          <w:marLeft w:val="0"/>
          <w:marRight w:val="0"/>
          <w:marTop w:val="0"/>
          <w:marBottom w:val="0"/>
          <w:divBdr>
            <w:top w:val="none" w:sz="0" w:space="0" w:color="auto"/>
            <w:left w:val="none" w:sz="0" w:space="0" w:color="auto"/>
            <w:bottom w:val="none" w:sz="0" w:space="0" w:color="auto"/>
            <w:right w:val="none" w:sz="0" w:space="0" w:color="auto"/>
          </w:divBdr>
        </w:div>
      </w:divsChild>
    </w:div>
    <w:div w:id="766384365">
      <w:marLeft w:val="0"/>
      <w:marRight w:val="0"/>
      <w:marTop w:val="0"/>
      <w:marBottom w:val="0"/>
      <w:divBdr>
        <w:top w:val="none" w:sz="0" w:space="0" w:color="auto"/>
        <w:left w:val="none" w:sz="0" w:space="0" w:color="auto"/>
        <w:bottom w:val="none" w:sz="0" w:space="0" w:color="auto"/>
        <w:right w:val="none" w:sz="0" w:space="0" w:color="auto"/>
      </w:divBdr>
      <w:divsChild>
        <w:div w:id="191312394">
          <w:marLeft w:val="0"/>
          <w:marRight w:val="0"/>
          <w:marTop w:val="0"/>
          <w:marBottom w:val="0"/>
          <w:divBdr>
            <w:top w:val="none" w:sz="0" w:space="0" w:color="auto"/>
            <w:left w:val="none" w:sz="0" w:space="0" w:color="auto"/>
            <w:bottom w:val="none" w:sz="0" w:space="0" w:color="auto"/>
            <w:right w:val="none" w:sz="0" w:space="0" w:color="auto"/>
          </w:divBdr>
        </w:div>
      </w:divsChild>
    </w:div>
    <w:div w:id="776680397">
      <w:marLeft w:val="0"/>
      <w:marRight w:val="0"/>
      <w:marTop w:val="0"/>
      <w:marBottom w:val="0"/>
      <w:divBdr>
        <w:top w:val="none" w:sz="0" w:space="0" w:color="auto"/>
        <w:left w:val="none" w:sz="0" w:space="0" w:color="auto"/>
        <w:bottom w:val="none" w:sz="0" w:space="0" w:color="auto"/>
        <w:right w:val="none" w:sz="0" w:space="0" w:color="auto"/>
      </w:divBdr>
      <w:divsChild>
        <w:div w:id="1315142716">
          <w:marLeft w:val="0"/>
          <w:marRight w:val="0"/>
          <w:marTop w:val="0"/>
          <w:marBottom w:val="0"/>
          <w:divBdr>
            <w:top w:val="none" w:sz="0" w:space="0" w:color="auto"/>
            <w:left w:val="none" w:sz="0" w:space="0" w:color="auto"/>
            <w:bottom w:val="none" w:sz="0" w:space="0" w:color="auto"/>
            <w:right w:val="none" w:sz="0" w:space="0" w:color="auto"/>
          </w:divBdr>
        </w:div>
      </w:divsChild>
    </w:div>
    <w:div w:id="784619285">
      <w:marLeft w:val="0"/>
      <w:marRight w:val="0"/>
      <w:marTop w:val="0"/>
      <w:marBottom w:val="0"/>
      <w:divBdr>
        <w:top w:val="none" w:sz="0" w:space="0" w:color="auto"/>
        <w:left w:val="none" w:sz="0" w:space="0" w:color="auto"/>
        <w:bottom w:val="none" w:sz="0" w:space="0" w:color="auto"/>
        <w:right w:val="none" w:sz="0" w:space="0" w:color="auto"/>
      </w:divBdr>
      <w:divsChild>
        <w:div w:id="61685195">
          <w:marLeft w:val="0"/>
          <w:marRight w:val="0"/>
          <w:marTop w:val="0"/>
          <w:marBottom w:val="0"/>
          <w:divBdr>
            <w:top w:val="none" w:sz="0" w:space="0" w:color="auto"/>
            <w:left w:val="none" w:sz="0" w:space="0" w:color="auto"/>
            <w:bottom w:val="none" w:sz="0" w:space="0" w:color="auto"/>
            <w:right w:val="none" w:sz="0" w:space="0" w:color="auto"/>
          </w:divBdr>
        </w:div>
      </w:divsChild>
    </w:div>
    <w:div w:id="785929177">
      <w:marLeft w:val="0"/>
      <w:marRight w:val="0"/>
      <w:marTop w:val="0"/>
      <w:marBottom w:val="0"/>
      <w:divBdr>
        <w:top w:val="none" w:sz="0" w:space="0" w:color="auto"/>
        <w:left w:val="none" w:sz="0" w:space="0" w:color="auto"/>
        <w:bottom w:val="none" w:sz="0" w:space="0" w:color="auto"/>
        <w:right w:val="none" w:sz="0" w:space="0" w:color="auto"/>
      </w:divBdr>
    </w:div>
    <w:div w:id="792090180">
      <w:marLeft w:val="0"/>
      <w:marRight w:val="0"/>
      <w:marTop w:val="0"/>
      <w:marBottom w:val="0"/>
      <w:divBdr>
        <w:top w:val="none" w:sz="0" w:space="0" w:color="auto"/>
        <w:left w:val="none" w:sz="0" w:space="0" w:color="auto"/>
        <w:bottom w:val="none" w:sz="0" w:space="0" w:color="auto"/>
        <w:right w:val="none" w:sz="0" w:space="0" w:color="auto"/>
      </w:divBdr>
      <w:divsChild>
        <w:div w:id="2043750851">
          <w:marLeft w:val="0"/>
          <w:marRight w:val="0"/>
          <w:marTop w:val="0"/>
          <w:marBottom w:val="0"/>
          <w:divBdr>
            <w:top w:val="none" w:sz="0" w:space="0" w:color="auto"/>
            <w:left w:val="none" w:sz="0" w:space="0" w:color="auto"/>
            <w:bottom w:val="none" w:sz="0" w:space="0" w:color="auto"/>
            <w:right w:val="none" w:sz="0" w:space="0" w:color="auto"/>
          </w:divBdr>
        </w:div>
      </w:divsChild>
    </w:div>
    <w:div w:id="793446164">
      <w:marLeft w:val="0"/>
      <w:marRight w:val="0"/>
      <w:marTop w:val="0"/>
      <w:marBottom w:val="0"/>
      <w:divBdr>
        <w:top w:val="none" w:sz="0" w:space="0" w:color="auto"/>
        <w:left w:val="none" w:sz="0" w:space="0" w:color="auto"/>
        <w:bottom w:val="none" w:sz="0" w:space="0" w:color="auto"/>
        <w:right w:val="none" w:sz="0" w:space="0" w:color="auto"/>
      </w:divBdr>
    </w:div>
    <w:div w:id="821389644">
      <w:marLeft w:val="0"/>
      <w:marRight w:val="0"/>
      <w:marTop w:val="0"/>
      <w:marBottom w:val="0"/>
      <w:divBdr>
        <w:top w:val="none" w:sz="0" w:space="0" w:color="auto"/>
        <w:left w:val="none" w:sz="0" w:space="0" w:color="auto"/>
        <w:bottom w:val="none" w:sz="0" w:space="0" w:color="auto"/>
        <w:right w:val="none" w:sz="0" w:space="0" w:color="auto"/>
      </w:divBdr>
    </w:div>
    <w:div w:id="831215943">
      <w:marLeft w:val="0"/>
      <w:marRight w:val="0"/>
      <w:marTop w:val="0"/>
      <w:marBottom w:val="20"/>
      <w:divBdr>
        <w:top w:val="none" w:sz="0" w:space="0" w:color="auto"/>
        <w:left w:val="none" w:sz="0" w:space="0" w:color="auto"/>
        <w:bottom w:val="none" w:sz="0" w:space="0" w:color="auto"/>
        <w:right w:val="none" w:sz="0" w:space="0" w:color="auto"/>
      </w:divBdr>
    </w:div>
    <w:div w:id="854345879">
      <w:marLeft w:val="0"/>
      <w:marRight w:val="0"/>
      <w:marTop w:val="0"/>
      <w:marBottom w:val="0"/>
      <w:divBdr>
        <w:top w:val="none" w:sz="0" w:space="0" w:color="auto"/>
        <w:left w:val="none" w:sz="0" w:space="0" w:color="auto"/>
        <w:bottom w:val="none" w:sz="0" w:space="0" w:color="auto"/>
        <w:right w:val="none" w:sz="0" w:space="0" w:color="auto"/>
      </w:divBdr>
    </w:div>
    <w:div w:id="883063428">
      <w:marLeft w:val="0"/>
      <w:marRight w:val="0"/>
      <w:marTop w:val="0"/>
      <w:marBottom w:val="0"/>
      <w:divBdr>
        <w:top w:val="none" w:sz="0" w:space="0" w:color="auto"/>
        <w:left w:val="none" w:sz="0" w:space="0" w:color="auto"/>
        <w:bottom w:val="none" w:sz="0" w:space="0" w:color="auto"/>
        <w:right w:val="none" w:sz="0" w:space="0" w:color="auto"/>
      </w:divBdr>
    </w:div>
    <w:div w:id="903756371">
      <w:marLeft w:val="0"/>
      <w:marRight w:val="0"/>
      <w:marTop w:val="0"/>
      <w:marBottom w:val="0"/>
      <w:divBdr>
        <w:top w:val="none" w:sz="0" w:space="0" w:color="auto"/>
        <w:left w:val="none" w:sz="0" w:space="0" w:color="auto"/>
        <w:bottom w:val="none" w:sz="0" w:space="0" w:color="auto"/>
        <w:right w:val="none" w:sz="0" w:space="0" w:color="auto"/>
      </w:divBdr>
    </w:div>
    <w:div w:id="911356349">
      <w:marLeft w:val="0"/>
      <w:marRight w:val="0"/>
      <w:marTop w:val="0"/>
      <w:marBottom w:val="0"/>
      <w:divBdr>
        <w:top w:val="none" w:sz="0" w:space="0" w:color="auto"/>
        <w:left w:val="none" w:sz="0" w:space="0" w:color="auto"/>
        <w:bottom w:val="none" w:sz="0" w:space="0" w:color="auto"/>
        <w:right w:val="none" w:sz="0" w:space="0" w:color="auto"/>
      </w:divBdr>
    </w:div>
    <w:div w:id="926693323">
      <w:marLeft w:val="0"/>
      <w:marRight w:val="0"/>
      <w:marTop w:val="0"/>
      <w:marBottom w:val="0"/>
      <w:divBdr>
        <w:top w:val="none" w:sz="0" w:space="0" w:color="auto"/>
        <w:left w:val="none" w:sz="0" w:space="0" w:color="auto"/>
        <w:bottom w:val="none" w:sz="0" w:space="0" w:color="auto"/>
        <w:right w:val="none" w:sz="0" w:space="0" w:color="auto"/>
      </w:divBdr>
      <w:divsChild>
        <w:div w:id="1156914600">
          <w:marLeft w:val="0"/>
          <w:marRight w:val="0"/>
          <w:marTop w:val="0"/>
          <w:marBottom w:val="0"/>
          <w:divBdr>
            <w:top w:val="none" w:sz="0" w:space="0" w:color="auto"/>
            <w:left w:val="none" w:sz="0" w:space="0" w:color="auto"/>
            <w:bottom w:val="none" w:sz="0" w:space="0" w:color="auto"/>
            <w:right w:val="none" w:sz="0" w:space="0" w:color="auto"/>
          </w:divBdr>
        </w:div>
      </w:divsChild>
    </w:div>
    <w:div w:id="931472717">
      <w:marLeft w:val="0"/>
      <w:marRight w:val="0"/>
      <w:marTop w:val="0"/>
      <w:marBottom w:val="0"/>
      <w:divBdr>
        <w:top w:val="none" w:sz="0" w:space="0" w:color="auto"/>
        <w:left w:val="none" w:sz="0" w:space="0" w:color="auto"/>
        <w:bottom w:val="none" w:sz="0" w:space="0" w:color="auto"/>
        <w:right w:val="none" w:sz="0" w:space="0" w:color="auto"/>
      </w:divBdr>
      <w:divsChild>
        <w:div w:id="519199038">
          <w:marLeft w:val="0"/>
          <w:marRight w:val="0"/>
          <w:marTop w:val="0"/>
          <w:marBottom w:val="0"/>
          <w:divBdr>
            <w:top w:val="none" w:sz="0" w:space="0" w:color="auto"/>
            <w:left w:val="none" w:sz="0" w:space="0" w:color="auto"/>
            <w:bottom w:val="none" w:sz="0" w:space="0" w:color="auto"/>
            <w:right w:val="none" w:sz="0" w:space="0" w:color="auto"/>
          </w:divBdr>
        </w:div>
      </w:divsChild>
    </w:div>
    <w:div w:id="944578686">
      <w:marLeft w:val="0"/>
      <w:marRight w:val="0"/>
      <w:marTop w:val="0"/>
      <w:marBottom w:val="0"/>
      <w:divBdr>
        <w:top w:val="none" w:sz="0" w:space="0" w:color="auto"/>
        <w:left w:val="none" w:sz="0" w:space="0" w:color="auto"/>
        <w:bottom w:val="none" w:sz="0" w:space="0" w:color="auto"/>
        <w:right w:val="none" w:sz="0" w:space="0" w:color="auto"/>
      </w:divBdr>
    </w:div>
    <w:div w:id="964778011">
      <w:marLeft w:val="0"/>
      <w:marRight w:val="0"/>
      <w:marTop w:val="0"/>
      <w:marBottom w:val="0"/>
      <w:divBdr>
        <w:top w:val="none" w:sz="0" w:space="0" w:color="auto"/>
        <w:left w:val="none" w:sz="0" w:space="0" w:color="auto"/>
        <w:bottom w:val="none" w:sz="0" w:space="0" w:color="auto"/>
        <w:right w:val="none" w:sz="0" w:space="0" w:color="auto"/>
      </w:divBdr>
    </w:div>
    <w:div w:id="967705793">
      <w:marLeft w:val="0"/>
      <w:marRight w:val="0"/>
      <w:marTop w:val="0"/>
      <w:marBottom w:val="0"/>
      <w:divBdr>
        <w:top w:val="none" w:sz="0" w:space="0" w:color="auto"/>
        <w:left w:val="none" w:sz="0" w:space="0" w:color="auto"/>
        <w:bottom w:val="none" w:sz="0" w:space="0" w:color="auto"/>
        <w:right w:val="none" w:sz="0" w:space="0" w:color="auto"/>
      </w:divBdr>
    </w:div>
    <w:div w:id="986713202">
      <w:marLeft w:val="0"/>
      <w:marRight w:val="0"/>
      <w:marTop w:val="120"/>
      <w:marBottom w:val="120"/>
      <w:divBdr>
        <w:top w:val="none" w:sz="0" w:space="0" w:color="auto"/>
        <w:left w:val="none" w:sz="0" w:space="0" w:color="auto"/>
        <w:bottom w:val="none" w:sz="0" w:space="0" w:color="auto"/>
        <w:right w:val="none" w:sz="0" w:space="0" w:color="auto"/>
      </w:divBdr>
    </w:div>
    <w:div w:id="990790063">
      <w:marLeft w:val="0"/>
      <w:marRight w:val="0"/>
      <w:marTop w:val="0"/>
      <w:marBottom w:val="0"/>
      <w:divBdr>
        <w:top w:val="none" w:sz="0" w:space="0" w:color="auto"/>
        <w:left w:val="none" w:sz="0" w:space="0" w:color="auto"/>
        <w:bottom w:val="none" w:sz="0" w:space="0" w:color="auto"/>
        <w:right w:val="none" w:sz="0" w:space="0" w:color="auto"/>
      </w:divBdr>
    </w:div>
    <w:div w:id="1026172710">
      <w:marLeft w:val="0"/>
      <w:marRight w:val="0"/>
      <w:marTop w:val="0"/>
      <w:marBottom w:val="0"/>
      <w:divBdr>
        <w:top w:val="none" w:sz="0" w:space="0" w:color="auto"/>
        <w:left w:val="none" w:sz="0" w:space="0" w:color="auto"/>
        <w:bottom w:val="none" w:sz="0" w:space="0" w:color="auto"/>
        <w:right w:val="none" w:sz="0" w:space="0" w:color="auto"/>
      </w:divBdr>
    </w:div>
    <w:div w:id="1027486758">
      <w:marLeft w:val="0"/>
      <w:marRight w:val="0"/>
      <w:marTop w:val="0"/>
      <w:marBottom w:val="0"/>
      <w:divBdr>
        <w:top w:val="none" w:sz="0" w:space="0" w:color="auto"/>
        <w:left w:val="none" w:sz="0" w:space="0" w:color="auto"/>
        <w:bottom w:val="none" w:sz="0" w:space="0" w:color="auto"/>
        <w:right w:val="none" w:sz="0" w:space="0" w:color="auto"/>
      </w:divBdr>
    </w:div>
    <w:div w:id="1048920183">
      <w:marLeft w:val="0"/>
      <w:marRight w:val="0"/>
      <w:marTop w:val="0"/>
      <w:marBottom w:val="0"/>
      <w:divBdr>
        <w:top w:val="none" w:sz="0" w:space="0" w:color="auto"/>
        <w:left w:val="none" w:sz="0" w:space="0" w:color="auto"/>
        <w:bottom w:val="none" w:sz="0" w:space="0" w:color="auto"/>
        <w:right w:val="none" w:sz="0" w:space="0" w:color="auto"/>
      </w:divBdr>
      <w:divsChild>
        <w:div w:id="713769076">
          <w:marLeft w:val="0"/>
          <w:marRight w:val="0"/>
          <w:marTop w:val="0"/>
          <w:marBottom w:val="0"/>
          <w:divBdr>
            <w:top w:val="none" w:sz="0" w:space="0" w:color="auto"/>
            <w:left w:val="none" w:sz="0" w:space="0" w:color="auto"/>
            <w:bottom w:val="none" w:sz="0" w:space="0" w:color="auto"/>
            <w:right w:val="none" w:sz="0" w:space="0" w:color="auto"/>
          </w:divBdr>
        </w:div>
      </w:divsChild>
    </w:div>
    <w:div w:id="1050155642">
      <w:marLeft w:val="0"/>
      <w:marRight w:val="0"/>
      <w:marTop w:val="0"/>
      <w:marBottom w:val="0"/>
      <w:divBdr>
        <w:top w:val="none" w:sz="0" w:space="0" w:color="auto"/>
        <w:left w:val="none" w:sz="0" w:space="0" w:color="auto"/>
        <w:bottom w:val="none" w:sz="0" w:space="0" w:color="auto"/>
        <w:right w:val="none" w:sz="0" w:space="0" w:color="auto"/>
      </w:divBdr>
    </w:div>
    <w:div w:id="1052772661">
      <w:marLeft w:val="0"/>
      <w:marRight w:val="0"/>
      <w:marTop w:val="0"/>
      <w:marBottom w:val="0"/>
      <w:divBdr>
        <w:top w:val="none" w:sz="0" w:space="0" w:color="auto"/>
        <w:left w:val="none" w:sz="0" w:space="0" w:color="auto"/>
        <w:bottom w:val="none" w:sz="0" w:space="0" w:color="auto"/>
        <w:right w:val="none" w:sz="0" w:space="0" w:color="auto"/>
      </w:divBdr>
      <w:divsChild>
        <w:div w:id="977077523">
          <w:marLeft w:val="0"/>
          <w:marRight w:val="0"/>
          <w:marTop w:val="0"/>
          <w:marBottom w:val="0"/>
          <w:divBdr>
            <w:top w:val="none" w:sz="0" w:space="0" w:color="auto"/>
            <w:left w:val="none" w:sz="0" w:space="0" w:color="auto"/>
            <w:bottom w:val="none" w:sz="0" w:space="0" w:color="auto"/>
            <w:right w:val="none" w:sz="0" w:space="0" w:color="auto"/>
          </w:divBdr>
        </w:div>
      </w:divsChild>
    </w:div>
    <w:div w:id="1058434944">
      <w:marLeft w:val="0"/>
      <w:marRight w:val="0"/>
      <w:marTop w:val="0"/>
      <w:marBottom w:val="0"/>
      <w:divBdr>
        <w:top w:val="none" w:sz="0" w:space="0" w:color="auto"/>
        <w:left w:val="none" w:sz="0" w:space="0" w:color="auto"/>
        <w:bottom w:val="none" w:sz="0" w:space="0" w:color="auto"/>
        <w:right w:val="none" w:sz="0" w:space="0" w:color="auto"/>
      </w:divBdr>
    </w:div>
    <w:div w:id="1062020041">
      <w:marLeft w:val="0"/>
      <w:marRight w:val="0"/>
      <w:marTop w:val="0"/>
      <w:marBottom w:val="0"/>
      <w:divBdr>
        <w:top w:val="none" w:sz="0" w:space="0" w:color="auto"/>
        <w:left w:val="none" w:sz="0" w:space="0" w:color="auto"/>
        <w:bottom w:val="none" w:sz="0" w:space="0" w:color="auto"/>
        <w:right w:val="none" w:sz="0" w:space="0" w:color="auto"/>
      </w:divBdr>
    </w:div>
    <w:div w:id="1065185029">
      <w:marLeft w:val="0"/>
      <w:marRight w:val="0"/>
      <w:marTop w:val="0"/>
      <w:marBottom w:val="0"/>
      <w:divBdr>
        <w:top w:val="none" w:sz="0" w:space="0" w:color="auto"/>
        <w:left w:val="none" w:sz="0" w:space="0" w:color="auto"/>
        <w:bottom w:val="none" w:sz="0" w:space="0" w:color="auto"/>
        <w:right w:val="none" w:sz="0" w:space="0" w:color="auto"/>
      </w:divBdr>
      <w:divsChild>
        <w:div w:id="652179739">
          <w:marLeft w:val="0"/>
          <w:marRight w:val="0"/>
          <w:marTop w:val="0"/>
          <w:marBottom w:val="0"/>
          <w:divBdr>
            <w:top w:val="none" w:sz="0" w:space="0" w:color="auto"/>
            <w:left w:val="none" w:sz="0" w:space="0" w:color="auto"/>
            <w:bottom w:val="none" w:sz="0" w:space="0" w:color="auto"/>
            <w:right w:val="none" w:sz="0" w:space="0" w:color="auto"/>
          </w:divBdr>
        </w:div>
      </w:divsChild>
    </w:div>
    <w:div w:id="1066336354">
      <w:marLeft w:val="0"/>
      <w:marRight w:val="0"/>
      <w:marTop w:val="0"/>
      <w:marBottom w:val="20"/>
      <w:divBdr>
        <w:top w:val="none" w:sz="0" w:space="0" w:color="auto"/>
        <w:left w:val="none" w:sz="0" w:space="0" w:color="auto"/>
        <w:bottom w:val="none" w:sz="0" w:space="0" w:color="auto"/>
        <w:right w:val="none" w:sz="0" w:space="0" w:color="auto"/>
      </w:divBdr>
    </w:div>
    <w:div w:id="1076171721">
      <w:marLeft w:val="0"/>
      <w:marRight w:val="0"/>
      <w:marTop w:val="0"/>
      <w:marBottom w:val="0"/>
      <w:divBdr>
        <w:top w:val="none" w:sz="0" w:space="0" w:color="auto"/>
        <w:left w:val="none" w:sz="0" w:space="0" w:color="auto"/>
        <w:bottom w:val="none" w:sz="0" w:space="0" w:color="auto"/>
        <w:right w:val="none" w:sz="0" w:space="0" w:color="auto"/>
      </w:divBdr>
    </w:div>
    <w:div w:id="1078869607">
      <w:marLeft w:val="0"/>
      <w:marRight w:val="0"/>
      <w:marTop w:val="0"/>
      <w:marBottom w:val="0"/>
      <w:divBdr>
        <w:top w:val="none" w:sz="0" w:space="0" w:color="auto"/>
        <w:left w:val="none" w:sz="0" w:space="0" w:color="auto"/>
        <w:bottom w:val="none" w:sz="0" w:space="0" w:color="auto"/>
        <w:right w:val="none" w:sz="0" w:space="0" w:color="auto"/>
      </w:divBdr>
    </w:div>
    <w:div w:id="1079905435">
      <w:marLeft w:val="0"/>
      <w:marRight w:val="0"/>
      <w:marTop w:val="0"/>
      <w:marBottom w:val="0"/>
      <w:divBdr>
        <w:top w:val="none" w:sz="0" w:space="0" w:color="auto"/>
        <w:left w:val="none" w:sz="0" w:space="0" w:color="auto"/>
        <w:bottom w:val="none" w:sz="0" w:space="0" w:color="auto"/>
        <w:right w:val="none" w:sz="0" w:space="0" w:color="auto"/>
      </w:divBdr>
      <w:divsChild>
        <w:div w:id="2098600760">
          <w:marLeft w:val="0"/>
          <w:marRight w:val="0"/>
          <w:marTop w:val="0"/>
          <w:marBottom w:val="0"/>
          <w:divBdr>
            <w:top w:val="none" w:sz="0" w:space="0" w:color="auto"/>
            <w:left w:val="none" w:sz="0" w:space="0" w:color="auto"/>
            <w:bottom w:val="none" w:sz="0" w:space="0" w:color="auto"/>
            <w:right w:val="none" w:sz="0" w:space="0" w:color="auto"/>
          </w:divBdr>
        </w:div>
      </w:divsChild>
    </w:div>
    <w:div w:id="1088312587">
      <w:marLeft w:val="0"/>
      <w:marRight w:val="0"/>
      <w:marTop w:val="0"/>
      <w:marBottom w:val="0"/>
      <w:divBdr>
        <w:top w:val="none" w:sz="0" w:space="0" w:color="auto"/>
        <w:left w:val="none" w:sz="0" w:space="0" w:color="auto"/>
        <w:bottom w:val="none" w:sz="0" w:space="0" w:color="auto"/>
        <w:right w:val="none" w:sz="0" w:space="0" w:color="auto"/>
      </w:divBdr>
    </w:div>
    <w:div w:id="1096898594">
      <w:marLeft w:val="0"/>
      <w:marRight w:val="0"/>
      <w:marTop w:val="0"/>
      <w:marBottom w:val="0"/>
      <w:divBdr>
        <w:top w:val="none" w:sz="0" w:space="0" w:color="auto"/>
        <w:left w:val="none" w:sz="0" w:space="0" w:color="auto"/>
        <w:bottom w:val="none" w:sz="0" w:space="0" w:color="auto"/>
        <w:right w:val="none" w:sz="0" w:space="0" w:color="auto"/>
      </w:divBdr>
    </w:div>
    <w:div w:id="1098477740">
      <w:marLeft w:val="0"/>
      <w:marRight w:val="0"/>
      <w:marTop w:val="0"/>
      <w:marBottom w:val="0"/>
      <w:divBdr>
        <w:top w:val="none" w:sz="0" w:space="0" w:color="auto"/>
        <w:left w:val="none" w:sz="0" w:space="0" w:color="auto"/>
        <w:bottom w:val="none" w:sz="0" w:space="0" w:color="auto"/>
        <w:right w:val="none" w:sz="0" w:space="0" w:color="auto"/>
      </w:divBdr>
    </w:div>
    <w:div w:id="1100568677">
      <w:marLeft w:val="0"/>
      <w:marRight w:val="0"/>
      <w:marTop w:val="0"/>
      <w:marBottom w:val="0"/>
      <w:divBdr>
        <w:top w:val="none" w:sz="0" w:space="0" w:color="auto"/>
        <w:left w:val="none" w:sz="0" w:space="0" w:color="auto"/>
        <w:bottom w:val="none" w:sz="0" w:space="0" w:color="auto"/>
        <w:right w:val="none" w:sz="0" w:space="0" w:color="auto"/>
      </w:divBdr>
    </w:div>
    <w:div w:id="1104374542">
      <w:marLeft w:val="0"/>
      <w:marRight w:val="0"/>
      <w:marTop w:val="0"/>
      <w:marBottom w:val="0"/>
      <w:divBdr>
        <w:top w:val="none" w:sz="0" w:space="0" w:color="auto"/>
        <w:left w:val="none" w:sz="0" w:space="0" w:color="auto"/>
        <w:bottom w:val="none" w:sz="0" w:space="0" w:color="auto"/>
        <w:right w:val="none" w:sz="0" w:space="0" w:color="auto"/>
      </w:divBdr>
    </w:div>
    <w:div w:id="1123885371">
      <w:marLeft w:val="0"/>
      <w:marRight w:val="0"/>
      <w:marTop w:val="0"/>
      <w:marBottom w:val="0"/>
      <w:divBdr>
        <w:top w:val="none" w:sz="0" w:space="0" w:color="auto"/>
        <w:left w:val="none" w:sz="0" w:space="0" w:color="auto"/>
        <w:bottom w:val="none" w:sz="0" w:space="0" w:color="auto"/>
        <w:right w:val="none" w:sz="0" w:space="0" w:color="auto"/>
      </w:divBdr>
      <w:divsChild>
        <w:div w:id="1956666993">
          <w:marLeft w:val="0"/>
          <w:marRight w:val="0"/>
          <w:marTop w:val="0"/>
          <w:marBottom w:val="0"/>
          <w:divBdr>
            <w:top w:val="none" w:sz="0" w:space="0" w:color="auto"/>
            <w:left w:val="none" w:sz="0" w:space="0" w:color="auto"/>
            <w:bottom w:val="none" w:sz="0" w:space="0" w:color="auto"/>
            <w:right w:val="none" w:sz="0" w:space="0" w:color="auto"/>
          </w:divBdr>
        </w:div>
      </w:divsChild>
    </w:div>
    <w:div w:id="1157500622">
      <w:marLeft w:val="0"/>
      <w:marRight w:val="0"/>
      <w:marTop w:val="0"/>
      <w:marBottom w:val="0"/>
      <w:divBdr>
        <w:top w:val="none" w:sz="0" w:space="0" w:color="auto"/>
        <w:left w:val="none" w:sz="0" w:space="0" w:color="auto"/>
        <w:bottom w:val="none" w:sz="0" w:space="0" w:color="auto"/>
        <w:right w:val="none" w:sz="0" w:space="0" w:color="auto"/>
      </w:divBdr>
      <w:divsChild>
        <w:div w:id="576089197">
          <w:marLeft w:val="0"/>
          <w:marRight w:val="0"/>
          <w:marTop w:val="0"/>
          <w:marBottom w:val="0"/>
          <w:divBdr>
            <w:top w:val="none" w:sz="0" w:space="0" w:color="auto"/>
            <w:left w:val="none" w:sz="0" w:space="0" w:color="auto"/>
            <w:bottom w:val="none" w:sz="0" w:space="0" w:color="auto"/>
            <w:right w:val="none" w:sz="0" w:space="0" w:color="auto"/>
          </w:divBdr>
        </w:div>
      </w:divsChild>
    </w:div>
    <w:div w:id="1191800277">
      <w:marLeft w:val="0"/>
      <w:marRight w:val="0"/>
      <w:marTop w:val="0"/>
      <w:marBottom w:val="0"/>
      <w:divBdr>
        <w:top w:val="none" w:sz="0" w:space="0" w:color="auto"/>
        <w:left w:val="none" w:sz="0" w:space="0" w:color="auto"/>
        <w:bottom w:val="none" w:sz="0" w:space="0" w:color="auto"/>
        <w:right w:val="none" w:sz="0" w:space="0" w:color="auto"/>
      </w:divBdr>
    </w:div>
    <w:div w:id="1193954989">
      <w:marLeft w:val="0"/>
      <w:marRight w:val="0"/>
      <w:marTop w:val="0"/>
      <w:marBottom w:val="0"/>
      <w:divBdr>
        <w:top w:val="none" w:sz="0" w:space="0" w:color="auto"/>
        <w:left w:val="none" w:sz="0" w:space="0" w:color="auto"/>
        <w:bottom w:val="none" w:sz="0" w:space="0" w:color="auto"/>
        <w:right w:val="none" w:sz="0" w:space="0" w:color="auto"/>
      </w:divBdr>
    </w:div>
    <w:div w:id="1197351799">
      <w:marLeft w:val="0"/>
      <w:marRight w:val="0"/>
      <w:marTop w:val="0"/>
      <w:marBottom w:val="0"/>
      <w:divBdr>
        <w:top w:val="none" w:sz="0" w:space="0" w:color="auto"/>
        <w:left w:val="none" w:sz="0" w:space="0" w:color="auto"/>
        <w:bottom w:val="none" w:sz="0" w:space="0" w:color="auto"/>
        <w:right w:val="none" w:sz="0" w:space="0" w:color="auto"/>
      </w:divBdr>
      <w:divsChild>
        <w:div w:id="1867910380">
          <w:marLeft w:val="0"/>
          <w:marRight w:val="0"/>
          <w:marTop w:val="0"/>
          <w:marBottom w:val="0"/>
          <w:divBdr>
            <w:top w:val="none" w:sz="0" w:space="0" w:color="auto"/>
            <w:left w:val="none" w:sz="0" w:space="0" w:color="auto"/>
            <w:bottom w:val="none" w:sz="0" w:space="0" w:color="auto"/>
            <w:right w:val="none" w:sz="0" w:space="0" w:color="auto"/>
          </w:divBdr>
        </w:div>
      </w:divsChild>
    </w:div>
    <w:div w:id="1203008859">
      <w:marLeft w:val="0"/>
      <w:marRight w:val="0"/>
      <w:marTop w:val="0"/>
      <w:marBottom w:val="0"/>
      <w:divBdr>
        <w:top w:val="none" w:sz="0" w:space="0" w:color="auto"/>
        <w:left w:val="none" w:sz="0" w:space="0" w:color="auto"/>
        <w:bottom w:val="none" w:sz="0" w:space="0" w:color="auto"/>
        <w:right w:val="none" w:sz="0" w:space="0" w:color="auto"/>
      </w:divBdr>
    </w:div>
    <w:div w:id="1203640501">
      <w:marLeft w:val="0"/>
      <w:marRight w:val="0"/>
      <w:marTop w:val="0"/>
      <w:marBottom w:val="0"/>
      <w:divBdr>
        <w:top w:val="none" w:sz="0" w:space="0" w:color="auto"/>
        <w:left w:val="none" w:sz="0" w:space="0" w:color="auto"/>
        <w:bottom w:val="none" w:sz="0" w:space="0" w:color="auto"/>
        <w:right w:val="none" w:sz="0" w:space="0" w:color="auto"/>
      </w:divBdr>
    </w:div>
    <w:div w:id="1211768580">
      <w:marLeft w:val="0"/>
      <w:marRight w:val="0"/>
      <w:marTop w:val="0"/>
      <w:marBottom w:val="0"/>
      <w:divBdr>
        <w:top w:val="none" w:sz="0" w:space="0" w:color="auto"/>
        <w:left w:val="none" w:sz="0" w:space="0" w:color="auto"/>
        <w:bottom w:val="none" w:sz="0" w:space="0" w:color="auto"/>
        <w:right w:val="none" w:sz="0" w:space="0" w:color="auto"/>
      </w:divBdr>
    </w:div>
    <w:div w:id="1221861009">
      <w:marLeft w:val="0"/>
      <w:marRight w:val="0"/>
      <w:marTop w:val="0"/>
      <w:marBottom w:val="0"/>
      <w:divBdr>
        <w:top w:val="none" w:sz="0" w:space="0" w:color="auto"/>
        <w:left w:val="none" w:sz="0" w:space="0" w:color="auto"/>
        <w:bottom w:val="none" w:sz="0" w:space="0" w:color="auto"/>
        <w:right w:val="none" w:sz="0" w:space="0" w:color="auto"/>
      </w:divBdr>
    </w:div>
    <w:div w:id="1239292663">
      <w:marLeft w:val="0"/>
      <w:marRight w:val="0"/>
      <w:marTop w:val="0"/>
      <w:marBottom w:val="0"/>
      <w:divBdr>
        <w:top w:val="none" w:sz="0" w:space="0" w:color="auto"/>
        <w:left w:val="none" w:sz="0" w:space="0" w:color="auto"/>
        <w:bottom w:val="none" w:sz="0" w:space="0" w:color="auto"/>
        <w:right w:val="none" w:sz="0" w:space="0" w:color="auto"/>
      </w:divBdr>
    </w:div>
    <w:div w:id="1242910852">
      <w:marLeft w:val="0"/>
      <w:marRight w:val="0"/>
      <w:marTop w:val="0"/>
      <w:marBottom w:val="0"/>
      <w:divBdr>
        <w:top w:val="none" w:sz="0" w:space="0" w:color="auto"/>
        <w:left w:val="none" w:sz="0" w:space="0" w:color="auto"/>
        <w:bottom w:val="none" w:sz="0" w:space="0" w:color="auto"/>
        <w:right w:val="none" w:sz="0" w:space="0" w:color="auto"/>
      </w:divBdr>
    </w:div>
    <w:div w:id="1249575794">
      <w:marLeft w:val="0"/>
      <w:marRight w:val="0"/>
      <w:marTop w:val="0"/>
      <w:marBottom w:val="0"/>
      <w:divBdr>
        <w:top w:val="none" w:sz="0" w:space="0" w:color="auto"/>
        <w:left w:val="none" w:sz="0" w:space="0" w:color="auto"/>
        <w:bottom w:val="none" w:sz="0" w:space="0" w:color="auto"/>
        <w:right w:val="none" w:sz="0" w:space="0" w:color="auto"/>
      </w:divBdr>
    </w:div>
    <w:div w:id="1251550163">
      <w:marLeft w:val="0"/>
      <w:marRight w:val="0"/>
      <w:marTop w:val="0"/>
      <w:marBottom w:val="0"/>
      <w:divBdr>
        <w:top w:val="none" w:sz="0" w:space="0" w:color="auto"/>
        <w:left w:val="none" w:sz="0" w:space="0" w:color="auto"/>
        <w:bottom w:val="none" w:sz="0" w:space="0" w:color="auto"/>
        <w:right w:val="none" w:sz="0" w:space="0" w:color="auto"/>
      </w:divBdr>
    </w:div>
    <w:div w:id="1263032845">
      <w:marLeft w:val="0"/>
      <w:marRight w:val="0"/>
      <w:marTop w:val="0"/>
      <w:marBottom w:val="0"/>
      <w:divBdr>
        <w:top w:val="none" w:sz="0" w:space="0" w:color="auto"/>
        <w:left w:val="none" w:sz="0" w:space="0" w:color="auto"/>
        <w:bottom w:val="none" w:sz="0" w:space="0" w:color="auto"/>
        <w:right w:val="none" w:sz="0" w:space="0" w:color="auto"/>
      </w:divBdr>
    </w:div>
    <w:div w:id="1279721615">
      <w:marLeft w:val="0"/>
      <w:marRight w:val="0"/>
      <w:marTop w:val="0"/>
      <w:marBottom w:val="0"/>
      <w:divBdr>
        <w:top w:val="none" w:sz="0" w:space="0" w:color="auto"/>
        <w:left w:val="none" w:sz="0" w:space="0" w:color="auto"/>
        <w:bottom w:val="none" w:sz="0" w:space="0" w:color="auto"/>
        <w:right w:val="none" w:sz="0" w:space="0" w:color="auto"/>
      </w:divBdr>
      <w:divsChild>
        <w:div w:id="1797871964">
          <w:marLeft w:val="0"/>
          <w:marRight w:val="0"/>
          <w:marTop w:val="0"/>
          <w:marBottom w:val="0"/>
          <w:divBdr>
            <w:top w:val="none" w:sz="0" w:space="0" w:color="auto"/>
            <w:left w:val="none" w:sz="0" w:space="0" w:color="auto"/>
            <w:bottom w:val="none" w:sz="0" w:space="0" w:color="auto"/>
            <w:right w:val="none" w:sz="0" w:space="0" w:color="auto"/>
          </w:divBdr>
        </w:div>
      </w:divsChild>
    </w:div>
    <w:div w:id="1295139562">
      <w:marLeft w:val="0"/>
      <w:marRight w:val="0"/>
      <w:marTop w:val="0"/>
      <w:marBottom w:val="0"/>
      <w:divBdr>
        <w:top w:val="none" w:sz="0" w:space="0" w:color="auto"/>
        <w:left w:val="none" w:sz="0" w:space="0" w:color="auto"/>
        <w:bottom w:val="none" w:sz="0" w:space="0" w:color="auto"/>
        <w:right w:val="none" w:sz="0" w:space="0" w:color="auto"/>
      </w:divBdr>
    </w:div>
    <w:div w:id="1302925258">
      <w:marLeft w:val="0"/>
      <w:marRight w:val="0"/>
      <w:marTop w:val="0"/>
      <w:marBottom w:val="0"/>
      <w:divBdr>
        <w:top w:val="none" w:sz="0" w:space="0" w:color="auto"/>
        <w:left w:val="none" w:sz="0" w:space="0" w:color="auto"/>
        <w:bottom w:val="none" w:sz="0" w:space="0" w:color="auto"/>
        <w:right w:val="none" w:sz="0" w:space="0" w:color="auto"/>
      </w:divBdr>
      <w:divsChild>
        <w:div w:id="2088070307">
          <w:marLeft w:val="0"/>
          <w:marRight w:val="0"/>
          <w:marTop w:val="0"/>
          <w:marBottom w:val="0"/>
          <w:divBdr>
            <w:top w:val="none" w:sz="0" w:space="0" w:color="auto"/>
            <w:left w:val="none" w:sz="0" w:space="0" w:color="auto"/>
            <w:bottom w:val="none" w:sz="0" w:space="0" w:color="auto"/>
            <w:right w:val="none" w:sz="0" w:space="0" w:color="auto"/>
          </w:divBdr>
        </w:div>
      </w:divsChild>
    </w:div>
    <w:div w:id="1327589576">
      <w:marLeft w:val="0"/>
      <w:marRight w:val="0"/>
      <w:marTop w:val="0"/>
      <w:marBottom w:val="0"/>
      <w:divBdr>
        <w:top w:val="none" w:sz="0" w:space="0" w:color="auto"/>
        <w:left w:val="none" w:sz="0" w:space="0" w:color="auto"/>
        <w:bottom w:val="none" w:sz="0" w:space="0" w:color="auto"/>
        <w:right w:val="none" w:sz="0" w:space="0" w:color="auto"/>
      </w:divBdr>
      <w:divsChild>
        <w:div w:id="1001737020">
          <w:marLeft w:val="0"/>
          <w:marRight w:val="0"/>
          <w:marTop w:val="0"/>
          <w:marBottom w:val="0"/>
          <w:divBdr>
            <w:top w:val="none" w:sz="0" w:space="0" w:color="auto"/>
            <w:left w:val="none" w:sz="0" w:space="0" w:color="auto"/>
            <w:bottom w:val="none" w:sz="0" w:space="0" w:color="auto"/>
            <w:right w:val="none" w:sz="0" w:space="0" w:color="auto"/>
          </w:divBdr>
          <w:divsChild>
            <w:div w:id="204971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92031">
      <w:marLeft w:val="0"/>
      <w:marRight w:val="0"/>
      <w:marTop w:val="0"/>
      <w:marBottom w:val="0"/>
      <w:divBdr>
        <w:top w:val="none" w:sz="0" w:space="0" w:color="auto"/>
        <w:left w:val="none" w:sz="0" w:space="0" w:color="auto"/>
        <w:bottom w:val="none" w:sz="0" w:space="0" w:color="auto"/>
        <w:right w:val="none" w:sz="0" w:space="0" w:color="auto"/>
      </w:divBdr>
    </w:div>
    <w:div w:id="1333946274">
      <w:marLeft w:val="0"/>
      <w:marRight w:val="0"/>
      <w:marTop w:val="0"/>
      <w:marBottom w:val="0"/>
      <w:divBdr>
        <w:top w:val="none" w:sz="0" w:space="0" w:color="auto"/>
        <w:left w:val="none" w:sz="0" w:space="0" w:color="auto"/>
        <w:bottom w:val="none" w:sz="0" w:space="0" w:color="auto"/>
        <w:right w:val="none" w:sz="0" w:space="0" w:color="auto"/>
      </w:divBdr>
    </w:div>
    <w:div w:id="1352410832">
      <w:marLeft w:val="0"/>
      <w:marRight w:val="0"/>
      <w:marTop w:val="0"/>
      <w:marBottom w:val="0"/>
      <w:divBdr>
        <w:top w:val="none" w:sz="0" w:space="0" w:color="auto"/>
        <w:left w:val="none" w:sz="0" w:space="0" w:color="auto"/>
        <w:bottom w:val="none" w:sz="0" w:space="0" w:color="auto"/>
        <w:right w:val="none" w:sz="0" w:space="0" w:color="auto"/>
      </w:divBdr>
    </w:div>
    <w:div w:id="1356155795">
      <w:marLeft w:val="0"/>
      <w:marRight w:val="0"/>
      <w:marTop w:val="0"/>
      <w:marBottom w:val="0"/>
      <w:divBdr>
        <w:top w:val="none" w:sz="0" w:space="0" w:color="auto"/>
        <w:left w:val="none" w:sz="0" w:space="0" w:color="auto"/>
        <w:bottom w:val="none" w:sz="0" w:space="0" w:color="auto"/>
        <w:right w:val="none" w:sz="0" w:space="0" w:color="auto"/>
      </w:divBdr>
    </w:div>
    <w:div w:id="1363092473">
      <w:marLeft w:val="0"/>
      <w:marRight w:val="0"/>
      <w:marTop w:val="0"/>
      <w:marBottom w:val="0"/>
      <w:divBdr>
        <w:top w:val="none" w:sz="0" w:space="0" w:color="auto"/>
        <w:left w:val="none" w:sz="0" w:space="0" w:color="auto"/>
        <w:bottom w:val="none" w:sz="0" w:space="0" w:color="auto"/>
        <w:right w:val="none" w:sz="0" w:space="0" w:color="auto"/>
      </w:divBdr>
    </w:div>
    <w:div w:id="1364016956">
      <w:marLeft w:val="0"/>
      <w:marRight w:val="0"/>
      <w:marTop w:val="0"/>
      <w:marBottom w:val="0"/>
      <w:divBdr>
        <w:top w:val="none" w:sz="0" w:space="0" w:color="auto"/>
        <w:left w:val="none" w:sz="0" w:space="0" w:color="auto"/>
        <w:bottom w:val="none" w:sz="0" w:space="0" w:color="auto"/>
        <w:right w:val="none" w:sz="0" w:space="0" w:color="auto"/>
      </w:divBdr>
    </w:div>
    <w:div w:id="1384672925">
      <w:marLeft w:val="0"/>
      <w:marRight w:val="0"/>
      <w:marTop w:val="0"/>
      <w:marBottom w:val="0"/>
      <w:divBdr>
        <w:top w:val="none" w:sz="0" w:space="0" w:color="auto"/>
        <w:left w:val="none" w:sz="0" w:space="0" w:color="auto"/>
        <w:bottom w:val="none" w:sz="0" w:space="0" w:color="auto"/>
        <w:right w:val="none" w:sz="0" w:space="0" w:color="auto"/>
      </w:divBdr>
      <w:divsChild>
        <w:div w:id="1405645877">
          <w:marLeft w:val="0"/>
          <w:marRight w:val="0"/>
          <w:marTop w:val="0"/>
          <w:marBottom w:val="0"/>
          <w:divBdr>
            <w:top w:val="none" w:sz="0" w:space="0" w:color="auto"/>
            <w:left w:val="none" w:sz="0" w:space="0" w:color="auto"/>
            <w:bottom w:val="none" w:sz="0" w:space="0" w:color="auto"/>
            <w:right w:val="none" w:sz="0" w:space="0" w:color="auto"/>
          </w:divBdr>
        </w:div>
      </w:divsChild>
    </w:div>
    <w:div w:id="1395735926">
      <w:marLeft w:val="0"/>
      <w:marRight w:val="0"/>
      <w:marTop w:val="0"/>
      <w:marBottom w:val="0"/>
      <w:divBdr>
        <w:top w:val="none" w:sz="0" w:space="0" w:color="auto"/>
        <w:left w:val="none" w:sz="0" w:space="0" w:color="auto"/>
        <w:bottom w:val="none" w:sz="0" w:space="0" w:color="auto"/>
        <w:right w:val="none" w:sz="0" w:space="0" w:color="auto"/>
      </w:divBdr>
    </w:div>
    <w:div w:id="1404764264">
      <w:marLeft w:val="0"/>
      <w:marRight w:val="0"/>
      <w:marTop w:val="0"/>
      <w:marBottom w:val="0"/>
      <w:divBdr>
        <w:top w:val="none" w:sz="0" w:space="0" w:color="auto"/>
        <w:left w:val="none" w:sz="0" w:space="0" w:color="auto"/>
        <w:bottom w:val="none" w:sz="0" w:space="0" w:color="auto"/>
        <w:right w:val="none" w:sz="0" w:space="0" w:color="auto"/>
      </w:divBdr>
      <w:divsChild>
        <w:div w:id="409810193">
          <w:marLeft w:val="0"/>
          <w:marRight w:val="0"/>
          <w:marTop w:val="0"/>
          <w:marBottom w:val="0"/>
          <w:divBdr>
            <w:top w:val="none" w:sz="0" w:space="0" w:color="auto"/>
            <w:left w:val="none" w:sz="0" w:space="0" w:color="auto"/>
            <w:bottom w:val="none" w:sz="0" w:space="0" w:color="auto"/>
            <w:right w:val="none" w:sz="0" w:space="0" w:color="auto"/>
          </w:divBdr>
        </w:div>
      </w:divsChild>
    </w:div>
    <w:div w:id="1410692361">
      <w:marLeft w:val="0"/>
      <w:marRight w:val="0"/>
      <w:marTop w:val="0"/>
      <w:marBottom w:val="0"/>
      <w:divBdr>
        <w:top w:val="none" w:sz="0" w:space="0" w:color="auto"/>
        <w:left w:val="none" w:sz="0" w:space="0" w:color="auto"/>
        <w:bottom w:val="none" w:sz="0" w:space="0" w:color="auto"/>
        <w:right w:val="none" w:sz="0" w:space="0" w:color="auto"/>
      </w:divBdr>
      <w:divsChild>
        <w:div w:id="514880649">
          <w:marLeft w:val="0"/>
          <w:marRight w:val="0"/>
          <w:marTop w:val="0"/>
          <w:marBottom w:val="0"/>
          <w:divBdr>
            <w:top w:val="none" w:sz="0" w:space="0" w:color="auto"/>
            <w:left w:val="none" w:sz="0" w:space="0" w:color="auto"/>
            <w:bottom w:val="none" w:sz="0" w:space="0" w:color="auto"/>
            <w:right w:val="none" w:sz="0" w:space="0" w:color="auto"/>
          </w:divBdr>
        </w:div>
      </w:divsChild>
    </w:div>
    <w:div w:id="1429153293">
      <w:marLeft w:val="0"/>
      <w:marRight w:val="0"/>
      <w:marTop w:val="0"/>
      <w:marBottom w:val="0"/>
      <w:divBdr>
        <w:top w:val="none" w:sz="0" w:space="0" w:color="auto"/>
        <w:left w:val="none" w:sz="0" w:space="0" w:color="auto"/>
        <w:bottom w:val="none" w:sz="0" w:space="0" w:color="auto"/>
        <w:right w:val="none" w:sz="0" w:space="0" w:color="auto"/>
      </w:divBdr>
    </w:div>
    <w:div w:id="1438673542">
      <w:marLeft w:val="0"/>
      <w:marRight w:val="0"/>
      <w:marTop w:val="0"/>
      <w:marBottom w:val="20"/>
      <w:divBdr>
        <w:top w:val="none" w:sz="0" w:space="0" w:color="auto"/>
        <w:left w:val="none" w:sz="0" w:space="0" w:color="auto"/>
        <w:bottom w:val="none" w:sz="0" w:space="0" w:color="auto"/>
        <w:right w:val="none" w:sz="0" w:space="0" w:color="auto"/>
      </w:divBdr>
    </w:div>
    <w:div w:id="1483277299">
      <w:marLeft w:val="0"/>
      <w:marRight w:val="0"/>
      <w:marTop w:val="0"/>
      <w:marBottom w:val="0"/>
      <w:divBdr>
        <w:top w:val="none" w:sz="0" w:space="0" w:color="auto"/>
        <w:left w:val="none" w:sz="0" w:space="0" w:color="auto"/>
        <w:bottom w:val="none" w:sz="0" w:space="0" w:color="auto"/>
        <w:right w:val="none" w:sz="0" w:space="0" w:color="auto"/>
      </w:divBdr>
      <w:divsChild>
        <w:div w:id="263655804">
          <w:marLeft w:val="0"/>
          <w:marRight w:val="0"/>
          <w:marTop w:val="0"/>
          <w:marBottom w:val="0"/>
          <w:divBdr>
            <w:top w:val="none" w:sz="0" w:space="0" w:color="auto"/>
            <w:left w:val="none" w:sz="0" w:space="0" w:color="auto"/>
            <w:bottom w:val="none" w:sz="0" w:space="0" w:color="auto"/>
            <w:right w:val="none" w:sz="0" w:space="0" w:color="auto"/>
          </w:divBdr>
        </w:div>
      </w:divsChild>
    </w:div>
    <w:div w:id="1488092127">
      <w:marLeft w:val="0"/>
      <w:marRight w:val="0"/>
      <w:marTop w:val="0"/>
      <w:marBottom w:val="0"/>
      <w:divBdr>
        <w:top w:val="none" w:sz="0" w:space="0" w:color="auto"/>
        <w:left w:val="none" w:sz="0" w:space="0" w:color="auto"/>
        <w:bottom w:val="none" w:sz="0" w:space="0" w:color="auto"/>
        <w:right w:val="none" w:sz="0" w:space="0" w:color="auto"/>
      </w:divBdr>
    </w:div>
    <w:div w:id="1498883710">
      <w:marLeft w:val="0"/>
      <w:marRight w:val="0"/>
      <w:marTop w:val="0"/>
      <w:marBottom w:val="0"/>
      <w:divBdr>
        <w:top w:val="none" w:sz="0" w:space="0" w:color="auto"/>
        <w:left w:val="none" w:sz="0" w:space="0" w:color="auto"/>
        <w:bottom w:val="none" w:sz="0" w:space="0" w:color="auto"/>
        <w:right w:val="none" w:sz="0" w:space="0" w:color="auto"/>
      </w:divBdr>
    </w:div>
    <w:div w:id="1518692522">
      <w:marLeft w:val="0"/>
      <w:marRight w:val="0"/>
      <w:marTop w:val="0"/>
      <w:marBottom w:val="0"/>
      <w:divBdr>
        <w:top w:val="none" w:sz="0" w:space="0" w:color="auto"/>
        <w:left w:val="none" w:sz="0" w:space="0" w:color="auto"/>
        <w:bottom w:val="none" w:sz="0" w:space="0" w:color="auto"/>
        <w:right w:val="none" w:sz="0" w:space="0" w:color="auto"/>
      </w:divBdr>
    </w:div>
    <w:div w:id="1522083986">
      <w:marLeft w:val="0"/>
      <w:marRight w:val="0"/>
      <w:marTop w:val="0"/>
      <w:marBottom w:val="0"/>
      <w:divBdr>
        <w:top w:val="none" w:sz="0" w:space="0" w:color="auto"/>
        <w:left w:val="none" w:sz="0" w:space="0" w:color="auto"/>
        <w:bottom w:val="none" w:sz="0" w:space="0" w:color="auto"/>
        <w:right w:val="none" w:sz="0" w:space="0" w:color="auto"/>
      </w:divBdr>
      <w:divsChild>
        <w:div w:id="104009154">
          <w:marLeft w:val="0"/>
          <w:marRight w:val="0"/>
          <w:marTop w:val="0"/>
          <w:marBottom w:val="0"/>
          <w:divBdr>
            <w:top w:val="none" w:sz="0" w:space="0" w:color="auto"/>
            <w:left w:val="none" w:sz="0" w:space="0" w:color="auto"/>
            <w:bottom w:val="none" w:sz="0" w:space="0" w:color="auto"/>
            <w:right w:val="none" w:sz="0" w:space="0" w:color="auto"/>
          </w:divBdr>
        </w:div>
      </w:divsChild>
    </w:div>
    <w:div w:id="1531215567">
      <w:marLeft w:val="0"/>
      <w:marRight w:val="0"/>
      <w:marTop w:val="0"/>
      <w:marBottom w:val="0"/>
      <w:divBdr>
        <w:top w:val="none" w:sz="0" w:space="0" w:color="auto"/>
        <w:left w:val="none" w:sz="0" w:space="0" w:color="auto"/>
        <w:bottom w:val="none" w:sz="0" w:space="0" w:color="auto"/>
        <w:right w:val="none" w:sz="0" w:space="0" w:color="auto"/>
      </w:divBdr>
    </w:div>
    <w:div w:id="1578662124">
      <w:marLeft w:val="0"/>
      <w:marRight w:val="0"/>
      <w:marTop w:val="0"/>
      <w:marBottom w:val="0"/>
      <w:divBdr>
        <w:top w:val="none" w:sz="0" w:space="0" w:color="auto"/>
        <w:left w:val="none" w:sz="0" w:space="0" w:color="auto"/>
        <w:bottom w:val="none" w:sz="0" w:space="0" w:color="auto"/>
        <w:right w:val="none" w:sz="0" w:space="0" w:color="auto"/>
      </w:divBdr>
    </w:div>
    <w:div w:id="1586764951">
      <w:marLeft w:val="0"/>
      <w:marRight w:val="0"/>
      <w:marTop w:val="0"/>
      <w:marBottom w:val="0"/>
      <w:divBdr>
        <w:top w:val="none" w:sz="0" w:space="0" w:color="auto"/>
        <w:left w:val="none" w:sz="0" w:space="0" w:color="auto"/>
        <w:bottom w:val="none" w:sz="0" w:space="0" w:color="auto"/>
        <w:right w:val="none" w:sz="0" w:space="0" w:color="auto"/>
      </w:divBdr>
    </w:div>
    <w:div w:id="1593005690">
      <w:marLeft w:val="0"/>
      <w:marRight w:val="0"/>
      <w:marTop w:val="0"/>
      <w:marBottom w:val="0"/>
      <w:divBdr>
        <w:top w:val="none" w:sz="0" w:space="0" w:color="auto"/>
        <w:left w:val="none" w:sz="0" w:space="0" w:color="auto"/>
        <w:bottom w:val="none" w:sz="0" w:space="0" w:color="auto"/>
        <w:right w:val="none" w:sz="0" w:space="0" w:color="auto"/>
      </w:divBdr>
    </w:div>
    <w:div w:id="1599369822">
      <w:marLeft w:val="0"/>
      <w:marRight w:val="0"/>
      <w:marTop w:val="0"/>
      <w:marBottom w:val="0"/>
      <w:divBdr>
        <w:top w:val="none" w:sz="0" w:space="0" w:color="auto"/>
        <w:left w:val="none" w:sz="0" w:space="0" w:color="auto"/>
        <w:bottom w:val="none" w:sz="0" w:space="0" w:color="auto"/>
        <w:right w:val="none" w:sz="0" w:space="0" w:color="auto"/>
      </w:divBdr>
    </w:div>
    <w:div w:id="1625228106">
      <w:marLeft w:val="0"/>
      <w:marRight w:val="0"/>
      <w:marTop w:val="120"/>
      <w:marBottom w:val="120"/>
      <w:divBdr>
        <w:top w:val="none" w:sz="0" w:space="0" w:color="auto"/>
        <w:left w:val="none" w:sz="0" w:space="0" w:color="auto"/>
        <w:bottom w:val="none" w:sz="0" w:space="0" w:color="auto"/>
        <w:right w:val="none" w:sz="0" w:space="0" w:color="auto"/>
      </w:divBdr>
    </w:div>
    <w:div w:id="1635478615">
      <w:marLeft w:val="0"/>
      <w:marRight w:val="0"/>
      <w:marTop w:val="0"/>
      <w:marBottom w:val="0"/>
      <w:divBdr>
        <w:top w:val="none" w:sz="0" w:space="0" w:color="auto"/>
        <w:left w:val="none" w:sz="0" w:space="0" w:color="auto"/>
        <w:bottom w:val="none" w:sz="0" w:space="0" w:color="auto"/>
        <w:right w:val="none" w:sz="0" w:space="0" w:color="auto"/>
      </w:divBdr>
    </w:div>
    <w:div w:id="1652559695">
      <w:marLeft w:val="0"/>
      <w:marRight w:val="0"/>
      <w:marTop w:val="0"/>
      <w:marBottom w:val="0"/>
      <w:divBdr>
        <w:top w:val="none" w:sz="0" w:space="0" w:color="auto"/>
        <w:left w:val="none" w:sz="0" w:space="0" w:color="auto"/>
        <w:bottom w:val="none" w:sz="0" w:space="0" w:color="auto"/>
        <w:right w:val="none" w:sz="0" w:space="0" w:color="auto"/>
      </w:divBdr>
    </w:div>
    <w:div w:id="1654024515">
      <w:marLeft w:val="0"/>
      <w:marRight w:val="0"/>
      <w:marTop w:val="0"/>
      <w:marBottom w:val="0"/>
      <w:divBdr>
        <w:top w:val="none" w:sz="0" w:space="0" w:color="auto"/>
        <w:left w:val="none" w:sz="0" w:space="0" w:color="auto"/>
        <w:bottom w:val="none" w:sz="0" w:space="0" w:color="auto"/>
        <w:right w:val="none" w:sz="0" w:space="0" w:color="auto"/>
      </w:divBdr>
    </w:div>
    <w:div w:id="1666937167">
      <w:marLeft w:val="0"/>
      <w:marRight w:val="0"/>
      <w:marTop w:val="0"/>
      <w:marBottom w:val="0"/>
      <w:divBdr>
        <w:top w:val="none" w:sz="0" w:space="0" w:color="auto"/>
        <w:left w:val="none" w:sz="0" w:space="0" w:color="auto"/>
        <w:bottom w:val="none" w:sz="0" w:space="0" w:color="auto"/>
        <w:right w:val="none" w:sz="0" w:space="0" w:color="auto"/>
      </w:divBdr>
      <w:divsChild>
        <w:div w:id="147596860">
          <w:marLeft w:val="0"/>
          <w:marRight w:val="0"/>
          <w:marTop w:val="0"/>
          <w:marBottom w:val="0"/>
          <w:divBdr>
            <w:top w:val="none" w:sz="0" w:space="0" w:color="auto"/>
            <w:left w:val="none" w:sz="0" w:space="0" w:color="auto"/>
            <w:bottom w:val="none" w:sz="0" w:space="0" w:color="auto"/>
            <w:right w:val="none" w:sz="0" w:space="0" w:color="auto"/>
          </w:divBdr>
        </w:div>
      </w:divsChild>
    </w:div>
    <w:div w:id="1668946935">
      <w:marLeft w:val="0"/>
      <w:marRight w:val="0"/>
      <w:marTop w:val="0"/>
      <w:marBottom w:val="0"/>
      <w:divBdr>
        <w:top w:val="none" w:sz="0" w:space="0" w:color="auto"/>
        <w:left w:val="none" w:sz="0" w:space="0" w:color="auto"/>
        <w:bottom w:val="none" w:sz="0" w:space="0" w:color="auto"/>
        <w:right w:val="none" w:sz="0" w:space="0" w:color="auto"/>
      </w:divBdr>
      <w:divsChild>
        <w:div w:id="520361931">
          <w:marLeft w:val="0"/>
          <w:marRight w:val="0"/>
          <w:marTop w:val="0"/>
          <w:marBottom w:val="0"/>
          <w:divBdr>
            <w:top w:val="none" w:sz="0" w:space="0" w:color="auto"/>
            <w:left w:val="none" w:sz="0" w:space="0" w:color="auto"/>
            <w:bottom w:val="none" w:sz="0" w:space="0" w:color="auto"/>
            <w:right w:val="none" w:sz="0" w:space="0" w:color="auto"/>
          </w:divBdr>
        </w:div>
      </w:divsChild>
    </w:div>
    <w:div w:id="1671179589">
      <w:marLeft w:val="0"/>
      <w:marRight w:val="0"/>
      <w:marTop w:val="0"/>
      <w:marBottom w:val="0"/>
      <w:divBdr>
        <w:top w:val="none" w:sz="0" w:space="0" w:color="auto"/>
        <w:left w:val="none" w:sz="0" w:space="0" w:color="auto"/>
        <w:bottom w:val="none" w:sz="0" w:space="0" w:color="auto"/>
        <w:right w:val="none" w:sz="0" w:space="0" w:color="auto"/>
      </w:divBdr>
    </w:div>
    <w:div w:id="1672903177">
      <w:marLeft w:val="0"/>
      <w:marRight w:val="0"/>
      <w:marTop w:val="0"/>
      <w:marBottom w:val="0"/>
      <w:divBdr>
        <w:top w:val="none" w:sz="0" w:space="0" w:color="auto"/>
        <w:left w:val="none" w:sz="0" w:space="0" w:color="auto"/>
        <w:bottom w:val="none" w:sz="0" w:space="0" w:color="auto"/>
        <w:right w:val="none" w:sz="0" w:space="0" w:color="auto"/>
      </w:divBdr>
    </w:div>
    <w:div w:id="1676835806">
      <w:marLeft w:val="0"/>
      <w:marRight w:val="0"/>
      <w:marTop w:val="0"/>
      <w:marBottom w:val="0"/>
      <w:divBdr>
        <w:top w:val="none" w:sz="0" w:space="0" w:color="auto"/>
        <w:left w:val="none" w:sz="0" w:space="0" w:color="auto"/>
        <w:bottom w:val="none" w:sz="0" w:space="0" w:color="auto"/>
        <w:right w:val="none" w:sz="0" w:space="0" w:color="auto"/>
      </w:divBdr>
    </w:div>
    <w:div w:id="1692409942">
      <w:marLeft w:val="0"/>
      <w:marRight w:val="0"/>
      <w:marTop w:val="0"/>
      <w:marBottom w:val="0"/>
      <w:divBdr>
        <w:top w:val="none" w:sz="0" w:space="0" w:color="auto"/>
        <w:left w:val="none" w:sz="0" w:space="0" w:color="auto"/>
        <w:bottom w:val="none" w:sz="0" w:space="0" w:color="auto"/>
        <w:right w:val="none" w:sz="0" w:space="0" w:color="auto"/>
      </w:divBdr>
      <w:divsChild>
        <w:div w:id="1731268932">
          <w:marLeft w:val="0"/>
          <w:marRight w:val="0"/>
          <w:marTop w:val="0"/>
          <w:marBottom w:val="0"/>
          <w:divBdr>
            <w:top w:val="none" w:sz="0" w:space="0" w:color="auto"/>
            <w:left w:val="none" w:sz="0" w:space="0" w:color="auto"/>
            <w:bottom w:val="none" w:sz="0" w:space="0" w:color="auto"/>
            <w:right w:val="none" w:sz="0" w:space="0" w:color="auto"/>
          </w:divBdr>
        </w:div>
      </w:divsChild>
    </w:div>
    <w:div w:id="1710717857">
      <w:marLeft w:val="0"/>
      <w:marRight w:val="0"/>
      <w:marTop w:val="0"/>
      <w:marBottom w:val="0"/>
      <w:divBdr>
        <w:top w:val="none" w:sz="0" w:space="0" w:color="auto"/>
        <w:left w:val="none" w:sz="0" w:space="0" w:color="auto"/>
        <w:bottom w:val="none" w:sz="0" w:space="0" w:color="auto"/>
        <w:right w:val="none" w:sz="0" w:space="0" w:color="auto"/>
      </w:divBdr>
    </w:div>
    <w:div w:id="1715959801">
      <w:marLeft w:val="0"/>
      <w:marRight w:val="0"/>
      <w:marTop w:val="0"/>
      <w:marBottom w:val="0"/>
      <w:divBdr>
        <w:top w:val="none" w:sz="0" w:space="0" w:color="auto"/>
        <w:left w:val="none" w:sz="0" w:space="0" w:color="auto"/>
        <w:bottom w:val="none" w:sz="0" w:space="0" w:color="auto"/>
        <w:right w:val="none" w:sz="0" w:space="0" w:color="auto"/>
      </w:divBdr>
    </w:div>
    <w:div w:id="1721897740">
      <w:marLeft w:val="0"/>
      <w:marRight w:val="0"/>
      <w:marTop w:val="0"/>
      <w:marBottom w:val="0"/>
      <w:divBdr>
        <w:top w:val="none" w:sz="0" w:space="0" w:color="auto"/>
        <w:left w:val="none" w:sz="0" w:space="0" w:color="auto"/>
        <w:bottom w:val="none" w:sz="0" w:space="0" w:color="auto"/>
        <w:right w:val="none" w:sz="0" w:space="0" w:color="auto"/>
      </w:divBdr>
      <w:divsChild>
        <w:div w:id="1918244198">
          <w:marLeft w:val="0"/>
          <w:marRight w:val="0"/>
          <w:marTop w:val="0"/>
          <w:marBottom w:val="0"/>
          <w:divBdr>
            <w:top w:val="none" w:sz="0" w:space="0" w:color="auto"/>
            <w:left w:val="none" w:sz="0" w:space="0" w:color="auto"/>
            <w:bottom w:val="none" w:sz="0" w:space="0" w:color="auto"/>
            <w:right w:val="none" w:sz="0" w:space="0" w:color="auto"/>
          </w:divBdr>
        </w:div>
      </w:divsChild>
    </w:div>
    <w:div w:id="1735931843">
      <w:marLeft w:val="0"/>
      <w:marRight w:val="0"/>
      <w:marTop w:val="0"/>
      <w:marBottom w:val="0"/>
      <w:divBdr>
        <w:top w:val="none" w:sz="0" w:space="0" w:color="auto"/>
        <w:left w:val="none" w:sz="0" w:space="0" w:color="auto"/>
        <w:bottom w:val="none" w:sz="0" w:space="0" w:color="auto"/>
        <w:right w:val="none" w:sz="0" w:space="0" w:color="auto"/>
      </w:divBdr>
    </w:div>
    <w:div w:id="1749378392">
      <w:marLeft w:val="0"/>
      <w:marRight w:val="0"/>
      <w:marTop w:val="0"/>
      <w:marBottom w:val="0"/>
      <w:divBdr>
        <w:top w:val="none" w:sz="0" w:space="0" w:color="auto"/>
        <w:left w:val="none" w:sz="0" w:space="0" w:color="auto"/>
        <w:bottom w:val="none" w:sz="0" w:space="0" w:color="auto"/>
        <w:right w:val="none" w:sz="0" w:space="0" w:color="auto"/>
      </w:divBdr>
    </w:div>
    <w:div w:id="1756050843">
      <w:marLeft w:val="0"/>
      <w:marRight w:val="0"/>
      <w:marTop w:val="0"/>
      <w:marBottom w:val="0"/>
      <w:divBdr>
        <w:top w:val="none" w:sz="0" w:space="0" w:color="auto"/>
        <w:left w:val="none" w:sz="0" w:space="0" w:color="auto"/>
        <w:bottom w:val="none" w:sz="0" w:space="0" w:color="auto"/>
        <w:right w:val="none" w:sz="0" w:space="0" w:color="auto"/>
      </w:divBdr>
    </w:div>
    <w:div w:id="1761022814">
      <w:marLeft w:val="0"/>
      <w:marRight w:val="0"/>
      <w:marTop w:val="0"/>
      <w:marBottom w:val="0"/>
      <w:divBdr>
        <w:top w:val="none" w:sz="0" w:space="0" w:color="auto"/>
        <w:left w:val="none" w:sz="0" w:space="0" w:color="auto"/>
        <w:bottom w:val="none" w:sz="0" w:space="0" w:color="auto"/>
        <w:right w:val="none" w:sz="0" w:space="0" w:color="auto"/>
      </w:divBdr>
    </w:div>
    <w:div w:id="1767732062">
      <w:marLeft w:val="0"/>
      <w:marRight w:val="0"/>
      <w:marTop w:val="0"/>
      <w:marBottom w:val="0"/>
      <w:divBdr>
        <w:top w:val="none" w:sz="0" w:space="0" w:color="auto"/>
        <w:left w:val="none" w:sz="0" w:space="0" w:color="auto"/>
        <w:bottom w:val="none" w:sz="0" w:space="0" w:color="auto"/>
        <w:right w:val="none" w:sz="0" w:space="0" w:color="auto"/>
      </w:divBdr>
    </w:div>
    <w:div w:id="1781610084">
      <w:marLeft w:val="0"/>
      <w:marRight w:val="0"/>
      <w:marTop w:val="0"/>
      <w:marBottom w:val="0"/>
      <w:divBdr>
        <w:top w:val="none" w:sz="0" w:space="0" w:color="auto"/>
        <w:left w:val="none" w:sz="0" w:space="0" w:color="auto"/>
        <w:bottom w:val="none" w:sz="0" w:space="0" w:color="auto"/>
        <w:right w:val="none" w:sz="0" w:space="0" w:color="auto"/>
      </w:divBdr>
    </w:div>
    <w:div w:id="1793282080">
      <w:marLeft w:val="0"/>
      <w:marRight w:val="0"/>
      <w:marTop w:val="0"/>
      <w:marBottom w:val="0"/>
      <w:divBdr>
        <w:top w:val="none" w:sz="0" w:space="0" w:color="auto"/>
        <w:left w:val="none" w:sz="0" w:space="0" w:color="auto"/>
        <w:bottom w:val="none" w:sz="0" w:space="0" w:color="auto"/>
        <w:right w:val="none" w:sz="0" w:space="0" w:color="auto"/>
      </w:divBdr>
      <w:divsChild>
        <w:div w:id="454786883">
          <w:marLeft w:val="0"/>
          <w:marRight w:val="0"/>
          <w:marTop w:val="0"/>
          <w:marBottom w:val="0"/>
          <w:divBdr>
            <w:top w:val="none" w:sz="0" w:space="0" w:color="auto"/>
            <w:left w:val="none" w:sz="0" w:space="0" w:color="auto"/>
            <w:bottom w:val="none" w:sz="0" w:space="0" w:color="auto"/>
            <w:right w:val="none" w:sz="0" w:space="0" w:color="auto"/>
          </w:divBdr>
        </w:div>
      </w:divsChild>
    </w:div>
    <w:div w:id="1795517193">
      <w:marLeft w:val="0"/>
      <w:marRight w:val="0"/>
      <w:marTop w:val="0"/>
      <w:marBottom w:val="0"/>
      <w:divBdr>
        <w:top w:val="none" w:sz="0" w:space="0" w:color="auto"/>
        <w:left w:val="none" w:sz="0" w:space="0" w:color="auto"/>
        <w:bottom w:val="none" w:sz="0" w:space="0" w:color="auto"/>
        <w:right w:val="none" w:sz="0" w:space="0" w:color="auto"/>
      </w:divBdr>
    </w:div>
    <w:div w:id="1799449373">
      <w:marLeft w:val="0"/>
      <w:marRight w:val="0"/>
      <w:marTop w:val="0"/>
      <w:marBottom w:val="0"/>
      <w:divBdr>
        <w:top w:val="none" w:sz="0" w:space="0" w:color="auto"/>
        <w:left w:val="none" w:sz="0" w:space="0" w:color="auto"/>
        <w:bottom w:val="none" w:sz="0" w:space="0" w:color="auto"/>
        <w:right w:val="none" w:sz="0" w:space="0" w:color="auto"/>
      </w:divBdr>
    </w:div>
    <w:div w:id="1802767485">
      <w:marLeft w:val="0"/>
      <w:marRight w:val="0"/>
      <w:marTop w:val="0"/>
      <w:marBottom w:val="0"/>
      <w:divBdr>
        <w:top w:val="none" w:sz="0" w:space="0" w:color="auto"/>
        <w:left w:val="none" w:sz="0" w:space="0" w:color="auto"/>
        <w:bottom w:val="none" w:sz="0" w:space="0" w:color="auto"/>
        <w:right w:val="none" w:sz="0" w:space="0" w:color="auto"/>
      </w:divBdr>
      <w:divsChild>
        <w:div w:id="1535463692">
          <w:marLeft w:val="0"/>
          <w:marRight w:val="0"/>
          <w:marTop w:val="0"/>
          <w:marBottom w:val="0"/>
          <w:divBdr>
            <w:top w:val="none" w:sz="0" w:space="0" w:color="auto"/>
            <w:left w:val="none" w:sz="0" w:space="0" w:color="auto"/>
            <w:bottom w:val="none" w:sz="0" w:space="0" w:color="auto"/>
            <w:right w:val="none" w:sz="0" w:space="0" w:color="auto"/>
          </w:divBdr>
        </w:div>
      </w:divsChild>
    </w:div>
    <w:div w:id="1803569677">
      <w:marLeft w:val="0"/>
      <w:marRight w:val="0"/>
      <w:marTop w:val="0"/>
      <w:marBottom w:val="0"/>
      <w:divBdr>
        <w:top w:val="none" w:sz="0" w:space="0" w:color="auto"/>
        <w:left w:val="none" w:sz="0" w:space="0" w:color="auto"/>
        <w:bottom w:val="none" w:sz="0" w:space="0" w:color="auto"/>
        <w:right w:val="none" w:sz="0" w:space="0" w:color="auto"/>
      </w:divBdr>
    </w:div>
    <w:div w:id="1812018395">
      <w:marLeft w:val="0"/>
      <w:marRight w:val="0"/>
      <w:marTop w:val="0"/>
      <w:marBottom w:val="0"/>
      <w:divBdr>
        <w:top w:val="none" w:sz="0" w:space="0" w:color="auto"/>
        <w:left w:val="none" w:sz="0" w:space="0" w:color="auto"/>
        <w:bottom w:val="none" w:sz="0" w:space="0" w:color="auto"/>
        <w:right w:val="none" w:sz="0" w:space="0" w:color="auto"/>
      </w:divBdr>
    </w:div>
    <w:div w:id="1829058743">
      <w:marLeft w:val="0"/>
      <w:marRight w:val="0"/>
      <w:marTop w:val="0"/>
      <w:marBottom w:val="0"/>
      <w:divBdr>
        <w:top w:val="none" w:sz="0" w:space="0" w:color="auto"/>
        <w:left w:val="none" w:sz="0" w:space="0" w:color="auto"/>
        <w:bottom w:val="none" w:sz="0" w:space="0" w:color="auto"/>
        <w:right w:val="none" w:sz="0" w:space="0" w:color="auto"/>
      </w:divBdr>
      <w:divsChild>
        <w:div w:id="1443695079">
          <w:marLeft w:val="0"/>
          <w:marRight w:val="0"/>
          <w:marTop w:val="0"/>
          <w:marBottom w:val="0"/>
          <w:divBdr>
            <w:top w:val="none" w:sz="0" w:space="0" w:color="auto"/>
            <w:left w:val="none" w:sz="0" w:space="0" w:color="auto"/>
            <w:bottom w:val="none" w:sz="0" w:space="0" w:color="auto"/>
            <w:right w:val="none" w:sz="0" w:space="0" w:color="auto"/>
          </w:divBdr>
        </w:div>
      </w:divsChild>
    </w:div>
    <w:div w:id="1829981296">
      <w:marLeft w:val="0"/>
      <w:marRight w:val="0"/>
      <w:marTop w:val="0"/>
      <w:marBottom w:val="0"/>
      <w:divBdr>
        <w:top w:val="none" w:sz="0" w:space="0" w:color="auto"/>
        <w:left w:val="none" w:sz="0" w:space="0" w:color="auto"/>
        <w:bottom w:val="none" w:sz="0" w:space="0" w:color="auto"/>
        <w:right w:val="none" w:sz="0" w:space="0" w:color="auto"/>
      </w:divBdr>
      <w:divsChild>
        <w:div w:id="669067133">
          <w:marLeft w:val="0"/>
          <w:marRight w:val="0"/>
          <w:marTop w:val="0"/>
          <w:marBottom w:val="0"/>
          <w:divBdr>
            <w:top w:val="none" w:sz="0" w:space="0" w:color="auto"/>
            <w:left w:val="none" w:sz="0" w:space="0" w:color="auto"/>
            <w:bottom w:val="none" w:sz="0" w:space="0" w:color="auto"/>
            <w:right w:val="none" w:sz="0" w:space="0" w:color="auto"/>
          </w:divBdr>
        </w:div>
      </w:divsChild>
    </w:div>
    <w:div w:id="1832520621">
      <w:marLeft w:val="0"/>
      <w:marRight w:val="0"/>
      <w:marTop w:val="0"/>
      <w:marBottom w:val="0"/>
      <w:divBdr>
        <w:top w:val="none" w:sz="0" w:space="0" w:color="auto"/>
        <w:left w:val="none" w:sz="0" w:space="0" w:color="auto"/>
        <w:bottom w:val="none" w:sz="0" w:space="0" w:color="auto"/>
        <w:right w:val="none" w:sz="0" w:space="0" w:color="auto"/>
      </w:divBdr>
    </w:div>
    <w:div w:id="1835147096">
      <w:marLeft w:val="0"/>
      <w:marRight w:val="0"/>
      <w:marTop w:val="0"/>
      <w:marBottom w:val="0"/>
      <w:divBdr>
        <w:top w:val="none" w:sz="0" w:space="0" w:color="auto"/>
        <w:left w:val="none" w:sz="0" w:space="0" w:color="auto"/>
        <w:bottom w:val="none" w:sz="0" w:space="0" w:color="auto"/>
        <w:right w:val="none" w:sz="0" w:space="0" w:color="auto"/>
      </w:divBdr>
    </w:div>
    <w:div w:id="1840073954">
      <w:marLeft w:val="0"/>
      <w:marRight w:val="0"/>
      <w:marTop w:val="0"/>
      <w:marBottom w:val="0"/>
      <w:divBdr>
        <w:top w:val="none" w:sz="0" w:space="0" w:color="auto"/>
        <w:left w:val="none" w:sz="0" w:space="0" w:color="auto"/>
        <w:bottom w:val="none" w:sz="0" w:space="0" w:color="auto"/>
        <w:right w:val="none" w:sz="0" w:space="0" w:color="auto"/>
      </w:divBdr>
    </w:div>
    <w:div w:id="1851139763">
      <w:marLeft w:val="0"/>
      <w:marRight w:val="0"/>
      <w:marTop w:val="0"/>
      <w:marBottom w:val="0"/>
      <w:divBdr>
        <w:top w:val="none" w:sz="0" w:space="0" w:color="auto"/>
        <w:left w:val="none" w:sz="0" w:space="0" w:color="auto"/>
        <w:bottom w:val="none" w:sz="0" w:space="0" w:color="auto"/>
        <w:right w:val="none" w:sz="0" w:space="0" w:color="auto"/>
      </w:divBdr>
      <w:divsChild>
        <w:div w:id="1991979074">
          <w:marLeft w:val="0"/>
          <w:marRight w:val="0"/>
          <w:marTop w:val="0"/>
          <w:marBottom w:val="0"/>
          <w:divBdr>
            <w:top w:val="none" w:sz="0" w:space="0" w:color="auto"/>
            <w:left w:val="none" w:sz="0" w:space="0" w:color="auto"/>
            <w:bottom w:val="none" w:sz="0" w:space="0" w:color="auto"/>
            <w:right w:val="none" w:sz="0" w:space="0" w:color="auto"/>
          </w:divBdr>
        </w:div>
      </w:divsChild>
    </w:div>
    <w:div w:id="1856845990">
      <w:marLeft w:val="0"/>
      <w:marRight w:val="0"/>
      <w:marTop w:val="0"/>
      <w:marBottom w:val="0"/>
      <w:divBdr>
        <w:top w:val="none" w:sz="0" w:space="0" w:color="auto"/>
        <w:left w:val="none" w:sz="0" w:space="0" w:color="auto"/>
        <w:bottom w:val="none" w:sz="0" w:space="0" w:color="auto"/>
        <w:right w:val="none" w:sz="0" w:space="0" w:color="auto"/>
      </w:divBdr>
    </w:div>
    <w:div w:id="1867792627">
      <w:marLeft w:val="0"/>
      <w:marRight w:val="0"/>
      <w:marTop w:val="0"/>
      <w:marBottom w:val="0"/>
      <w:divBdr>
        <w:top w:val="none" w:sz="0" w:space="0" w:color="auto"/>
        <w:left w:val="none" w:sz="0" w:space="0" w:color="auto"/>
        <w:bottom w:val="none" w:sz="0" w:space="0" w:color="auto"/>
        <w:right w:val="none" w:sz="0" w:space="0" w:color="auto"/>
      </w:divBdr>
    </w:div>
    <w:div w:id="1869751807">
      <w:marLeft w:val="0"/>
      <w:marRight w:val="0"/>
      <w:marTop w:val="0"/>
      <w:marBottom w:val="0"/>
      <w:divBdr>
        <w:top w:val="none" w:sz="0" w:space="0" w:color="auto"/>
        <w:left w:val="none" w:sz="0" w:space="0" w:color="auto"/>
        <w:bottom w:val="none" w:sz="0" w:space="0" w:color="auto"/>
        <w:right w:val="none" w:sz="0" w:space="0" w:color="auto"/>
      </w:divBdr>
    </w:div>
    <w:div w:id="1870607697">
      <w:marLeft w:val="0"/>
      <w:marRight w:val="0"/>
      <w:marTop w:val="0"/>
      <w:marBottom w:val="0"/>
      <w:divBdr>
        <w:top w:val="none" w:sz="0" w:space="0" w:color="auto"/>
        <w:left w:val="none" w:sz="0" w:space="0" w:color="auto"/>
        <w:bottom w:val="none" w:sz="0" w:space="0" w:color="auto"/>
        <w:right w:val="none" w:sz="0" w:space="0" w:color="auto"/>
      </w:divBdr>
    </w:div>
    <w:div w:id="1870877932">
      <w:marLeft w:val="0"/>
      <w:marRight w:val="0"/>
      <w:marTop w:val="0"/>
      <w:marBottom w:val="0"/>
      <w:divBdr>
        <w:top w:val="none" w:sz="0" w:space="0" w:color="auto"/>
        <w:left w:val="none" w:sz="0" w:space="0" w:color="auto"/>
        <w:bottom w:val="none" w:sz="0" w:space="0" w:color="auto"/>
        <w:right w:val="none" w:sz="0" w:space="0" w:color="auto"/>
      </w:divBdr>
      <w:divsChild>
        <w:div w:id="1800488204">
          <w:marLeft w:val="0"/>
          <w:marRight w:val="0"/>
          <w:marTop w:val="0"/>
          <w:marBottom w:val="0"/>
          <w:divBdr>
            <w:top w:val="none" w:sz="0" w:space="0" w:color="auto"/>
            <w:left w:val="none" w:sz="0" w:space="0" w:color="auto"/>
            <w:bottom w:val="none" w:sz="0" w:space="0" w:color="auto"/>
            <w:right w:val="none" w:sz="0" w:space="0" w:color="auto"/>
          </w:divBdr>
        </w:div>
      </w:divsChild>
    </w:div>
    <w:div w:id="1881160315">
      <w:marLeft w:val="0"/>
      <w:marRight w:val="0"/>
      <w:marTop w:val="0"/>
      <w:marBottom w:val="0"/>
      <w:divBdr>
        <w:top w:val="none" w:sz="0" w:space="0" w:color="auto"/>
        <w:left w:val="none" w:sz="0" w:space="0" w:color="auto"/>
        <w:bottom w:val="none" w:sz="0" w:space="0" w:color="auto"/>
        <w:right w:val="none" w:sz="0" w:space="0" w:color="auto"/>
      </w:divBdr>
      <w:divsChild>
        <w:div w:id="1828981256">
          <w:marLeft w:val="0"/>
          <w:marRight w:val="0"/>
          <w:marTop w:val="0"/>
          <w:marBottom w:val="0"/>
          <w:divBdr>
            <w:top w:val="none" w:sz="0" w:space="0" w:color="auto"/>
            <w:left w:val="none" w:sz="0" w:space="0" w:color="auto"/>
            <w:bottom w:val="none" w:sz="0" w:space="0" w:color="auto"/>
            <w:right w:val="none" w:sz="0" w:space="0" w:color="auto"/>
          </w:divBdr>
        </w:div>
      </w:divsChild>
    </w:div>
    <w:div w:id="1898782915">
      <w:marLeft w:val="0"/>
      <w:marRight w:val="0"/>
      <w:marTop w:val="0"/>
      <w:marBottom w:val="0"/>
      <w:divBdr>
        <w:top w:val="none" w:sz="0" w:space="0" w:color="auto"/>
        <w:left w:val="none" w:sz="0" w:space="0" w:color="auto"/>
        <w:bottom w:val="none" w:sz="0" w:space="0" w:color="auto"/>
        <w:right w:val="none" w:sz="0" w:space="0" w:color="auto"/>
      </w:divBdr>
    </w:div>
    <w:div w:id="1901482461">
      <w:marLeft w:val="0"/>
      <w:marRight w:val="0"/>
      <w:marTop w:val="0"/>
      <w:marBottom w:val="0"/>
      <w:divBdr>
        <w:top w:val="none" w:sz="0" w:space="0" w:color="auto"/>
        <w:left w:val="none" w:sz="0" w:space="0" w:color="auto"/>
        <w:bottom w:val="none" w:sz="0" w:space="0" w:color="auto"/>
        <w:right w:val="none" w:sz="0" w:space="0" w:color="auto"/>
      </w:divBdr>
      <w:divsChild>
        <w:div w:id="176625138">
          <w:marLeft w:val="0"/>
          <w:marRight w:val="0"/>
          <w:marTop w:val="0"/>
          <w:marBottom w:val="0"/>
          <w:divBdr>
            <w:top w:val="none" w:sz="0" w:space="0" w:color="auto"/>
            <w:left w:val="none" w:sz="0" w:space="0" w:color="auto"/>
            <w:bottom w:val="none" w:sz="0" w:space="0" w:color="auto"/>
            <w:right w:val="none" w:sz="0" w:space="0" w:color="auto"/>
          </w:divBdr>
        </w:div>
      </w:divsChild>
    </w:div>
    <w:div w:id="1921407225">
      <w:marLeft w:val="0"/>
      <w:marRight w:val="0"/>
      <w:marTop w:val="0"/>
      <w:marBottom w:val="0"/>
      <w:divBdr>
        <w:top w:val="none" w:sz="0" w:space="0" w:color="auto"/>
        <w:left w:val="none" w:sz="0" w:space="0" w:color="auto"/>
        <w:bottom w:val="none" w:sz="0" w:space="0" w:color="auto"/>
        <w:right w:val="none" w:sz="0" w:space="0" w:color="auto"/>
      </w:divBdr>
    </w:div>
    <w:div w:id="1925454146">
      <w:marLeft w:val="0"/>
      <w:marRight w:val="0"/>
      <w:marTop w:val="0"/>
      <w:marBottom w:val="0"/>
      <w:divBdr>
        <w:top w:val="none" w:sz="0" w:space="0" w:color="auto"/>
        <w:left w:val="none" w:sz="0" w:space="0" w:color="auto"/>
        <w:bottom w:val="none" w:sz="0" w:space="0" w:color="auto"/>
        <w:right w:val="none" w:sz="0" w:space="0" w:color="auto"/>
      </w:divBdr>
    </w:div>
    <w:div w:id="1932657819">
      <w:marLeft w:val="0"/>
      <w:marRight w:val="0"/>
      <w:marTop w:val="0"/>
      <w:marBottom w:val="0"/>
      <w:divBdr>
        <w:top w:val="none" w:sz="0" w:space="0" w:color="auto"/>
        <w:left w:val="none" w:sz="0" w:space="0" w:color="auto"/>
        <w:bottom w:val="none" w:sz="0" w:space="0" w:color="auto"/>
        <w:right w:val="none" w:sz="0" w:space="0" w:color="auto"/>
      </w:divBdr>
    </w:div>
    <w:div w:id="1936278122">
      <w:marLeft w:val="0"/>
      <w:marRight w:val="0"/>
      <w:marTop w:val="0"/>
      <w:marBottom w:val="0"/>
      <w:divBdr>
        <w:top w:val="none" w:sz="0" w:space="0" w:color="auto"/>
        <w:left w:val="none" w:sz="0" w:space="0" w:color="auto"/>
        <w:bottom w:val="none" w:sz="0" w:space="0" w:color="auto"/>
        <w:right w:val="none" w:sz="0" w:space="0" w:color="auto"/>
      </w:divBdr>
      <w:divsChild>
        <w:div w:id="1509980758">
          <w:marLeft w:val="0"/>
          <w:marRight w:val="0"/>
          <w:marTop w:val="0"/>
          <w:marBottom w:val="0"/>
          <w:divBdr>
            <w:top w:val="none" w:sz="0" w:space="0" w:color="auto"/>
            <w:left w:val="none" w:sz="0" w:space="0" w:color="auto"/>
            <w:bottom w:val="none" w:sz="0" w:space="0" w:color="auto"/>
            <w:right w:val="none" w:sz="0" w:space="0" w:color="auto"/>
          </w:divBdr>
        </w:div>
      </w:divsChild>
    </w:div>
    <w:div w:id="1956906040">
      <w:marLeft w:val="0"/>
      <w:marRight w:val="0"/>
      <w:marTop w:val="0"/>
      <w:marBottom w:val="20"/>
      <w:divBdr>
        <w:top w:val="none" w:sz="0" w:space="0" w:color="auto"/>
        <w:left w:val="none" w:sz="0" w:space="0" w:color="auto"/>
        <w:bottom w:val="none" w:sz="0" w:space="0" w:color="auto"/>
        <w:right w:val="none" w:sz="0" w:space="0" w:color="auto"/>
      </w:divBdr>
    </w:div>
    <w:div w:id="1963076691">
      <w:marLeft w:val="0"/>
      <w:marRight w:val="0"/>
      <w:marTop w:val="0"/>
      <w:marBottom w:val="0"/>
      <w:divBdr>
        <w:top w:val="none" w:sz="0" w:space="0" w:color="auto"/>
        <w:left w:val="none" w:sz="0" w:space="0" w:color="auto"/>
        <w:bottom w:val="none" w:sz="0" w:space="0" w:color="auto"/>
        <w:right w:val="none" w:sz="0" w:space="0" w:color="auto"/>
      </w:divBdr>
    </w:div>
    <w:div w:id="1963344568">
      <w:marLeft w:val="0"/>
      <w:marRight w:val="0"/>
      <w:marTop w:val="0"/>
      <w:marBottom w:val="0"/>
      <w:divBdr>
        <w:top w:val="none" w:sz="0" w:space="0" w:color="auto"/>
        <w:left w:val="none" w:sz="0" w:space="0" w:color="auto"/>
        <w:bottom w:val="none" w:sz="0" w:space="0" w:color="auto"/>
        <w:right w:val="none" w:sz="0" w:space="0" w:color="auto"/>
      </w:divBdr>
    </w:div>
    <w:div w:id="1985771838">
      <w:marLeft w:val="0"/>
      <w:marRight w:val="0"/>
      <w:marTop w:val="0"/>
      <w:marBottom w:val="0"/>
      <w:divBdr>
        <w:top w:val="none" w:sz="0" w:space="0" w:color="auto"/>
        <w:left w:val="none" w:sz="0" w:space="0" w:color="auto"/>
        <w:bottom w:val="none" w:sz="0" w:space="0" w:color="auto"/>
        <w:right w:val="none" w:sz="0" w:space="0" w:color="auto"/>
      </w:divBdr>
      <w:divsChild>
        <w:div w:id="404182562">
          <w:marLeft w:val="0"/>
          <w:marRight w:val="0"/>
          <w:marTop w:val="0"/>
          <w:marBottom w:val="0"/>
          <w:divBdr>
            <w:top w:val="none" w:sz="0" w:space="0" w:color="auto"/>
            <w:left w:val="none" w:sz="0" w:space="0" w:color="auto"/>
            <w:bottom w:val="none" w:sz="0" w:space="0" w:color="auto"/>
            <w:right w:val="none" w:sz="0" w:space="0" w:color="auto"/>
          </w:divBdr>
        </w:div>
      </w:divsChild>
    </w:div>
    <w:div w:id="2028749232">
      <w:marLeft w:val="0"/>
      <w:marRight w:val="0"/>
      <w:marTop w:val="0"/>
      <w:marBottom w:val="0"/>
      <w:divBdr>
        <w:top w:val="none" w:sz="0" w:space="0" w:color="auto"/>
        <w:left w:val="none" w:sz="0" w:space="0" w:color="auto"/>
        <w:bottom w:val="none" w:sz="0" w:space="0" w:color="auto"/>
        <w:right w:val="none" w:sz="0" w:space="0" w:color="auto"/>
      </w:divBdr>
    </w:div>
    <w:div w:id="2038772334">
      <w:marLeft w:val="0"/>
      <w:marRight w:val="0"/>
      <w:marTop w:val="0"/>
      <w:marBottom w:val="0"/>
      <w:divBdr>
        <w:top w:val="none" w:sz="0" w:space="0" w:color="auto"/>
        <w:left w:val="none" w:sz="0" w:space="0" w:color="auto"/>
        <w:bottom w:val="none" w:sz="0" w:space="0" w:color="auto"/>
        <w:right w:val="none" w:sz="0" w:space="0" w:color="auto"/>
      </w:divBdr>
    </w:div>
    <w:div w:id="2051223934">
      <w:marLeft w:val="0"/>
      <w:marRight w:val="0"/>
      <w:marTop w:val="0"/>
      <w:marBottom w:val="0"/>
      <w:divBdr>
        <w:top w:val="none" w:sz="0" w:space="0" w:color="auto"/>
        <w:left w:val="none" w:sz="0" w:space="0" w:color="auto"/>
        <w:bottom w:val="none" w:sz="0" w:space="0" w:color="auto"/>
        <w:right w:val="none" w:sz="0" w:space="0" w:color="auto"/>
      </w:divBdr>
      <w:divsChild>
        <w:div w:id="1672561715">
          <w:marLeft w:val="0"/>
          <w:marRight w:val="0"/>
          <w:marTop w:val="0"/>
          <w:marBottom w:val="0"/>
          <w:divBdr>
            <w:top w:val="none" w:sz="0" w:space="0" w:color="auto"/>
            <w:left w:val="none" w:sz="0" w:space="0" w:color="auto"/>
            <w:bottom w:val="none" w:sz="0" w:space="0" w:color="auto"/>
            <w:right w:val="none" w:sz="0" w:space="0" w:color="auto"/>
          </w:divBdr>
        </w:div>
      </w:divsChild>
    </w:div>
    <w:div w:id="2063675293">
      <w:marLeft w:val="0"/>
      <w:marRight w:val="0"/>
      <w:marTop w:val="0"/>
      <w:marBottom w:val="0"/>
      <w:divBdr>
        <w:top w:val="none" w:sz="0" w:space="0" w:color="auto"/>
        <w:left w:val="none" w:sz="0" w:space="0" w:color="auto"/>
        <w:bottom w:val="none" w:sz="0" w:space="0" w:color="auto"/>
        <w:right w:val="none" w:sz="0" w:space="0" w:color="auto"/>
      </w:divBdr>
    </w:div>
    <w:div w:id="2070764789">
      <w:marLeft w:val="0"/>
      <w:marRight w:val="0"/>
      <w:marTop w:val="0"/>
      <w:marBottom w:val="0"/>
      <w:divBdr>
        <w:top w:val="none" w:sz="0" w:space="0" w:color="auto"/>
        <w:left w:val="none" w:sz="0" w:space="0" w:color="auto"/>
        <w:bottom w:val="none" w:sz="0" w:space="0" w:color="auto"/>
        <w:right w:val="none" w:sz="0" w:space="0" w:color="auto"/>
      </w:divBdr>
    </w:div>
    <w:div w:id="2076975615">
      <w:marLeft w:val="0"/>
      <w:marRight w:val="0"/>
      <w:marTop w:val="0"/>
      <w:marBottom w:val="0"/>
      <w:divBdr>
        <w:top w:val="none" w:sz="0" w:space="0" w:color="auto"/>
        <w:left w:val="none" w:sz="0" w:space="0" w:color="auto"/>
        <w:bottom w:val="none" w:sz="0" w:space="0" w:color="auto"/>
        <w:right w:val="none" w:sz="0" w:space="0" w:color="auto"/>
      </w:divBdr>
    </w:div>
    <w:div w:id="2080203854">
      <w:marLeft w:val="0"/>
      <w:marRight w:val="0"/>
      <w:marTop w:val="0"/>
      <w:marBottom w:val="0"/>
      <w:divBdr>
        <w:top w:val="none" w:sz="0" w:space="0" w:color="auto"/>
        <w:left w:val="none" w:sz="0" w:space="0" w:color="auto"/>
        <w:bottom w:val="none" w:sz="0" w:space="0" w:color="auto"/>
        <w:right w:val="none" w:sz="0" w:space="0" w:color="auto"/>
      </w:divBdr>
      <w:divsChild>
        <w:div w:id="432434180">
          <w:marLeft w:val="0"/>
          <w:marRight w:val="0"/>
          <w:marTop w:val="0"/>
          <w:marBottom w:val="0"/>
          <w:divBdr>
            <w:top w:val="none" w:sz="0" w:space="0" w:color="auto"/>
            <w:left w:val="none" w:sz="0" w:space="0" w:color="auto"/>
            <w:bottom w:val="none" w:sz="0" w:space="0" w:color="auto"/>
            <w:right w:val="none" w:sz="0" w:space="0" w:color="auto"/>
          </w:divBdr>
        </w:div>
      </w:divsChild>
    </w:div>
    <w:div w:id="2084329469">
      <w:marLeft w:val="0"/>
      <w:marRight w:val="0"/>
      <w:marTop w:val="0"/>
      <w:marBottom w:val="0"/>
      <w:divBdr>
        <w:top w:val="none" w:sz="0" w:space="0" w:color="auto"/>
        <w:left w:val="none" w:sz="0" w:space="0" w:color="auto"/>
        <w:bottom w:val="none" w:sz="0" w:space="0" w:color="auto"/>
        <w:right w:val="none" w:sz="0" w:space="0" w:color="auto"/>
      </w:divBdr>
      <w:divsChild>
        <w:div w:id="2112042788">
          <w:marLeft w:val="0"/>
          <w:marRight w:val="0"/>
          <w:marTop w:val="0"/>
          <w:marBottom w:val="0"/>
          <w:divBdr>
            <w:top w:val="none" w:sz="0" w:space="0" w:color="auto"/>
            <w:left w:val="none" w:sz="0" w:space="0" w:color="auto"/>
            <w:bottom w:val="none" w:sz="0" w:space="0" w:color="auto"/>
            <w:right w:val="none" w:sz="0" w:space="0" w:color="auto"/>
          </w:divBdr>
        </w:div>
      </w:divsChild>
    </w:div>
    <w:div w:id="2085910336">
      <w:marLeft w:val="0"/>
      <w:marRight w:val="0"/>
      <w:marTop w:val="0"/>
      <w:marBottom w:val="0"/>
      <w:divBdr>
        <w:top w:val="none" w:sz="0" w:space="0" w:color="auto"/>
        <w:left w:val="none" w:sz="0" w:space="0" w:color="auto"/>
        <w:bottom w:val="none" w:sz="0" w:space="0" w:color="auto"/>
        <w:right w:val="none" w:sz="0" w:space="0" w:color="auto"/>
      </w:divBdr>
    </w:div>
    <w:div w:id="2087680971">
      <w:marLeft w:val="0"/>
      <w:marRight w:val="0"/>
      <w:marTop w:val="0"/>
      <w:marBottom w:val="0"/>
      <w:divBdr>
        <w:top w:val="none" w:sz="0" w:space="0" w:color="auto"/>
        <w:left w:val="none" w:sz="0" w:space="0" w:color="auto"/>
        <w:bottom w:val="none" w:sz="0" w:space="0" w:color="auto"/>
        <w:right w:val="none" w:sz="0" w:space="0" w:color="auto"/>
      </w:divBdr>
    </w:div>
    <w:div w:id="2088651368">
      <w:marLeft w:val="0"/>
      <w:marRight w:val="0"/>
      <w:marTop w:val="0"/>
      <w:marBottom w:val="0"/>
      <w:divBdr>
        <w:top w:val="none" w:sz="0" w:space="0" w:color="auto"/>
        <w:left w:val="none" w:sz="0" w:space="0" w:color="auto"/>
        <w:bottom w:val="none" w:sz="0" w:space="0" w:color="auto"/>
        <w:right w:val="none" w:sz="0" w:space="0" w:color="auto"/>
      </w:divBdr>
    </w:div>
    <w:div w:id="2093575068">
      <w:marLeft w:val="0"/>
      <w:marRight w:val="0"/>
      <w:marTop w:val="0"/>
      <w:marBottom w:val="0"/>
      <w:divBdr>
        <w:top w:val="none" w:sz="0" w:space="0" w:color="auto"/>
        <w:left w:val="none" w:sz="0" w:space="0" w:color="auto"/>
        <w:bottom w:val="none" w:sz="0" w:space="0" w:color="auto"/>
        <w:right w:val="none" w:sz="0" w:space="0" w:color="auto"/>
      </w:divBdr>
    </w:div>
    <w:div w:id="2117090555">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c.gov/ix?doc=/Archives/edgar/data/916365/000091636522000049/tsco-20211225.htm" TargetMode="External"/><Relationship Id="rId13" Type="http://schemas.openxmlformats.org/officeDocument/2006/relationships/hyperlink" Target="https://www.sec.gov/ix?doc=/Archives/edgar/data/916365/000091636522000049/tsco-20211225.htm" TargetMode="External"/><Relationship Id="rId18" Type="http://schemas.openxmlformats.org/officeDocument/2006/relationships/hyperlink" Target="q2202210qex312.htm"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www.sec.gov/ix?doc=/Archives/edgar/data/916365/000091636522000049/tsco-20211225.htm" TargetMode="External"/><Relationship Id="rId12" Type="http://schemas.openxmlformats.org/officeDocument/2006/relationships/hyperlink" Target="https://www.sec.gov/ix?doc=/Archives/edgar/data/916365/000091636522000049/tsco-20211225.htm" TargetMode="External"/><Relationship Id="rId17" Type="http://schemas.openxmlformats.org/officeDocument/2006/relationships/hyperlink" Target="q2202210qex311.htm" TargetMode="External"/><Relationship Id="rId2" Type="http://schemas.openxmlformats.org/officeDocument/2006/relationships/settings" Target="settings.xml"/><Relationship Id="rId16" Type="http://schemas.openxmlformats.org/officeDocument/2006/relationships/hyperlink" Target="https://www.sec.gov/ix?doc=/Archives/edgar/data/916365/000091636522000049/tsco-20211225.htm"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sec.gov/ix?doc=/Archives/edgar/data/916365/000091636522000049/tsco-20211225.htm" TargetMode="External"/><Relationship Id="rId11" Type="http://schemas.openxmlformats.org/officeDocument/2006/relationships/hyperlink" Target="https://www.sec.gov/ix?doc=/Archives/edgar/data/916365/000091636522000049/tsco-20211225.htm" TargetMode="External"/><Relationship Id="rId5" Type="http://schemas.openxmlformats.org/officeDocument/2006/relationships/hyperlink" Target="https://www.sec.gov/ix?doc=/Archives/edgar/data/916365/000091636522000049/tsco-20211225.htm" TargetMode="External"/><Relationship Id="rId15" Type="http://schemas.openxmlformats.org/officeDocument/2006/relationships/hyperlink" Target="https://www.sec.gov/ix?doc=/Archives/edgar/data/916365/000091636522000049/tsco-20211225.htm" TargetMode="External"/><Relationship Id="rId10" Type="http://schemas.openxmlformats.org/officeDocument/2006/relationships/hyperlink" Target="https://www.sec.gov/ix?doc=/Archives/edgar/data/916365/000091636522000049/tsco-20211225.htm" TargetMode="External"/><Relationship Id="rId19" Type="http://schemas.openxmlformats.org/officeDocument/2006/relationships/hyperlink" Target="q2202210qex321.htm" TargetMode="External"/><Relationship Id="rId4" Type="http://schemas.openxmlformats.org/officeDocument/2006/relationships/image" Target="file:///E:\projects\LLMs\new_data_collection\data_new\htm\TRACTOR%20SUPPLY%20CO\tsco-20220625_g1.jpg" TargetMode="External"/><Relationship Id="rId9" Type="http://schemas.openxmlformats.org/officeDocument/2006/relationships/hyperlink" Target="https://www.sec.gov/ix?doc=/Archives/edgar/data/916365/000091636522000049/tsco-20211225.htm" TargetMode="External"/><Relationship Id="rId14" Type="http://schemas.openxmlformats.org/officeDocument/2006/relationships/hyperlink" Target="https://www.sec.gov/ix?doc=/Archives/edgar/data/916365/000091636522000049/tsco-20211225.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15031</Words>
  <Characters>85683</Characters>
  <Application>Microsoft Office Word</Application>
  <DocSecurity>0</DocSecurity>
  <Lines>714</Lines>
  <Paragraphs>201</Paragraphs>
  <ScaleCrop>false</ScaleCrop>
  <Company/>
  <LinksUpToDate>false</LinksUpToDate>
  <CharactersWithSpaces>100513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tsco-20220625</dc:title>
  <dc:subject/>
  <dc:creator>Chongjian.Yue</dc:creator>
  <cp:keywords/>
  <dc:description/>
  <cp:lastModifiedBy>Yue Chongjian</cp:lastModifiedBy>
  <cp:revision>1</cp:revision>
  <dcterms:created xsi:type="dcterms:W3CDTF">2024-01-04T16:02:00Z</dcterms:created>
  <dcterms:modified xsi:type="dcterms:W3CDTF">2024-01-04T16:02:00Z</dcterms:modified>
</cp:coreProperties>
</file>